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3ADF5" w14:textId="77777777" w:rsidR="00151CF3" w:rsidRDefault="00151CF3">
      <w:pPr>
        <w:rPr>
          <w:rFonts w:ascii="Arial" w:hAnsi="Arial" w:cs="Arial"/>
          <w:b/>
          <w:color w:val="003300"/>
          <w:sz w:val="28"/>
          <w:szCs w:val="28"/>
        </w:rPr>
      </w:pPr>
    </w:p>
    <w:p w14:paraId="24557F0D" w14:textId="77777777" w:rsidR="00835F73" w:rsidRDefault="00835F73">
      <w:pPr>
        <w:rPr>
          <w:rFonts w:ascii="Arial" w:hAnsi="Arial" w:cs="Arial"/>
          <w:b/>
          <w:color w:val="003300"/>
          <w:sz w:val="28"/>
          <w:szCs w:val="28"/>
        </w:rPr>
      </w:pPr>
    </w:p>
    <w:p w14:paraId="7EF7D08A" w14:textId="77777777" w:rsidR="00925F77" w:rsidRPr="00D94F32" w:rsidRDefault="00925F77" w:rsidP="00D94F32">
      <w:pPr>
        <w:jc w:val="center"/>
        <w:rPr>
          <w:rFonts w:ascii="Arial" w:hAnsi="Arial" w:cs="Arial"/>
          <w:b/>
          <w:color w:val="003300"/>
          <w:sz w:val="36"/>
          <w:szCs w:val="36"/>
        </w:rPr>
      </w:pPr>
      <w:r w:rsidRPr="00D94F32">
        <w:rPr>
          <w:rFonts w:ascii="Arial" w:hAnsi="Arial" w:cs="Arial"/>
          <w:b/>
          <w:color w:val="003300"/>
          <w:sz w:val="36"/>
          <w:szCs w:val="36"/>
        </w:rPr>
        <w:t>LONDON BOROUGH OF WALTHAM FOREST PENSION FUND</w:t>
      </w:r>
    </w:p>
    <w:p w14:paraId="04082E87" w14:textId="77777777" w:rsidR="00925F77" w:rsidRPr="00D94F32" w:rsidRDefault="00925F77" w:rsidP="00D94F32">
      <w:pPr>
        <w:jc w:val="center"/>
        <w:rPr>
          <w:rFonts w:ascii="Arial" w:hAnsi="Arial" w:cs="Arial"/>
          <w:color w:val="003300"/>
          <w:sz w:val="36"/>
          <w:szCs w:val="36"/>
        </w:rPr>
      </w:pPr>
    </w:p>
    <w:p w14:paraId="48EDB634" w14:textId="77777777" w:rsidR="00925F77" w:rsidRPr="00D94F32" w:rsidRDefault="00925F77" w:rsidP="00D94F32">
      <w:pPr>
        <w:pStyle w:val="Heading1"/>
        <w:jc w:val="center"/>
        <w:rPr>
          <w:color w:val="003300"/>
          <w:sz w:val="36"/>
          <w:szCs w:val="36"/>
        </w:rPr>
      </w:pPr>
      <w:r w:rsidRPr="00D94F32">
        <w:rPr>
          <w:color w:val="003300"/>
          <w:sz w:val="36"/>
          <w:szCs w:val="36"/>
        </w:rPr>
        <w:t>PENSION FUND ANNUAL</w:t>
      </w:r>
      <w:r w:rsidR="00592FF1" w:rsidRPr="00D94F32">
        <w:rPr>
          <w:color w:val="003300"/>
          <w:sz w:val="36"/>
          <w:szCs w:val="36"/>
        </w:rPr>
        <w:t xml:space="preserve"> </w:t>
      </w:r>
      <w:r w:rsidRPr="00D94F32">
        <w:rPr>
          <w:color w:val="003300"/>
          <w:sz w:val="36"/>
          <w:szCs w:val="36"/>
        </w:rPr>
        <w:t>REPORT 201</w:t>
      </w:r>
      <w:r w:rsidR="006A7C1E">
        <w:rPr>
          <w:color w:val="003300"/>
          <w:sz w:val="36"/>
          <w:szCs w:val="36"/>
        </w:rPr>
        <w:t>9</w:t>
      </w:r>
      <w:r w:rsidRPr="00D94F32">
        <w:rPr>
          <w:color w:val="003300"/>
          <w:sz w:val="36"/>
          <w:szCs w:val="36"/>
        </w:rPr>
        <w:t>/</w:t>
      </w:r>
      <w:r w:rsidR="006A7C1E">
        <w:rPr>
          <w:color w:val="003300"/>
          <w:sz w:val="36"/>
          <w:szCs w:val="36"/>
        </w:rPr>
        <w:t>20</w:t>
      </w:r>
    </w:p>
    <w:p w14:paraId="6273B577" w14:textId="77777777" w:rsidR="00925F77" w:rsidRPr="00D94F32" w:rsidRDefault="00925F77" w:rsidP="00D94F32">
      <w:pPr>
        <w:jc w:val="center"/>
        <w:rPr>
          <w:rFonts w:ascii="Arial" w:hAnsi="Arial" w:cs="Arial"/>
          <w:color w:val="003300"/>
          <w:sz w:val="36"/>
          <w:szCs w:val="36"/>
        </w:rPr>
      </w:pPr>
    </w:p>
    <w:p w14:paraId="0C058880" w14:textId="77777777" w:rsidR="00925F77" w:rsidRDefault="00925F77" w:rsidP="003476A8">
      <w:pPr>
        <w:jc w:val="both"/>
        <w:rPr>
          <w:rFonts w:ascii="Arial" w:hAnsi="Arial" w:cs="Arial"/>
          <w:b/>
          <w:color w:val="003300"/>
          <w:sz w:val="28"/>
          <w:szCs w:val="28"/>
        </w:rPr>
      </w:pPr>
      <w:r>
        <w:rPr>
          <w:rFonts w:ascii="Arial" w:hAnsi="Arial" w:cs="Arial"/>
          <w:b/>
          <w:color w:val="003300"/>
          <w:sz w:val="28"/>
          <w:szCs w:val="28"/>
        </w:rPr>
        <w:t>CONTENTS LIST</w:t>
      </w:r>
    </w:p>
    <w:p w14:paraId="4B524A0D" w14:textId="77777777" w:rsidR="00925F77" w:rsidRDefault="00925F77" w:rsidP="003476A8">
      <w:pPr>
        <w:pStyle w:val="Heading9"/>
        <w:jc w:val="both"/>
      </w:pPr>
    </w:p>
    <w:p w14:paraId="2EEFAD5D" w14:textId="77777777" w:rsidR="00925F77" w:rsidRDefault="00925F77" w:rsidP="003476A8">
      <w:pPr>
        <w:jc w:val="both"/>
        <w:rPr>
          <w:rFonts w:ascii="Arial" w:hAnsi="Arial" w:cs="Arial"/>
          <w:b/>
          <w:i/>
        </w:rPr>
      </w:pPr>
      <w:r>
        <w:rPr>
          <w:rFonts w:ascii="Arial" w:hAnsi="Arial" w:cs="Arial"/>
          <w:b/>
        </w:rPr>
        <w:tab/>
      </w:r>
      <w:r>
        <w:rPr>
          <w:rFonts w:ascii="Arial" w:hAnsi="Arial" w:cs="Arial"/>
          <w:b/>
        </w:rPr>
        <w:tab/>
      </w:r>
    </w:p>
    <w:p w14:paraId="3BDA9E0E" w14:textId="77777777" w:rsidR="00925F77" w:rsidRDefault="00925F77" w:rsidP="003476A8">
      <w:pPr>
        <w:ind w:left="540"/>
        <w:jc w:val="both"/>
        <w:rPr>
          <w:rFonts w:ascii="Arial" w:hAnsi="Arial" w:cs="Arial"/>
          <w:b/>
        </w:rPr>
      </w:pPr>
      <w:r>
        <w:rPr>
          <w:rFonts w:ascii="Arial" w:hAnsi="Arial" w:cs="Arial"/>
          <w:b/>
          <w:color w:val="336600"/>
        </w:rPr>
        <w:t>INTRODUCTION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rPr>
        <w:t>2</w:t>
      </w:r>
    </w:p>
    <w:p w14:paraId="4CEE4DAF" w14:textId="77777777" w:rsidR="00925F77" w:rsidRDefault="00925F77" w:rsidP="003476A8">
      <w:pPr>
        <w:ind w:left="540"/>
        <w:jc w:val="both"/>
        <w:rPr>
          <w:rFonts w:ascii="Arial" w:hAnsi="Arial" w:cs="Arial"/>
          <w:b/>
        </w:rPr>
      </w:pPr>
    </w:p>
    <w:p w14:paraId="6D27212A" w14:textId="77777777" w:rsidR="00925F77" w:rsidRDefault="00925F77" w:rsidP="003476A8">
      <w:pPr>
        <w:pStyle w:val="Heading7"/>
        <w:jc w:val="both"/>
      </w:pPr>
      <w:r>
        <w:t xml:space="preserve">INVESTMENT REVIEW </w:t>
      </w:r>
    </w:p>
    <w:p w14:paraId="11304C5C" w14:textId="77777777" w:rsidR="00925F77" w:rsidRDefault="00925F77" w:rsidP="003476A8">
      <w:pPr>
        <w:ind w:left="540"/>
        <w:jc w:val="both"/>
        <w:rPr>
          <w:rFonts w:ascii="Arial" w:hAnsi="Arial" w:cs="Arial"/>
          <w:b/>
        </w:rPr>
      </w:pPr>
    </w:p>
    <w:p w14:paraId="04EE21E5" w14:textId="77777777" w:rsidR="00925F77" w:rsidRPr="001833FF" w:rsidRDefault="009F3807" w:rsidP="003476A8">
      <w:pPr>
        <w:numPr>
          <w:ilvl w:val="0"/>
          <w:numId w:val="3"/>
        </w:numPr>
        <w:ind w:left="540" w:firstLine="0"/>
        <w:jc w:val="both"/>
        <w:rPr>
          <w:rFonts w:ascii="Arial" w:hAnsi="Arial" w:cs="Arial"/>
          <w:b/>
        </w:rPr>
      </w:pPr>
      <w:r>
        <w:rPr>
          <w:rFonts w:ascii="Arial" w:hAnsi="Arial" w:cs="Arial"/>
          <w:b/>
        </w:rPr>
        <w:t>Market</w:t>
      </w:r>
      <w:r w:rsidR="00925F77">
        <w:rPr>
          <w:rFonts w:ascii="Arial" w:hAnsi="Arial" w:cs="Arial"/>
          <w:b/>
        </w:rPr>
        <w:t xml:space="preserve"> Background </w:t>
      </w:r>
      <w:r w:rsidR="00925F77">
        <w:rPr>
          <w:rFonts w:ascii="Arial" w:hAnsi="Arial" w:cs="Arial"/>
          <w:b/>
        </w:rPr>
        <w:tab/>
      </w:r>
      <w:r w:rsidR="00925F77">
        <w:rPr>
          <w:rFonts w:ascii="Arial" w:hAnsi="Arial" w:cs="Arial"/>
          <w:b/>
        </w:rPr>
        <w:tab/>
      </w:r>
      <w:r w:rsidR="00925F77">
        <w:rPr>
          <w:rFonts w:ascii="Arial" w:hAnsi="Arial" w:cs="Arial"/>
          <w:b/>
        </w:rPr>
        <w:tab/>
      </w:r>
      <w:r w:rsidR="00925F77">
        <w:rPr>
          <w:rFonts w:ascii="Arial" w:hAnsi="Arial" w:cs="Arial"/>
          <w:b/>
        </w:rPr>
        <w:tab/>
      </w:r>
      <w:r w:rsidR="00925F77">
        <w:rPr>
          <w:rFonts w:ascii="Arial" w:hAnsi="Arial" w:cs="Arial"/>
          <w:b/>
        </w:rPr>
        <w:tab/>
      </w:r>
      <w:r w:rsidR="00925F77">
        <w:rPr>
          <w:rFonts w:ascii="Arial" w:hAnsi="Arial" w:cs="Arial"/>
          <w:b/>
        </w:rPr>
        <w:tab/>
        <w:t xml:space="preserve">   </w:t>
      </w:r>
      <w:r w:rsidR="00925F77">
        <w:rPr>
          <w:rFonts w:ascii="Arial" w:hAnsi="Arial" w:cs="Arial"/>
        </w:rPr>
        <w:t>2</w:t>
      </w:r>
    </w:p>
    <w:p w14:paraId="3E96F1B5" w14:textId="77777777" w:rsidR="00925F77" w:rsidRDefault="00925F77" w:rsidP="003476A8">
      <w:pPr>
        <w:numPr>
          <w:ilvl w:val="0"/>
          <w:numId w:val="3"/>
        </w:numPr>
        <w:ind w:left="540" w:firstLine="0"/>
        <w:jc w:val="both"/>
        <w:rPr>
          <w:rFonts w:ascii="Arial" w:hAnsi="Arial" w:cs="Arial"/>
          <w:b/>
        </w:rPr>
      </w:pPr>
      <w:r>
        <w:rPr>
          <w:rFonts w:ascii="Arial" w:hAnsi="Arial" w:cs="Arial"/>
          <w:b/>
        </w:rPr>
        <w:t>Fund Investment Strategy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9F3807" w:rsidRPr="009F3807">
        <w:rPr>
          <w:rFonts w:ascii="Arial" w:hAnsi="Arial" w:cs="Arial"/>
        </w:rPr>
        <w:t xml:space="preserve"> </w:t>
      </w:r>
      <w:r w:rsidRPr="009F3807">
        <w:rPr>
          <w:rFonts w:ascii="Arial" w:hAnsi="Arial" w:cs="Arial"/>
        </w:rPr>
        <w:t xml:space="preserve">  </w:t>
      </w:r>
      <w:r w:rsidR="000C463A">
        <w:rPr>
          <w:rFonts w:ascii="Arial" w:hAnsi="Arial" w:cs="Arial"/>
        </w:rPr>
        <w:t>6</w:t>
      </w:r>
    </w:p>
    <w:p w14:paraId="3FC38A57" w14:textId="77777777" w:rsidR="00925F77" w:rsidRDefault="00925F77" w:rsidP="003476A8">
      <w:pPr>
        <w:numPr>
          <w:ilvl w:val="0"/>
          <w:numId w:val="3"/>
        </w:numPr>
        <w:ind w:left="540" w:firstLine="0"/>
        <w:jc w:val="both"/>
        <w:rPr>
          <w:rFonts w:ascii="Arial" w:hAnsi="Arial" w:cs="Arial"/>
          <w:b/>
        </w:rPr>
      </w:pPr>
      <w:r>
        <w:rPr>
          <w:rFonts w:ascii="Arial" w:hAnsi="Arial" w:cs="Arial"/>
          <w:b/>
        </w:rPr>
        <w:t>Pension Fund Accounts 201</w:t>
      </w:r>
      <w:r w:rsidR="006A7C1E">
        <w:rPr>
          <w:rFonts w:ascii="Arial" w:hAnsi="Arial" w:cs="Arial"/>
          <w:b/>
        </w:rPr>
        <w:t>9</w:t>
      </w:r>
      <w:r>
        <w:rPr>
          <w:rFonts w:ascii="Arial" w:hAnsi="Arial" w:cs="Arial"/>
          <w:b/>
        </w:rPr>
        <w:t>/</w:t>
      </w:r>
      <w:r w:rsidR="006A7C1E">
        <w:rPr>
          <w:rFonts w:ascii="Arial" w:hAnsi="Arial" w:cs="Arial"/>
          <w:b/>
        </w:rPr>
        <w:t>20</w:t>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000C463A">
        <w:rPr>
          <w:rFonts w:ascii="Arial" w:hAnsi="Arial" w:cs="Arial"/>
        </w:rPr>
        <w:t>7</w:t>
      </w:r>
    </w:p>
    <w:p w14:paraId="4B9F006D" w14:textId="77777777" w:rsidR="00925F77" w:rsidRPr="000C463A" w:rsidRDefault="00925F77" w:rsidP="00CA78DD">
      <w:pPr>
        <w:numPr>
          <w:ilvl w:val="0"/>
          <w:numId w:val="3"/>
        </w:numPr>
        <w:ind w:left="540" w:firstLine="0"/>
        <w:jc w:val="both"/>
        <w:rPr>
          <w:rFonts w:ascii="Arial" w:hAnsi="Arial" w:cs="Arial"/>
          <w:i/>
        </w:rPr>
      </w:pPr>
      <w:r w:rsidRPr="000C463A">
        <w:rPr>
          <w:rFonts w:ascii="Arial" w:hAnsi="Arial" w:cs="Arial"/>
          <w:b/>
        </w:rPr>
        <w:t>Pension Fund Performance 201</w:t>
      </w:r>
      <w:r w:rsidR="006A7C1E" w:rsidRPr="000C463A">
        <w:rPr>
          <w:rFonts w:ascii="Arial" w:hAnsi="Arial" w:cs="Arial"/>
          <w:b/>
        </w:rPr>
        <w:t>9</w:t>
      </w:r>
      <w:r w:rsidRPr="000C463A">
        <w:rPr>
          <w:rFonts w:ascii="Arial" w:hAnsi="Arial" w:cs="Arial"/>
          <w:b/>
        </w:rPr>
        <w:t>/</w:t>
      </w:r>
      <w:r w:rsidR="006A7C1E" w:rsidRPr="000C463A">
        <w:rPr>
          <w:rFonts w:ascii="Arial" w:hAnsi="Arial" w:cs="Arial"/>
          <w:b/>
        </w:rPr>
        <w:t>20</w:t>
      </w:r>
      <w:r w:rsidRPr="000C463A">
        <w:rPr>
          <w:rFonts w:ascii="Arial" w:hAnsi="Arial" w:cs="Arial"/>
          <w:b/>
        </w:rPr>
        <w:tab/>
      </w:r>
      <w:r w:rsidRPr="000C463A">
        <w:rPr>
          <w:rFonts w:ascii="Arial" w:hAnsi="Arial" w:cs="Arial"/>
          <w:b/>
        </w:rPr>
        <w:tab/>
      </w:r>
      <w:r w:rsidRPr="000C463A">
        <w:rPr>
          <w:rFonts w:ascii="Arial" w:hAnsi="Arial" w:cs="Arial"/>
          <w:b/>
        </w:rPr>
        <w:tab/>
      </w:r>
      <w:r w:rsidRPr="000C463A">
        <w:rPr>
          <w:rFonts w:ascii="Arial" w:hAnsi="Arial" w:cs="Arial"/>
          <w:b/>
        </w:rPr>
        <w:tab/>
        <w:t xml:space="preserve">   </w:t>
      </w:r>
      <w:r w:rsidR="000C463A" w:rsidRPr="000C463A">
        <w:rPr>
          <w:rFonts w:ascii="Arial" w:hAnsi="Arial" w:cs="Arial"/>
        </w:rPr>
        <w:t>8</w:t>
      </w:r>
      <w:r w:rsidR="00381AE2" w:rsidRPr="000C463A">
        <w:rPr>
          <w:rFonts w:ascii="Arial" w:hAnsi="Arial" w:cs="Arial"/>
        </w:rPr>
        <w:t xml:space="preserve">  </w:t>
      </w:r>
      <w:r w:rsidRPr="000C463A">
        <w:rPr>
          <w:rFonts w:ascii="Arial" w:hAnsi="Arial" w:cs="Arial"/>
          <w:i/>
        </w:rPr>
        <w:t xml:space="preserve"> </w:t>
      </w:r>
    </w:p>
    <w:p w14:paraId="2DE020C1" w14:textId="77777777" w:rsidR="00925F77" w:rsidRDefault="00925F77" w:rsidP="003476A8">
      <w:pPr>
        <w:numPr>
          <w:ilvl w:val="0"/>
          <w:numId w:val="3"/>
        </w:numPr>
        <w:ind w:left="540" w:firstLine="0"/>
        <w:jc w:val="both"/>
        <w:rPr>
          <w:rFonts w:ascii="Arial" w:hAnsi="Arial" w:cs="Arial"/>
          <w:b/>
        </w:rPr>
      </w:pPr>
      <w:r>
        <w:rPr>
          <w:rFonts w:ascii="Arial" w:hAnsi="Arial" w:cs="Arial"/>
          <w:b/>
        </w:rPr>
        <w:t>Administration and Benefits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6F6759" w:rsidRPr="006F6759">
        <w:rPr>
          <w:rFonts w:ascii="Arial" w:hAnsi="Arial" w:cs="Arial"/>
        </w:rPr>
        <w:t>1</w:t>
      </w:r>
      <w:r w:rsidR="009C4CDF">
        <w:rPr>
          <w:rFonts w:ascii="Arial" w:hAnsi="Arial" w:cs="Arial"/>
        </w:rPr>
        <w:t>1</w:t>
      </w:r>
    </w:p>
    <w:p w14:paraId="0A5546B6" w14:textId="77777777" w:rsidR="00925F77" w:rsidRDefault="00925F77" w:rsidP="003476A8">
      <w:pPr>
        <w:ind w:left="540"/>
        <w:jc w:val="both"/>
        <w:rPr>
          <w:rFonts w:ascii="Arial" w:hAnsi="Arial" w:cs="Arial"/>
          <w:b/>
        </w:rPr>
      </w:pPr>
      <w:r>
        <w:rPr>
          <w:rFonts w:ascii="Arial" w:hAnsi="Arial" w:cs="Arial"/>
          <w:b/>
        </w:rPr>
        <w:t xml:space="preserve"> </w:t>
      </w:r>
    </w:p>
    <w:p w14:paraId="0486693F" w14:textId="77777777" w:rsidR="00925F77" w:rsidRDefault="00925F77" w:rsidP="003476A8">
      <w:pPr>
        <w:pStyle w:val="Heading7"/>
        <w:jc w:val="both"/>
      </w:pPr>
      <w:r>
        <w:t>GOVERNANCE REPORT</w:t>
      </w:r>
    </w:p>
    <w:p w14:paraId="3380410C" w14:textId="77777777" w:rsidR="00925F77" w:rsidRDefault="00925F77" w:rsidP="003476A8">
      <w:pPr>
        <w:ind w:left="540"/>
        <w:jc w:val="both"/>
        <w:rPr>
          <w:rFonts w:ascii="Arial" w:hAnsi="Arial" w:cs="Arial"/>
          <w:b/>
        </w:rPr>
      </w:pPr>
    </w:p>
    <w:p w14:paraId="5A4C34D0" w14:textId="77777777" w:rsidR="00B7588D" w:rsidRPr="003476A8" w:rsidRDefault="00925F77" w:rsidP="003476A8">
      <w:pPr>
        <w:numPr>
          <w:ilvl w:val="0"/>
          <w:numId w:val="4"/>
        </w:numPr>
        <w:ind w:left="540" w:firstLine="0"/>
        <w:jc w:val="both"/>
        <w:rPr>
          <w:rFonts w:ascii="Arial" w:hAnsi="Arial" w:cs="Arial"/>
          <w:b/>
        </w:rPr>
      </w:pPr>
      <w:r w:rsidRPr="003476A8">
        <w:rPr>
          <w:rFonts w:ascii="Arial" w:hAnsi="Arial" w:cs="Arial"/>
          <w:b/>
        </w:rPr>
        <w:t xml:space="preserve">Pensions Fund Committee </w:t>
      </w:r>
      <w:r w:rsidR="00B7588D" w:rsidRPr="003476A8">
        <w:rPr>
          <w:rFonts w:ascii="Arial" w:hAnsi="Arial" w:cs="Arial"/>
          <w:b/>
        </w:rPr>
        <w:t xml:space="preserve">                                                     </w:t>
      </w:r>
      <w:r w:rsidR="00B7588D" w:rsidRPr="003476A8">
        <w:rPr>
          <w:rFonts w:ascii="Arial" w:hAnsi="Arial" w:cs="Arial"/>
        </w:rPr>
        <w:t>1</w:t>
      </w:r>
      <w:r w:rsidR="001F7709">
        <w:rPr>
          <w:rFonts w:ascii="Arial" w:hAnsi="Arial" w:cs="Arial"/>
        </w:rPr>
        <w:t>8</w:t>
      </w:r>
    </w:p>
    <w:p w14:paraId="3892E608" w14:textId="77777777" w:rsidR="00925F77" w:rsidRPr="003476A8" w:rsidRDefault="00B7588D" w:rsidP="003476A8">
      <w:pPr>
        <w:numPr>
          <w:ilvl w:val="0"/>
          <w:numId w:val="4"/>
        </w:numPr>
        <w:ind w:left="540" w:firstLine="0"/>
        <w:jc w:val="both"/>
        <w:rPr>
          <w:rFonts w:ascii="Arial" w:hAnsi="Arial" w:cs="Arial"/>
          <w:b/>
        </w:rPr>
      </w:pPr>
      <w:r w:rsidRPr="003476A8">
        <w:rPr>
          <w:rFonts w:ascii="Arial" w:hAnsi="Arial" w:cs="Arial"/>
          <w:b/>
        </w:rPr>
        <w:t>Pension Board</w:t>
      </w:r>
      <w:r w:rsidR="00925F77" w:rsidRPr="003476A8">
        <w:rPr>
          <w:rFonts w:ascii="Arial" w:hAnsi="Arial" w:cs="Arial"/>
          <w:b/>
        </w:rPr>
        <w:tab/>
      </w:r>
      <w:r w:rsidR="00925F77" w:rsidRPr="003476A8">
        <w:rPr>
          <w:rFonts w:ascii="Arial" w:hAnsi="Arial" w:cs="Arial"/>
          <w:b/>
        </w:rPr>
        <w:tab/>
      </w:r>
      <w:r w:rsidR="00925F77" w:rsidRPr="003476A8">
        <w:rPr>
          <w:rFonts w:ascii="Arial" w:hAnsi="Arial" w:cs="Arial"/>
          <w:b/>
        </w:rPr>
        <w:tab/>
      </w:r>
      <w:r w:rsidR="00925F77" w:rsidRPr="003476A8">
        <w:rPr>
          <w:rFonts w:ascii="Arial" w:hAnsi="Arial" w:cs="Arial"/>
          <w:b/>
        </w:rPr>
        <w:tab/>
      </w:r>
      <w:r w:rsidR="00925F77" w:rsidRPr="003476A8">
        <w:rPr>
          <w:rFonts w:ascii="Arial" w:hAnsi="Arial" w:cs="Arial"/>
          <w:b/>
        </w:rPr>
        <w:tab/>
      </w:r>
      <w:r w:rsidRPr="003476A8">
        <w:rPr>
          <w:rFonts w:ascii="Arial" w:hAnsi="Arial" w:cs="Arial"/>
          <w:b/>
        </w:rPr>
        <w:t xml:space="preserve">                      </w:t>
      </w:r>
      <w:r w:rsidR="00925F77" w:rsidRPr="003476A8">
        <w:rPr>
          <w:rFonts w:ascii="Arial" w:hAnsi="Arial" w:cs="Arial"/>
          <w:b/>
        </w:rPr>
        <w:t xml:space="preserve">  </w:t>
      </w:r>
      <w:r w:rsidR="00925F77" w:rsidRPr="003476A8">
        <w:rPr>
          <w:rFonts w:ascii="Arial" w:hAnsi="Arial" w:cs="Arial"/>
        </w:rPr>
        <w:t>1</w:t>
      </w:r>
      <w:r w:rsidR="001F7709">
        <w:rPr>
          <w:rFonts w:ascii="Arial" w:hAnsi="Arial" w:cs="Arial"/>
        </w:rPr>
        <w:t>9</w:t>
      </w:r>
    </w:p>
    <w:p w14:paraId="768F8BE8" w14:textId="77777777" w:rsidR="00925F77" w:rsidRPr="003476A8" w:rsidRDefault="00925F77" w:rsidP="003476A8">
      <w:pPr>
        <w:numPr>
          <w:ilvl w:val="0"/>
          <w:numId w:val="4"/>
        </w:numPr>
        <w:ind w:left="540" w:firstLine="0"/>
        <w:jc w:val="both"/>
        <w:rPr>
          <w:rFonts w:ascii="Arial" w:hAnsi="Arial" w:cs="Arial"/>
          <w:b/>
        </w:rPr>
      </w:pPr>
      <w:r w:rsidRPr="003476A8">
        <w:rPr>
          <w:rFonts w:ascii="Arial" w:hAnsi="Arial" w:cs="Arial"/>
          <w:b/>
        </w:rPr>
        <w:t>Governance Compliance Statement</w:t>
      </w:r>
      <w:r w:rsidRPr="003476A8">
        <w:rPr>
          <w:rFonts w:ascii="Arial" w:hAnsi="Arial" w:cs="Arial"/>
          <w:b/>
        </w:rPr>
        <w:tab/>
      </w:r>
      <w:r w:rsidRPr="003476A8">
        <w:rPr>
          <w:rFonts w:ascii="Arial" w:hAnsi="Arial" w:cs="Arial"/>
          <w:b/>
        </w:rPr>
        <w:tab/>
      </w:r>
      <w:r w:rsidRPr="003476A8">
        <w:rPr>
          <w:rFonts w:ascii="Arial" w:hAnsi="Arial" w:cs="Arial"/>
          <w:b/>
        </w:rPr>
        <w:tab/>
      </w:r>
      <w:proofErr w:type="gramStart"/>
      <w:r w:rsidRPr="003476A8">
        <w:rPr>
          <w:rFonts w:ascii="Arial" w:hAnsi="Arial" w:cs="Arial"/>
          <w:b/>
        </w:rPr>
        <w:tab/>
        <w:t xml:space="preserve"> </w:t>
      </w:r>
      <w:r w:rsidR="001F7709">
        <w:rPr>
          <w:rFonts w:ascii="Arial" w:hAnsi="Arial" w:cs="Arial"/>
          <w:b/>
        </w:rPr>
        <w:t xml:space="preserve"> </w:t>
      </w:r>
      <w:r w:rsidR="001F7709" w:rsidRPr="001F7709">
        <w:rPr>
          <w:rFonts w:ascii="Arial" w:hAnsi="Arial" w:cs="Arial"/>
        </w:rPr>
        <w:t>20</w:t>
      </w:r>
      <w:proofErr w:type="gramEnd"/>
    </w:p>
    <w:p w14:paraId="7BF73CA9" w14:textId="77777777" w:rsidR="00925F77" w:rsidRPr="003476A8" w:rsidRDefault="00825395" w:rsidP="003476A8">
      <w:pPr>
        <w:numPr>
          <w:ilvl w:val="0"/>
          <w:numId w:val="4"/>
        </w:numPr>
        <w:ind w:left="540" w:firstLine="0"/>
        <w:jc w:val="both"/>
        <w:rPr>
          <w:rFonts w:ascii="Arial" w:hAnsi="Arial" w:cs="Arial"/>
          <w:b/>
        </w:rPr>
      </w:pPr>
      <w:r w:rsidRPr="003476A8">
        <w:rPr>
          <w:rFonts w:ascii="Arial" w:hAnsi="Arial" w:cs="Arial"/>
          <w:b/>
        </w:rPr>
        <w:t>E</w:t>
      </w:r>
      <w:r>
        <w:rPr>
          <w:rFonts w:ascii="Arial" w:hAnsi="Arial" w:cs="Arial"/>
          <w:b/>
        </w:rPr>
        <w:t>nvironmental, Social and Governance</w:t>
      </w:r>
      <w:r w:rsidR="00925F77" w:rsidRPr="003476A8">
        <w:rPr>
          <w:rFonts w:ascii="Arial" w:hAnsi="Arial" w:cs="Arial"/>
          <w:b/>
        </w:rPr>
        <w:t xml:space="preserve"> Policy </w:t>
      </w:r>
      <w:r w:rsidR="00925F77" w:rsidRPr="003476A8">
        <w:rPr>
          <w:rFonts w:ascii="Arial" w:hAnsi="Arial" w:cs="Arial"/>
          <w:b/>
        </w:rPr>
        <w:tab/>
      </w:r>
      <w:proofErr w:type="gramStart"/>
      <w:r w:rsidR="00925F77" w:rsidRPr="003476A8">
        <w:rPr>
          <w:rFonts w:ascii="Arial" w:hAnsi="Arial" w:cs="Arial"/>
          <w:b/>
        </w:rPr>
        <w:tab/>
        <w:t xml:space="preserve">  </w:t>
      </w:r>
      <w:r w:rsidR="001F7709" w:rsidRPr="001F7709">
        <w:rPr>
          <w:rFonts w:ascii="Arial" w:hAnsi="Arial" w:cs="Arial"/>
        </w:rPr>
        <w:t>20</w:t>
      </w:r>
      <w:proofErr w:type="gramEnd"/>
    </w:p>
    <w:p w14:paraId="56DF297C" w14:textId="77777777" w:rsidR="00925F77" w:rsidRPr="003476A8" w:rsidRDefault="00925F77" w:rsidP="003476A8">
      <w:pPr>
        <w:numPr>
          <w:ilvl w:val="0"/>
          <w:numId w:val="4"/>
        </w:numPr>
        <w:ind w:left="540" w:firstLine="0"/>
        <w:jc w:val="both"/>
        <w:rPr>
          <w:rFonts w:ascii="Arial" w:hAnsi="Arial" w:cs="Arial"/>
          <w:b/>
        </w:rPr>
      </w:pPr>
      <w:r w:rsidRPr="003476A8">
        <w:rPr>
          <w:rFonts w:ascii="Arial" w:hAnsi="Arial" w:cs="Arial"/>
          <w:b/>
        </w:rPr>
        <w:t>Local Authority Pension Fund Forum (LAPFF)</w:t>
      </w:r>
      <w:r w:rsidRPr="003476A8">
        <w:rPr>
          <w:rFonts w:ascii="Arial" w:hAnsi="Arial" w:cs="Arial"/>
          <w:b/>
        </w:rPr>
        <w:tab/>
      </w:r>
      <w:proofErr w:type="gramStart"/>
      <w:r w:rsidRPr="003476A8">
        <w:rPr>
          <w:rFonts w:ascii="Arial" w:hAnsi="Arial" w:cs="Arial"/>
          <w:b/>
        </w:rPr>
        <w:tab/>
        <w:t xml:space="preserve">  </w:t>
      </w:r>
      <w:r w:rsidR="001F7709" w:rsidRPr="001F7709">
        <w:rPr>
          <w:rFonts w:ascii="Arial" w:hAnsi="Arial" w:cs="Arial"/>
        </w:rPr>
        <w:t>20</w:t>
      </w:r>
      <w:proofErr w:type="gramEnd"/>
    </w:p>
    <w:p w14:paraId="4A477142" w14:textId="77777777" w:rsidR="00A968DB" w:rsidRPr="003476A8" w:rsidRDefault="00A968DB" w:rsidP="003476A8">
      <w:pPr>
        <w:numPr>
          <w:ilvl w:val="0"/>
          <w:numId w:val="4"/>
        </w:numPr>
        <w:ind w:left="540" w:firstLine="0"/>
        <w:jc w:val="both"/>
        <w:rPr>
          <w:rFonts w:ascii="Arial" w:hAnsi="Arial" w:cs="Arial"/>
          <w:b/>
        </w:rPr>
      </w:pPr>
      <w:r w:rsidRPr="003476A8">
        <w:rPr>
          <w:rFonts w:ascii="Arial" w:hAnsi="Arial" w:cs="Arial"/>
          <w:b/>
        </w:rPr>
        <w:t xml:space="preserve">Statement of Compliance with the CIPFA Skills &amp; </w:t>
      </w:r>
      <w:r w:rsidRPr="003476A8">
        <w:rPr>
          <w:rFonts w:ascii="Arial" w:hAnsi="Arial" w:cs="Arial"/>
          <w:b/>
        </w:rPr>
        <w:tab/>
      </w:r>
      <w:proofErr w:type="gramStart"/>
      <w:r w:rsidRPr="003476A8">
        <w:rPr>
          <w:rFonts w:ascii="Arial" w:hAnsi="Arial" w:cs="Arial"/>
          <w:b/>
        </w:rPr>
        <w:tab/>
        <w:t xml:space="preserve">  </w:t>
      </w:r>
      <w:r w:rsidR="00381AE2">
        <w:rPr>
          <w:rFonts w:ascii="Arial" w:hAnsi="Arial" w:cs="Arial"/>
        </w:rPr>
        <w:t>2</w:t>
      </w:r>
      <w:r w:rsidR="001F7709">
        <w:rPr>
          <w:rFonts w:ascii="Arial" w:hAnsi="Arial" w:cs="Arial"/>
        </w:rPr>
        <w:t>1</w:t>
      </w:r>
      <w:proofErr w:type="gramEnd"/>
    </w:p>
    <w:p w14:paraId="31D0CA71" w14:textId="77777777" w:rsidR="008051E5" w:rsidRPr="003476A8" w:rsidRDefault="00A968DB" w:rsidP="003476A8">
      <w:pPr>
        <w:ind w:left="540"/>
        <w:jc w:val="both"/>
        <w:rPr>
          <w:rFonts w:ascii="Arial" w:hAnsi="Arial" w:cs="Arial"/>
          <w:b/>
        </w:rPr>
      </w:pPr>
      <w:r w:rsidRPr="003476A8">
        <w:rPr>
          <w:rFonts w:ascii="Arial" w:hAnsi="Arial" w:cs="Arial"/>
          <w:b/>
        </w:rPr>
        <w:t xml:space="preserve">              Knowledge Framework </w:t>
      </w:r>
      <w:r w:rsidR="008051E5" w:rsidRPr="003476A8">
        <w:rPr>
          <w:rFonts w:ascii="Arial" w:hAnsi="Arial" w:cs="Arial"/>
          <w:b/>
        </w:rPr>
        <w:t xml:space="preserve">                                                                </w:t>
      </w:r>
    </w:p>
    <w:p w14:paraId="31F3263F" w14:textId="77777777" w:rsidR="006A02CD" w:rsidRPr="003476A8" w:rsidRDefault="008051E5" w:rsidP="003476A8">
      <w:pPr>
        <w:numPr>
          <w:ilvl w:val="0"/>
          <w:numId w:val="4"/>
        </w:numPr>
        <w:ind w:left="540" w:firstLine="0"/>
        <w:jc w:val="both"/>
        <w:rPr>
          <w:rFonts w:ascii="Arial" w:hAnsi="Arial" w:cs="Arial"/>
          <w:b/>
        </w:rPr>
      </w:pPr>
      <w:r w:rsidRPr="003476A8">
        <w:rPr>
          <w:rFonts w:ascii="Arial" w:hAnsi="Arial" w:cs="Arial"/>
          <w:b/>
        </w:rPr>
        <w:t>Independent Auditors Report</w:t>
      </w:r>
      <w:r w:rsidR="00925F77" w:rsidRPr="003476A8">
        <w:rPr>
          <w:rFonts w:ascii="Arial" w:hAnsi="Arial" w:cs="Arial"/>
          <w:b/>
        </w:rPr>
        <w:tab/>
      </w:r>
      <w:r w:rsidR="006A02CD" w:rsidRPr="003476A8">
        <w:rPr>
          <w:rFonts w:ascii="Arial" w:hAnsi="Arial" w:cs="Arial"/>
          <w:b/>
        </w:rPr>
        <w:t xml:space="preserve">            </w:t>
      </w:r>
      <w:r w:rsidR="00570869" w:rsidRPr="003476A8">
        <w:rPr>
          <w:rFonts w:ascii="Arial" w:hAnsi="Arial" w:cs="Arial"/>
          <w:b/>
        </w:rPr>
        <w:t xml:space="preserve">                               </w:t>
      </w:r>
      <w:r w:rsidR="006A02CD" w:rsidRPr="003476A8">
        <w:rPr>
          <w:rFonts w:ascii="Arial" w:hAnsi="Arial" w:cs="Arial"/>
          <w:b/>
        </w:rPr>
        <w:t xml:space="preserve"> </w:t>
      </w:r>
      <w:r w:rsidR="00570869" w:rsidRPr="003476A8">
        <w:rPr>
          <w:rFonts w:ascii="Arial" w:hAnsi="Arial" w:cs="Arial"/>
        </w:rPr>
        <w:t xml:space="preserve"> </w:t>
      </w:r>
      <w:r w:rsidR="00381AE2">
        <w:rPr>
          <w:rFonts w:ascii="Arial" w:hAnsi="Arial" w:cs="Arial"/>
        </w:rPr>
        <w:t>2</w:t>
      </w:r>
      <w:r w:rsidR="001F7709">
        <w:rPr>
          <w:rFonts w:ascii="Arial" w:hAnsi="Arial" w:cs="Arial"/>
        </w:rPr>
        <w:t>1</w:t>
      </w:r>
    </w:p>
    <w:p w14:paraId="580F0684" w14:textId="77777777" w:rsidR="00925F77" w:rsidRPr="003476A8" w:rsidRDefault="006A02CD" w:rsidP="003476A8">
      <w:pPr>
        <w:numPr>
          <w:ilvl w:val="0"/>
          <w:numId w:val="4"/>
        </w:numPr>
        <w:ind w:left="540" w:firstLine="0"/>
        <w:jc w:val="both"/>
        <w:rPr>
          <w:rFonts w:ascii="Arial" w:hAnsi="Arial" w:cs="Arial"/>
          <w:b/>
        </w:rPr>
      </w:pPr>
      <w:r w:rsidRPr="003476A8">
        <w:rPr>
          <w:rFonts w:ascii="Arial" w:hAnsi="Arial" w:cs="Arial"/>
          <w:b/>
        </w:rPr>
        <w:t>Statement of Responsibilities</w:t>
      </w:r>
      <w:r w:rsidRPr="003476A8">
        <w:rPr>
          <w:rFonts w:ascii="Arial" w:hAnsi="Arial" w:cs="Arial"/>
          <w:b/>
        </w:rPr>
        <w:tab/>
      </w:r>
      <w:r w:rsidR="00925F77" w:rsidRPr="003476A8">
        <w:rPr>
          <w:rFonts w:ascii="Arial" w:hAnsi="Arial" w:cs="Arial"/>
          <w:b/>
        </w:rPr>
        <w:tab/>
      </w:r>
      <w:r w:rsidR="00925F77" w:rsidRPr="003476A8">
        <w:rPr>
          <w:rFonts w:ascii="Arial" w:hAnsi="Arial" w:cs="Arial"/>
          <w:b/>
        </w:rPr>
        <w:tab/>
      </w:r>
      <w:r w:rsidR="00925F77" w:rsidRPr="003476A8">
        <w:rPr>
          <w:rFonts w:ascii="Arial" w:hAnsi="Arial" w:cs="Arial"/>
          <w:b/>
        </w:rPr>
        <w:tab/>
      </w:r>
      <w:proofErr w:type="gramStart"/>
      <w:r w:rsidR="00925F77" w:rsidRPr="003476A8">
        <w:rPr>
          <w:rFonts w:ascii="Arial" w:hAnsi="Arial" w:cs="Arial"/>
          <w:b/>
        </w:rPr>
        <w:tab/>
        <w:t xml:space="preserve"> </w:t>
      </w:r>
      <w:r w:rsidR="001F7709">
        <w:rPr>
          <w:rFonts w:ascii="Arial" w:hAnsi="Arial" w:cs="Arial"/>
          <w:b/>
        </w:rPr>
        <w:t xml:space="preserve"> </w:t>
      </w:r>
      <w:r w:rsidR="00B4311A">
        <w:rPr>
          <w:rFonts w:ascii="Arial" w:hAnsi="Arial" w:cs="Arial"/>
        </w:rPr>
        <w:t>2</w:t>
      </w:r>
      <w:r w:rsidR="001F7709">
        <w:rPr>
          <w:rFonts w:ascii="Arial" w:hAnsi="Arial" w:cs="Arial"/>
        </w:rPr>
        <w:t>2</w:t>
      </w:r>
      <w:proofErr w:type="gramEnd"/>
    </w:p>
    <w:p w14:paraId="5379E8AB" w14:textId="77777777" w:rsidR="00925F77" w:rsidRPr="003476A8" w:rsidRDefault="00925F77" w:rsidP="003476A8">
      <w:pPr>
        <w:numPr>
          <w:ilvl w:val="0"/>
          <w:numId w:val="4"/>
        </w:numPr>
        <w:ind w:left="540" w:firstLine="0"/>
        <w:jc w:val="both"/>
        <w:rPr>
          <w:rFonts w:ascii="Arial" w:hAnsi="Arial" w:cs="Arial"/>
          <w:b/>
        </w:rPr>
      </w:pPr>
      <w:r w:rsidRPr="003476A8">
        <w:rPr>
          <w:rFonts w:ascii="Arial" w:hAnsi="Arial" w:cs="Arial"/>
          <w:b/>
        </w:rPr>
        <w:t>Pension Fund Advisers and Other Service Providers</w:t>
      </w:r>
      <w:r w:rsidR="007654E0" w:rsidRPr="003476A8">
        <w:rPr>
          <w:rFonts w:ascii="Arial" w:hAnsi="Arial" w:cs="Arial"/>
          <w:b/>
        </w:rPr>
        <w:t xml:space="preserve"> </w:t>
      </w:r>
      <w:r w:rsidRPr="003476A8">
        <w:rPr>
          <w:rFonts w:ascii="Arial" w:hAnsi="Arial" w:cs="Arial"/>
          <w:b/>
        </w:rPr>
        <w:t xml:space="preserve">        </w:t>
      </w:r>
      <w:r w:rsidR="00570869" w:rsidRPr="003476A8">
        <w:rPr>
          <w:rFonts w:ascii="Arial" w:hAnsi="Arial" w:cs="Arial"/>
        </w:rPr>
        <w:t>2</w:t>
      </w:r>
      <w:r w:rsidR="00381AE2">
        <w:rPr>
          <w:rFonts w:ascii="Arial" w:hAnsi="Arial" w:cs="Arial"/>
        </w:rPr>
        <w:t>3</w:t>
      </w:r>
    </w:p>
    <w:p w14:paraId="06DFC57C" w14:textId="77777777" w:rsidR="00925F77" w:rsidRPr="003476A8" w:rsidRDefault="00925F77" w:rsidP="003476A8">
      <w:pPr>
        <w:ind w:left="540"/>
        <w:jc w:val="both"/>
        <w:rPr>
          <w:rFonts w:ascii="Arial" w:hAnsi="Arial" w:cs="Arial"/>
          <w:b/>
        </w:rPr>
      </w:pPr>
    </w:p>
    <w:p w14:paraId="51A7E5F6" w14:textId="77777777" w:rsidR="00925F77" w:rsidRDefault="00925F77" w:rsidP="003476A8">
      <w:pPr>
        <w:pStyle w:val="Heading7"/>
        <w:jc w:val="both"/>
      </w:pPr>
      <w:r>
        <w:t>LIST OF APPENDICES</w:t>
      </w:r>
    </w:p>
    <w:p w14:paraId="312DE5E2" w14:textId="77777777" w:rsidR="00925F77" w:rsidRDefault="00925F77" w:rsidP="003476A8">
      <w:pPr>
        <w:ind w:left="540"/>
        <w:jc w:val="both"/>
        <w:rPr>
          <w:rFonts w:ascii="Arial" w:hAnsi="Arial" w:cs="Arial"/>
        </w:rPr>
      </w:pPr>
    </w:p>
    <w:p w14:paraId="48D8EEEF" w14:textId="77777777" w:rsidR="00925F77" w:rsidRDefault="00925F77" w:rsidP="003476A8">
      <w:pPr>
        <w:numPr>
          <w:ilvl w:val="0"/>
          <w:numId w:val="5"/>
        </w:numPr>
        <w:spacing w:after="240"/>
        <w:ind w:left="540" w:firstLine="0"/>
        <w:jc w:val="both"/>
        <w:rPr>
          <w:rFonts w:ascii="Arial" w:hAnsi="Arial" w:cs="Arial"/>
        </w:rPr>
      </w:pPr>
      <w:r>
        <w:rPr>
          <w:rFonts w:ascii="Arial" w:hAnsi="Arial" w:cs="Arial"/>
        </w:rPr>
        <w:t>Pension Fund Accounts 201</w:t>
      </w:r>
      <w:r w:rsidR="006A7C1E">
        <w:rPr>
          <w:rFonts w:ascii="Arial" w:hAnsi="Arial" w:cs="Arial"/>
        </w:rPr>
        <w:t>9</w:t>
      </w:r>
      <w:r>
        <w:rPr>
          <w:rFonts w:ascii="Arial" w:hAnsi="Arial" w:cs="Arial"/>
        </w:rPr>
        <w:t>/</w:t>
      </w:r>
      <w:r w:rsidR="006A7C1E">
        <w:rPr>
          <w:rFonts w:ascii="Arial" w:hAnsi="Arial" w:cs="Arial"/>
        </w:rPr>
        <w:t>20</w:t>
      </w:r>
      <w:r>
        <w:rPr>
          <w:rFonts w:ascii="Arial" w:hAnsi="Arial" w:cs="Arial"/>
        </w:rPr>
        <w:tab/>
        <w:t xml:space="preserve">  </w:t>
      </w:r>
    </w:p>
    <w:p w14:paraId="45532CE0" w14:textId="77777777" w:rsidR="00925F77" w:rsidRDefault="00925F77" w:rsidP="003476A8">
      <w:pPr>
        <w:numPr>
          <w:ilvl w:val="0"/>
          <w:numId w:val="5"/>
        </w:numPr>
        <w:ind w:left="539" w:firstLine="0"/>
        <w:jc w:val="both"/>
        <w:rPr>
          <w:rFonts w:ascii="Arial" w:hAnsi="Arial" w:cs="Arial"/>
        </w:rPr>
      </w:pPr>
      <w:r>
        <w:rPr>
          <w:rFonts w:ascii="Arial" w:hAnsi="Arial" w:cs="Arial"/>
        </w:rPr>
        <w:t xml:space="preserve">Investment </w:t>
      </w:r>
      <w:r w:rsidR="00835F73">
        <w:rPr>
          <w:rFonts w:ascii="Arial" w:hAnsi="Arial" w:cs="Arial"/>
        </w:rPr>
        <w:t>Strategy Statement</w:t>
      </w:r>
      <w:r w:rsidR="00CB4492">
        <w:rPr>
          <w:rFonts w:ascii="Arial" w:hAnsi="Arial" w:cs="Arial"/>
        </w:rPr>
        <w:t xml:space="preserve"> </w:t>
      </w:r>
      <w:r w:rsidR="0045084E">
        <w:rPr>
          <w:rFonts w:ascii="Arial" w:hAnsi="Arial" w:cs="Arial"/>
        </w:rPr>
        <w:t>20</w:t>
      </w:r>
      <w:r w:rsidR="006A7C1E">
        <w:rPr>
          <w:rFonts w:ascii="Arial" w:hAnsi="Arial" w:cs="Arial"/>
        </w:rPr>
        <w:t>20</w:t>
      </w:r>
    </w:p>
    <w:p w14:paraId="22ED765A" w14:textId="77777777" w:rsidR="00CA7AD9" w:rsidRDefault="00CA7AD9" w:rsidP="00CA7AD9">
      <w:pPr>
        <w:ind w:left="539"/>
        <w:jc w:val="both"/>
        <w:rPr>
          <w:rFonts w:ascii="Arial" w:hAnsi="Arial" w:cs="Arial"/>
        </w:rPr>
      </w:pPr>
    </w:p>
    <w:p w14:paraId="0AE22088" w14:textId="77777777" w:rsidR="00A968DB" w:rsidRDefault="00925F77" w:rsidP="003476A8">
      <w:pPr>
        <w:numPr>
          <w:ilvl w:val="0"/>
          <w:numId w:val="5"/>
        </w:numPr>
        <w:spacing w:after="240"/>
        <w:ind w:left="540" w:firstLine="0"/>
        <w:jc w:val="both"/>
        <w:rPr>
          <w:rFonts w:ascii="Arial" w:hAnsi="Arial" w:cs="Arial"/>
        </w:rPr>
      </w:pPr>
      <w:r>
        <w:rPr>
          <w:rFonts w:ascii="Arial" w:hAnsi="Arial" w:cs="Arial"/>
        </w:rPr>
        <w:t>Fun</w:t>
      </w:r>
      <w:r w:rsidR="00491786">
        <w:rPr>
          <w:rFonts w:ascii="Arial" w:hAnsi="Arial" w:cs="Arial"/>
        </w:rPr>
        <w:t xml:space="preserve">ding Strategy Statement </w:t>
      </w:r>
      <w:r w:rsidR="00CB4492">
        <w:rPr>
          <w:rFonts w:ascii="Arial" w:hAnsi="Arial" w:cs="Arial"/>
        </w:rPr>
        <w:t>20</w:t>
      </w:r>
      <w:r w:rsidR="006A7C1E">
        <w:rPr>
          <w:rFonts w:ascii="Arial" w:hAnsi="Arial" w:cs="Arial"/>
        </w:rPr>
        <w:t>20</w:t>
      </w:r>
      <w:r w:rsidR="00A968DB">
        <w:rPr>
          <w:rFonts w:ascii="Arial" w:hAnsi="Arial" w:cs="Arial"/>
        </w:rPr>
        <w:t xml:space="preserve"> </w:t>
      </w:r>
    </w:p>
    <w:p w14:paraId="2006BFF9" w14:textId="77777777" w:rsidR="00925F77" w:rsidRDefault="00A968DB" w:rsidP="003476A8">
      <w:pPr>
        <w:numPr>
          <w:ilvl w:val="0"/>
          <w:numId w:val="5"/>
        </w:numPr>
        <w:spacing w:after="240"/>
        <w:ind w:left="540" w:firstLine="0"/>
        <w:jc w:val="both"/>
        <w:rPr>
          <w:rFonts w:ascii="Arial" w:hAnsi="Arial" w:cs="Arial"/>
        </w:rPr>
      </w:pPr>
      <w:r>
        <w:rPr>
          <w:rFonts w:ascii="Arial" w:hAnsi="Arial" w:cs="Arial"/>
        </w:rPr>
        <w:t>Governance Compliance Statement</w:t>
      </w:r>
      <w:r w:rsidR="00CB4492">
        <w:rPr>
          <w:rFonts w:ascii="Arial" w:hAnsi="Arial" w:cs="Arial"/>
        </w:rPr>
        <w:t xml:space="preserve"> </w:t>
      </w:r>
      <w:r w:rsidR="004F5ACC">
        <w:rPr>
          <w:rFonts w:ascii="Arial" w:hAnsi="Arial" w:cs="Arial"/>
        </w:rPr>
        <w:t>20</w:t>
      </w:r>
      <w:r w:rsidR="006A7C1E">
        <w:rPr>
          <w:rFonts w:ascii="Arial" w:hAnsi="Arial" w:cs="Arial"/>
        </w:rPr>
        <w:t>20</w:t>
      </w:r>
    </w:p>
    <w:p w14:paraId="3DFF80A2" w14:textId="77777777" w:rsidR="00F73498" w:rsidRPr="000D7966" w:rsidRDefault="00A968DB" w:rsidP="003476A8">
      <w:pPr>
        <w:spacing w:after="240"/>
        <w:ind w:left="540"/>
        <w:jc w:val="both"/>
        <w:rPr>
          <w:rFonts w:ascii="Arial" w:hAnsi="Arial" w:cs="Arial"/>
        </w:rPr>
      </w:pPr>
      <w:r w:rsidRPr="000D7966">
        <w:rPr>
          <w:rFonts w:ascii="Arial" w:hAnsi="Arial" w:cs="Arial"/>
          <w:b/>
        </w:rPr>
        <w:t>5.</w:t>
      </w:r>
      <w:r w:rsidR="00CB4492" w:rsidRPr="000D7966">
        <w:rPr>
          <w:rFonts w:ascii="Arial" w:hAnsi="Arial" w:cs="Arial"/>
          <w:b/>
        </w:rPr>
        <w:tab/>
      </w:r>
      <w:r w:rsidRPr="000D7966">
        <w:rPr>
          <w:rFonts w:ascii="Arial" w:hAnsi="Arial" w:cs="Arial"/>
        </w:rPr>
        <w:t>C</w:t>
      </w:r>
      <w:r w:rsidR="00925F77" w:rsidRPr="000D7966">
        <w:rPr>
          <w:rFonts w:ascii="Arial" w:hAnsi="Arial" w:cs="Arial"/>
        </w:rPr>
        <w:t>ommunications Po</w:t>
      </w:r>
      <w:r w:rsidR="00CB4492" w:rsidRPr="000D7966">
        <w:rPr>
          <w:rFonts w:ascii="Arial" w:hAnsi="Arial" w:cs="Arial"/>
        </w:rPr>
        <w:t>licy Statement</w:t>
      </w:r>
      <w:r w:rsidR="004F5ACC">
        <w:rPr>
          <w:rFonts w:ascii="Arial" w:hAnsi="Arial" w:cs="Arial"/>
        </w:rPr>
        <w:t xml:space="preserve"> 20</w:t>
      </w:r>
      <w:r w:rsidR="006A7C1E">
        <w:rPr>
          <w:rFonts w:ascii="Arial" w:hAnsi="Arial" w:cs="Arial"/>
        </w:rPr>
        <w:t>20</w:t>
      </w:r>
    </w:p>
    <w:p w14:paraId="0DF6A424" w14:textId="77777777" w:rsidR="004335C1" w:rsidRPr="000D7966" w:rsidRDefault="00A968DB" w:rsidP="003476A8">
      <w:pPr>
        <w:pStyle w:val="ListParagraph"/>
        <w:numPr>
          <w:ilvl w:val="0"/>
          <w:numId w:val="20"/>
        </w:numPr>
        <w:spacing w:after="240"/>
        <w:jc w:val="both"/>
        <w:rPr>
          <w:rFonts w:ascii="Arial" w:hAnsi="Arial" w:cs="Arial"/>
        </w:rPr>
      </w:pPr>
      <w:r w:rsidRPr="000D7966">
        <w:rPr>
          <w:rFonts w:ascii="Arial" w:hAnsi="Arial" w:cs="Arial"/>
        </w:rPr>
        <w:t xml:space="preserve">        </w:t>
      </w:r>
      <w:r w:rsidR="004335C1" w:rsidRPr="000D7966">
        <w:rPr>
          <w:rFonts w:ascii="Arial" w:hAnsi="Arial" w:cs="Arial"/>
        </w:rPr>
        <w:t>Pension Fund Risk Register</w:t>
      </w:r>
      <w:r w:rsidR="004F5ACC">
        <w:rPr>
          <w:rFonts w:ascii="Arial" w:hAnsi="Arial" w:cs="Arial"/>
        </w:rPr>
        <w:t xml:space="preserve"> 20</w:t>
      </w:r>
      <w:r w:rsidR="006A7C1E">
        <w:rPr>
          <w:rFonts w:ascii="Arial" w:hAnsi="Arial" w:cs="Arial"/>
        </w:rPr>
        <w:t>20</w:t>
      </w:r>
    </w:p>
    <w:p w14:paraId="4A03B206" w14:textId="77777777" w:rsidR="009A1D89" w:rsidRDefault="00F73498" w:rsidP="003476A8">
      <w:pPr>
        <w:numPr>
          <w:ilvl w:val="0"/>
          <w:numId w:val="20"/>
        </w:numPr>
        <w:spacing w:after="240"/>
        <w:ind w:left="540" w:firstLine="0"/>
        <w:jc w:val="both"/>
        <w:rPr>
          <w:rFonts w:ascii="Arial" w:hAnsi="Arial" w:cs="Arial"/>
        </w:rPr>
      </w:pPr>
      <w:r w:rsidRPr="005D0B99">
        <w:rPr>
          <w:rFonts w:ascii="Arial" w:hAnsi="Arial" w:cs="Arial"/>
        </w:rPr>
        <w:t>Pensions Administration Strategy</w:t>
      </w:r>
      <w:r w:rsidR="00CB4492" w:rsidRPr="005D0B99">
        <w:rPr>
          <w:rFonts w:ascii="Arial" w:hAnsi="Arial" w:cs="Arial"/>
        </w:rPr>
        <w:tab/>
        <w:t xml:space="preserve"> </w:t>
      </w:r>
      <w:r w:rsidR="00BE2D13" w:rsidRPr="005D0B99">
        <w:rPr>
          <w:rFonts w:ascii="Arial" w:hAnsi="Arial" w:cs="Arial"/>
        </w:rPr>
        <w:t>20</w:t>
      </w:r>
      <w:r w:rsidR="006A7C1E">
        <w:rPr>
          <w:rFonts w:ascii="Arial" w:hAnsi="Arial" w:cs="Arial"/>
        </w:rPr>
        <w:t>20</w:t>
      </w:r>
    </w:p>
    <w:p w14:paraId="0AD16BD2" w14:textId="77777777" w:rsidR="00290D24" w:rsidRPr="005D0B99" w:rsidRDefault="00290D24" w:rsidP="003476A8">
      <w:pPr>
        <w:numPr>
          <w:ilvl w:val="0"/>
          <w:numId w:val="20"/>
        </w:numPr>
        <w:spacing w:after="240"/>
        <w:ind w:left="540" w:firstLine="0"/>
        <w:jc w:val="both"/>
        <w:rPr>
          <w:rFonts w:ascii="Arial" w:hAnsi="Arial" w:cs="Arial"/>
        </w:rPr>
      </w:pPr>
      <w:r>
        <w:rPr>
          <w:rFonts w:ascii="Arial" w:hAnsi="Arial" w:cs="Arial"/>
        </w:rPr>
        <w:t>Pension Board Annual Report 201</w:t>
      </w:r>
      <w:r w:rsidR="006A7C1E">
        <w:rPr>
          <w:rFonts w:ascii="Arial" w:hAnsi="Arial" w:cs="Arial"/>
        </w:rPr>
        <w:t>9</w:t>
      </w:r>
      <w:r>
        <w:rPr>
          <w:rFonts w:ascii="Arial" w:hAnsi="Arial" w:cs="Arial"/>
        </w:rPr>
        <w:t>/</w:t>
      </w:r>
      <w:r w:rsidR="006A7C1E">
        <w:rPr>
          <w:rFonts w:ascii="Arial" w:hAnsi="Arial" w:cs="Arial"/>
        </w:rPr>
        <w:t>20</w:t>
      </w:r>
    </w:p>
    <w:p w14:paraId="1F221063" w14:textId="77777777" w:rsidR="00925F77" w:rsidRDefault="00925F77" w:rsidP="00D263A6">
      <w:pPr>
        <w:pStyle w:val="Heading2"/>
        <w:jc w:val="both"/>
        <w:rPr>
          <w:color w:val="003300"/>
        </w:rPr>
      </w:pPr>
      <w:r>
        <w:rPr>
          <w:color w:val="003300"/>
        </w:rPr>
        <w:lastRenderedPageBreak/>
        <w:t>INTRODUCTION</w:t>
      </w:r>
    </w:p>
    <w:p w14:paraId="78DB692C" w14:textId="77777777" w:rsidR="00925F77" w:rsidRDefault="00925F77" w:rsidP="00D263A6">
      <w:pPr>
        <w:jc w:val="both"/>
        <w:rPr>
          <w:rFonts w:ascii="Arial" w:hAnsi="Arial" w:cs="Arial"/>
        </w:rPr>
      </w:pPr>
    </w:p>
    <w:p w14:paraId="145EBA91" w14:textId="77777777" w:rsidR="00925F77" w:rsidRDefault="00925F77" w:rsidP="00D263A6">
      <w:pPr>
        <w:jc w:val="both"/>
        <w:rPr>
          <w:rFonts w:ascii="Arial" w:hAnsi="Arial" w:cs="Arial"/>
        </w:rPr>
      </w:pPr>
      <w:r>
        <w:rPr>
          <w:rFonts w:ascii="Arial" w:hAnsi="Arial" w:cs="Arial"/>
        </w:rPr>
        <w:t>This Annual Report covers the management and performance of the London Borough of Waltham Forest Pension Fund (the Fund) for the financial year 201</w:t>
      </w:r>
      <w:r w:rsidR="006A7C1E">
        <w:rPr>
          <w:rFonts w:ascii="Arial" w:hAnsi="Arial" w:cs="Arial"/>
        </w:rPr>
        <w:t>9</w:t>
      </w:r>
      <w:r>
        <w:rPr>
          <w:rFonts w:ascii="Arial" w:hAnsi="Arial" w:cs="Arial"/>
        </w:rPr>
        <w:t>/</w:t>
      </w:r>
      <w:r w:rsidR="006A7C1E">
        <w:rPr>
          <w:rFonts w:ascii="Arial" w:hAnsi="Arial" w:cs="Arial"/>
        </w:rPr>
        <w:t>20</w:t>
      </w:r>
      <w:r w:rsidR="009507EC">
        <w:rPr>
          <w:rFonts w:ascii="Arial" w:hAnsi="Arial" w:cs="Arial"/>
        </w:rPr>
        <w:t>.</w:t>
      </w:r>
    </w:p>
    <w:p w14:paraId="112810A4" w14:textId="77777777" w:rsidR="00925F77" w:rsidRDefault="00925F77" w:rsidP="00D263A6">
      <w:pPr>
        <w:jc w:val="both"/>
        <w:rPr>
          <w:rFonts w:ascii="Arial" w:hAnsi="Arial" w:cs="Arial"/>
        </w:rPr>
      </w:pPr>
    </w:p>
    <w:p w14:paraId="49130D63" w14:textId="77777777" w:rsidR="00925F77" w:rsidRDefault="00925F77" w:rsidP="00D263A6">
      <w:pPr>
        <w:jc w:val="both"/>
        <w:rPr>
          <w:rFonts w:ascii="Arial" w:hAnsi="Arial" w:cs="Arial"/>
        </w:rPr>
      </w:pPr>
      <w:r>
        <w:rPr>
          <w:rFonts w:ascii="Arial" w:hAnsi="Arial" w:cs="Arial"/>
        </w:rPr>
        <w:t xml:space="preserve">The first part of this Annual Report deals with the investment management structure of the Pension Fund and the fund managers appointed by the </w:t>
      </w:r>
      <w:r w:rsidR="00592FF1">
        <w:rPr>
          <w:rFonts w:ascii="Arial" w:hAnsi="Arial" w:cs="Arial"/>
        </w:rPr>
        <w:t>Pension Fund</w:t>
      </w:r>
      <w:r>
        <w:rPr>
          <w:rFonts w:ascii="Arial" w:hAnsi="Arial" w:cs="Arial"/>
        </w:rPr>
        <w:t xml:space="preserve"> to manage the various portfolios. Investment performance for the year is </w:t>
      </w:r>
      <w:r w:rsidR="00995C86">
        <w:rPr>
          <w:rFonts w:ascii="Arial" w:hAnsi="Arial" w:cs="Arial"/>
        </w:rPr>
        <w:t>analysed</w:t>
      </w:r>
      <w:r>
        <w:rPr>
          <w:rFonts w:ascii="Arial" w:hAnsi="Arial" w:cs="Arial"/>
        </w:rPr>
        <w:t xml:space="preserve"> in context of economic conditions prevailing</w:t>
      </w:r>
      <w:r w:rsidR="00995C86">
        <w:rPr>
          <w:rFonts w:ascii="Arial" w:hAnsi="Arial" w:cs="Arial"/>
        </w:rPr>
        <w:t xml:space="preserve"> at the time. A</w:t>
      </w:r>
      <w:r>
        <w:rPr>
          <w:rFonts w:ascii="Arial" w:hAnsi="Arial" w:cs="Arial"/>
        </w:rPr>
        <w:t xml:space="preserve"> report is also provided on the performance o</w:t>
      </w:r>
      <w:r w:rsidR="00E97489">
        <w:rPr>
          <w:rFonts w:ascii="Arial" w:hAnsi="Arial" w:cs="Arial"/>
        </w:rPr>
        <w:t>f th</w:t>
      </w:r>
      <w:r>
        <w:rPr>
          <w:rFonts w:ascii="Arial" w:hAnsi="Arial" w:cs="Arial"/>
        </w:rPr>
        <w:t>e benefits administration service provided over the year.</w:t>
      </w:r>
    </w:p>
    <w:p w14:paraId="7AF57670" w14:textId="77777777" w:rsidR="00925F77" w:rsidRDefault="00925F77" w:rsidP="00D263A6">
      <w:pPr>
        <w:jc w:val="both"/>
        <w:rPr>
          <w:rFonts w:ascii="Arial" w:hAnsi="Arial" w:cs="Arial"/>
        </w:rPr>
      </w:pPr>
    </w:p>
    <w:p w14:paraId="35CDA0F9" w14:textId="77777777" w:rsidR="00925F77" w:rsidRDefault="00925F77" w:rsidP="00D263A6">
      <w:pPr>
        <w:jc w:val="both"/>
        <w:rPr>
          <w:rFonts w:ascii="Arial" w:hAnsi="Arial" w:cs="Arial"/>
        </w:rPr>
      </w:pPr>
      <w:r>
        <w:rPr>
          <w:rFonts w:ascii="Arial" w:hAnsi="Arial" w:cs="Arial"/>
        </w:rPr>
        <w:t xml:space="preserve">The second part of the report is concerned with the governance arrangements put in place for the oversight of the Pension Fund and its management, </w:t>
      </w:r>
      <w:r w:rsidR="00995C86">
        <w:rPr>
          <w:rFonts w:ascii="Arial" w:hAnsi="Arial" w:cs="Arial"/>
        </w:rPr>
        <w:t>including</w:t>
      </w:r>
      <w:r>
        <w:rPr>
          <w:rFonts w:ascii="Arial" w:hAnsi="Arial" w:cs="Arial"/>
        </w:rPr>
        <w:t xml:space="preserve"> the approach taken </w:t>
      </w:r>
      <w:r w:rsidR="0010354A">
        <w:rPr>
          <w:rFonts w:ascii="Arial" w:hAnsi="Arial" w:cs="Arial"/>
        </w:rPr>
        <w:t>on</w:t>
      </w:r>
      <w:r>
        <w:rPr>
          <w:rFonts w:ascii="Arial" w:hAnsi="Arial" w:cs="Arial"/>
        </w:rPr>
        <w:t xml:space="preserve"> ethical investment issues.  </w:t>
      </w:r>
    </w:p>
    <w:p w14:paraId="2CA534B8" w14:textId="77777777" w:rsidR="00925F77" w:rsidRDefault="00925F77" w:rsidP="00D263A6">
      <w:pPr>
        <w:jc w:val="both"/>
        <w:rPr>
          <w:rFonts w:ascii="Arial" w:hAnsi="Arial" w:cs="Arial"/>
        </w:rPr>
      </w:pPr>
    </w:p>
    <w:p w14:paraId="58E43C87" w14:textId="77777777" w:rsidR="00925F77" w:rsidRDefault="00925F77" w:rsidP="00D263A6">
      <w:pPr>
        <w:pStyle w:val="Heading2"/>
        <w:jc w:val="both"/>
        <w:rPr>
          <w:color w:val="003300"/>
        </w:rPr>
      </w:pPr>
      <w:r>
        <w:rPr>
          <w:color w:val="003300"/>
        </w:rPr>
        <w:t>Investment Review</w:t>
      </w:r>
    </w:p>
    <w:p w14:paraId="46F2DE09" w14:textId="77777777" w:rsidR="00925F77" w:rsidRDefault="00925F77" w:rsidP="00D263A6">
      <w:pPr>
        <w:jc w:val="both"/>
        <w:rPr>
          <w:rFonts w:ascii="Arial" w:hAnsi="Arial" w:cs="Arial"/>
          <w:b/>
        </w:rPr>
      </w:pPr>
    </w:p>
    <w:p w14:paraId="6E3CD4AF" w14:textId="77777777" w:rsidR="00925F77" w:rsidRDefault="009B7917" w:rsidP="00D263A6">
      <w:pPr>
        <w:pStyle w:val="Heading8"/>
        <w:jc w:val="both"/>
        <w:rPr>
          <w:color w:val="auto"/>
        </w:rPr>
      </w:pPr>
      <w:r w:rsidRPr="00F065A7">
        <w:rPr>
          <w:color w:val="auto"/>
        </w:rPr>
        <w:t>Market</w:t>
      </w:r>
      <w:r w:rsidR="00925F77" w:rsidRPr="00F065A7">
        <w:rPr>
          <w:color w:val="auto"/>
        </w:rPr>
        <w:t xml:space="preserve"> Background</w:t>
      </w:r>
    </w:p>
    <w:p w14:paraId="2EB8407A" w14:textId="77777777" w:rsidR="0010354A" w:rsidRDefault="0010354A" w:rsidP="0010354A"/>
    <w:p w14:paraId="6D8E4862" w14:textId="77777777" w:rsidR="005D4161" w:rsidRDefault="005D4161" w:rsidP="005D4161">
      <w:pPr>
        <w:jc w:val="both"/>
        <w:rPr>
          <w:rFonts w:ascii="Arial" w:hAnsi="Arial" w:cs="Arial"/>
          <w:bCs/>
        </w:rPr>
      </w:pPr>
      <w:r>
        <w:rPr>
          <w:rFonts w:ascii="Arial" w:hAnsi="Arial" w:cs="Arial"/>
          <w:bCs/>
        </w:rPr>
        <w:t>Given the outbreak of COVID-19 and the huge fall in equity markets in late February and March 2020 it is easy to forget that for most of the year 1 April 2019 to 31 March 2020 global stocks increased in value and the world economy continued to experience positive, if modest, economic growth. During April to December 2019 markets were clearly influenced by pessimism and ultimately optimism regarding US-China trade relations, and accommodative major central bank policy. April to December 2019 saw global equities advance with the MSCI World Index up 11% and the United States S&amp;P 500 up 14%.</w:t>
      </w:r>
    </w:p>
    <w:p w14:paraId="067BBD0F" w14:textId="77777777" w:rsidR="005D4161" w:rsidRDefault="005D4161" w:rsidP="005D4161">
      <w:pPr>
        <w:jc w:val="both"/>
        <w:rPr>
          <w:rFonts w:ascii="Arial" w:hAnsi="Arial" w:cs="Arial"/>
          <w:bCs/>
        </w:rPr>
      </w:pPr>
    </w:p>
    <w:p w14:paraId="541099D3" w14:textId="77777777" w:rsidR="005D4161" w:rsidRDefault="005D4161" w:rsidP="005D4161">
      <w:pPr>
        <w:jc w:val="both"/>
        <w:rPr>
          <w:rFonts w:ascii="Arial" w:hAnsi="Arial" w:cs="Arial"/>
          <w:bCs/>
        </w:rPr>
      </w:pPr>
      <w:r>
        <w:rPr>
          <w:rFonts w:ascii="Arial" w:hAnsi="Arial" w:cs="Arial"/>
          <w:bCs/>
        </w:rPr>
        <w:t xml:space="preserve"> April to December 2019 saw uncertainly in the United States-China trade relationship. 2019, however, ended positively – on 12-13 December both sides announced significant progress on a “Phase 1” deal. The US S&amp;P 500 index reached a (then) new closing high of 3,169 on 13 December.</w:t>
      </w:r>
    </w:p>
    <w:p w14:paraId="1BEA2865" w14:textId="77777777" w:rsidR="005D4161" w:rsidRDefault="005D4161" w:rsidP="005D4161">
      <w:pPr>
        <w:jc w:val="both"/>
        <w:rPr>
          <w:rFonts w:ascii="Arial" w:hAnsi="Arial" w:cs="Arial"/>
          <w:bCs/>
        </w:rPr>
      </w:pPr>
    </w:p>
    <w:p w14:paraId="011C5E05" w14:textId="77777777" w:rsidR="005D4161" w:rsidRDefault="005D4161" w:rsidP="005D4161">
      <w:pPr>
        <w:jc w:val="both"/>
        <w:rPr>
          <w:rFonts w:ascii="Arial" w:hAnsi="Arial" w:cs="Arial"/>
          <w:bCs/>
        </w:rPr>
      </w:pPr>
      <w:r>
        <w:rPr>
          <w:rFonts w:ascii="Arial" w:hAnsi="Arial" w:cs="Arial"/>
          <w:bCs/>
        </w:rPr>
        <w:t xml:space="preserve"> April to December saw strong consumer confidence in the United States and low unemployment in the major economies of the United States, the Eurozone and the United Kingdom. US unemployment was 3.5% in December 2019 a fifty-year low and Eurozone unemployment was 7.3% its lowest since the financial crisis of 2008. There were however also concerning economic indicators.</w:t>
      </w:r>
    </w:p>
    <w:p w14:paraId="384FA98D" w14:textId="77777777" w:rsidR="005D4161" w:rsidRDefault="005D4161" w:rsidP="005D4161">
      <w:pPr>
        <w:jc w:val="both"/>
        <w:rPr>
          <w:rFonts w:ascii="Arial" w:hAnsi="Arial" w:cs="Arial"/>
          <w:bCs/>
        </w:rPr>
      </w:pPr>
    </w:p>
    <w:p w14:paraId="632867DB" w14:textId="77777777" w:rsidR="005D4161" w:rsidRDefault="005D4161" w:rsidP="005D4161">
      <w:pPr>
        <w:jc w:val="both"/>
        <w:rPr>
          <w:rFonts w:ascii="Arial" w:hAnsi="Arial" w:cs="Arial"/>
          <w:bCs/>
        </w:rPr>
      </w:pPr>
      <w:r>
        <w:rPr>
          <w:rFonts w:ascii="Arial" w:hAnsi="Arial" w:cs="Arial"/>
          <w:bCs/>
        </w:rPr>
        <w:t xml:space="preserve"> US inflation continued to be clearly below the Federal Reserve’s 2% target.  Eurozone and Japanese inflation remained well below the targets of their central banks. Economic growth showed signs of weakness. </w:t>
      </w:r>
      <w:r w:rsidRPr="00B8431D">
        <w:rPr>
          <w:rFonts w:ascii="Arial" w:hAnsi="Arial" w:cs="Arial"/>
          <w:bCs/>
        </w:rPr>
        <w:t xml:space="preserve">US annualised growth </w:t>
      </w:r>
      <w:r>
        <w:rPr>
          <w:rFonts w:ascii="Arial" w:hAnsi="Arial" w:cs="Arial"/>
          <w:bCs/>
        </w:rPr>
        <w:t>fell to below</w:t>
      </w:r>
      <w:r w:rsidRPr="00B8431D">
        <w:rPr>
          <w:rFonts w:ascii="Arial" w:hAnsi="Arial" w:cs="Arial"/>
          <w:bCs/>
        </w:rPr>
        <w:t xml:space="preserve"> 2.5% compared with around 3% for the April to December 2018 period</w:t>
      </w:r>
      <w:r>
        <w:rPr>
          <w:rFonts w:ascii="Arial" w:hAnsi="Arial" w:cs="Arial"/>
          <w:bCs/>
        </w:rPr>
        <w:t>. Chinese growth at around 6% (annualised) was the lowest since 1990.</w:t>
      </w:r>
    </w:p>
    <w:p w14:paraId="20251580" w14:textId="77777777" w:rsidR="005D4161" w:rsidRDefault="005D4161" w:rsidP="005D4161">
      <w:pPr>
        <w:jc w:val="both"/>
        <w:rPr>
          <w:rFonts w:ascii="Arial" w:hAnsi="Arial" w:cs="Arial"/>
          <w:bCs/>
        </w:rPr>
      </w:pPr>
    </w:p>
    <w:p w14:paraId="49B69A47" w14:textId="77777777" w:rsidR="005D4161" w:rsidRDefault="005D4161" w:rsidP="005D4161">
      <w:pPr>
        <w:jc w:val="both"/>
        <w:rPr>
          <w:rFonts w:ascii="Arial" w:hAnsi="Arial" w:cs="Arial"/>
          <w:bCs/>
        </w:rPr>
      </w:pPr>
      <w:r>
        <w:rPr>
          <w:rFonts w:ascii="Arial" w:hAnsi="Arial" w:cs="Arial"/>
          <w:bCs/>
        </w:rPr>
        <w:t>April to December 2019 saw the US Federal Reserve and the European Central Bank clearly move towards looser more supportive (of both financial markets and the economy) monetary policy.  This was in clear contrast to 2018 when both had</w:t>
      </w:r>
    </w:p>
    <w:p w14:paraId="7D497A45" w14:textId="77777777" w:rsidR="005D4161" w:rsidRDefault="005D4161" w:rsidP="005D4161">
      <w:pPr>
        <w:jc w:val="both"/>
        <w:rPr>
          <w:rFonts w:ascii="Arial" w:hAnsi="Arial" w:cs="Arial"/>
          <w:bCs/>
        </w:rPr>
      </w:pPr>
      <w:r>
        <w:rPr>
          <w:rFonts w:ascii="Arial" w:hAnsi="Arial" w:cs="Arial"/>
          <w:bCs/>
        </w:rPr>
        <w:t>tightened their monetary policy approach with the Federal Reserve increasing interest rates three times in the period June to December 2018.</w:t>
      </w:r>
    </w:p>
    <w:p w14:paraId="06E4992A" w14:textId="77777777" w:rsidR="005D4161" w:rsidRDefault="005D4161" w:rsidP="005D4161">
      <w:pPr>
        <w:jc w:val="both"/>
        <w:rPr>
          <w:rFonts w:ascii="Arial" w:hAnsi="Arial" w:cs="Arial"/>
          <w:bCs/>
        </w:rPr>
      </w:pPr>
    </w:p>
    <w:p w14:paraId="0AD4898C" w14:textId="77777777" w:rsidR="005D4161" w:rsidRDefault="005D4161" w:rsidP="005D4161">
      <w:pPr>
        <w:jc w:val="both"/>
        <w:rPr>
          <w:rFonts w:ascii="Arial" w:hAnsi="Arial" w:cs="Arial"/>
          <w:bCs/>
          <w:i/>
          <w:iCs/>
        </w:rPr>
      </w:pPr>
      <w:r>
        <w:rPr>
          <w:rFonts w:ascii="Arial" w:hAnsi="Arial" w:cs="Arial"/>
          <w:bCs/>
        </w:rPr>
        <w:lastRenderedPageBreak/>
        <w:t xml:space="preserve">In July, September and October 2019 the US Federal Reserve reduced the target range for the federal funds rate by 0.25%. </w:t>
      </w:r>
      <w:r w:rsidRPr="007054E9">
        <w:rPr>
          <w:rFonts w:ascii="Arial" w:hAnsi="Arial" w:cs="Arial"/>
          <w:bCs/>
        </w:rPr>
        <w:t xml:space="preserve">At the press conference following the October meeting Chair Jay Powell stated </w:t>
      </w:r>
      <w:r w:rsidRPr="007054E9">
        <w:rPr>
          <w:rFonts w:ascii="Arial" w:hAnsi="Arial" w:cs="Arial"/>
          <w:bCs/>
          <w:i/>
          <w:iCs/>
        </w:rPr>
        <w:t>“Today we decided to lower the interest rate for the third time this year…. weakness in global growth and trade developments have weighed on the economy and pose ongoing risks. These factors, in conjunction with muted inflation pressures, have led us to lower our assessment of the appropriate level of the federal funds rate</w:t>
      </w:r>
      <w:r>
        <w:rPr>
          <w:rFonts w:ascii="Arial" w:hAnsi="Arial" w:cs="Arial"/>
          <w:bCs/>
          <w:i/>
          <w:iCs/>
        </w:rPr>
        <w:t>…”</w:t>
      </w:r>
    </w:p>
    <w:p w14:paraId="16AD768F" w14:textId="77777777" w:rsidR="005D4161" w:rsidRPr="00330C01" w:rsidRDefault="005D4161" w:rsidP="005D4161">
      <w:pPr>
        <w:jc w:val="both"/>
        <w:rPr>
          <w:rFonts w:ascii="Arial" w:hAnsi="Arial" w:cs="Arial"/>
          <w:bCs/>
          <w:i/>
          <w:iCs/>
        </w:rPr>
      </w:pPr>
    </w:p>
    <w:p w14:paraId="17AA165B" w14:textId="77777777" w:rsidR="005D4161" w:rsidRPr="004661ED" w:rsidRDefault="005D4161" w:rsidP="005D4161">
      <w:pPr>
        <w:jc w:val="both"/>
        <w:rPr>
          <w:rFonts w:ascii="Arial" w:hAnsi="Arial" w:cs="Arial"/>
          <w:bCs/>
          <w:i/>
        </w:rPr>
      </w:pPr>
      <w:r>
        <w:rPr>
          <w:rFonts w:ascii="Arial" w:hAnsi="Arial" w:cs="Arial"/>
          <w:bCs/>
        </w:rPr>
        <w:t>The European Central Bank (ECB) also acted to support financial markets and the Eurozone economy. In June the ECB extended to at least the first half of 2020 the existing ultra-low interest rate policy. In September</w:t>
      </w:r>
      <w:r w:rsidRPr="00DC5A63">
        <w:rPr>
          <w:rFonts w:ascii="Arial" w:hAnsi="Arial" w:cs="Arial"/>
          <w:bCs/>
        </w:rPr>
        <w:t xml:space="preserve"> </w:t>
      </w:r>
      <w:r>
        <w:rPr>
          <w:rFonts w:ascii="Arial" w:hAnsi="Arial" w:cs="Arial"/>
          <w:bCs/>
        </w:rPr>
        <w:t>the ECB further</w:t>
      </w:r>
      <w:r w:rsidRPr="00DC5A63">
        <w:rPr>
          <w:rFonts w:ascii="Arial" w:hAnsi="Arial" w:cs="Arial"/>
          <w:bCs/>
        </w:rPr>
        <w:t xml:space="preserve"> loosen</w:t>
      </w:r>
      <w:r>
        <w:rPr>
          <w:rFonts w:ascii="Arial" w:hAnsi="Arial" w:cs="Arial"/>
          <w:bCs/>
        </w:rPr>
        <w:t>ed</w:t>
      </w:r>
      <w:r w:rsidRPr="00DC5A63">
        <w:rPr>
          <w:rFonts w:ascii="Arial" w:hAnsi="Arial" w:cs="Arial"/>
          <w:bCs/>
        </w:rPr>
        <w:t xml:space="preserve"> monetary policy including reducing the deposit interest rate by 0.1% to minus 0.5% and </w:t>
      </w:r>
      <w:r>
        <w:rPr>
          <w:rFonts w:ascii="Arial" w:hAnsi="Arial" w:cs="Arial"/>
          <w:bCs/>
        </w:rPr>
        <w:t>reintroducing</w:t>
      </w:r>
      <w:r w:rsidRPr="00DC5A63">
        <w:rPr>
          <w:rFonts w:ascii="Arial" w:hAnsi="Arial" w:cs="Arial"/>
          <w:bCs/>
        </w:rPr>
        <w:t xml:space="preserve"> quantitative easing w</w:t>
      </w:r>
      <w:r>
        <w:rPr>
          <w:rFonts w:ascii="Arial" w:hAnsi="Arial" w:cs="Arial"/>
          <w:bCs/>
        </w:rPr>
        <w:t>hich</w:t>
      </w:r>
      <w:r w:rsidRPr="00DC5A63">
        <w:rPr>
          <w:rFonts w:ascii="Arial" w:hAnsi="Arial" w:cs="Arial"/>
          <w:bCs/>
        </w:rPr>
        <w:t xml:space="preserve"> was restarted on 1 November at the rate of asset purchases of 20 billion Euros per month.</w:t>
      </w:r>
      <w:r>
        <w:rPr>
          <w:rFonts w:ascii="Arial" w:hAnsi="Arial" w:cs="Arial"/>
          <w:bCs/>
        </w:rPr>
        <w:t xml:space="preserve"> The Bank of Japan continued its huge monetary stimulus programme which commenced in 2013.</w:t>
      </w:r>
    </w:p>
    <w:p w14:paraId="732862B1" w14:textId="77777777" w:rsidR="005D4161" w:rsidRDefault="005D4161" w:rsidP="005D4161">
      <w:pPr>
        <w:jc w:val="both"/>
        <w:rPr>
          <w:rFonts w:ascii="Arial" w:hAnsi="Arial" w:cs="Arial"/>
          <w:bCs/>
        </w:rPr>
      </w:pPr>
    </w:p>
    <w:p w14:paraId="6F5F24FF" w14:textId="77777777" w:rsidR="005D4161" w:rsidRDefault="005D4161" w:rsidP="005D4161">
      <w:pPr>
        <w:jc w:val="both"/>
        <w:rPr>
          <w:rFonts w:ascii="Arial" w:hAnsi="Arial" w:cs="Arial"/>
          <w:bCs/>
        </w:rPr>
      </w:pPr>
      <w:r w:rsidRPr="00CB005B">
        <w:rPr>
          <w:rFonts w:ascii="Arial" w:hAnsi="Arial" w:cs="Arial"/>
          <w:bCs/>
        </w:rPr>
        <w:t>The resolution of some of the trade tensions between the United States and China in late 2019 and the further loosening of monetary policy by the US Federal Reserve and E</w:t>
      </w:r>
      <w:r>
        <w:rPr>
          <w:rFonts w:ascii="Arial" w:hAnsi="Arial" w:cs="Arial"/>
          <w:bCs/>
        </w:rPr>
        <w:t>CB</w:t>
      </w:r>
      <w:r w:rsidRPr="00CB005B">
        <w:rPr>
          <w:rFonts w:ascii="Arial" w:hAnsi="Arial" w:cs="Arial"/>
          <w:bCs/>
        </w:rPr>
        <w:t xml:space="preserve"> in the second half of 2019 had led to a general view that global stocks would continue their long upward trend through 2020. Indeed, on 19 February 2020 the US S&amp;P 500 Index reached a new record closing high of 3,386 almost 5% above the 31 December 2019 closing figure of 3,231.</w:t>
      </w:r>
    </w:p>
    <w:p w14:paraId="301B3EDA" w14:textId="77777777" w:rsidR="005D4161" w:rsidRDefault="005D4161" w:rsidP="005D4161">
      <w:pPr>
        <w:jc w:val="both"/>
        <w:rPr>
          <w:rFonts w:ascii="Arial" w:hAnsi="Arial" w:cs="Arial"/>
          <w:bCs/>
        </w:rPr>
      </w:pPr>
    </w:p>
    <w:p w14:paraId="2047008C" w14:textId="77777777" w:rsidR="005D4161" w:rsidRPr="00A4531E" w:rsidRDefault="005D4161" w:rsidP="005D4161">
      <w:pPr>
        <w:jc w:val="both"/>
        <w:rPr>
          <w:rFonts w:ascii="Arial" w:hAnsi="Arial" w:cs="Arial"/>
          <w:bCs/>
        </w:rPr>
      </w:pPr>
      <w:r w:rsidRPr="00CB005B">
        <w:rPr>
          <w:rFonts w:ascii="Arial" w:hAnsi="Arial" w:cs="Arial"/>
          <w:bCs/>
        </w:rPr>
        <w:t xml:space="preserve"> On 24 February 2020, however, equities across the globe began to rapidly fall following the </w:t>
      </w:r>
      <w:bookmarkStart w:id="0" w:name="_Hlk39582904"/>
      <w:r w:rsidRPr="00CB005B">
        <w:rPr>
          <w:rFonts w:ascii="Arial" w:hAnsi="Arial" w:cs="Arial"/>
          <w:bCs/>
        </w:rPr>
        <w:t>decision of Italy to quarantine 10 towns in response to</w:t>
      </w:r>
      <w:r>
        <w:rPr>
          <w:rFonts w:ascii="Arial" w:hAnsi="Arial" w:cs="Arial"/>
          <w:bCs/>
        </w:rPr>
        <w:t xml:space="preserve"> COVID-19</w:t>
      </w:r>
      <w:r w:rsidRPr="00CB005B">
        <w:rPr>
          <w:rFonts w:ascii="Arial" w:hAnsi="Arial" w:cs="Arial"/>
          <w:bCs/>
        </w:rPr>
        <w:t xml:space="preserve"> </w:t>
      </w:r>
      <w:r>
        <w:rPr>
          <w:rFonts w:ascii="Arial" w:hAnsi="Arial" w:cs="Arial"/>
          <w:bCs/>
        </w:rPr>
        <w:t>(</w:t>
      </w:r>
      <w:r w:rsidRPr="00CB005B">
        <w:rPr>
          <w:rFonts w:ascii="Arial" w:hAnsi="Arial" w:cs="Arial"/>
          <w:bCs/>
        </w:rPr>
        <w:t>Coronavirus</w:t>
      </w:r>
      <w:r>
        <w:rPr>
          <w:rFonts w:ascii="Arial" w:hAnsi="Arial" w:cs="Arial"/>
          <w:bCs/>
        </w:rPr>
        <w:t>)</w:t>
      </w:r>
      <w:bookmarkEnd w:id="0"/>
      <w:r>
        <w:rPr>
          <w:rFonts w:ascii="Arial" w:hAnsi="Arial" w:cs="Arial"/>
          <w:bCs/>
        </w:rPr>
        <w:t xml:space="preserve">. </w:t>
      </w:r>
      <w:r w:rsidRPr="000E4C22">
        <w:rPr>
          <w:rFonts w:ascii="Arial" w:hAnsi="Arial" w:cs="Arial"/>
        </w:rPr>
        <w:t>Concerns regarding C</w:t>
      </w:r>
      <w:r>
        <w:rPr>
          <w:rFonts w:ascii="Arial" w:hAnsi="Arial" w:cs="Arial"/>
        </w:rPr>
        <w:t>OVID-19</w:t>
      </w:r>
      <w:r w:rsidRPr="000E4C22">
        <w:rPr>
          <w:rFonts w:ascii="Arial" w:hAnsi="Arial" w:cs="Arial"/>
        </w:rPr>
        <w:t xml:space="preserve"> </w:t>
      </w:r>
      <w:r>
        <w:rPr>
          <w:rFonts w:ascii="Arial" w:hAnsi="Arial" w:cs="Arial"/>
        </w:rPr>
        <w:t>then rapidly and</w:t>
      </w:r>
      <w:r w:rsidRPr="000E4C22">
        <w:rPr>
          <w:rFonts w:ascii="Arial" w:hAnsi="Arial" w:cs="Arial"/>
        </w:rPr>
        <w:t xml:space="preserve"> hugely affect</w:t>
      </w:r>
      <w:r>
        <w:rPr>
          <w:rFonts w:ascii="Arial" w:hAnsi="Arial" w:cs="Arial"/>
        </w:rPr>
        <w:t>ed</w:t>
      </w:r>
      <w:r w:rsidRPr="000E4C22">
        <w:rPr>
          <w:rFonts w:ascii="Arial" w:hAnsi="Arial" w:cs="Arial"/>
        </w:rPr>
        <w:t xml:space="preserve"> US equity markets and other major markets</w:t>
      </w:r>
      <w:r>
        <w:rPr>
          <w:rFonts w:ascii="Arial" w:hAnsi="Arial" w:cs="Arial"/>
        </w:rPr>
        <w:t>.</w:t>
      </w:r>
      <w:r w:rsidRPr="000E4C22">
        <w:rPr>
          <w:rFonts w:ascii="Arial" w:hAnsi="Arial" w:cs="Arial"/>
        </w:rPr>
        <w:t xml:space="preserve"> By the end of Friday 28 February, the S&amp;P 500 had fallen approximately 13% from its 19 February all-time high. On 28 February Federal Reserve Chair Jay Powell stated that </w:t>
      </w:r>
      <w:r w:rsidRPr="000E4C22">
        <w:rPr>
          <w:rFonts w:ascii="Arial" w:hAnsi="Arial" w:cs="Arial"/>
          <w:i/>
          <w:iCs/>
        </w:rPr>
        <w:t>“… the coronavirus poses evolving risks to economic activity. The Federal Reserve is closely monitoring developments</w:t>
      </w:r>
      <w:r>
        <w:rPr>
          <w:rFonts w:ascii="Arial" w:hAnsi="Arial" w:cs="Arial"/>
          <w:i/>
          <w:iCs/>
        </w:rPr>
        <w:t>..</w:t>
      </w:r>
      <w:r w:rsidRPr="000E4C22">
        <w:rPr>
          <w:rFonts w:ascii="Arial" w:hAnsi="Arial" w:cs="Arial"/>
          <w:i/>
          <w:iCs/>
        </w:rPr>
        <w:t xml:space="preserve">. We will use our tools and act as appropriate to support the economy.” </w:t>
      </w:r>
      <w:r w:rsidRPr="000E4C22">
        <w:rPr>
          <w:rFonts w:ascii="Arial" w:hAnsi="Arial" w:cs="Arial"/>
        </w:rPr>
        <w:t xml:space="preserve">The actions subsequently taken </w:t>
      </w:r>
      <w:proofErr w:type="gramStart"/>
      <w:r w:rsidRPr="000E4C22">
        <w:rPr>
          <w:rFonts w:ascii="Arial" w:hAnsi="Arial" w:cs="Arial"/>
        </w:rPr>
        <w:t>by, and</w:t>
      </w:r>
      <w:proofErr w:type="gramEnd"/>
      <w:r w:rsidRPr="000E4C22">
        <w:rPr>
          <w:rFonts w:ascii="Arial" w:hAnsi="Arial" w:cs="Arial"/>
        </w:rPr>
        <w:t xml:space="preserve"> led by the US Federal Reserve during March 2020 were unprecedented even in comparison to those following the 2008 financial crisis. </w:t>
      </w:r>
    </w:p>
    <w:p w14:paraId="5EECBC0C" w14:textId="77777777" w:rsidR="005D4161" w:rsidRPr="000E4C22" w:rsidRDefault="005D4161" w:rsidP="005D4161">
      <w:pPr>
        <w:jc w:val="both"/>
        <w:rPr>
          <w:rFonts w:ascii="Arial" w:hAnsi="Arial" w:cs="Arial"/>
        </w:rPr>
      </w:pPr>
    </w:p>
    <w:p w14:paraId="3AF6F33F" w14:textId="77777777" w:rsidR="005D4161" w:rsidRPr="00792E40" w:rsidRDefault="005D4161" w:rsidP="005D4161">
      <w:pPr>
        <w:jc w:val="both"/>
        <w:rPr>
          <w:rFonts w:ascii="Arial" w:hAnsi="Arial" w:cs="Arial"/>
        </w:rPr>
      </w:pPr>
      <w:r w:rsidRPr="00792E40">
        <w:rPr>
          <w:rFonts w:ascii="Arial" w:hAnsi="Arial" w:cs="Arial"/>
        </w:rPr>
        <w:t xml:space="preserve">The governments of </w:t>
      </w:r>
      <w:proofErr w:type="gramStart"/>
      <w:r w:rsidRPr="00792E40">
        <w:rPr>
          <w:rFonts w:ascii="Arial" w:hAnsi="Arial" w:cs="Arial"/>
        </w:rPr>
        <w:t>a number of</w:t>
      </w:r>
      <w:proofErr w:type="gramEnd"/>
      <w:r w:rsidRPr="00792E40">
        <w:rPr>
          <w:rFonts w:ascii="Arial" w:hAnsi="Arial" w:cs="Arial"/>
        </w:rPr>
        <w:t xml:space="preserve"> leading world economies - the UK, Canada, France and Italy announced major fiscal initiatives to support their economies and citizens and also, by extension, financial markets on or before 20 March 2020. Measures included income subsidies for laid off workers, tax deferrals and state </w:t>
      </w:r>
      <w:proofErr w:type="gramStart"/>
      <w:r w:rsidRPr="00792E40">
        <w:rPr>
          <w:rFonts w:ascii="Arial" w:hAnsi="Arial" w:cs="Arial"/>
        </w:rPr>
        <w:t>loans</w:t>
      </w:r>
      <w:proofErr w:type="gramEnd"/>
      <w:r w:rsidRPr="00792E40">
        <w:rPr>
          <w:rFonts w:ascii="Arial" w:hAnsi="Arial" w:cs="Arial"/>
        </w:rPr>
        <w:t xml:space="preserve"> or guarantees for companies The German Parliament and US Congress also agreed unprecedented fiscal support packages in the last week of March. While these measures were crucial to mitigating the adverse impact of C</w:t>
      </w:r>
      <w:r>
        <w:rPr>
          <w:rFonts w:ascii="Arial" w:hAnsi="Arial" w:cs="Arial"/>
        </w:rPr>
        <w:t>OVID-19</w:t>
      </w:r>
      <w:r w:rsidRPr="00792E40">
        <w:rPr>
          <w:rFonts w:ascii="Arial" w:hAnsi="Arial" w:cs="Arial"/>
        </w:rPr>
        <w:t xml:space="preserve"> on economies and financial markets it was the extraordinary interventions of the US Federal Reserve which, surely, prevented a financial market meltdown in March 2020.</w:t>
      </w:r>
    </w:p>
    <w:p w14:paraId="2EDE9E64" w14:textId="77777777" w:rsidR="005D4161" w:rsidRPr="00792E40" w:rsidRDefault="005D4161" w:rsidP="005D4161">
      <w:pPr>
        <w:jc w:val="both"/>
        <w:rPr>
          <w:rFonts w:ascii="Arial" w:hAnsi="Arial" w:cs="Arial"/>
        </w:rPr>
      </w:pPr>
    </w:p>
    <w:p w14:paraId="2D6F2863" w14:textId="77777777" w:rsidR="005D4161" w:rsidRPr="00A4531E" w:rsidRDefault="005D4161" w:rsidP="005D4161">
      <w:pPr>
        <w:jc w:val="both"/>
        <w:rPr>
          <w:rFonts w:ascii="Arial" w:hAnsi="Arial" w:cs="Arial"/>
          <w:i/>
          <w:iCs/>
        </w:rPr>
      </w:pPr>
      <w:r w:rsidRPr="00524681">
        <w:rPr>
          <w:rFonts w:ascii="Arial" w:hAnsi="Arial" w:cs="Arial"/>
        </w:rPr>
        <w:t xml:space="preserve">At an emergency meeting on 3 March 2020, the US Federal Reserve, reduced the target range for federal funds rate (its main interest rate) by ½%, to the range 1 to 1 ¼%. </w:t>
      </w:r>
      <w:r w:rsidRPr="000E4C22">
        <w:rPr>
          <w:rFonts w:ascii="Arial" w:hAnsi="Arial" w:cs="Arial"/>
        </w:rPr>
        <w:t xml:space="preserve"> C</w:t>
      </w:r>
      <w:r>
        <w:rPr>
          <w:rFonts w:ascii="Arial" w:hAnsi="Arial" w:cs="Arial"/>
        </w:rPr>
        <w:t>OVID-19</w:t>
      </w:r>
      <w:r w:rsidRPr="000E4C22">
        <w:rPr>
          <w:rFonts w:ascii="Arial" w:hAnsi="Arial" w:cs="Arial"/>
        </w:rPr>
        <w:t xml:space="preserve"> equity related market chaos continued</w:t>
      </w:r>
      <w:r>
        <w:rPr>
          <w:rFonts w:ascii="Arial" w:hAnsi="Arial" w:cs="Arial"/>
        </w:rPr>
        <w:t xml:space="preserve"> however</w:t>
      </w:r>
      <w:r w:rsidRPr="000E4C22">
        <w:rPr>
          <w:rFonts w:ascii="Arial" w:hAnsi="Arial" w:cs="Arial"/>
        </w:rPr>
        <w:t xml:space="preserve"> and was compounded by reaction to an oil price plunge on 9 March arising from Russian and Saudi Arabian action which resulted in a trading break in New York, the first time this measure had been used.</w:t>
      </w:r>
    </w:p>
    <w:p w14:paraId="1C6D3170" w14:textId="77777777" w:rsidR="005D4161" w:rsidRPr="000E4C22" w:rsidRDefault="005D4161" w:rsidP="005D4161">
      <w:pPr>
        <w:jc w:val="both"/>
        <w:rPr>
          <w:rFonts w:ascii="Arial" w:hAnsi="Arial" w:cs="Arial"/>
          <w:i/>
          <w:iCs/>
        </w:rPr>
      </w:pPr>
      <w:r w:rsidRPr="000E4C22">
        <w:rPr>
          <w:rFonts w:ascii="Arial" w:hAnsi="Arial" w:cs="Arial"/>
        </w:rPr>
        <w:lastRenderedPageBreak/>
        <w:t xml:space="preserve"> Then in a</w:t>
      </w:r>
      <w:r>
        <w:rPr>
          <w:rFonts w:ascii="Arial" w:hAnsi="Arial" w:cs="Arial"/>
        </w:rPr>
        <w:t>n</w:t>
      </w:r>
      <w:r w:rsidRPr="000E4C22">
        <w:rPr>
          <w:rFonts w:ascii="Arial" w:hAnsi="Arial" w:cs="Arial"/>
        </w:rPr>
        <w:t xml:space="preserve"> unscheduled </w:t>
      </w:r>
      <w:r>
        <w:rPr>
          <w:rFonts w:ascii="Arial" w:hAnsi="Arial" w:cs="Arial"/>
        </w:rPr>
        <w:t>(</w:t>
      </w:r>
      <w:r w:rsidRPr="000E4C22">
        <w:rPr>
          <w:rFonts w:ascii="Arial" w:hAnsi="Arial" w:cs="Arial"/>
        </w:rPr>
        <w:t>Sunday</w:t>
      </w:r>
      <w:r>
        <w:rPr>
          <w:rFonts w:ascii="Arial" w:hAnsi="Arial" w:cs="Arial"/>
        </w:rPr>
        <w:t>)</w:t>
      </w:r>
      <w:r w:rsidRPr="000E4C22">
        <w:rPr>
          <w:rFonts w:ascii="Arial" w:hAnsi="Arial" w:cs="Arial"/>
        </w:rPr>
        <w:t xml:space="preserve"> meeting on 15 March the US Federal Reserve intervened on an unprecedented scale. </w:t>
      </w:r>
      <w:r>
        <w:rPr>
          <w:rFonts w:ascii="Arial" w:hAnsi="Arial" w:cs="Arial"/>
        </w:rPr>
        <w:t>The federal funds rate was</w:t>
      </w:r>
      <w:r w:rsidRPr="000E4C22">
        <w:rPr>
          <w:rFonts w:ascii="Arial" w:hAnsi="Arial" w:cs="Arial"/>
        </w:rPr>
        <w:t xml:space="preserve"> reduced by a full 1% to the range 0% to ¼% and an asset purchase programme announced of </w:t>
      </w:r>
      <w:r w:rsidRPr="000E4C22">
        <w:rPr>
          <w:rFonts w:ascii="Arial" w:hAnsi="Arial" w:cs="Arial"/>
          <w:i/>
          <w:iCs/>
        </w:rPr>
        <w:t xml:space="preserve">“at least” </w:t>
      </w:r>
      <w:r w:rsidRPr="000E4C22">
        <w:rPr>
          <w:rFonts w:ascii="Arial" w:hAnsi="Arial" w:cs="Arial"/>
        </w:rPr>
        <w:t xml:space="preserve">$500bn of Treasury bonds and </w:t>
      </w:r>
      <w:r w:rsidRPr="000E4C22">
        <w:rPr>
          <w:rFonts w:ascii="Arial" w:hAnsi="Arial" w:cs="Arial"/>
          <w:i/>
          <w:iCs/>
        </w:rPr>
        <w:t xml:space="preserve">“at least” </w:t>
      </w:r>
      <w:r w:rsidRPr="000E4C22">
        <w:rPr>
          <w:rFonts w:ascii="Arial" w:hAnsi="Arial" w:cs="Arial"/>
        </w:rPr>
        <w:t xml:space="preserve">$200bn of mortgaged backed securities to </w:t>
      </w:r>
      <w:r w:rsidRPr="000E4C22">
        <w:rPr>
          <w:rFonts w:ascii="Arial" w:hAnsi="Arial" w:cs="Arial"/>
          <w:i/>
          <w:iCs/>
        </w:rPr>
        <w:t xml:space="preserve">“support the smooth functioning of markets….” </w:t>
      </w:r>
      <w:r w:rsidRPr="000E4C22">
        <w:rPr>
          <w:rFonts w:ascii="Arial" w:hAnsi="Arial" w:cs="Arial"/>
        </w:rPr>
        <w:t>To further support the flow of credit to businesses and households the US Federal Reserve also announced measures to ease requirements upon and to support banks and other savings institutions. To directly support not only the US markets and economy but other major developed markets and economies the Federal Reserve also announced</w:t>
      </w:r>
      <w:r>
        <w:rPr>
          <w:rFonts w:ascii="Arial" w:hAnsi="Arial" w:cs="Arial"/>
        </w:rPr>
        <w:t>,</w:t>
      </w:r>
      <w:r w:rsidRPr="000E4C22">
        <w:rPr>
          <w:rFonts w:ascii="Arial" w:hAnsi="Arial" w:cs="Arial"/>
        </w:rPr>
        <w:t xml:space="preserve"> on 15 March 2020</w:t>
      </w:r>
      <w:r>
        <w:rPr>
          <w:rFonts w:ascii="Arial" w:hAnsi="Arial" w:cs="Arial"/>
        </w:rPr>
        <w:t>,</w:t>
      </w:r>
      <w:r w:rsidRPr="000E4C22">
        <w:rPr>
          <w:rFonts w:ascii="Arial" w:hAnsi="Arial" w:cs="Arial"/>
        </w:rPr>
        <w:t xml:space="preserve"> </w:t>
      </w:r>
      <w:r w:rsidRPr="000E4C22">
        <w:rPr>
          <w:rFonts w:ascii="Arial" w:hAnsi="Arial" w:cs="Arial"/>
          <w:i/>
          <w:iCs/>
        </w:rPr>
        <w:t xml:space="preserve">“co-ordinated action” </w:t>
      </w:r>
      <w:r w:rsidRPr="000E4C22">
        <w:rPr>
          <w:rFonts w:ascii="Arial" w:hAnsi="Arial" w:cs="Arial"/>
        </w:rPr>
        <w:t xml:space="preserve">with </w:t>
      </w:r>
      <w:proofErr w:type="gramStart"/>
      <w:r>
        <w:rPr>
          <w:rFonts w:ascii="Arial" w:hAnsi="Arial" w:cs="Arial"/>
        </w:rPr>
        <w:t>a number of</w:t>
      </w:r>
      <w:proofErr w:type="gramEnd"/>
      <w:r>
        <w:rPr>
          <w:rFonts w:ascii="Arial" w:hAnsi="Arial" w:cs="Arial"/>
        </w:rPr>
        <w:t xml:space="preserve"> other central banks</w:t>
      </w:r>
      <w:r w:rsidRPr="000E4C22">
        <w:rPr>
          <w:rFonts w:ascii="Arial" w:hAnsi="Arial" w:cs="Arial"/>
        </w:rPr>
        <w:t> to lower the cost of borrowing dollars internationally</w:t>
      </w:r>
      <w:r>
        <w:rPr>
          <w:rFonts w:ascii="Arial" w:hAnsi="Arial" w:cs="Arial"/>
        </w:rPr>
        <w:t>.</w:t>
      </w:r>
    </w:p>
    <w:p w14:paraId="240E5681" w14:textId="77777777" w:rsidR="005D4161" w:rsidRPr="000E4C22" w:rsidRDefault="005D4161" w:rsidP="005D4161">
      <w:pPr>
        <w:jc w:val="both"/>
        <w:rPr>
          <w:rFonts w:ascii="Arial" w:hAnsi="Arial" w:cs="Arial"/>
        </w:rPr>
      </w:pPr>
    </w:p>
    <w:p w14:paraId="55194AE9" w14:textId="77777777" w:rsidR="005D4161" w:rsidRPr="000E4C22" w:rsidRDefault="005D4161" w:rsidP="005D4161">
      <w:pPr>
        <w:jc w:val="both"/>
        <w:rPr>
          <w:rFonts w:ascii="Arial" w:hAnsi="Arial" w:cs="Arial"/>
        </w:rPr>
      </w:pPr>
      <w:r w:rsidRPr="000E4C22">
        <w:rPr>
          <w:rFonts w:ascii="Arial" w:hAnsi="Arial" w:cs="Arial"/>
        </w:rPr>
        <w:t>The ECB acted decisively on 18 March announcing a 750 billion Euro Pandemic Emergency Purchase Programme (PEPP)</w:t>
      </w:r>
      <w:r w:rsidRPr="000E4C22">
        <w:rPr>
          <w:rFonts w:ascii="Arial" w:hAnsi="Arial" w:cs="Arial"/>
          <w:i/>
          <w:iCs/>
        </w:rPr>
        <w:t xml:space="preserve"> </w:t>
      </w:r>
      <w:r w:rsidRPr="000E4C22">
        <w:rPr>
          <w:rFonts w:ascii="Arial" w:hAnsi="Arial" w:cs="Arial"/>
        </w:rPr>
        <w:t xml:space="preserve">covering government and corporate debt to </w:t>
      </w:r>
      <w:r w:rsidRPr="000E4C22">
        <w:rPr>
          <w:rFonts w:ascii="Arial" w:hAnsi="Arial" w:cs="Arial"/>
          <w:i/>
          <w:iCs/>
        </w:rPr>
        <w:t xml:space="preserve">“…counter the serious risks to the… outlook for the euro area posed by the outbreak and escalating diffusion of the coronavirus, COVID-19.” </w:t>
      </w:r>
      <w:r w:rsidRPr="000E4C22">
        <w:rPr>
          <w:rFonts w:ascii="Arial" w:hAnsi="Arial" w:cs="Arial"/>
        </w:rPr>
        <w:t>The Bank of England acted decisively reducing Bank Rate by from 0.75% to 0.25% on 10 March and then on 19 March to an all-time low of 0.10% together with the introduction of a £200 billion purchase programme of bonds. On 10 March, it also introduced measures to facilitate further lending to businesses by UK banks.</w:t>
      </w:r>
    </w:p>
    <w:p w14:paraId="465BA163" w14:textId="77777777" w:rsidR="005D4161" w:rsidRPr="000E4C22" w:rsidRDefault="005D4161" w:rsidP="005D4161">
      <w:pPr>
        <w:jc w:val="both"/>
        <w:rPr>
          <w:rFonts w:ascii="Arial" w:hAnsi="Arial" w:cs="Arial"/>
        </w:rPr>
      </w:pPr>
    </w:p>
    <w:p w14:paraId="444B3D83" w14:textId="77777777" w:rsidR="005D4161" w:rsidRPr="000E4C22" w:rsidRDefault="005D4161" w:rsidP="005D4161">
      <w:pPr>
        <w:jc w:val="both"/>
        <w:rPr>
          <w:rFonts w:ascii="Arial" w:hAnsi="Arial" w:cs="Arial"/>
        </w:rPr>
      </w:pPr>
      <w:r w:rsidRPr="000E4C22">
        <w:rPr>
          <w:rFonts w:ascii="Arial" w:hAnsi="Arial" w:cs="Arial"/>
        </w:rPr>
        <w:t xml:space="preserve">Turmoil however continued </w:t>
      </w:r>
      <w:r>
        <w:rPr>
          <w:rFonts w:ascii="Arial" w:hAnsi="Arial" w:cs="Arial"/>
        </w:rPr>
        <w:t>when</w:t>
      </w:r>
      <w:r w:rsidRPr="000E4C22">
        <w:rPr>
          <w:rFonts w:ascii="Arial" w:hAnsi="Arial" w:cs="Arial"/>
        </w:rPr>
        <w:t xml:space="preserve"> markets reopened on Monday March 16. The S&amp;P 500 fell by 12% only to rise by 6% on 17 March and then to fall by 5% on 18 March. </w:t>
      </w:r>
      <w:r>
        <w:rPr>
          <w:rFonts w:ascii="Arial" w:hAnsi="Arial" w:cs="Arial"/>
        </w:rPr>
        <w:t>On 16 March i</w:t>
      </w:r>
      <w:r w:rsidRPr="000E4C22">
        <w:rPr>
          <w:rFonts w:ascii="Arial" w:hAnsi="Arial" w:cs="Arial"/>
        </w:rPr>
        <w:t>n the context of the clearly rapid spread of C</w:t>
      </w:r>
      <w:r>
        <w:rPr>
          <w:rFonts w:ascii="Arial" w:hAnsi="Arial" w:cs="Arial"/>
        </w:rPr>
        <w:t>OVID-19</w:t>
      </w:r>
      <w:r w:rsidRPr="000E4C22">
        <w:rPr>
          <w:rFonts w:ascii="Arial" w:hAnsi="Arial" w:cs="Arial"/>
        </w:rPr>
        <w:t xml:space="preserve"> in Europe, closures and severe disruption to businesses not only in Europe but the US</w:t>
      </w:r>
      <w:r>
        <w:rPr>
          <w:rFonts w:ascii="Arial" w:hAnsi="Arial" w:cs="Arial"/>
        </w:rPr>
        <w:t xml:space="preserve"> </w:t>
      </w:r>
      <w:r w:rsidRPr="000E4C22">
        <w:rPr>
          <w:rFonts w:ascii="Arial" w:hAnsi="Arial" w:cs="Arial"/>
        </w:rPr>
        <w:t xml:space="preserve">coupled with an admission by President Trump that the Coronavirus crisis could last till </w:t>
      </w:r>
      <w:r w:rsidRPr="000E4C22">
        <w:rPr>
          <w:rFonts w:ascii="Arial" w:hAnsi="Arial" w:cs="Arial"/>
          <w:i/>
          <w:iCs/>
        </w:rPr>
        <w:t xml:space="preserve">“August, could be July, could be longer…” </w:t>
      </w:r>
      <w:r w:rsidRPr="000E4C22">
        <w:rPr>
          <w:rFonts w:ascii="Arial" w:hAnsi="Arial" w:cs="Arial"/>
        </w:rPr>
        <w:t>US markets fell 12%. 18 March was a day of panic in world markets with the FTSE All World equity index falling almost 7%, government bond prices falling, oil prices again plummeting, sterling falling to its lowest level against the dollar since the 1980s. The S&amp;P index closed on Friday 20 March at 2,305 which was 15% lower than at the close on Friday 13 March</w:t>
      </w:r>
      <w:r>
        <w:rPr>
          <w:rFonts w:ascii="Arial" w:hAnsi="Arial" w:cs="Arial"/>
        </w:rPr>
        <w:t xml:space="preserve"> </w:t>
      </w:r>
      <w:r w:rsidRPr="006F3857">
        <w:rPr>
          <w:rFonts w:ascii="Arial" w:hAnsi="Arial" w:cs="Arial"/>
        </w:rPr>
        <w:t>with liquidity shocks exacerbating the declines in equities.</w:t>
      </w:r>
    </w:p>
    <w:p w14:paraId="1583AFAC" w14:textId="77777777" w:rsidR="005D4161" w:rsidRPr="000E4C22" w:rsidRDefault="005D4161" w:rsidP="005D4161">
      <w:pPr>
        <w:jc w:val="both"/>
        <w:rPr>
          <w:rFonts w:ascii="Arial" w:hAnsi="Arial" w:cs="Arial"/>
        </w:rPr>
      </w:pPr>
    </w:p>
    <w:p w14:paraId="77F70E3B" w14:textId="77777777" w:rsidR="005D4161" w:rsidRPr="000E4C22" w:rsidRDefault="005D4161" w:rsidP="005D4161">
      <w:pPr>
        <w:jc w:val="both"/>
        <w:rPr>
          <w:rFonts w:ascii="Arial" w:hAnsi="Arial" w:cs="Arial"/>
        </w:rPr>
      </w:pPr>
      <w:r w:rsidRPr="000E4C22">
        <w:rPr>
          <w:rFonts w:ascii="Arial" w:hAnsi="Arial" w:cs="Arial"/>
        </w:rPr>
        <w:t xml:space="preserve">Then on 23 March, the US Federal Reserve intervened in an unprecedented manner. First it extended its purchases of Treasury Bonds and mortgage backed securities from $700billion to </w:t>
      </w:r>
      <w:r w:rsidRPr="000E4C22">
        <w:rPr>
          <w:rFonts w:ascii="Arial" w:hAnsi="Arial" w:cs="Arial"/>
          <w:i/>
          <w:iCs/>
        </w:rPr>
        <w:t xml:space="preserve">“the amounts needed to support smooth market functioning and effective transmission of monetary policy…” </w:t>
      </w:r>
      <w:r w:rsidRPr="000E4C22">
        <w:rPr>
          <w:rFonts w:ascii="Arial" w:hAnsi="Arial" w:cs="Arial"/>
        </w:rPr>
        <w:t>This meant that to help facilitate the supply of credit to households and businesses the US Federal Reserve was prepared to buy unlimited amounts of government securities. Secondly, in an extraordinary break with previous precedent the Federal Reserve announced initiatives to purchase both new issue and secondary market corporate debt. This meant that in effect the Federal Reserve was prepared to directly support employers and act as a backstop in the corporate bond market.</w:t>
      </w:r>
    </w:p>
    <w:p w14:paraId="5BE9E8D7" w14:textId="77777777" w:rsidR="005D4161" w:rsidRDefault="005D4161" w:rsidP="005D4161">
      <w:pPr>
        <w:jc w:val="both"/>
        <w:rPr>
          <w:rFonts w:ascii="Arial" w:hAnsi="Arial" w:cs="Arial"/>
        </w:rPr>
      </w:pPr>
    </w:p>
    <w:p w14:paraId="3796603D" w14:textId="77777777" w:rsidR="005D4161" w:rsidRPr="000E4C22" w:rsidRDefault="005D4161" w:rsidP="005D4161">
      <w:pPr>
        <w:jc w:val="both"/>
        <w:rPr>
          <w:rFonts w:ascii="Arial" w:hAnsi="Arial" w:cs="Arial"/>
        </w:rPr>
      </w:pPr>
      <w:r w:rsidRPr="000E4C22">
        <w:rPr>
          <w:rFonts w:ascii="Arial" w:hAnsi="Arial" w:cs="Arial"/>
        </w:rPr>
        <w:t xml:space="preserve">In the days following this extraordinary intervention by the Federal Reserve of 23 March 2020, financial markets began to recover with the S&amp;P 500 closing at 2,585 on 31 March a full 12% higher than on 20 March. Admittedly, after much argument Congress finally passed a huge $2.2 trillion fiscal stimulus on 27 March to assist US business and families. However, there can be no doubt that during March 2020 the US Federal Reserve acted decisively and in an unprecedented manner to avoid a financial market meltdown while the US Congress argued over what measures to take. </w:t>
      </w:r>
    </w:p>
    <w:p w14:paraId="1EF6DFBA" w14:textId="77777777" w:rsidR="005D4161" w:rsidRPr="000E4C22" w:rsidRDefault="005D4161" w:rsidP="005D4161">
      <w:pPr>
        <w:jc w:val="both"/>
        <w:rPr>
          <w:rFonts w:ascii="Arial" w:hAnsi="Arial" w:cs="Arial"/>
        </w:rPr>
      </w:pPr>
    </w:p>
    <w:p w14:paraId="7FF194B2" w14:textId="77777777" w:rsidR="005D4161" w:rsidRPr="000E4C22" w:rsidRDefault="005D4161" w:rsidP="005D4161">
      <w:pPr>
        <w:jc w:val="both"/>
        <w:rPr>
          <w:rFonts w:ascii="Arial" w:hAnsi="Arial" w:cs="Arial"/>
        </w:rPr>
      </w:pPr>
      <w:r w:rsidRPr="000E4C22">
        <w:rPr>
          <w:rFonts w:ascii="Arial" w:hAnsi="Arial" w:cs="Arial"/>
        </w:rPr>
        <w:lastRenderedPageBreak/>
        <w:t xml:space="preserve">In summary, over the </w:t>
      </w:r>
      <w:r>
        <w:rPr>
          <w:rFonts w:ascii="Arial" w:hAnsi="Arial" w:cs="Arial"/>
        </w:rPr>
        <w:t xml:space="preserve">January to March 2020 </w:t>
      </w:r>
      <w:r w:rsidRPr="000E4C22">
        <w:rPr>
          <w:rFonts w:ascii="Arial" w:hAnsi="Arial" w:cs="Arial"/>
        </w:rPr>
        <w:t>Quarter global equity prices fell heavily with the MSCI World Index down 21% (in $ terms</w:t>
      </w:r>
      <w:r>
        <w:rPr>
          <w:rFonts w:ascii="Arial" w:hAnsi="Arial" w:cs="Arial"/>
        </w:rPr>
        <w:t xml:space="preserve">). </w:t>
      </w:r>
      <w:r w:rsidRPr="000E4C22">
        <w:rPr>
          <w:rFonts w:ascii="Arial" w:hAnsi="Arial" w:cs="Arial"/>
        </w:rPr>
        <w:t xml:space="preserve">European and UK equities were especially badly affected with the MSCI EMU Index down 25% (in Euro terms) and the FTSE All Share down 25% (in £ terms). The S&amp;P 500 lost 20% as did the Nikkei 225. </w:t>
      </w:r>
    </w:p>
    <w:p w14:paraId="71E25E5B" w14:textId="77777777" w:rsidR="005D4161" w:rsidRPr="000E4C22" w:rsidRDefault="005D4161" w:rsidP="005D4161">
      <w:pPr>
        <w:jc w:val="both"/>
        <w:rPr>
          <w:rFonts w:ascii="Arial" w:hAnsi="Arial" w:cs="Arial"/>
        </w:rPr>
      </w:pPr>
    </w:p>
    <w:p w14:paraId="144AC644" w14:textId="77777777" w:rsidR="005D4161" w:rsidRDefault="005D4161" w:rsidP="005D4161">
      <w:pPr>
        <w:jc w:val="both"/>
        <w:rPr>
          <w:rFonts w:ascii="Arial" w:hAnsi="Arial" w:cs="Arial"/>
        </w:rPr>
      </w:pPr>
      <w:r>
        <w:rPr>
          <w:rFonts w:ascii="Arial" w:hAnsi="Arial" w:cs="Arial"/>
        </w:rPr>
        <w:t>T</w:t>
      </w:r>
      <w:r w:rsidRPr="000E4C22">
        <w:rPr>
          <w:rFonts w:ascii="Arial" w:hAnsi="Arial" w:cs="Arial"/>
        </w:rPr>
        <w:t>hough the effects of C</w:t>
      </w:r>
      <w:r>
        <w:rPr>
          <w:rFonts w:ascii="Arial" w:hAnsi="Arial" w:cs="Arial"/>
        </w:rPr>
        <w:t>OVID-19</w:t>
      </w:r>
      <w:r w:rsidRPr="000E4C22">
        <w:rPr>
          <w:rFonts w:ascii="Arial" w:hAnsi="Arial" w:cs="Arial"/>
        </w:rPr>
        <w:t xml:space="preserve"> were only really felt by the world economy and financial markets from late February onwards GDP data for the first Quarter 2020 demonstrates the immediate and devastating economic effects. The “</w:t>
      </w:r>
      <w:r>
        <w:rPr>
          <w:rFonts w:ascii="Arial" w:hAnsi="Arial" w:cs="Arial"/>
        </w:rPr>
        <w:t>Third</w:t>
      </w:r>
      <w:r w:rsidRPr="000E4C22">
        <w:rPr>
          <w:rFonts w:ascii="Arial" w:hAnsi="Arial" w:cs="Arial"/>
        </w:rPr>
        <w:t>” estimate from the US Bureau of Economic Analysis, issued on 2</w:t>
      </w:r>
      <w:r>
        <w:rPr>
          <w:rFonts w:ascii="Arial" w:hAnsi="Arial" w:cs="Arial"/>
        </w:rPr>
        <w:t>5</w:t>
      </w:r>
      <w:r w:rsidRPr="000E4C22">
        <w:rPr>
          <w:rFonts w:ascii="Arial" w:hAnsi="Arial" w:cs="Arial"/>
        </w:rPr>
        <w:t xml:space="preserve"> </w:t>
      </w:r>
      <w:r>
        <w:rPr>
          <w:rFonts w:ascii="Arial" w:hAnsi="Arial" w:cs="Arial"/>
        </w:rPr>
        <w:t>June</w:t>
      </w:r>
      <w:r w:rsidRPr="000E4C22">
        <w:rPr>
          <w:rFonts w:ascii="Arial" w:hAnsi="Arial" w:cs="Arial"/>
        </w:rPr>
        <w:t xml:space="preserve"> 2020, indicated that US </w:t>
      </w:r>
      <w:r w:rsidRPr="000E4C22">
        <w:rPr>
          <w:rFonts w:ascii="Arial" w:hAnsi="Arial" w:cs="Arial"/>
          <w:i/>
          <w:iCs/>
        </w:rPr>
        <w:t>“gross domestic product (GDP) decreased at an annual rate of 5.0 percent in the first quarter of 2020…</w:t>
      </w:r>
      <w:r>
        <w:rPr>
          <w:rFonts w:ascii="Arial" w:hAnsi="Arial" w:cs="Arial"/>
          <w:i/>
          <w:iCs/>
        </w:rPr>
        <w:t>”</w:t>
      </w:r>
      <w:r w:rsidRPr="000E4C22">
        <w:rPr>
          <w:rFonts w:ascii="Arial" w:hAnsi="Arial" w:cs="Arial"/>
          <w:i/>
          <w:iCs/>
        </w:rPr>
        <w:t xml:space="preserve"> </w:t>
      </w:r>
      <w:r w:rsidRPr="000E4C22">
        <w:rPr>
          <w:rFonts w:ascii="Arial" w:hAnsi="Arial" w:cs="Arial"/>
        </w:rPr>
        <w:t>In the previous three Quarters an annualised rate of approximately plus 2% was achieved</w:t>
      </w:r>
      <w:r w:rsidRPr="000E4C22">
        <w:rPr>
          <w:rFonts w:ascii="Arial" w:hAnsi="Arial" w:cs="Arial"/>
          <w:i/>
          <w:iCs/>
        </w:rPr>
        <w:t xml:space="preserve">. </w:t>
      </w:r>
      <w:r w:rsidRPr="000E4C22">
        <w:rPr>
          <w:rFonts w:ascii="Arial" w:hAnsi="Arial" w:cs="Arial"/>
        </w:rPr>
        <w:t xml:space="preserve">Eurozone GDP was down 3.6% in the first Quarter of 2020, compared to the previous Quarter, according to </w:t>
      </w:r>
      <w:r>
        <w:rPr>
          <w:rFonts w:ascii="Arial" w:hAnsi="Arial" w:cs="Arial"/>
        </w:rPr>
        <w:t>a</w:t>
      </w:r>
      <w:r w:rsidRPr="000E4C22">
        <w:rPr>
          <w:rFonts w:ascii="Arial" w:hAnsi="Arial" w:cs="Arial"/>
        </w:rPr>
        <w:t xml:space="preserve"> Eurostat </w:t>
      </w:r>
      <w:r>
        <w:rPr>
          <w:rFonts w:ascii="Arial" w:hAnsi="Arial" w:cs="Arial"/>
        </w:rPr>
        <w:t>data release of</w:t>
      </w:r>
      <w:r w:rsidRPr="000E4C22">
        <w:rPr>
          <w:rFonts w:ascii="Arial" w:hAnsi="Arial" w:cs="Arial"/>
        </w:rPr>
        <w:t xml:space="preserve"> </w:t>
      </w:r>
      <w:r>
        <w:rPr>
          <w:rFonts w:ascii="Arial" w:hAnsi="Arial" w:cs="Arial"/>
        </w:rPr>
        <w:t>20 July</w:t>
      </w:r>
      <w:r w:rsidRPr="000E4C22">
        <w:rPr>
          <w:rFonts w:ascii="Arial" w:hAnsi="Arial" w:cs="Arial"/>
        </w:rPr>
        <w:t xml:space="preserve"> 2020. </w:t>
      </w:r>
      <w:r w:rsidRPr="000E4C22">
        <w:rPr>
          <w:rFonts w:ascii="Arial" w:hAnsi="Arial" w:cs="Arial"/>
          <w:i/>
          <w:iCs/>
        </w:rPr>
        <w:t xml:space="preserve">Eurostat </w:t>
      </w:r>
      <w:proofErr w:type="gramStart"/>
      <w:r w:rsidRPr="000E4C22">
        <w:rPr>
          <w:rFonts w:ascii="Arial" w:hAnsi="Arial" w:cs="Arial"/>
          <w:i/>
          <w:iCs/>
        </w:rPr>
        <w:t>stated</w:t>
      </w:r>
      <w:proofErr w:type="gramEnd"/>
      <w:r w:rsidRPr="000E4C22">
        <w:rPr>
          <w:rFonts w:ascii="Arial" w:hAnsi="Arial" w:cs="Arial"/>
          <w:i/>
          <w:iCs/>
        </w:rPr>
        <w:t xml:space="preserve"> “These were the sharpest declines observed since time series started in 1995” </w:t>
      </w:r>
      <w:r w:rsidRPr="000E4C22">
        <w:rPr>
          <w:rFonts w:ascii="Arial" w:hAnsi="Arial" w:cs="Arial"/>
        </w:rPr>
        <w:t xml:space="preserve">In each of the previous three Quarters Eurozone GDP increased by plus 0.1%-0.3%. </w:t>
      </w:r>
    </w:p>
    <w:p w14:paraId="13A4E643" w14:textId="77777777" w:rsidR="005D4161" w:rsidRDefault="005D4161" w:rsidP="005D4161">
      <w:pPr>
        <w:jc w:val="both"/>
        <w:rPr>
          <w:rFonts w:ascii="Arial" w:hAnsi="Arial" w:cs="Arial"/>
        </w:rPr>
      </w:pPr>
    </w:p>
    <w:p w14:paraId="38225DB9" w14:textId="77777777" w:rsidR="005D4161" w:rsidRDefault="005D4161" w:rsidP="005D4161">
      <w:pPr>
        <w:jc w:val="both"/>
        <w:rPr>
          <w:rFonts w:ascii="Arial" w:hAnsi="Arial" w:cs="Arial"/>
        </w:rPr>
      </w:pPr>
      <w:r>
        <w:rPr>
          <w:rFonts w:ascii="Arial" w:hAnsi="Arial" w:cs="Arial"/>
        </w:rPr>
        <w:t>In conclusion the period April to December 2019 was positive for both equity markets and the world economy. However the effects of COVID-19 in late February and March 2020 resulted in a market crisis which would almost certainly have resulted in a financial market meltdown had it not been for the unprecedented actions of the US Federal Reserve supported by other major central banks and the fiscal policy initiatives announced by the governments of a number of leading world economies.</w:t>
      </w:r>
    </w:p>
    <w:p w14:paraId="197263B1" w14:textId="77777777" w:rsidR="005D4161" w:rsidRDefault="005D4161" w:rsidP="005D4161">
      <w:pPr>
        <w:jc w:val="both"/>
        <w:rPr>
          <w:rFonts w:ascii="Arial" w:hAnsi="Arial" w:cs="Arial"/>
        </w:rPr>
      </w:pPr>
    </w:p>
    <w:p w14:paraId="54673CD7" w14:textId="77777777" w:rsidR="005D4161" w:rsidRPr="00792E40" w:rsidRDefault="005D4161" w:rsidP="005D4161">
      <w:pPr>
        <w:jc w:val="both"/>
        <w:rPr>
          <w:rFonts w:ascii="Arial" w:hAnsi="Arial" w:cs="Arial"/>
        </w:rPr>
      </w:pPr>
      <w:r>
        <w:rPr>
          <w:rFonts w:ascii="Arial" w:hAnsi="Arial" w:cs="Arial"/>
        </w:rPr>
        <w:t xml:space="preserve"> </w:t>
      </w:r>
      <w:r>
        <w:rPr>
          <w:rFonts w:ascii="Arial" w:hAnsi="Arial" w:cs="Arial"/>
          <w:bCs/>
        </w:rPr>
        <w:t>However,</w:t>
      </w:r>
      <w:r w:rsidRPr="00792E40">
        <w:rPr>
          <w:rFonts w:ascii="Arial" w:hAnsi="Arial" w:cs="Arial"/>
          <w:bCs/>
        </w:rPr>
        <w:t xml:space="preserve"> despite unprecedented monetary and fiscal stimulus by central banks and governments world equity markets were down over 20% for the</w:t>
      </w:r>
      <w:r>
        <w:rPr>
          <w:rFonts w:ascii="Arial" w:hAnsi="Arial" w:cs="Arial"/>
          <w:bCs/>
        </w:rPr>
        <w:t xml:space="preserve"> January to March 2020</w:t>
      </w:r>
      <w:r w:rsidRPr="00792E40">
        <w:rPr>
          <w:rFonts w:ascii="Arial" w:hAnsi="Arial" w:cs="Arial"/>
          <w:bCs/>
        </w:rPr>
        <w:t xml:space="preserve"> Quarter and the impact of C</w:t>
      </w:r>
      <w:r>
        <w:rPr>
          <w:rFonts w:ascii="Arial" w:hAnsi="Arial" w:cs="Arial"/>
          <w:bCs/>
        </w:rPr>
        <w:t>OVID-19</w:t>
      </w:r>
      <w:r w:rsidRPr="00792E40">
        <w:rPr>
          <w:rFonts w:ascii="Arial" w:hAnsi="Arial" w:cs="Arial"/>
          <w:bCs/>
        </w:rPr>
        <w:t xml:space="preserve"> on the world economy looked extremely serious. </w:t>
      </w:r>
      <w:r>
        <w:rPr>
          <w:rFonts w:ascii="Arial" w:hAnsi="Arial" w:cs="Arial"/>
          <w:bCs/>
        </w:rPr>
        <w:t>Overall, f</w:t>
      </w:r>
      <w:r w:rsidRPr="00792E40">
        <w:rPr>
          <w:rFonts w:ascii="Arial" w:hAnsi="Arial" w:cs="Arial"/>
          <w:bCs/>
        </w:rPr>
        <w:t xml:space="preserve">or the year 1 April 2019 to 31 March 2020 world equity markets measured by the MSCI World Index were down over 10%. </w:t>
      </w:r>
    </w:p>
    <w:p w14:paraId="1795DF25" w14:textId="77777777" w:rsidR="006279B5" w:rsidRPr="006279B5" w:rsidRDefault="006279B5" w:rsidP="006279B5">
      <w:pPr>
        <w:jc w:val="both"/>
        <w:rPr>
          <w:rFonts w:ascii="Arial" w:hAnsi="Arial" w:cs="Arial"/>
          <w:lang w:eastAsia="en-US"/>
        </w:rPr>
      </w:pPr>
    </w:p>
    <w:p w14:paraId="6B9E5C84" w14:textId="77777777" w:rsidR="006279B5" w:rsidRPr="006279B5" w:rsidRDefault="006279B5" w:rsidP="006279B5">
      <w:pPr>
        <w:jc w:val="both"/>
        <w:rPr>
          <w:rFonts w:ascii="Arial" w:hAnsi="Arial" w:cs="Arial"/>
          <w:b/>
          <w:lang w:eastAsia="en-US"/>
        </w:rPr>
      </w:pPr>
      <w:r w:rsidRPr="006279B5">
        <w:rPr>
          <w:rFonts w:ascii="Arial" w:hAnsi="Arial" w:cs="Arial"/>
          <w:b/>
          <w:lang w:eastAsia="en-US"/>
        </w:rPr>
        <w:t>John Raisin Financial Services Limited</w:t>
      </w:r>
    </w:p>
    <w:p w14:paraId="35501822" w14:textId="77777777" w:rsidR="006279B5" w:rsidRPr="006279B5" w:rsidRDefault="006279B5" w:rsidP="006279B5">
      <w:pPr>
        <w:jc w:val="both"/>
        <w:rPr>
          <w:rFonts w:ascii="Arial" w:hAnsi="Arial" w:cs="Arial"/>
          <w:b/>
          <w:lang w:eastAsia="en-US"/>
        </w:rPr>
      </w:pPr>
      <w:r w:rsidRPr="006279B5">
        <w:rPr>
          <w:rFonts w:ascii="Arial" w:hAnsi="Arial" w:cs="Arial"/>
          <w:b/>
          <w:lang w:eastAsia="en-US"/>
        </w:rPr>
        <w:t>Independent Advisor</w:t>
      </w:r>
    </w:p>
    <w:p w14:paraId="5CBAA4A5" w14:textId="77777777" w:rsidR="006279B5" w:rsidRDefault="005D4161" w:rsidP="006279B5">
      <w:pPr>
        <w:jc w:val="both"/>
        <w:rPr>
          <w:rFonts w:ascii="Arial" w:hAnsi="Arial" w:cs="Arial"/>
          <w:b/>
          <w:lang w:eastAsia="en-US"/>
        </w:rPr>
      </w:pPr>
      <w:r>
        <w:rPr>
          <w:rFonts w:ascii="Arial" w:hAnsi="Arial" w:cs="Arial"/>
          <w:b/>
          <w:lang w:eastAsia="en-US"/>
        </w:rPr>
        <w:t>27</w:t>
      </w:r>
      <w:r w:rsidR="006279B5" w:rsidRPr="006279B5">
        <w:rPr>
          <w:rFonts w:ascii="Arial" w:hAnsi="Arial" w:cs="Arial"/>
          <w:b/>
          <w:lang w:eastAsia="en-US"/>
        </w:rPr>
        <w:t xml:space="preserve"> </w:t>
      </w:r>
      <w:r>
        <w:rPr>
          <w:rFonts w:ascii="Arial" w:hAnsi="Arial" w:cs="Arial"/>
          <w:b/>
          <w:lang w:eastAsia="en-US"/>
        </w:rPr>
        <w:t>July</w:t>
      </w:r>
      <w:r w:rsidR="006279B5" w:rsidRPr="006279B5">
        <w:rPr>
          <w:rFonts w:ascii="Arial" w:hAnsi="Arial" w:cs="Arial"/>
          <w:b/>
          <w:lang w:eastAsia="en-US"/>
        </w:rPr>
        <w:t xml:space="preserve"> 20</w:t>
      </w:r>
      <w:r>
        <w:rPr>
          <w:rFonts w:ascii="Arial" w:hAnsi="Arial" w:cs="Arial"/>
          <w:b/>
          <w:lang w:eastAsia="en-US"/>
        </w:rPr>
        <w:t>20</w:t>
      </w:r>
    </w:p>
    <w:p w14:paraId="7F4B350A" w14:textId="77777777" w:rsidR="000C463A" w:rsidRDefault="000C463A" w:rsidP="006279B5">
      <w:pPr>
        <w:jc w:val="both"/>
        <w:rPr>
          <w:rFonts w:ascii="Arial" w:hAnsi="Arial" w:cs="Arial"/>
          <w:b/>
          <w:lang w:eastAsia="en-US"/>
        </w:rPr>
      </w:pPr>
    </w:p>
    <w:p w14:paraId="033EBE71" w14:textId="77777777" w:rsidR="000C463A" w:rsidRDefault="000C463A" w:rsidP="006279B5">
      <w:pPr>
        <w:jc w:val="both"/>
        <w:rPr>
          <w:rFonts w:ascii="Arial" w:hAnsi="Arial" w:cs="Arial"/>
          <w:b/>
          <w:lang w:eastAsia="en-US"/>
        </w:rPr>
      </w:pPr>
    </w:p>
    <w:p w14:paraId="191CA7A1" w14:textId="77777777" w:rsidR="000C463A" w:rsidRDefault="000C463A" w:rsidP="006279B5">
      <w:pPr>
        <w:jc w:val="both"/>
        <w:rPr>
          <w:rFonts w:ascii="Arial" w:hAnsi="Arial" w:cs="Arial"/>
          <w:b/>
          <w:lang w:eastAsia="en-US"/>
        </w:rPr>
      </w:pPr>
    </w:p>
    <w:p w14:paraId="7B579644" w14:textId="77777777" w:rsidR="000C463A" w:rsidRDefault="000C463A" w:rsidP="006279B5">
      <w:pPr>
        <w:jc w:val="both"/>
        <w:rPr>
          <w:rFonts w:ascii="Arial" w:hAnsi="Arial" w:cs="Arial"/>
          <w:b/>
          <w:lang w:eastAsia="en-US"/>
        </w:rPr>
      </w:pPr>
    </w:p>
    <w:p w14:paraId="6A2CAA2F" w14:textId="77777777" w:rsidR="000C463A" w:rsidRDefault="000C463A" w:rsidP="006279B5">
      <w:pPr>
        <w:jc w:val="both"/>
        <w:rPr>
          <w:rFonts w:ascii="Arial" w:hAnsi="Arial" w:cs="Arial"/>
          <w:b/>
          <w:lang w:eastAsia="en-US"/>
        </w:rPr>
      </w:pPr>
    </w:p>
    <w:p w14:paraId="4E89B41A" w14:textId="77777777" w:rsidR="000C463A" w:rsidRDefault="000C463A" w:rsidP="006279B5">
      <w:pPr>
        <w:jc w:val="both"/>
        <w:rPr>
          <w:rFonts w:ascii="Arial" w:hAnsi="Arial" w:cs="Arial"/>
          <w:b/>
          <w:lang w:eastAsia="en-US"/>
        </w:rPr>
      </w:pPr>
    </w:p>
    <w:p w14:paraId="13CF19EC" w14:textId="77777777" w:rsidR="000C463A" w:rsidRDefault="000C463A" w:rsidP="006279B5">
      <w:pPr>
        <w:jc w:val="both"/>
        <w:rPr>
          <w:rFonts w:ascii="Arial" w:hAnsi="Arial" w:cs="Arial"/>
          <w:b/>
          <w:lang w:eastAsia="en-US"/>
        </w:rPr>
      </w:pPr>
    </w:p>
    <w:p w14:paraId="0B22295C" w14:textId="77777777" w:rsidR="000C463A" w:rsidRDefault="000C463A" w:rsidP="006279B5">
      <w:pPr>
        <w:jc w:val="both"/>
        <w:rPr>
          <w:rFonts w:ascii="Arial" w:hAnsi="Arial" w:cs="Arial"/>
          <w:b/>
          <w:lang w:eastAsia="en-US"/>
        </w:rPr>
      </w:pPr>
    </w:p>
    <w:p w14:paraId="389971DC" w14:textId="77777777" w:rsidR="000C463A" w:rsidRDefault="000C463A" w:rsidP="006279B5">
      <w:pPr>
        <w:jc w:val="both"/>
        <w:rPr>
          <w:rFonts w:ascii="Arial" w:hAnsi="Arial" w:cs="Arial"/>
          <w:b/>
          <w:lang w:eastAsia="en-US"/>
        </w:rPr>
      </w:pPr>
    </w:p>
    <w:p w14:paraId="71B1CAAD" w14:textId="77777777" w:rsidR="000C463A" w:rsidRDefault="000C463A" w:rsidP="006279B5">
      <w:pPr>
        <w:jc w:val="both"/>
        <w:rPr>
          <w:rFonts w:ascii="Arial" w:hAnsi="Arial" w:cs="Arial"/>
          <w:b/>
          <w:lang w:eastAsia="en-US"/>
        </w:rPr>
      </w:pPr>
    </w:p>
    <w:p w14:paraId="4CB9532C" w14:textId="77777777" w:rsidR="000C463A" w:rsidRDefault="000C463A" w:rsidP="006279B5">
      <w:pPr>
        <w:jc w:val="both"/>
        <w:rPr>
          <w:rFonts w:ascii="Arial" w:hAnsi="Arial" w:cs="Arial"/>
          <w:b/>
          <w:lang w:eastAsia="en-US"/>
        </w:rPr>
      </w:pPr>
    </w:p>
    <w:p w14:paraId="7CB8906E" w14:textId="77777777" w:rsidR="000C463A" w:rsidRDefault="000C463A" w:rsidP="006279B5">
      <w:pPr>
        <w:jc w:val="both"/>
        <w:rPr>
          <w:rFonts w:ascii="Arial" w:hAnsi="Arial" w:cs="Arial"/>
          <w:b/>
          <w:lang w:eastAsia="en-US"/>
        </w:rPr>
      </w:pPr>
    </w:p>
    <w:p w14:paraId="4F89B6CF" w14:textId="77777777" w:rsidR="000C463A" w:rsidRDefault="000C463A" w:rsidP="006279B5">
      <w:pPr>
        <w:jc w:val="both"/>
        <w:rPr>
          <w:rFonts w:ascii="Arial" w:hAnsi="Arial" w:cs="Arial"/>
          <w:b/>
          <w:lang w:eastAsia="en-US"/>
        </w:rPr>
      </w:pPr>
    </w:p>
    <w:p w14:paraId="7136FDEF" w14:textId="77777777" w:rsidR="000C463A" w:rsidRDefault="000C463A" w:rsidP="006279B5">
      <w:pPr>
        <w:jc w:val="both"/>
        <w:rPr>
          <w:rFonts w:ascii="Arial" w:hAnsi="Arial" w:cs="Arial"/>
          <w:b/>
          <w:lang w:eastAsia="en-US"/>
        </w:rPr>
      </w:pPr>
    </w:p>
    <w:p w14:paraId="65B8B8C0" w14:textId="77777777" w:rsidR="000C463A" w:rsidRDefault="000C463A" w:rsidP="006279B5">
      <w:pPr>
        <w:jc w:val="both"/>
        <w:rPr>
          <w:rFonts w:ascii="Arial" w:hAnsi="Arial" w:cs="Arial"/>
          <w:b/>
          <w:lang w:eastAsia="en-US"/>
        </w:rPr>
      </w:pPr>
    </w:p>
    <w:p w14:paraId="7A94928F" w14:textId="77777777" w:rsidR="000C463A" w:rsidRPr="006279B5" w:rsidRDefault="000C463A" w:rsidP="006279B5">
      <w:pPr>
        <w:jc w:val="both"/>
        <w:rPr>
          <w:rFonts w:ascii="Arial" w:hAnsi="Arial" w:cs="Arial"/>
          <w:b/>
          <w:lang w:eastAsia="en-US"/>
        </w:rPr>
      </w:pPr>
    </w:p>
    <w:p w14:paraId="30C77EF9" w14:textId="77777777" w:rsidR="006279B5" w:rsidRPr="006279B5" w:rsidRDefault="006279B5" w:rsidP="006279B5">
      <w:pPr>
        <w:tabs>
          <w:tab w:val="left" w:pos="1830"/>
        </w:tabs>
        <w:rPr>
          <w:rFonts w:ascii="Arial" w:hAnsi="Arial" w:cs="Arial"/>
          <w:color w:val="0070C0"/>
          <w:sz w:val="22"/>
          <w:szCs w:val="22"/>
          <w:lang w:eastAsia="en-US"/>
        </w:rPr>
      </w:pPr>
    </w:p>
    <w:p w14:paraId="705ED638" w14:textId="77777777" w:rsidR="00925F77" w:rsidRDefault="00925F77" w:rsidP="009563C8">
      <w:pPr>
        <w:pStyle w:val="Heading8"/>
      </w:pPr>
      <w:r>
        <w:lastRenderedPageBreak/>
        <w:t>Fund Investment Strategy</w:t>
      </w:r>
    </w:p>
    <w:p w14:paraId="014D124A" w14:textId="77777777" w:rsidR="00085CF2" w:rsidRDefault="00085CF2" w:rsidP="009563C8">
      <w:pPr>
        <w:rPr>
          <w:rFonts w:ascii="Arial" w:hAnsi="Arial" w:cs="Arial"/>
        </w:rPr>
      </w:pPr>
    </w:p>
    <w:p w14:paraId="04C362C0" w14:textId="77777777" w:rsidR="00631BFA" w:rsidRPr="00BD21BB" w:rsidRDefault="007E4288" w:rsidP="00BD21BB">
      <w:pPr>
        <w:jc w:val="both"/>
        <w:rPr>
          <w:rFonts w:ascii="Arial" w:hAnsi="Arial" w:cs="Arial"/>
        </w:rPr>
      </w:pPr>
      <w:r w:rsidRPr="00BD21BB">
        <w:rPr>
          <w:rFonts w:ascii="Arial" w:hAnsi="Arial" w:cs="Arial"/>
        </w:rPr>
        <w:t xml:space="preserve">During the year the fund </w:t>
      </w:r>
      <w:r w:rsidR="00C17FDF">
        <w:rPr>
          <w:rFonts w:ascii="Arial" w:hAnsi="Arial" w:cs="Arial"/>
        </w:rPr>
        <w:t>took</w:t>
      </w:r>
      <w:r w:rsidRPr="00BD21BB">
        <w:rPr>
          <w:rFonts w:ascii="Arial" w:hAnsi="Arial" w:cs="Arial"/>
        </w:rPr>
        <w:t xml:space="preserve"> the following decisions</w:t>
      </w:r>
      <w:r w:rsidR="00C17FDF">
        <w:rPr>
          <w:rFonts w:ascii="Arial" w:hAnsi="Arial" w:cs="Arial"/>
        </w:rPr>
        <w:t xml:space="preserve"> and actions</w:t>
      </w:r>
      <w:r w:rsidRPr="00BD21BB">
        <w:rPr>
          <w:rFonts w:ascii="Arial" w:hAnsi="Arial" w:cs="Arial"/>
        </w:rPr>
        <w:t xml:space="preserve"> in relation to its investment strategy:</w:t>
      </w:r>
    </w:p>
    <w:p w14:paraId="56B00643" w14:textId="77777777" w:rsidR="00FE620E" w:rsidRPr="001A222C" w:rsidRDefault="00FE620E" w:rsidP="00D263A6">
      <w:pPr>
        <w:jc w:val="both"/>
        <w:rPr>
          <w:rFonts w:ascii="Arial" w:hAnsi="Arial" w:cs="Arial"/>
        </w:rPr>
      </w:pPr>
    </w:p>
    <w:p w14:paraId="39ED2B9D" w14:textId="77777777" w:rsidR="00FE620E" w:rsidRDefault="00FE620E" w:rsidP="00D263A6">
      <w:pPr>
        <w:jc w:val="both"/>
        <w:rPr>
          <w:rFonts w:ascii="Arial" w:hAnsi="Arial" w:cs="Arial"/>
        </w:rPr>
      </w:pPr>
      <w:r w:rsidRPr="001A222C">
        <w:rPr>
          <w:rFonts w:ascii="Arial" w:hAnsi="Arial" w:cs="Arial"/>
        </w:rPr>
        <w:t>The fund took the decision to move ahead with an equity protection strategy, appointing L&amp;G as its partner to implement this strateg</w:t>
      </w:r>
      <w:r w:rsidR="001A222C" w:rsidRPr="001A222C">
        <w:rPr>
          <w:rFonts w:ascii="Arial" w:hAnsi="Arial" w:cs="Arial"/>
        </w:rPr>
        <w:t>y. Implementation of this strategy took place during April 2019.</w:t>
      </w:r>
    </w:p>
    <w:p w14:paraId="5AAEF682" w14:textId="77777777" w:rsidR="005D4161" w:rsidRDefault="005D4161" w:rsidP="00D263A6">
      <w:pPr>
        <w:jc w:val="both"/>
        <w:rPr>
          <w:rFonts w:ascii="Arial" w:hAnsi="Arial" w:cs="Arial"/>
        </w:rPr>
      </w:pPr>
    </w:p>
    <w:p w14:paraId="0533B637" w14:textId="77777777" w:rsidR="005D4161" w:rsidRDefault="005D4161" w:rsidP="00D263A6">
      <w:pPr>
        <w:jc w:val="both"/>
        <w:rPr>
          <w:rFonts w:ascii="Arial" w:hAnsi="Arial" w:cs="Arial"/>
        </w:rPr>
      </w:pPr>
      <w:r>
        <w:rPr>
          <w:rFonts w:ascii="Arial" w:hAnsi="Arial" w:cs="Arial"/>
        </w:rPr>
        <w:t>The fund also took the decision to exclude fossil fuel stocks from its UK equity portfolio. Implementation of this decision will take place during the first half year of 2020.</w:t>
      </w:r>
    </w:p>
    <w:p w14:paraId="2BE21F6B" w14:textId="77777777" w:rsidR="00337C32" w:rsidRDefault="00337C32" w:rsidP="00D263A6">
      <w:pPr>
        <w:pStyle w:val="Header"/>
        <w:tabs>
          <w:tab w:val="clear" w:pos="4153"/>
          <w:tab w:val="clear" w:pos="8306"/>
        </w:tabs>
        <w:jc w:val="both"/>
        <w:rPr>
          <w:rFonts w:ascii="Arial" w:hAnsi="Arial" w:cs="Arial"/>
          <w:sz w:val="16"/>
          <w:szCs w:val="16"/>
        </w:rPr>
      </w:pPr>
    </w:p>
    <w:p w14:paraId="1CDC11A2" w14:textId="77777777" w:rsidR="00A543D2" w:rsidRPr="0052077E" w:rsidRDefault="00A543D2" w:rsidP="00D263A6">
      <w:pPr>
        <w:pStyle w:val="Header"/>
        <w:tabs>
          <w:tab w:val="clear" w:pos="4153"/>
          <w:tab w:val="clear" w:pos="8306"/>
        </w:tabs>
        <w:jc w:val="both"/>
        <w:rPr>
          <w:rFonts w:ascii="Arial" w:hAnsi="Arial" w:cs="Arial"/>
          <w:sz w:val="16"/>
          <w:szCs w:val="16"/>
        </w:rPr>
      </w:pPr>
    </w:p>
    <w:p w14:paraId="419D2B73" w14:textId="77777777" w:rsidR="00925F77" w:rsidRDefault="00925F77" w:rsidP="00D263A6">
      <w:pPr>
        <w:jc w:val="both"/>
        <w:rPr>
          <w:rFonts w:ascii="Arial" w:hAnsi="Arial" w:cs="Arial"/>
        </w:rPr>
      </w:pPr>
      <w:r>
        <w:rPr>
          <w:rFonts w:ascii="Arial" w:hAnsi="Arial" w:cs="Arial"/>
        </w:rPr>
        <w:t xml:space="preserve">Table </w:t>
      </w:r>
      <w:r w:rsidR="008F3BDE">
        <w:rPr>
          <w:rFonts w:ascii="Arial" w:hAnsi="Arial" w:cs="Arial"/>
        </w:rPr>
        <w:t>1</w:t>
      </w:r>
      <w:r>
        <w:rPr>
          <w:rFonts w:ascii="Arial" w:hAnsi="Arial" w:cs="Arial"/>
        </w:rPr>
        <w:t xml:space="preserve"> below shows the current and strategic benchmarks.</w:t>
      </w:r>
    </w:p>
    <w:p w14:paraId="4598AC13" w14:textId="77777777" w:rsidR="00925F77" w:rsidRDefault="00925F77" w:rsidP="00D263A6">
      <w:pPr>
        <w:widowControl w:val="0"/>
        <w:jc w:val="both"/>
        <w:rPr>
          <w:rFonts w:ascii="Arial" w:hAnsi="Arial" w:cs="Arial"/>
        </w:rPr>
      </w:pPr>
    </w:p>
    <w:p w14:paraId="0D0E31D1" w14:textId="77777777" w:rsidR="00925F77" w:rsidRDefault="00925F77" w:rsidP="00D263A6">
      <w:pPr>
        <w:pStyle w:val="Heading6"/>
        <w:widowControl w:val="0"/>
        <w:jc w:val="both"/>
        <w:rPr>
          <w:color w:val="336600"/>
        </w:rPr>
      </w:pPr>
      <w:r>
        <w:rPr>
          <w:color w:val="336600"/>
        </w:rPr>
        <w:t xml:space="preserve">Table </w:t>
      </w:r>
      <w:r w:rsidR="008F3BDE">
        <w:rPr>
          <w:color w:val="336600"/>
        </w:rPr>
        <w:t>1</w:t>
      </w:r>
      <w:r>
        <w:rPr>
          <w:color w:val="336600"/>
        </w:rPr>
        <w:t xml:space="preserve"> </w:t>
      </w:r>
    </w:p>
    <w:p w14:paraId="7499DB64" w14:textId="77777777" w:rsidR="00925F77" w:rsidRDefault="00925F77" w:rsidP="00D263A6">
      <w:pPr>
        <w:widowControl w:val="0"/>
        <w:jc w:val="both"/>
        <w:rPr>
          <w:rFonts w:ascii="Arial" w:hAnsi="Arial" w:cs="Arial"/>
          <w:i/>
        </w:rPr>
      </w:pPr>
    </w:p>
    <w:tbl>
      <w:tblPr>
        <w:tblW w:w="0" w:type="auto"/>
        <w:tblInd w:w="1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590"/>
        <w:gridCol w:w="1946"/>
        <w:gridCol w:w="1985"/>
      </w:tblGrid>
      <w:tr w:rsidR="00B834D0" w14:paraId="2C4B0594" w14:textId="77777777" w:rsidTr="00CF6273">
        <w:tc>
          <w:tcPr>
            <w:tcW w:w="2590" w:type="dxa"/>
          </w:tcPr>
          <w:p w14:paraId="4D827B92" w14:textId="77777777" w:rsidR="00B834D0" w:rsidRDefault="00B834D0" w:rsidP="00D263A6">
            <w:pPr>
              <w:widowControl w:val="0"/>
              <w:jc w:val="both"/>
              <w:rPr>
                <w:rFonts w:ascii="Arial" w:hAnsi="Arial" w:cs="Arial"/>
                <w:b/>
              </w:rPr>
            </w:pPr>
            <w:r>
              <w:rPr>
                <w:rFonts w:ascii="Arial" w:hAnsi="Arial" w:cs="Arial"/>
                <w:b/>
              </w:rPr>
              <w:t>Manager</w:t>
            </w:r>
          </w:p>
        </w:tc>
        <w:tc>
          <w:tcPr>
            <w:tcW w:w="1946" w:type="dxa"/>
          </w:tcPr>
          <w:p w14:paraId="21CB6DC7" w14:textId="77777777" w:rsidR="00B834D0" w:rsidRDefault="00B834D0" w:rsidP="00D263A6">
            <w:pPr>
              <w:tabs>
                <w:tab w:val="left" w:pos="1440"/>
              </w:tabs>
              <w:ind w:right="-766"/>
              <w:jc w:val="both"/>
              <w:rPr>
                <w:rFonts w:ascii="Arial" w:hAnsi="Arial" w:cs="Arial"/>
                <w:b/>
              </w:rPr>
            </w:pPr>
            <w:r>
              <w:rPr>
                <w:rFonts w:ascii="Arial" w:hAnsi="Arial" w:cs="Arial"/>
                <w:b/>
              </w:rPr>
              <w:t>Benchmark</w:t>
            </w:r>
          </w:p>
          <w:p w14:paraId="143F27B0" w14:textId="77777777" w:rsidR="00B834D0" w:rsidRDefault="00B834D0" w:rsidP="00D263A6">
            <w:pPr>
              <w:tabs>
                <w:tab w:val="left" w:pos="1440"/>
              </w:tabs>
              <w:ind w:right="-766"/>
              <w:jc w:val="both"/>
              <w:rPr>
                <w:rFonts w:ascii="Arial" w:hAnsi="Arial" w:cs="Arial"/>
                <w:b/>
              </w:rPr>
            </w:pPr>
            <w:r>
              <w:rPr>
                <w:rFonts w:ascii="Arial" w:hAnsi="Arial" w:cs="Arial"/>
                <w:b/>
              </w:rPr>
              <w:t>Weightings</w:t>
            </w:r>
          </w:p>
          <w:p w14:paraId="55E24DD9" w14:textId="77777777" w:rsidR="00B834D0" w:rsidRDefault="00B834D0" w:rsidP="00D263A6">
            <w:pPr>
              <w:tabs>
                <w:tab w:val="left" w:pos="1440"/>
              </w:tabs>
              <w:ind w:right="-766"/>
              <w:jc w:val="both"/>
              <w:rPr>
                <w:rFonts w:ascii="Arial" w:hAnsi="Arial" w:cs="Arial"/>
                <w:b/>
              </w:rPr>
            </w:pPr>
            <w:r>
              <w:rPr>
                <w:rFonts w:ascii="Arial" w:hAnsi="Arial" w:cs="Arial"/>
                <w:b/>
              </w:rPr>
              <w:t>Current (%)</w:t>
            </w:r>
          </w:p>
        </w:tc>
        <w:tc>
          <w:tcPr>
            <w:tcW w:w="1985" w:type="dxa"/>
          </w:tcPr>
          <w:p w14:paraId="65D15F89" w14:textId="77777777" w:rsidR="00B834D0" w:rsidRDefault="008D2D93" w:rsidP="008D2D93">
            <w:pPr>
              <w:widowControl w:val="0"/>
              <w:jc w:val="both"/>
              <w:rPr>
                <w:rFonts w:ascii="Arial" w:hAnsi="Arial" w:cs="Arial"/>
                <w:b/>
              </w:rPr>
            </w:pPr>
            <w:r>
              <w:rPr>
                <w:rFonts w:ascii="Arial" w:hAnsi="Arial" w:cs="Arial"/>
                <w:b/>
              </w:rPr>
              <w:t>Strategic</w:t>
            </w:r>
            <w:r w:rsidR="00145343">
              <w:rPr>
                <w:rFonts w:ascii="Arial" w:hAnsi="Arial" w:cs="Arial"/>
                <w:b/>
              </w:rPr>
              <w:t xml:space="preserve"> Benchmark </w:t>
            </w:r>
            <w:proofErr w:type="gramStart"/>
            <w:r w:rsidR="00145343">
              <w:rPr>
                <w:rFonts w:ascii="Arial" w:hAnsi="Arial" w:cs="Arial"/>
                <w:b/>
              </w:rPr>
              <w:t xml:space="preserve">Weightings </w:t>
            </w:r>
            <w:r w:rsidR="00B834D0">
              <w:rPr>
                <w:rFonts w:ascii="Arial" w:hAnsi="Arial" w:cs="Arial"/>
                <w:b/>
              </w:rPr>
              <w:t xml:space="preserve"> (</w:t>
            </w:r>
            <w:proofErr w:type="gramEnd"/>
            <w:r w:rsidR="00B834D0">
              <w:rPr>
                <w:rFonts w:ascii="Arial" w:hAnsi="Arial" w:cs="Arial"/>
                <w:b/>
              </w:rPr>
              <w:t>%)</w:t>
            </w:r>
          </w:p>
        </w:tc>
      </w:tr>
      <w:tr w:rsidR="00B834D0" w14:paraId="5165E06A" w14:textId="77777777" w:rsidTr="00CF6273">
        <w:tc>
          <w:tcPr>
            <w:tcW w:w="2590" w:type="dxa"/>
          </w:tcPr>
          <w:p w14:paraId="5521CD70" w14:textId="77777777" w:rsidR="00B834D0" w:rsidRDefault="00B834D0" w:rsidP="00D263A6">
            <w:pPr>
              <w:tabs>
                <w:tab w:val="left" w:pos="1440"/>
              </w:tabs>
              <w:ind w:right="-766"/>
              <w:jc w:val="both"/>
              <w:rPr>
                <w:rFonts w:ascii="Arial" w:hAnsi="Arial" w:cs="Arial"/>
              </w:rPr>
            </w:pPr>
            <w:r>
              <w:rPr>
                <w:rFonts w:ascii="Arial" w:hAnsi="Arial" w:cs="Arial"/>
              </w:rPr>
              <w:t>Equities</w:t>
            </w:r>
          </w:p>
        </w:tc>
        <w:tc>
          <w:tcPr>
            <w:tcW w:w="1946" w:type="dxa"/>
          </w:tcPr>
          <w:p w14:paraId="0CD33741" w14:textId="77777777" w:rsidR="00B834D0" w:rsidRPr="0054330B" w:rsidRDefault="003932B8" w:rsidP="00BA7C21">
            <w:pPr>
              <w:tabs>
                <w:tab w:val="left" w:pos="1440"/>
              </w:tabs>
              <w:ind w:right="-766"/>
              <w:jc w:val="center"/>
              <w:rPr>
                <w:rFonts w:ascii="Arial" w:hAnsi="Arial" w:cs="Arial"/>
              </w:rPr>
            </w:pPr>
            <w:r>
              <w:rPr>
                <w:rFonts w:ascii="Arial" w:hAnsi="Arial" w:cs="Arial"/>
              </w:rPr>
              <w:t>5</w:t>
            </w:r>
            <w:r w:rsidR="008F3BDE">
              <w:rPr>
                <w:rFonts w:ascii="Arial" w:hAnsi="Arial" w:cs="Arial"/>
              </w:rPr>
              <w:t>9</w:t>
            </w:r>
            <w:r w:rsidR="00ED40F3">
              <w:rPr>
                <w:rFonts w:ascii="Arial" w:hAnsi="Arial" w:cs="Arial"/>
              </w:rPr>
              <w:t>.</w:t>
            </w:r>
            <w:r w:rsidR="008F3BDE">
              <w:rPr>
                <w:rFonts w:ascii="Arial" w:hAnsi="Arial" w:cs="Arial"/>
              </w:rPr>
              <w:t>7</w:t>
            </w:r>
          </w:p>
        </w:tc>
        <w:tc>
          <w:tcPr>
            <w:tcW w:w="1985" w:type="dxa"/>
          </w:tcPr>
          <w:p w14:paraId="1DFB6BDE" w14:textId="77777777" w:rsidR="00B834D0" w:rsidRDefault="008D2D93" w:rsidP="00BA7C21">
            <w:pPr>
              <w:tabs>
                <w:tab w:val="left" w:pos="1440"/>
              </w:tabs>
              <w:ind w:right="-766"/>
              <w:jc w:val="center"/>
              <w:rPr>
                <w:rFonts w:ascii="Arial" w:hAnsi="Arial" w:cs="Arial"/>
              </w:rPr>
            </w:pPr>
            <w:r>
              <w:rPr>
                <w:rFonts w:ascii="Arial" w:hAnsi="Arial" w:cs="Arial"/>
              </w:rPr>
              <w:t>60</w:t>
            </w:r>
          </w:p>
        </w:tc>
      </w:tr>
      <w:tr w:rsidR="00B834D0" w14:paraId="37EF2194" w14:textId="77777777" w:rsidTr="00CF6273">
        <w:tc>
          <w:tcPr>
            <w:tcW w:w="2590" w:type="dxa"/>
          </w:tcPr>
          <w:p w14:paraId="4C5F2843" w14:textId="77777777" w:rsidR="00B834D0" w:rsidRDefault="008F3BDE" w:rsidP="008D2D93">
            <w:pPr>
              <w:tabs>
                <w:tab w:val="left" w:pos="1440"/>
              </w:tabs>
              <w:ind w:right="-766"/>
              <w:jc w:val="both"/>
              <w:rPr>
                <w:rFonts w:ascii="Arial" w:hAnsi="Arial" w:cs="Arial"/>
              </w:rPr>
            </w:pPr>
            <w:r>
              <w:rPr>
                <w:rFonts w:ascii="Arial" w:hAnsi="Arial" w:cs="Arial"/>
              </w:rPr>
              <w:t>Equity Protection</w:t>
            </w:r>
          </w:p>
        </w:tc>
        <w:tc>
          <w:tcPr>
            <w:tcW w:w="1946" w:type="dxa"/>
          </w:tcPr>
          <w:p w14:paraId="79985F70" w14:textId="77777777" w:rsidR="00B834D0" w:rsidRPr="0054330B" w:rsidRDefault="00BA7C21" w:rsidP="00BA7C21">
            <w:pPr>
              <w:tabs>
                <w:tab w:val="left" w:pos="1440"/>
              </w:tabs>
              <w:ind w:right="-766"/>
              <w:jc w:val="center"/>
              <w:rPr>
                <w:rFonts w:ascii="Arial" w:hAnsi="Arial" w:cs="Arial"/>
              </w:rPr>
            </w:pPr>
            <w:r>
              <w:rPr>
                <w:rFonts w:ascii="Arial" w:hAnsi="Arial" w:cs="Arial"/>
              </w:rPr>
              <w:t>1</w:t>
            </w:r>
            <w:r w:rsidR="008F3BDE">
              <w:rPr>
                <w:rFonts w:ascii="Arial" w:hAnsi="Arial" w:cs="Arial"/>
              </w:rPr>
              <w:t>8</w:t>
            </w:r>
            <w:r>
              <w:rPr>
                <w:rFonts w:ascii="Arial" w:hAnsi="Arial" w:cs="Arial"/>
              </w:rPr>
              <w:t>.</w:t>
            </w:r>
            <w:r w:rsidR="008F3BDE">
              <w:rPr>
                <w:rFonts w:ascii="Arial" w:hAnsi="Arial" w:cs="Arial"/>
              </w:rPr>
              <w:t>2</w:t>
            </w:r>
          </w:p>
        </w:tc>
        <w:tc>
          <w:tcPr>
            <w:tcW w:w="1985" w:type="dxa"/>
          </w:tcPr>
          <w:p w14:paraId="6592485E" w14:textId="77777777" w:rsidR="00B834D0" w:rsidRDefault="008D2D93" w:rsidP="00BA7C21">
            <w:pPr>
              <w:tabs>
                <w:tab w:val="left" w:pos="1440"/>
              </w:tabs>
              <w:ind w:right="-766"/>
              <w:jc w:val="center"/>
              <w:rPr>
                <w:rFonts w:ascii="Arial" w:hAnsi="Arial" w:cs="Arial"/>
              </w:rPr>
            </w:pPr>
            <w:r>
              <w:rPr>
                <w:rFonts w:ascii="Arial" w:hAnsi="Arial" w:cs="Arial"/>
              </w:rPr>
              <w:t>15</w:t>
            </w:r>
          </w:p>
        </w:tc>
      </w:tr>
      <w:tr w:rsidR="00B834D0" w14:paraId="03BC3E5B" w14:textId="77777777" w:rsidTr="00CF6273">
        <w:tc>
          <w:tcPr>
            <w:tcW w:w="2590" w:type="dxa"/>
          </w:tcPr>
          <w:p w14:paraId="6BE80607" w14:textId="77777777" w:rsidR="00B834D0" w:rsidRDefault="008D2D93" w:rsidP="00D263A6">
            <w:pPr>
              <w:tabs>
                <w:tab w:val="left" w:pos="1440"/>
              </w:tabs>
              <w:ind w:right="-766"/>
              <w:jc w:val="both"/>
              <w:rPr>
                <w:rFonts w:ascii="Arial" w:hAnsi="Arial" w:cs="Arial"/>
              </w:rPr>
            </w:pPr>
            <w:r w:rsidRPr="008D2D93">
              <w:rPr>
                <w:rFonts w:ascii="Arial" w:hAnsi="Arial" w:cs="Arial"/>
              </w:rPr>
              <w:t>Property</w:t>
            </w:r>
          </w:p>
        </w:tc>
        <w:tc>
          <w:tcPr>
            <w:tcW w:w="1946" w:type="dxa"/>
          </w:tcPr>
          <w:p w14:paraId="3F3C1D86" w14:textId="77777777" w:rsidR="00B834D0" w:rsidRPr="0054330B" w:rsidRDefault="00BA7C21" w:rsidP="00BA7C21">
            <w:pPr>
              <w:tabs>
                <w:tab w:val="left" w:pos="1440"/>
              </w:tabs>
              <w:ind w:right="-766"/>
              <w:jc w:val="center"/>
              <w:rPr>
                <w:rFonts w:ascii="Arial" w:hAnsi="Arial" w:cs="Arial"/>
              </w:rPr>
            </w:pPr>
            <w:r>
              <w:rPr>
                <w:rFonts w:ascii="Arial" w:hAnsi="Arial" w:cs="Arial"/>
              </w:rPr>
              <w:t>9.</w:t>
            </w:r>
            <w:r w:rsidR="008F3BDE">
              <w:rPr>
                <w:rFonts w:ascii="Arial" w:hAnsi="Arial" w:cs="Arial"/>
              </w:rPr>
              <w:t>8</w:t>
            </w:r>
          </w:p>
        </w:tc>
        <w:tc>
          <w:tcPr>
            <w:tcW w:w="1985" w:type="dxa"/>
          </w:tcPr>
          <w:p w14:paraId="00457593" w14:textId="77777777" w:rsidR="00B834D0" w:rsidRDefault="008D2D93" w:rsidP="00BA7C21">
            <w:pPr>
              <w:tabs>
                <w:tab w:val="left" w:pos="1440"/>
              </w:tabs>
              <w:ind w:right="-766"/>
              <w:jc w:val="center"/>
              <w:rPr>
                <w:rFonts w:ascii="Arial" w:hAnsi="Arial" w:cs="Arial"/>
              </w:rPr>
            </w:pPr>
            <w:r>
              <w:rPr>
                <w:rFonts w:ascii="Arial" w:hAnsi="Arial" w:cs="Arial"/>
              </w:rPr>
              <w:t>8</w:t>
            </w:r>
          </w:p>
        </w:tc>
      </w:tr>
      <w:tr w:rsidR="00B834D0" w14:paraId="6897F4A9" w14:textId="77777777" w:rsidTr="00CF6273">
        <w:tc>
          <w:tcPr>
            <w:tcW w:w="2590" w:type="dxa"/>
          </w:tcPr>
          <w:p w14:paraId="67B0D424" w14:textId="77777777" w:rsidR="00B834D0" w:rsidRDefault="008D2D93" w:rsidP="008D2D93">
            <w:pPr>
              <w:tabs>
                <w:tab w:val="left" w:pos="1440"/>
              </w:tabs>
              <w:ind w:right="-766"/>
              <w:jc w:val="both"/>
              <w:rPr>
                <w:rFonts w:ascii="Arial" w:hAnsi="Arial" w:cs="Arial"/>
              </w:rPr>
            </w:pPr>
            <w:r>
              <w:rPr>
                <w:rFonts w:ascii="Arial" w:hAnsi="Arial" w:cs="Arial"/>
              </w:rPr>
              <w:t>Alternatives</w:t>
            </w:r>
          </w:p>
        </w:tc>
        <w:tc>
          <w:tcPr>
            <w:tcW w:w="1946" w:type="dxa"/>
          </w:tcPr>
          <w:p w14:paraId="05C7624D" w14:textId="77777777" w:rsidR="00B834D0" w:rsidRPr="0054330B" w:rsidRDefault="00ED40F3" w:rsidP="00BA7C21">
            <w:pPr>
              <w:tabs>
                <w:tab w:val="left" w:pos="1440"/>
              </w:tabs>
              <w:ind w:right="-766"/>
              <w:jc w:val="center"/>
              <w:rPr>
                <w:rFonts w:ascii="Arial" w:hAnsi="Arial" w:cs="Arial"/>
              </w:rPr>
            </w:pPr>
            <w:r>
              <w:rPr>
                <w:rFonts w:ascii="Arial" w:hAnsi="Arial" w:cs="Arial"/>
              </w:rPr>
              <w:t>1</w:t>
            </w:r>
            <w:r w:rsidR="008F3BDE">
              <w:rPr>
                <w:rFonts w:ascii="Arial" w:hAnsi="Arial" w:cs="Arial"/>
              </w:rPr>
              <w:t>1</w:t>
            </w:r>
            <w:r w:rsidR="00BA7C21">
              <w:rPr>
                <w:rFonts w:ascii="Arial" w:hAnsi="Arial" w:cs="Arial"/>
              </w:rPr>
              <w:t>.</w:t>
            </w:r>
            <w:r w:rsidR="008F3BDE">
              <w:rPr>
                <w:rFonts w:ascii="Arial" w:hAnsi="Arial" w:cs="Arial"/>
              </w:rPr>
              <w:t>9</w:t>
            </w:r>
          </w:p>
        </w:tc>
        <w:tc>
          <w:tcPr>
            <w:tcW w:w="1985" w:type="dxa"/>
          </w:tcPr>
          <w:p w14:paraId="4D12E2E9" w14:textId="77777777" w:rsidR="00B834D0" w:rsidRDefault="008D2D93" w:rsidP="00BA7C21">
            <w:pPr>
              <w:tabs>
                <w:tab w:val="left" w:pos="1440"/>
              </w:tabs>
              <w:ind w:right="-766"/>
              <w:jc w:val="center"/>
              <w:rPr>
                <w:rFonts w:ascii="Arial" w:hAnsi="Arial" w:cs="Arial"/>
              </w:rPr>
            </w:pPr>
            <w:r>
              <w:rPr>
                <w:rFonts w:ascii="Arial" w:hAnsi="Arial" w:cs="Arial"/>
              </w:rPr>
              <w:t>17</w:t>
            </w:r>
          </w:p>
        </w:tc>
      </w:tr>
      <w:tr w:rsidR="000A3FDC" w14:paraId="764DDB27" w14:textId="77777777" w:rsidTr="00CF6273">
        <w:tc>
          <w:tcPr>
            <w:tcW w:w="2590" w:type="dxa"/>
          </w:tcPr>
          <w:p w14:paraId="2891E671" w14:textId="77777777" w:rsidR="000A3FDC" w:rsidRDefault="000A3FDC" w:rsidP="00D263A6">
            <w:pPr>
              <w:tabs>
                <w:tab w:val="left" w:pos="1440"/>
              </w:tabs>
              <w:ind w:right="-766"/>
              <w:jc w:val="both"/>
              <w:rPr>
                <w:rFonts w:ascii="Arial" w:hAnsi="Arial" w:cs="Arial"/>
              </w:rPr>
            </w:pPr>
            <w:r>
              <w:rPr>
                <w:rFonts w:ascii="Arial" w:hAnsi="Arial" w:cs="Arial"/>
              </w:rPr>
              <w:t>Cash</w:t>
            </w:r>
          </w:p>
        </w:tc>
        <w:tc>
          <w:tcPr>
            <w:tcW w:w="1946" w:type="dxa"/>
          </w:tcPr>
          <w:p w14:paraId="004237E0" w14:textId="77777777" w:rsidR="000A3FDC" w:rsidRPr="0054330B" w:rsidRDefault="008F3BDE" w:rsidP="00BA7C21">
            <w:pPr>
              <w:tabs>
                <w:tab w:val="left" w:pos="1440"/>
              </w:tabs>
              <w:ind w:right="-766"/>
              <w:jc w:val="center"/>
              <w:rPr>
                <w:rFonts w:ascii="Arial" w:hAnsi="Arial" w:cs="Arial"/>
              </w:rPr>
            </w:pPr>
            <w:r>
              <w:rPr>
                <w:rFonts w:ascii="Arial" w:hAnsi="Arial" w:cs="Arial"/>
              </w:rPr>
              <w:t>0</w:t>
            </w:r>
            <w:r w:rsidR="003932B8">
              <w:rPr>
                <w:rFonts w:ascii="Arial" w:hAnsi="Arial" w:cs="Arial"/>
              </w:rPr>
              <w:t>.</w:t>
            </w:r>
            <w:r>
              <w:rPr>
                <w:rFonts w:ascii="Arial" w:hAnsi="Arial" w:cs="Arial"/>
              </w:rPr>
              <w:t>4</w:t>
            </w:r>
          </w:p>
        </w:tc>
        <w:tc>
          <w:tcPr>
            <w:tcW w:w="1985" w:type="dxa"/>
          </w:tcPr>
          <w:p w14:paraId="0766300B" w14:textId="77777777" w:rsidR="000A3FDC" w:rsidRDefault="000A3FDC" w:rsidP="00BA7C21">
            <w:pPr>
              <w:tabs>
                <w:tab w:val="left" w:pos="1440"/>
              </w:tabs>
              <w:ind w:right="-766"/>
              <w:jc w:val="center"/>
              <w:rPr>
                <w:rFonts w:ascii="Arial" w:hAnsi="Arial" w:cs="Arial"/>
              </w:rPr>
            </w:pPr>
            <w:r>
              <w:rPr>
                <w:rFonts w:ascii="Arial" w:hAnsi="Arial" w:cs="Arial"/>
              </w:rPr>
              <w:t>0</w:t>
            </w:r>
            <w:r w:rsidR="004335C1">
              <w:rPr>
                <w:rFonts w:ascii="Arial" w:hAnsi="Arial" w:cs="Arial"/>
              </w:rPr>
              <w:t>.0</w:t>
            </w:r>
          </w:p>
        </w:tc>
      </w:tr>
      <w:tr w:rsidR="00B834D0" w14:paraId="3DD10DB2" w14:textId="77777777" w:rsidTr="00CF6273">
        <w:tc>
          <w:tcPr>
            <w:tcW w:w="2590" w:type="dxa"/>
          </w:tcPr>
          <w:p w14:paraId="23DD687D" w14:textId="77777777" w:rsidR="00B834D0" w:rsidRDefault="00B834D0" w:rsidP="00D263A6">
            <w:pPr>
              <w:tabs>
                <w:tab w:val="left" w:pos="1440"/>
              </w:tabs>
              <w:ind w:right="-766"/>
              <w:jc w:val="both"/>
              <w:rPr>
                <w:rFonts w:ascii="Arial" w:hAnsi="Arial" w:cs="Arial"/>
              </w:rPr>
            </w:pPr>
          </w:p>
        </w:tc>
        <w:tc>
          <w:tcPr>
            <w:tcW w:w="1946" w:type="dxa"/>
          </w:tcPr>
          <w:p w14:paraId="7FFE3B61" w14:textId="77777777" w:rsidR="00B834D0" w:rsidRPr="0054330B" w:rsidRDefault="00B834D0" w:rsidP="00BA7C21">
            <w:pPr>
              <w:tabs>
                <w:tab w:val="left" w:pos="1440"/>
              </w:tabs>
              <w:ind w:right="-766"/>
              <w:jc w:val="center"/>
              <w:rPr>
                <w:rFonts w:ascii="Arial" w:hAnsi="Arial" w:cs="Arial"/>
              </w:rPr>
            </w:pPr>
            <w:r w:rsidRPr="0054330B">
              <w:rPr>
                <w:rFonts w:ascii="Arial" w:hAnsi="Arial" w:cs="Arial"/>
              </w:rPr>
              <w:t>100</w:t>
            </w:r>
            <w:r w:rsidR="00BA7C21">
              <w:rPr>
                <w:rFonts w:ascii="Arial" w:hAnsi="Arial" w:cs="Arial"/>
              </w:rPr>
              <w:t>.00</w:t>
            </w:r>
          </w:p>
        </w:tc>
        <w:tc>
          <w:tcPr>
            <w:tcW w:w="1985" w:type="dxa"/>
          </w:tcPr>
          <w:p w14:paraId="5738EC60" w14:textId="77777777" w:rsidR="00B834D0" w:rsidRDefault="00B834D0" w:rsidP="00BA7C21">
            <w:pPr>
              <w:tabs>
                <w:tab w:val="left" w:pos="1440"/>
              </w:tabs>
              <w:ind w:right="-766"/>
              <w:jc w:val="center"/>
              <w:rPr>
                <w:rFonts w:ascii="Arial" w:hAnsi="Arial" w:cs="Arial"/>
              </w:rPr>
            </w:pPr>
            <w:r>
              <w:rPr>
                <w:rFonts w:ascii="Arial" w:hAnsi="Arial" w:cs="Arial"/>
              </w:rPr>
              <w:t>100</w:t>
            </w:r>
            <w:r w:rsidR="00BA7C21">
              <w:rPr>
                <w:rFonts w:ascii="Arial" w:hAnsi="Arial" w:cs="Arial"/>
              </w:rPr>
              <w:t>.00</w:t>
            </w:r>
          </w:p>
        </w:tc>
      </w:tr>
    </w:tbl>
    <w:p w14:paraId="180731F2" w14:textId="77777777" w:rsidR="00925F77" w:rsidRDefault="00925F77" w:rsidP="00D263A6">
      <w:pPr>
        <w:widowControl w:val="0"/>
        <w:jc w:val="both"/>
        <w:rPr>
          <w:rFonts w:ascii="Arial" w:hAnsi="Arial" w:cs="Arial"/>
        </w:rPr>
      </w:pPr>
    </w:p>
    <w:p w14:paraId="6713C0F1" w14:textId="77777777" w:rsidR="00925F77" w:rsidRDefault="00925F77" w:rsidP="00D263A6">
      <w:pPr>
        <w:jc w:val="both"/>
        <w:rPr>
          <w:rFonts w:ascii="Arial" w:hAnsi="Arial" w:cs="Arial"/>
        </w:rPr>
      </w:pPr>
      <w:r>
        <w:rPr>
          <w:rFonts w:ascii="Arial" w:hAnsi="Arial" w:cs="Arial"/>
        </w:rPr>
        <w:t>A summary of the resulting distribution of fund assets as at 31 March 20</w:t>
      </w:r>
      <w:r w:rsidR="005D4161">
        <w:rPr>
          <w:rFonts w:ascii="Arial" w:hAnsi="Arial" w:cs="Arial"/>
        </w:rPr>
        <w:t>20</w:t>
      </w:r>
      <w:r w:rsidR="00B11969">
        <w:rPr>
          <w:rFonts w:ascii="Arial" w:hAnsi="Arial" w:cs="Arial"/>
        </w:rPr>
        <w:t xml:space="preserve"> and March 201</w:t>
      </w:r>
      <w:r w:rsidR="005D4161">
        <w:rPr>
          <w:rFonts w:ascii="Arial" w:hAnsi="Arial" w:cs="Arial"/>
        </w:rPr>
        <w:t>9</w:t>
      </w:r>
      <w:r>
        <w:rPr>
          <w:rFonts w:ascii="Arial" w:hAnsi="Arial" w:cs="Arial"/>
        </w:rPr>
        <w:t xml:space="preserve"> is shown in Table </w:t>
      </w:r>
      <w:r w:rsidR="00B11969">
        <w:rPr>
          <w:rFonts w:ascii="Arial" w:hAnsi="Arial" w:cs="Arial"/>
        </w:rPr>
        <w:t>3</w:t>
      </w:r>
      <w:r>
        <w:rPr>
          <w:rFonts w:ascii="Arial" w:hAnsi="Arial" w:cs="Arial"/>
        </w:rPr>
        <w:t xml:space="preserve"> below.</w:t>
      </w:r>
      <w:r w:rsidR="009F6DAC">
        <w:rPr>
          <w:rFonts w:ascii="Arial" w:hAnsi="Arial" w:cs="Arial"/>
        </w:rPr>
        <w:t xml:space="preserve"> </w:t>
      </w:r>
    </w:p>
    <w:p w14:paraId="7BDDC7F2" w14:textId="77777777" w:rsidR="00A543D2" w:rsidRDefault="00A543D2" w:rsidP="00D263A6">
      <w:pPr>
        <w:jc w:val="both"/>
        <w:rPr>
          <w:rFonts w:ascii="Arial" w:hAnsi="Arial" w:cs="Arial"/>
        </w:rPr>
      </w:pPr>
    </w:p>
    <w:p w14:paraId="064C8C6C" w14:textId="77777777" w:rsidR="00925F77" w:rsidRDefault="00925F77" w:rsidP="00D263A6">
      <w:pPr>
        <w:pStyle w:val="Heading6"/>
        <w:jc w:val="both"/>
        <w:rPr>
          <w:color w:val="336600"/>
        </w:rPr>
      </w:pPr>
      <w:r>
        <w:rPr>
          <w:color w:val="336600"/>
        </w:rPr>
        <w:t xml:space="preserve">Table </w:t>
      </w:r>
      <w:r w:rsidR="00CE7373">
        <w:rPr>
          <w:color w:val="336600"/>
        </w:rPr>
        <w:t>2</w:t>
      </w:r>
      <w:r>
        <w:rPr>
          <w:color w:val="336600"/>
        </w:rPr>
        <w:t xml:space="preserve"> - Summary of Fund Investment Assets as at 31 March 20</w:t>
      </w:r>
      <w:r w:rsidR="00367609">
        <w:rPr>
          <w:color w:val="336600"/>
        </w:rPr>
        <w:t>20</w:t>
      </w:r>
      <w:r w:rsidR="00CE0F25">
        <w:rPr>
          <w:color w:val="336600"/>
        </w:rPr>
        <w:t xml:space="preserve"> and 201</w:t>
      </w:r>
      <w:r w:rsidR="00367609">
        <w:rPr>
          <w:color w:val="336600"/>
        </w:rPr>
        <w:t>9</w:t>
      </w:r>
    </w:p>
    <w:p w14:paraId="41B3C84D" w14:textId="77777777" w:rsidR="00925F77" w:rsidRDefault="00925F77" w:rsidP="00D263A6">
      <w:pPr>
        <w:jc w:val="both"/>
        <w:rPr>
          <w:rFonts w:ascii="Arial" w:hAnsi="Arial" w:cs="Arial"/>
        </w:rPr>
      </w:pPr>
    </w:p>
    <w:tbl>
      <w:tblPr>
        <w:tblW w:w="9690" w:type="dxa"/>
        <w:tblInd w:w="-510"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894"/>
        <w:gridCol w:w="1701"/>
        <w:gridCol w:w="1559"/>
        <w:gridCol w:w="1418"/>
        <w:gridCol w:w="1559"/>
        <w:gridCol w:w="1559"/>
      </w:tblGrid>
      <w:tr w:rsidR="003932B8" w14:paraId="635BDE8F" w14:textId="77777777" w:rsidTr="003932B8">
        <w:trPr>
          <w:trHeight w:val="950"/>
        </w:trPr>
        <w:tc>
          <w:tcPr>
            <w:tcW w:w="1894" w:type="dxa"/>
          </w:tcPr>
          <w:p w14:paraId="29180D3D" w14:textId="77777777" w:rsidR="003932B8" w:rsidRDefault="003932B8" w:rsidP="003932B8">
            <w:pPr>
              <w:jc w:val="both"/>
              <w:rPr>
                <w:rFonts w:ascii="Arial" w:hAnsi="Arial" w:cs="Arial"/>
                <w:b/>
                <w:sz w:val="20"/>
                <w:szCs w:val="20"/>
              </w:rPr>
            </w:pPr>
            <w:r>
              <w:rPr>
                <w:rFonts w:ascii="Arial" w:hAnsi="Arial" w:cs="Arial"/>
                <w:b/>
                <w:sz w:val="20"/>
                <w:szCs w:val="20"/>
              </w:rPr>
              <w:t>Manager</w:t>
            </w:r>
          </w:p>
        </w:tc>
        <w:tc>
          <w:tcPr>
            <w:tcW w:w="1701" w:type="dxa"/>
          </w:tcPr>
          <w:p w14:paraId="1AC099C8" w14:textId="77777777" w:rsidR="003932B8" w:rsidRDefault="003932B8" w:rsidP="003932B8">
            <w:pPr>
              <w:jc w:val="both"/>
              <w:rPr>
                <w:rFonts w:ascii="Arial" w:hAnsi="Arial" w:cs="Arial"/>
                <w:b/>
                <w:sz w:val="20"/>
                <w:szCs w:val="20"/>
              </w:rPr>
            </w:pPr>
            <w:r>
              <w:rPr>
                <w:rFonts w:ascii="Arial" w:hAnsi="Arial" w:cs="Arial"/>
                <w:b/>
                <w:sz w:val="20"/>
                <w:szCs w:val="20"/>
              </w:rPr>
              <w:t>Asset Class</w:t>
            </w:r>
          </w:p>
        </w:tc>
        <w:tc>
          <w:tcPr>
            <w:tcW w:w="1559" w:type="dxa"/>
          </w:tcPr>
          <w:p w14:paraId="69D83F1B" w14:textId="77777777" w:rsidR="003932B8" w:rsidRDefault="003932B8" w:rsidP="003932B8">
            <w:pPr>
              <w:jc w:val="both"/>
              <w:rPr>
                <w:rFonts w:ascii="Arial" w:hAnsi="Arial" w:cs="Arial"/>
                <w:b/>
                <w:sz w:val="20"/>
                <w:szCs w:val="20"/>
              </w:rPr>
            </w:pPr>
            <w:r>
              <w:rPr>
                <w:rFonts w:ascii="Arial" w:hAnsi="Arial" w:cs="Arial"/>
                <w:b/>
                <w:sz w:val="20"/>
                <w:szCs w:val="20"/>
              </w:rPr>
              <w:t>Market Value</w:t>
            </w:r>
          </w:p>
          <w:p w14:paraId="27F9EA84" w14:textId="77777777" w:rsidR="003932B8" w:rsidRDefault="003932B8" w:rsidP="003932B8">
            <w:pPr>
              <w:jc w:val="both"/>
              <w:rPr>
                <w:rFonts w:ascii="Arial" w:hAnsi="Arial" w:cs="Arial"/>
                <w:b/>
                <w:sz w:val="20"/>
                <w:szCs w:val="20"/>
              </w:rPr>
            </w:pPr>
            <w:r>
              <w:rPr>
                <w:rFonts w:ascii="Arial" w:hAnsi="Arial" w:cs="Arial"/>
                <w:b/>
                <w:sz w:val="20"/>
                <w:szCs w:val="20"/>
              </w:rPr>
              <w:t>31.3.</w:t>
            </w:r>
            <w:r w:rsidR="00367609">
              <w:rPr>
                <w:rFonts w:ascii="Arial" w:hAnsi="Arial" w:cs="Arial"/>
                <w:b/>
                <w:sz w:val="20"/>
                <w:szCs w:val="20"/>
              </w:rPr>
              <w:t>20</w:t>
            </w:r>
          </w:p>
          <w:p w14:paraId="39A69F86" w14:textId="77777777" w:rsidR="003932B8" w:rsidRDefault="003932B8" w:rsidP="003932B8">
            <w:pPr>
              <w:jc w:val="both"/>
              <w:rPr>
                <w:rFonts w:ascii="Arial" w:hAnsi="Arial" w:cs="Arial"/>
                <w:b/>
                <w:sz w:val="20"/>
                <w:szCs w:val="20"/>
              </w:rPr>
            </w:pPr>
            <w:r>
              <w:rPr>
                <w:rFonts w:ascii="Arial" w:hAnsi="Arial" w:cs="Arial"/>
                <w:b/>
                <w:sz w:val="20"/>
                <w:szCs w:val="20"/>
              </w:rPr>
              <w:t xml:space="preserve"> £000 millions</w:t>
            </w:r>
          </w:p>
        </w:tc>
        <w:tc>
          <w:tcPr>
            <w:tcW w:w="1418" w:type="dxa"/>
          </w:tcPr>
          <w:p w14:paraId="48429BCA" w14:textId="77777777" w:rsidR="003932B8" w:rsidRDefault="003932B8" w:rsidP="003932B8">
            <w:pPr>
              <w:jc w:val="both"/>
              <w:rPr>
                <w:rFonts w:ascii="Arial" w:hAnsi="Arial" w:cs="Arial"/>
                <w:b/>
                <w:sz w:val="20"/>
                <w:szCs w:val="20"/>
              </w:rPr>
            </w:pPr>
            <w:r>
              <w:rPr>
                <w:rFonts w:ascii="Arial" w:hAnsi="Arial" w:cs="Arial"/>
                <w:b/>
                <w:sz w:val="20"/>
                <w:szCs w:val="20"/>
              </w:rPr>
              <w:t xml:space="preserve">Total Fund </w:t>
            </w:r>
          </w:p>
          <w:p w14:paraId="3E5F727E" w14:textId="77777777" w:rsidR="003932B8" w:rsidRDefault="003932B8" w:rsidP="003932B8">
            <w:pPr>
              <w:jc w:val="both"/>
              <w:rPr>
                <w:rFonts w:ascii="Arial" w:hAnsi="Arial" w:cs="Arial"/>
                <w:b/>
                <w:sz w:val="20"/>
                <w:szCs w:val="20"/>
              </w:rPr>
            </w:pPr>
            <w:r>
              <w:rPr>
                <w:rFonts w:ascii="Arial" w:hAnsi="Arial" w:cs="Arial"/>
                <w:b/>
                <w:sz w:val="20"/>
                <w:szCs w:val="20"/>
              </w:rPr>
              <w:t>31.3.20</w:t>
            </w:r>
            <w:r w:rsidR="00367609">
              <w:rPr>
                <w:rFonts w:ascii="Arial" w:hAnsi="Arial" w:cs="Arial"/>
                <w:b/>
                <w:sz w:val="20"/>
                <w:szCs w:val="20"/>
              </w:rPr>
              <w:t>20</w:t>
            </w:r>
            <w:r>
              <w:rPr>
                <w:rFonts w:ascii="Arial" w:hAnsi="Arial" w:cs="Arial"/>
                <w:b/>
                <w:sz w:val="20"/>
                <w:szCs w:val="20"/>
              </w:rPr>
              <w:t xml:space="preserve"> </w:t>
            </w:r>
          </w:p>
          <w:p w14:paraId="6EB82B01" w14:textId="77777777" w:rsidR="003932B8" w:rsidRDefault="003932B8" w:rsidP="003932B8">
            <w:pPr>
              <w:jc w:val="both"/>
              <w:rPr>
                <w:rFonts w:ascii="Arial" w:hAnsi="Arial" w:cs="Arial"/>
                <w:b/>
                <w:sz w:val="20"/>
                <w:szCs w:val="20"/>
              </w:rPr>
            </w:pPr>
            <w:r>
              <w:rPr>
                <w:rFonts w:ascii="Arial" w:hAnsi="Arial" w:cs="Arial"/>
                <w:b/>
                <w:sz w:val="20"/>
                <w:szCs w:val="20"/>
              </w:rPr>
              <w:t>(%)</w:t>
            </w:r>
          </w:p>
        </w:tc>
        <w:tc>
          <w:tcPr>
            <w:tcW w:w="1559" w:type="dxa"/>
          </w:tcPr>
          <w:p w14:paraId="2A56C066" w14:textId="77777777" w:rsidR="003932B8" w:rsidRDefault="003932B8" w:rsidP="003932B8">
            <w:pPr>
              <w:jc w:val="both"/>
              <w:rPr>
                <w:rFonts w:ascii="Arial" w:hAnsi="Arial" w:cs="Arial"/>
                <w:b/>
                <w:sz w:val="20"/>
                <w:szCs w:val="20"/>
              </w:rPr>
            </w:pPr>
            <w:r>
              <w:rPr>
                <w:rFonts w:ascii="Arial" w:hAnsi="Arial" w:cs="Arial"/>
                <w:b/>
                <w:sz w:val="20"/>
                <w:szCs w:val="20"/>
              </w:rPr>
              <w:t>Market Value</w:t>
            </w:r>
          </w:p>
          <w:p w14:paraId="5D1FC66B" w14:textId="77777777" w:rsidR="003932B8" w:rsidRDefault="003932B8" w:rsidP="003932B8">
            <w:pPr>
              <w:jc w:val="both"/>
              <w:rPr>
                <w:rFonts w:ascii="Arial" w:hAnsi="Arial" w:cs="Arial"/>
                <w:b/>
                <w:sz w:val="20"/>
                <w:szCs w:val="20"/>
              </w:rPr>
            </w:pPr>
            <w:r>
              <w:rPr>
                <w:rFonts w:ascii="Arial" w:hAnsi="Arial" w:cs="Arial"/>
                <w:b/>
                <w:sz w:val="20"/>
                <w:szCs w:val="20"/>
              </w:rPr>
              <w:t>31.3.1</w:t>
            </w:r>
            <w:r w:rsidR="00367609">
              <w:rPr>
                <w:rFonts w:ascii="Arial" w:hAnsi="Arial" w:cs="Arial"/>
                <w:b/>
                <w:sz w:val="20"/>
                <w:szCs w:val="20"/>
              </w:rPr>
              <w:t>9</w:t>
            </w:r>
          </w:p>
          <w:p w14:paraId="270BEE02" w14:textId="77777777" w:rsidR="003932B8" w:rsidRDefault="003932B8" w:rsidP="003932B8">
            <w:pPr>
              <w:jc w:val="both"/>
              <w:rPr>
                <w:rFonts w:ascii="Arial" w:hAnsi="Arial" w:cs="Arial"/>
                <w:b/>
                <w:sz w:val="20"/>
                <w:szCs w:val="20"/>
              </w:rPr>
            </w:pPr>
            <w:r>
              <w:rPr>
                <w:rFonts w:ascii="Arial" w:hAnsi="Arial" w:cs="Arial"/>
                <w:b/>
                <w:sz w:val="20"/>
                <w:szCs w:val="20"/>
              </w:rPr>
              <w:t xml:space="preserve"> £000 millions</w:t>
            </w:r>
          </w:p>
        </w:tc>
        <w:tc>
          <w:tcPr>
            <w:tcW w:w="1559" w:type="dxa"/>
          </w:tcPr>
          <w:p w14:paraId="0FB6953A" w14:textId="77777777" w:rsidR="003932B8" w:rsidRDefault="003932B8" w:rsidP="003932B8">
            <w:pPr>
              <w:jc w:val="both"/>
              <w:rPr>
                <w:rFonts w:ascii="Arial" w:hAnsi="Arial" w:cs="Arial"/>
                <w:b/>
                <w:sz w:val="20"/>
                <w:szCs w:val="20"/>
              </w:rPr>
            </w:pPr>
            <w:r>
              <w:rPr>
                <w:rFonts w:ascii="Arial" w:hAnsi="Arial" w:cs="Arial"/>
                <w:b/>
                <w:sz w:val="20"/>
                <w:szCs w:val="20"/>
              </w:rPr>
              <w:t xml:space="preserve">Total Fund </w:t>
            </w:r>
          </w:p>
          <w:p w14:paraId="6A878505" w14:textId="77777777" w:rsidR="003932B8" w:rsidRDefault="003932B8" w:rsidP="003932B8">
            <w:pPr>
              <w:jc w:val="both"/>
              <w:rPr>
                <w:rFonts w:ascii="Arial" w:hAnsi="Arial" w:cs="Arial"/>
                <w:b/>
                <w:sz w:val="20"/>
                <w:szCs w:val="20"/>
              </w:rPr>
            </w:pPr>
            <w:r>
              <w:rPr>
                <w:rFonts w:ascii="Arial" w:hAnsi="Arial" w:cs="Arial"/>
                <w:b/>
                <w:sz w:val="20"/>
                <w:szCs w:val="20"/>
              </w:rPr>
              <w:t>31.3.201</w:t>
            </w:r>
            <w:r w:rsidR="00367609">
              <w:rPr>
                <w:rFonts w:ascii="Arial" w:hAnsi="Arial" w:cs="Arial"/>
                <w:b/>
                <w:sz w:val="20"/>
                <w:szCs w:val="20"/>
              </w:rPr>
              <w:t>9</w:t>
            </w:r>
            <w:r>
              <w:rPr>
                <w:rFonts w:ascii="Arial" w:hAnsi="Arial" w:cs="Arial"/>
                <w:b/>
                <w:sz w:val="20"/>
                <w:szCs w:val="20"/>
              </w:rPr>
              <w:t xml:space="preserve"> </w:t>
            </w:r>
          </w:p>
          <w:p w14:paraId="6C06FE6F" w14:textId="77777777" w:rsidR="003932B8" w:rsidRDefault="003932B8" w:rsidP="003932B8">
            <w:pPr>
              <w:jc w:val="both"/>
              <w:rPr>
                <w:rFonts w:ascii="Arial" w:hAnsi="Arial" w:cs="Arial"/>
                <w:b/>
                <w:sz w:val="20"/>
                <w:szCs w:val="20"/>
              </w:rPr>
            </w:pPr>
            <w:r>
              <w:rPr>
                <w:rFonts w:ascii="Arial" w:hAnsi="Arial" w:cs="Arial"/>
                <w:b/>
                <w:sz w:val="20"/>
                <w:szCs w:val="20"/>
              </w:rPr>
              <w:t>(%)</w:t>
            </w:r>
          </w:p>
        </w:tc>
      </w:tr>
      <w:tr w:rsidR="003932B8" w:rsidRPr="004A0AE5" w14:paraId="36C09304" w14:textId="77777777" w:rsidTr="003932B8">
        <w:trPr>
          <w:trHeight w:val="265"/>
        </w:trPr>
        <w:tc>
          <w:tcPr>
            <w:tcW w:w="1894" w:type="dxa"/>
          </w:tcPr>
          <w:p w14:paraId="56760610" w14:textId="77777777" w:rsidR="003932B8" w:rsidRPr="004A0AE5" w:rsidRDefault="003932B8" w:rsidP="003932B8">
            <w:pPr>
              <w:jc w:val="both"/>
              <w:rPr>
                <w:rFonts w:ascii="Arial" w:hAnsi="Arial" w:cs="Arial"/>
                <w:sz w:val="22"/>
                <w:szCs w:val="22"/>
              </w:rPr>
            </w:pPr>
            <w:r w:rsidRPr="004A0AE5">
              <w:rPr>
                <w:rFonts w:ascii="Arial" w:hAnsi="Arial" w:cs="Arial"/>
                <w:sz w:val="22"/>
                <w:szCs w:val="22"/>
              </w:rPr>
              <w:t xml:space="preserve">AXA </w:t>
            </w:r>
            <w:proofErr w:type="spellStart"/>
            <w:r w:rsidRPr="004A0AE5">
              <w:rPr>
                <w:rFonts w:ascii="Arial" w:hAnsi="Arial" w:cs="Arial"/>
                <w:sz w:val="22"/>
                <w:szCs w:val="22"/>
              </w:rPr>
              <w:t>Framlington</w:t>
            </w:r>
            <w:proofErr w:type="spellEnd"/>
          </w:p>
        </w:tc>
        <w:tc>
          <w:tcPr>
            <w:tcW w:w="1701" w:type="dxa"/>
          </w:tcPr>
          <w:p w14:paraId="08D38628" w14:textId="77777777" w:rsidR="003932B8" w:rsidRPr="004A0AE5" w:rsidRDefault="003932B8" w:rsidP="003932B8">
            <w:pPr>
              <w:jc w:val="both"/>
              <w:rPr>
                <w:rFonts w:ascii="Arial" w:hAnsi="Arial" w:cs="Arial"/>
                <w:sz w:val="22"/>
                <w:szCs w:val="22"/>
              </w:rPr>
            </w:pPr>
            <w:r w:rsidRPr="004A0AE5">
              <w:rPr>
                <w:rFonts w:ascii="Arial" w:hAnsi="Arial" w:cs="Arial"/>
                <w:sz w:val="22"/>
                <w:szCs w:val="22"/>
              </w:rPr>
              <w:t>UK Equities</w:t>
            </w:r>
          </w:p>
        </w:tc>
        <w:tc>
          <w:tcPr>
            <w:tcW w:w="1559" w:type="dxa"/>
          </w:tcPr>
          <w:p w14:paraId="35CE670D" w14:textId="77777777" w:rsidR="003932B8" w:rsidRPr="004A0AE5" w:rsidRDefault="00DC5778" w:rsidP="003932B8">
            <w:pPr>
              <w:jc w:val="both"/>
              <w:rPr>
                <w:rFonts w:ascii="Arial" w:hAnsi="Arial" w:cs="Arial"/>
                <w:sz w:val="22"/>
                <w:szCs w:val="22"/>
              </w:rPr>
            </w:pPr>
            <w:r>
              <w:rPr>
                <w:rFonts w:ascii="Arial" w:hAnsi="Arial" w:cs="Arial"/>
                <w:sz w:val="22"/>
                <w:szCs w:val="22"/>
              </w:rPr>
              <w:t>165.4</w:t>
            </w:r>
          </w:p>
        </w:tc>
        <w:tc>
          <w:tcPr>
            <w:tcW w:w="1418" w:type="dxa"/>
          </w:tcPr>
          <w:p w14:paraId="4A54323E" w14:textId="77777777" w:rsidR="003932B8" w:rsidRPr="004A0AE5" w:rsidRDefault="00574BD0" w:rsidP="003932B8">
            <w:pPr>
              <w:jc w:val="both"/>
              <w:rPr>
                <w:rFonts w:ascii="Arial" w:hAnsi="Arial" w:cs="Arial"/>
                <w:sz w:val="22"/>
                <w:szCs w:val="22"/>
              </w:rPr>
            </w:pPr>
            <w:r>
              <w:rPr>
                <w:rFonts w:ascii="Arial" w:hAnsi="Arial" w:cs="Arial"/>
                <w:sz w:val="22"/>
                <w:szCs w:val="22"/>
              </w:rPr>
              <w:t>19.3</w:t>
            </w:r>
          </w:p>
        </w:tc>
        <w:tc>
          <w:tcPr>
            <w:tcW w:w="1559" w:type="dxa"/>
          </w:tcPr>
          <w:p w14:paraId="1B184A2B" w14:textId="77777777" w:rsidR="003932B8" w:rsidRPr="004A0AE5" w:rsidRDefault="00367609" w:rsidP="003932B8">
            <w:pPr>
              <w:jc w:val="both"/>
              <w:rPr>
                <w:rFonts w:ascii="Arial" w:hAnsi="Arial" w:cs="Arial"/>
                <w:sz w:val="22"/>
                <w:szCs w:val="22"/>
              </w:rPr>
            </w:pPr>
            <w:r>
              <w:rPr>
                <w:rFonts w:ascii="Arial" w:hAnsi="Arial" w:cs="Arial"/>
                <w:sz w:val="22"/>
                <w:szCs w:val="22"/>
              </w:rPr>
              <w:t>279.9</w:t>
            </w:r>
          </w:p>
        </w:tc>
        <w:tc>
          <w:tcPr>
            <w:tcW w:w="1559" w:type="dxa"/>
          </w:tcPr>
          <w:p w14:paraId="0DE21EB4" w14:textId="77777777" w:rsidR="003932B8" w:rsidRPr="004A0AE5" w:rsidRDefault="003932B8" w:rsidP="003932B8">
            <w:pPr>
              <w:jc w:val="both"/>
              <w:rPr>
                <w:rFonts w:ascii="Arial" w:hAnsi="Arial" w:cs="Arial"/>
                <w:sz w:val="22"/>
                <w:szCs w:val="22"/>
              </w:rPr>
            </w:pPr>
            <w:r>
              <w:rPr>
                <w:rFonts w:ascii="Arial" w:hAnsi="Arial" w:cs="Arial"/>
                <w:sz w:val="22"/>
                <w:szCs w:val="22"/>
              </w:rPr>
              <w:t>3</w:t>
            </w:r>
            <w:r w:rsidR="00367609">
              <w:rPr>
                <w:rFonts w:ascii="Arial" w:hAnsi="Arial" w:cs="Arial"/>
                <w:sz w:val="22"/>
                <w:szCs w:val="22"/>
              </w:rPr>
              <w:t>0</w:t>
            </w:r>
            <w:r>
              <w:rPr>
                <w:rFonts w:ascii="Arial" w:hAnsi="Arial" w:cs="Arial"/>
                <w:sz w:val="22"/>
                <w:szCs w:val="22"/>
              </w:rPr>
              <w:t>.</w:t>
            </w:r>
            <w:r w:rsidR="00367609">
              <w:rPr>
                <w:rFonts w:ascii="Arial" w:hAnsi="Arial" w:cs="Arial"/>
                <w:sz w:val="22"/>
                <w:szCs w:val="22"/>
              </w:rPr>
              <w:t>3</w:t>
            </w:r>
          </w:p>
        </w:tc>
      </w:tr>
      <w:tr w:rsidR="003932B8" w:rsidRPr="004A0AE5" w14:paraId="199AD67E" w14:textId="77777777" w:rsidTr="003932B8">
        <w:trPr>
          <w:trHeight w:val="529"/>
        </w:trPr>
        <w:tc>
          <w:tcPr>
            <w:tcW w:w="1894" w:type="dxa"/>
          </w:tcPr>
          <w:p w14:paraId="14D4E011" w14:textId="77777777" w:rsidR="003932B8" w:rsidRPr="004A0AE5" w:rsidRDefault="003932B8" w:rsidP="003932B8">
            <w:pPr>
              <w:jc w:val="both"/>
              <w:rPr>
                <w:rFonts w:ascii="Arial" w:hAnsi="Arial" w:cs="Arial"/>
                <w:sz w:val="22"/>
                <w:szCs w:val="22"/>
              </w:rPr>
            </w:pPr>
            <w:r>
              <w:rPr>
                <w:rFonts w:ascii="Arial" w:hAnsi="Arial" w:cs="Arial"/>
                <w:sz w:val="22"/>
                <w:szCs w:val="22"/>
              </w:rPr>
              <w:t>LCIV – Baillie Gifford</w:t>
            </w:r>
          </w:p>
        </w:tc>
        <w:tc>
          <w:tcPr>
            <w:tcW w:w="1701" w:type="dxa"/>
          </w:tcPr>
          <w:p w14:paraId="45A496F6" w14:textId="77777777" w:rsidR="000458B2" w:rsidRDefault="000458B2" w:rsidP="003932B8">
            <w:pPr>
              <w:jc w:val="both"/>
              <w:rPr>
                <w:rFonts w:ascii="Arial" w:hAnsi="Arial" w:cs="Arial"/>
                <w:sz w:val="22"/>
                <w:szCs w:val="22"/>
              </w:rPr>
            </w:pPr>
          </w:p>
          <w:p w14:paraId="56402A57" w14:textId="77777777" w:rsidR="003932B8" w:rsidRPr="004A0AE5" w:rsidRDefault="003932B8" w:rsidP="003932B8">
            <w:pPr>
              <w:jc w:val="both"/>
              <w:rPr>
                <w:rFonts w:ascii="Arial" w:hAnsi="Arial" w:cs="Arial"/>
                <w:sz w:val="22"/>
                <w:szCs w:val="22"/>
              </w:rPr>
            </w:pPr>
            <w:r>
              <w:rPr>
                <w:rFonts w:ascii="Arial" w:hAnsi="Arial" w:cs="Arial"/>
                <w:sz w:val="22"/>
                <w:szCs w:val="22"/>
              </w:rPr>
              <w:t>Global Equities</w:t>
            </w:r>
          </w:p>
        </w:tc>
        <w:tc>
          <w:tcPr>
            <w:tcW w:w="1559" w:type="dxa"/>
          </w:tcPr>
          <w:p w14:paraId="76A536AD" w14:textId="77777777" w:rsidR="003932B8" w:rsidRDefault="003932B8" w:rsidP="003932B8">
            <w:pPr>
              <w:jc w:val="both"/>
              <w:rPr>
                <w:rFonts w:ascii="Arial" w:hAnsi="Arial" w:cs="Arial"/>
                <w:sz w:val="22"/>
                <w:szCs w:val="22"/>
              </w:rPr>
            </w:pPr>
          </w:p>
          <w:p w14:paraId="3B2F7A57" w14:textId="77777777" w:rsidR="006E3F12" w:rsidRPr="004A0AE5" w:rsidRDefault="00574BD0" w:rsidP="003932B8">
            <w:pPr>
              <w:jc w:val="both"/>
              <w:rPr>
                <w:rFonts w:ascii="Arial" w:hAnsi="Arial" w:cs="Arial"/>
                <w:sz w:val="22"/>
                <w:szCs w:val="22"/>
              </w:rPr>
            </w:pPr>
            <w:r>
              <w:rPr>
                <w:rFonts w:ascii="Arial" w:hAnsi="Arial" w:cs="Arial"/>
                <w:sz w:val="22"/>
                <w:szCs w:val="22"/>
              </w:rPr>
              <w:t>148.2</w:t>
            </w:r>
          </w:p>
        </w:tc>
        <w:tc>
          <w:tcPr>
            <w:tcW w:w="1418" w:type="dxa"/>
          </w:tcPr>
          <w:p w14:paraId="2775403C" w14:textId="77777777" w:rsidR="0043707A" w:rsidRDefault="0043707A" w:rsidP="003932B8">
            <w:pPr>
              <w:jc w:val="both"/>
              <w:rPr>
                <w:rFonts w:ascii="Arial" w:hAnsi="Arial" w:cs="Arial"/>
                <w:sz w:val="22"/>
                <w:szCs w:val="22"/>
              </w:rPr>
            </w:pPr>
          </w:p>
          <w:p w14:paraId="582E1576" w14:textId="77777777" w:rsidR="00574BD0" w:rsidRPr="004A0AE5" w:rsidRDefault="00574BD0" w:rsidP="003932B8">
            <w:pPr>
              <w:jc w:val="both"/>
              <w:rPr>
                <w:rFonts w:ascii="Arial" w:hAnsi="Arial" w:cs="Arial"/>
                <w:sz w:val="22"/>
                <w:szCs w:val="22"/>
              </w:rPr>
            </w:pPr>
            <w:r>
              <w:rPr>
                <w:rFonts w:ascii="Arial" w:hAnsi="Arial" w:cs="Arial"/>
                <w:sz w:val="22"/>
                <w:szCs w:val="22"/>
              </w:rPr>
              <w:t>17.3</w:t>
            </w:r>
          </w:p>
        </w:tc>
        <w:tc>
          <w:tcPr>
            <w:tcW w:w="1559" w:type="dxa"/>
          </w:tcPr>
          <w:p w14:paraId="7AFA3DA2" w14:textId="77777777" w:rsidR="003932B8" w:rsidRDefault="003932B8" w:rsidP="003932B8">
            <w:pPr>
              <w:jc w:val="both"/>
              <w:rPr>
                <w:rFonts w:ascii="Arial" w:hAnsi="Arial" w:cs="Arial"/>
                <w:sz w:val="22"/>
                <w:szCs w:val="22"/>
              </w:rPr>
            </w:pPr>
          </w:p>
          <w:p w14:paraId="6D1B7406" w14:textId="77777777" w:rsidR="0043707A" w:rsidRDefault="00367609" w:rsidP="003932B8">
            <w:pPr>
              <w:jc w:val="both"/>
              <w:rPr>
                <w:rFonts w:ascii="Arial" w:hAnsi="Arial" w:cs="Arial"/>
                <w:sz w:val="22"/>
                <w:szCs w:val="22"/>
              </w:rPr>
            </w:pPr>
            <w:r>
              <w:rPr>
                <w:rFonts w:ascii="Arial" w:hAnsi="Arial" w:cs="Arial"/>
                <w:sz w:val="22"/>
                <w:szCs w:val="22"/>
              </w:rPr>
              <w:t>121.2</w:t>
            </w:r>
          </w:p>
        </w:tc>
        <w:tc>
          <w:tcPr>
            <w:tcW w:w="1559" w:type="dxa"/>
          </w:tcPr>
          <w:p w14:paraId="513EF3E7" w14:textId="77777777" w:rsidR="003932B8" w:rsidRDefault="003932B8" w:rsidP="003932B8">
            <w:pPr>
              <w:jc w:val="both"/>
              <w:rPr>
                <w:rFonts w:ascii="Arial" w:hAnsi="Arial" w:cs="Arial"/>
                <w:sz w:val="22"/>
                <w:szCs w:val="22"/>
              </w:rPr>
            </w:pPr>
          </w:p>
          <w:p w14:paraId="771FCA25" w14:textId="77777777" w:rsidR="0043707A" w:rsidRDefault="00367609" w:rsidP="003932B8">
            <w:pPr>
              <w:jc w:val="both"/>
              <w:rPr>
                <w:rFonts w:ascii="Arial" w:hAnsi="Arial" w:cs="Arial"/>
                <w:sz w:val="22"/>
                <w:szCs w:val="22"/>
              </w:rPr>
            </w:pPr>
            <w:r>
              <w:rPr>
                <w:rFonts w:ascii="Arial" w:hAnsi="Arial" w:cs="Arial"/>
                <w:sz w:val="22"/>
                <w:szCs w:val="22"/>
              </w:rPr>
              <w:t>13.1</w:t>
            </w:r>
          </w:p>
        </w:tc>
      </w:tr>
      <w:tr w:rsidR="003932B8" w:rsidRPr="004A0AE5" w14:paraId="24BD104F" w14:textId="77777777" w:rsidTr="003932B8">
        <w:trPr>
          <w:trHeight w:val="529"/>
        </w:trPr>
        <w:tc>
          <w:tcPr>
            <w:tcW w:w="1894" w:type="dxa"/>
          </w:tcPr>
          <w:p w14:paraId="64236CB9" w14:textId="77777777" w:rsidR="003932B8" w:rsidRPr="004A0AE5" w:rsidRDefault="003932B8" w:rsidP="003932B8">
            <w:pPr>
              <w:jc w:val="both"/>
              <w:rPr>
                <w:rFonts w:ascii="Arial" w:hAnsi="Arial" w:cs="Arial"/>
                <w:sz w:val="22"/>
                <w:szCs w:val="22"/>
              </w:rPr>
            </w:pPr>
            <w:r>
              <w:rPr>
                <w:rFonts w:ascii="Arial" w:hAnsi="Arial" w:cs="Arial"/>
                <w:sz w:val="22"/>
                <w:szCs w:val="22"/>
              </w:rPr>
              <w:t xml:space="preserve">LCIV - </w:t>
            </w:r>
            <w:proofErr w:type="spellStart"/>
            <w:r>
              <w:rPr>
                <w:rFonts w:ascii="Arial" w:hAnsi="Arial" w:cs="Arial"/>
                <w:sz w:val="22"/>
                <w:szCs w:val="22"/>
              </w:rPr>
              <w:t>LongView</w:t>
            </w:r>
            <w:proofErr w:type="spellEnd"/>
          </w:p>
        </w:tc>
        <w:tc>
          <w:tcPr>
            <w:tcW w:w="1701" w:type="dxa"/>
          </w:tcPr>
          <w:p w14:paraId="3E0EE3F4" w14:textId="77777777" w:rsidR="000458B2" w:rsidRDefault="000458B2" w:rsidP="003932B8">
            <w:pPr>
              <w:jc w:val="both"/>
              <w:rPr>
                <w:rFonts w:ascii="Arial" w:hAnsi="Arial" w:cs="Arial"/>
                <w:sz w:val="22"/>
                <w:szCs w:val="22"/>
              </w:rPr>
            </w:pPr>
          </w:p>
          <w:p w14:paraId="5C4BCCF3" w14:textId="77777777" w:rsidR="003932B8" w:rsidRPr="004A0AE5" w:rsidRDefault="003932B8" w:rsidP="003932B8">
            <w:pPr>
              <w:jc w:val="both"/>
              <w:rPr>
                <w:rFonts w:ascii="Arial" w:hAnsi="Arial" w:cs="Arial"/>
                <w:sz w:val="22"/>
                <w:szCs w:val="22"/>
              </w:rPr>
            </w:pPr>
            <w:r>
              <w:rPr>
                <w:rFonts w:ascii="Arial" w:hAnsi="Arial" w:cs="Arial"/>
                <w:sz w:val="22"/>
                <w:szCs w:val="22"/>
              </w:rPr>
              <w:t>Global Equities</w:t>
            </w:r>
          </w:p>
        </w:tc>
        <w:tc>
          <w:tcPr>
            <w:tcW w:w="1559" w:type="dxa"/>
          </w:tcPr>
          <w:p w14:paraId="630260CA" w14:textId="77777777" w:rsidR="003932B8" w:rsidRDefault="003932B8" w:rsidP="003932B8">
            <w:pPr>
              <w:jc w:val="both"/>
              <w:rPr>
                <w:rFonts w:ascii="Arial" w:hAnsi="Arial" w:cs="Arial"/>
                <w:sz w:val="22"/>
                <w:szCs w:val="22"/>
              </w:rPr>
            </w:pPr>
          </w:p>
          <w:p w14:paraId="6D480F67" w14:textId="77777777" w:rsidR="006E3F12" w:rsidRPr="004A0AE5" w:rsidRDefault="00574BD0" w:rsidP="003932B8">
            <w:pPr>
              <w:jc w:val="both"/>
              <w:rPr>
                <w:rFonts w:ascii="Arial" w:hAnsi="Arial" w:cs="Arial"/>
                <w:sz w:val="22"/>
                <w:szCs w:val="22"/>
              </w:rPr>
            </w:pPr>
            <w:r>
              <w:rPr>
                <w:rFonts w:ascii="Arial" w:hAnsi="Arial" w:cs="Arial"/>
                <w:sz w:val="22"/>
                <w:szCs w:val="22"/>
              </w:rPr>
              <w:t>127.8</w:t>
            </w:r>
          </w:p>
        </w:tc>
        <w:tc>
          <w:tcPr>
            <w:tcW w:w="1418" w:type="dxa"/>
          </w:tcPr>
          <w:p w14:paraId="0083E373" w14:textId="77777777" w:rsidR="0043707A" w:rsidRDefault="0043707A" w:rsidP="003932B8">
            <w:pPr>
              <w:jc w:val="both"/>
              <w:rPr>
                <w:rFonts w:ascii="Arial" w:hAnsi="Arial" w:cs="Arial"/>
                <w:sz w:val="22"/>
                <w:szCs w:val="22"/>
              </w:rPr>
            </w:pPr>
          </w:p>
          <w:p w14:paraId="5EB95E29" w14:textId="77777777" w:rsidR="00574BD0" w:rsidRPr="004A0AE5" w:rsidRDefault="00574BD0" w:rsidP="003932B8">
            <w:pPr>
              <w:jc w:val="both"/>
              <w:rPr>
                <w:rFonts w:ascii="Arial" w:hAnsi="Arial" w:cs="Arial"/>
                <w:sz w:val="22"/>
                <w:szCs w:val="22"/>
              </w:rPr>
            </w:pPr>
            <w:r>
              <w:rPr>
                <w:rFonts w:ascii="Arial" w:hAnsi="Arial" w:cs="Arial"/>
                <w:sz w:val="22"/>
                <w:szCs w:val="22"/>
              </w:rPr>
              <w:t>14.9</w:t>
            </w:r>
          </w:p>
        </w:tc>
        <w:tc>
          <w:tcPr>
            <w:tcW w:w="1559" w:type="dxa"/>
          </w:tcPr>
          <w:p w14:paraId="085E2B42" w14:textId="77777777" w:rsidR="003932B8" w:rsidRDefault="003932B8" w:rsidP="003932B8">
            <w:pPr>
              <w:jc w:val="both"/>
              <w:rPr>
                <w:rFonts w:ascii="Arial" w:hAnsi="Arial" w:cs="Arial"/>
                <w:sz w:val="22"/>
                <w:szCs w:val="22"/>
              </w:rPr>
            </w:pPr>
          </w:p>
          <w:p w14:paraId="1FAE322F" w14:textId="77777777" w:rsidR="0043707A" w:rsidRDefault="00367609" w:rsidP="003932B8">
            <w:pPr>
              <w:jc w:val="both"/>
              <w:rPr>
                <w:rFonts w:ascii="Arial" w:hAnsi="Arial" w:cs="Arial"/>
                <w:sz w:val="22"/>
                <w:szCs w:val="22"/>
              </w:rPr>
            </w:pPr>
            <w:r>
              <w:rPr>
                <w:rFonts w:ascii="Arial" w:hAnsi="Arial" w:cs="Arial"/>
                <w:sz w:val="22"/>
                <w:szCs w:val="22"/>
              </w:rPr>
              <w:t>121.5</w:t>
            </w:r>
          </w:p>
        </w:tc>
        <w:tc>
          <w:tcPr>
            <w:tcW w:w="1559" w:type="dxa"/>
          </w:tcPr>
          <w:p w14:paraId="78C7F92E" w14:textId="77777777" w:rsidR="003932B8" w:rsidRDefault="003932B8" w:rsidP="003932B8">
            <w:pPr>
              <w:jc w:val="both"/>
              <w:rPr>
                <w:rFonts w:ascii="Arial" w:hAnsi="Arial" w:cs="Arial"/>
                <w:sz w:val="22"/>
                <w:szCs w:val="22"/>
              </w:rPr>
            </w:pPr>
          </w:p>
          <w:p w14:paraId="2AAF5E30" w14:textId="77777777" w:rsidR="0043707A" w:rsidRDefault="00367609" w:rsidP="003932B8">
            <w:pPr>
              <w:jc w:val="both"/>
              <w:rPr>
                <w:rFonts w:ascii="Arial" w:hAnsi="Arial" w:cs="Arial"/>
                <w:sz w:val="22"/>
                <w:szCs w:val="22"/>
              </w:rPr>
            </w:pPr>
            <w:r>
              <w:rPr>
                <w:rFonts w:ascii="Arial" w:hAnsi="Arial" w:cs="Arial"/>
                <w:sz w:val="22"/>
                <w:szCs w:val="22"/>
              </w:rPr>
              <w:t>13.2</w:t>
            </w:r>
          </w:p>
        </w:tc>
      </w:tr>
      <w:tr w:rsidR="003932B8" w:rsidRPr="004A0AE5" w14:paraId="0456DF15" w14:textId="77777777" w:rsidTr="003932B8">
        <w:trPr>
          <w:trHeight w:val="529"/>
        </w:trPr>
        <w:tc>
          <w:tcPr>
            <w:tcW w:w="1894" w:type="dxa"/>
          </w:tcPr>
          <w:p w14:paraId="04277B5F" w14:textId="77777777" w:rsidR="003932B8" w:rsidRPr="004A0AE5" w:rsidRDefault="003932B8" w:rsidP="003932B8">
            <w:pPr>
              <w:jc w:val="both"/>
              <w:rPr>
                <w:rFonts w:ascii="Arial" w:hAnsi="Arial" w:cs="Arial"/>
                <w:sz w:val="22"/>
                <w:szCs w:val="22"/>
              </w:rPr>
            </w:pPr>
            <w:r>
              <w:rPr>
                <w:rFonts w:ascii="Arial" w:hAnsi="Arial" w:cs="Arial"/>
                <w:sz w:val="22"/>
                <w:szCs w:val="22"/>
              </w:rPr>
              <w:t>LCIV – J</w:t>
            </w:r>
            <w:r w:rsidR="00574BD0">
              <w:rPr>
                <w:rFonts w:ascii="Arial" w:hAnsi="Arial" w:cs="Arial"/>
                <w:sz w:val="22"/>
                <w:szCs w:val="22"/>
              </w:rPr>
              <w:t>P</w:t>
            </w:r>
            <w:r>
              <w:rPr>
                <w:rFonts w:ascii="Arial" w:hAnsi="Arial" w:cs="Arial"/>
                <w:sz w:val="22"/>
                <w:szCs w:val="22"/>
              </w:rPr>
              <w:t xml:space="preserve"> </w:t>
            </w:r>
            <w:r w:rsidR="00574BD0">
              <w:rPr>
                <w:rFonts w:ascii="Arial" w:hAnsi="Arial" w:cs="Arial"/>
                <w:sz w:val="22"/>
                <w:szCs w:val="22"/>
              </w:rPr>
              <w:t>Morgan</w:t>
            </w:r>
          </w:p>
        </w:tc>
        <w:tc>
          <w:tcPr>
            <w:tcW w:w="1701" w:type="dxa"/>
          </w:tcPr>
          <w:p w14:paraId="79B4A8BA" w14:textId="77777777" w:rsidR="003932B8" w:rsidRPr="004A0AE5" w:rsidRDefault="003932B8" w:rsidP="003932B8">
            <w:pPr>
              <w:jc w:val="both"/>
              <w:rPr>
                <w:rFonts w:ascii="Arial" w:hAnsi="Arial" w:cs="Arial"/>
                <w:sz w:val="22"/>
                <w:szCs w:val="22"/>
              </w:rPr>
            </w:pPr>
            <w:r>
              <w:rPr>
                <w:rFonts w:ascii="Arial" w:hAnsi="Arial" w:cs="Arial"/>
                <w:sz w:val="22"/>
                <w:szCs w:val="22"/>
              </w:rPr>
              <w:t>Emerging Market Equities</w:t>
            </w:r>
          </w:p>
        </w:tc>
        <w:tc>
          <w:tcPr>
            <w:tcW w:w="1559" w:type="dxa"/>
          </w:tcPr>
          <w:p w14:paraId="22B9D0C6" w14:textId="77777777" w:rsidR="003932B8" w:rsidRDefault="003932B8" w:rsidP="003932B8">
            <w:pPr>
              <w:jc w:val="both"/>
              <w:rPr>
                <w:rFonts w:ascii="Arial" w:hAnsi="Arial" w:cs="Arial"/>
                <w:sz w:val="22"/>
                <w:szCs w:val="22"/>
              </w:rPr>
            </w:pPr>
          </w:p>
          <w:p w14:paraId="4D8AF04E" w14:textId="77777777" w:rsidR="000458B2" w:rsidRDefault="000458B2" w:rsidP="003932B8">
            <w:pPr>
              <w:jc w:val="both"/>
              <w:rPr>
                <w:rFonts w:ascii="Arial" w:hAnsi="Arial" w:cs="Arial"/>
                <w:sz w:val="22"/>
                <w:szCs w:val="22"/>
              </w:rPr>
            </w:pPr>
          </w:p>
          <w:p w14:paraId="6631B8E6" w14:textId="77777777" w:rsidR="006E3F12" w:rsidRPr="004A0AE5" w:rsidRDefault="00574BD0" w:rsidP="003932B8">
            <w:pPr>
              <w:jc w:val="both"/>
              <w:rPr>
                <w:rFonts w:ascii="Arial" w:hAnsi="Arial" w:cs="Arial"/>
                <w:sz w:val="22"/>
                <w:szCs w:val="22"/>
              </w:rPr>
            </w:pPr>
            <w:r>
              <w:rPr>
                <w:rFonts w:ascii="Arial" w:hAnsi="Arial" w:cs="Arial"/>
                <w:sz w:val="22"/>
                <w:szCs w:val="22"/>
              </w:rPr>
              <w:t>69.1</w:t>
            </w:r>
          </w:p>
        </w:tc>
        <w:tc>
          <w:tcPr>
            <w:tcW w:w="1418" w:type="dxa"/>
          </w:tcPr>
          <w:p w14:paraId="1C8F4438" w14:textId="77777777" w:rsidR="003932B8" w:rsidRDefault="003932B8" w:rsidP="003932B8">
            <w:pPr>
              <w:jc w:val="both"/>
              <w:rPr>
                <w:rFonts w:ascii="Arial" w:hAnsi="Arial" w:cs="Arial"/>
                <w:sz w:val="22"/>
                <w:szCs w:val="22"/>
              </w:rPr>
            </w:pPr>
          </w:p>
          <w:p w14:paraId="3F38EB11" w14:textId="77777777" w:rsidR="00574BD0" w:rsidRDefault="00574BD0" w:rsidP="003932B8">
            <w:pPr>
              <w:jc w:val="both"/>
              <w:rPr>
                <w:rFonts w:ascii="Arial" w:hAnsi="Arial" w:cs="Arial"/>
                <w:sz w:val="22"/>
                <w:szCs w:val="22"/>
              </w:rPr>
            </w:pPr>
          </w:p>
          <w:p w14:paraId="059EB309" w14:textId="77777777" w:rsidR="0043707A" w:rsidRPr="004A0AE5" w:rsidRDefault="00574BD0" w:rsidP="003932B8">
            <w:pPr>
              <w:jc w:val="both"/>
              <w:rPr>
                <w:rFonts w:ascii="Arial" w:hAnsi="Arial" w:cs="Arial"/>
                <w:sz w:val="22"/>
                <w:szCs w:val="22"/>
              </w:rPr>
            </w:pPr>
            <w:r>
              <w:rPr>
                <w:rFonts w:ascii="Arial" w:hAnsi="Arial" w:cs="Arial"/>
                <w:sz w:val="22"/>
                <w:szCs w:val="22"/>
              </w:rPr>
              <w:t>8.1</w:t>
            </w:r>
          </w:p>
        </w:tc>
        <w:tc>
          <w:tcPr>
            <w:tcW w:w="1559" w:type="dxa"/>
          </w:tcPr>
          <w:p w14:paraId="34471B2A" w14:textId="77777777" w:rsidR="003932B8" w:rsidRDefault="003932B8" w:rsidP="003932B8">
            <w:pPr>
              <w:jc w:val="both"/>
              <w:rPr>
                <w:rFonts w:ascii="Arial" w:hAnsi="Arial" w:cs="Arial"/>
                <w:sz w:val="22"/>
                <w:szCs w:val="22"/>
              </w:rPr>
            </w:pPr>
          </w:p>
          <w:p w14:paraId="26E9EB42" w14:textId="77777777" w:rsidR="000458B2" w:rsidRDefault="000458B2" w:rsidP="003932B8">
            <w:pPr>
              <w:jc w:val="both"/>
              <w:rPr>
                <w:rFonts w:ascii="Arial" w:hAnsi="Arial" w:cs="Arial"/>
                <w:sz w:val="22"/>
                <w:szCs w:val="22"/>
              </w:rPr>
            </w:pPr>
          </w:p>
          <w:p w14:paraId="76F30403" w14:textId="77777777" w:rsidR="000458B2" w:rsidRDefault="00367609" w:rsidP="003932B8">
            <w:pPr>
              <w:jc w:val="both"/>
              <w:rPr>
                <w:rFonts w:ascii="Arial" w:hAnsi="Arial" w:cs="Arial"/>
                <w:sz w:val="22"/>
                <w:szCs w:val="22"/>
              </w:rPr>
            </w:pPr>
            <w:r>
              <w:rPr>
                <w:rFonts w:ascii="Arial" w:hAnsi="Arial" w:cs="Arial"/>
                <w:sz w:val="22"/>
                <w:szCs w:val="22"/>
              </w:rPr>
              <w:t>83.0</w:t>
            </w:r>
          </w:p>
        </w:tc>
        <w:tc>
          <w:tcPr>
            <w:tcW w:w="1559" w:type="dxa"/>
          </w:tcPr>
          <w:p w14:paraId="63EDDA67" w14:textId="77777777" w:rsidR="003932B8" w:rsidRDefault="003932B8" w:rsidP="003932B8">
            <w:pPr>
              <w:jc w:val="both"/>
              <w:rPr>
                <w:rFonts w:ascii="Arial" w:hAnsi="Arial" w:cs="Arial"/>
                <w:sz w:val="22"/>
                <w:szCs w:val="22"/>
              </w:rPr>
            </w:pPr>
          </w:p>
          <w:p w14:paraId="36E0903D" w14:textId="77777777" w:rsidR="000458B2" w:rsidRDefault="000458B2" w:rsidP="003932B8">
            <w:pPr>
              <w:jc w:val="both"/>
              <w:rPr>
                <w:rFonts w:ascii="Arial" w:hAnsi="Arial" w:cs="Arial"/>
                <w:sz w:val="22"/>
                <w:szCs w:val="22"/>
              </w:rPr>
            </w:pPr>
          </w:p>
          <w:p w14:paraId="600A406F" w14:textId="77777777" w:rsidR="000458B2" w:rsidRDefault="00367609" w:rsidP="003932B8">
            <w:pPr>
              <w:jc w:val="both"/>
              <w:rPr>
                <w:rFonts w:ascii="Arial" w:hAnsi="Arial" w:cs="Arial"/>
                <w:sz w:val="22"/>
                <w:szCs w:val="22"/>
              </w:rPr>
            </w:pPr>
            <w:r>
              <w:rPr>
                <w:rFonts w:ascii="Arial" w:hAnsi="Arial" w:cs="Arial"/>
                <w:sz w:val="22"/>
                <w:szCs w:val="22"/>
              </w:rPr>
              <w:t>9.0</w:t>
            </w:r>
          </w:p>
        </w:tc>
      </w:tr>
      <w:tr w:rsidR="003932B8" w:rsidRPr="004A0AE5" w14:paraId="4439AA47" w14:textId="77777777" w:rsidTr="003932B8">
        <w:trPr>
          <w:trHeight w:val="529"/>
        </w:trPr>
        <w:tc>
          <w:tcPr>
            <w:tcW w:w="1894" w:type="dxa"/>
          </w:tcPr>
          <w:p w14:paraId="13B8ECAB" w14:textId="77777777" w:rsidR="003932B8" w:rsidRPr="004A0AE5" w:rsidRDefault="003932B8" w:rsidP="003932B8">
            <w:pPr>
              <w:jc w:val="both"/>
              <w:rPr>
                <w:rFonts w:ascii="Arial" w:hAnsi="Arial" w:cs="Arial"/>
                <w:sz w:val="22"/>
                <w:szCs w:val="22"/>
              </w:rPr>
            </w:pPr>
            <w:r w:rsidRPr="004A0AE5">
              <w:rPr>
                <w:rFonts w:ascii="Arial" w:hAnsi="Arial" w:cs="Arial"/>
                <w:sz w:val="22"/>
                <w:szCs w:val="22"/>
              </w:rPr>
              <w:t>Wellington Management</w:t>
            </w:r>
          </w:p>
        </w:tc>
        <w:tc>
          <w:tcPr>
            <w:tcW w:w="1701" w:type="dxa"/>
          </w:tcPr>
          <w:p w14:paraId="385C0CE6" w14:textId="77777777" w:rsidR="003932B8" w:rsidRPr="004A0AE5" w:rsidRDefault="003932B8" w:rsidP="003932B8">
            <w:pPr>
              <w:jc w:val="both"/>
              <w:rPr>
                <w:rFonts w:ascii="Arial" w:hAnsi="Arial" w:cs="Arial"/>
                <w:sz w:val="22"/>
                <w:szCs w:val="22"/>
              </w:rPr>
            </w:pPr>
            <w:r w:rsidRPr="004A0AE5">
              <w:rPr>
                <w:rFonts w:ascii="Arial" w:hAnsi="Arial" w:cs="Arial"/>
                <w:sz w:val="22"/>
                <w:szCs w:val="22"/>
              </w:rPr>
              <w:t>Global Fixed Income</w:t>
            </w:r>
          </w:p>
        </w:tc>
        <w:tc>
          <w:tcPr>
            <w:tcW w:w="1559" w:type="dxa"/>
          </w:tcPr>
          <w:p w14:paraId="3E67B6E9" w14:textId="77777777" w:rsidR="003932B8" w:rsidRDefault="003932B8" w:rsidP="003932B8">
            <w:pPr>
              <w:jc w:val="both"/>
              <w:rPr>
                <w:rFonts w:ascii="Arial" w:hAnsi="Arial" w:cs="Arial"/>
                <w:sz w:val="22"/>
                <w:szCs w:val="22"/>
              </w:rPr>
            </w:pPr>
          </w:p>
          <w:p w14:paraId="2BE0DCF1" w14:textId="77777777" w:rsidR="007C04CF" w:rsidRPr="004A0AE5" w:rsidRDefault="00367609" w:rsidP="003932B8">
            <w:pPr>
              <w:jc w:val="both"/>
              <w:rPr>
                <w:rFonts w:ascii="Arial" w:hAnsi="Arial" w:cs="Arial"/>
                <w:sz w:val="22"/>
                <w:szCs w:val="22"/>
              </w:rPr>
            </w:pPr>
            <w:r>
              <w:rPr>
                <w:rFonts w:ascii="Arial" w:hAnsi="Arial" w:cs="Arial"/>
                <w:sz w:val="22"/>
                <w:szCs w:val="22"/>
              </w:rPr>
              <w:t>0.0</w:t>
            </w:r>
          </w:p>
        </w:tc>
        <w:tc>
          <w:tcPr>
            <w:tcW w:w="1418" w:type="dxa"/>
          </w:tcPr>
          <w:p w14:paraId="6C88CA49" w14:textId="77777777" w:rsidR="003932B8" w:rsidRDefault="003932B8" w:rsidP="003932B8">
            <w:pPr>
              <w:jc w:val="both"/>
              <w:rPr>
                <w:rFonts w:ascii="Arial" w:hAnsi="Arial" w:cs="Arial"/>
                <w:sz w:val="22"/>
                <w:szCs w:val="22"/>
              </w:rPr>
            </w:pPr>
          </w:p>
          <w:p w14:paraId="56C55053" w14:textId="77777777" w:rsidR="00367609" w:rsidRDefault="00367609" w:rsidP="003932B8">
            <w:pPr>
              <w:jc w:val="both"/>
              <w:rPr>
                <w:rFonts w:ascii="Arial" w:hAnsi="Arial" w:cs="Arial"/>
                <w:sz w:val="22"/>
                <w:szCs w:val="22"/>
              </w:rPr>
            </w:pPr>
            <w:r>
              <w:rPr>
                <w:rFonts w:ascii="Arial" w:hAnsi="Arial" w:cs="Arial"/>
                <w:sz w:val="22"/>
                <w:szCs w:val="22"/>
              </w:rPr>
              <w:t>0</w:t>
            </w:r>
          </w:p>
          <w:p w14:paraId="6AA75917" w14:textId="77777777" w:rsidR="0043707A" w:rsidRPr="004A0AE5" w:rsidRDefault="0043707A" w:rsidP="003932B8">
            <w:pPr>
              <w:jc w:val="both"/>
              <w:rPr>
                <w:rFonts w:ascii="Arial" w:hAnsi="Arial" w:cs="Arial"/>
                <w:sz w:val="22"/>
                <w:szCs w:val="22"/>
              </w:rPr>
            </w:pPr>
          </w:p>
        </w:tc>
        <w:tc>
          <w:tcPr>
            <w:tcW w:w="1559" w:type="dxa"/>
          </w:tcPr>
          <w:p w14:paraId="3111B880" w14:textId="77777777" w:rsidR="003932B8" w:rsidRDefault="003932B8" w:rsidP="003932B8">
            <w:pPr>
              <w:jc w:val="both"/>
              <w:rPr>
                <w:rFonts w:ascii="Arial" w:hAnsi="Arial" w:cs="Arial"/>
                <w:sz w:val="22"/>
                <w:szCs w:val="22"/>
              </w:rPr>
            </w:pPr>
          </w:p>
          <w:p w14:paraId="0FDFC49E" w14:textId="77777777" w:rsidR="003932B8" w:rsidRPr="004A0AE5" w:rsidRDefault="00367609" w:rsidP="003932B8">
            <w:pPr>
              <w:jc w:val="both"/>
              <w:rPr>
                <w:rFonts w:ascii="Arial" w:hAnsi="Arial" w:cs="Arial"/>
                <w:sz w:val="22"/>
                <w:szCs w:val="22"/>
              </w:rPr>
            </w:pPr>
            <w:r>
              <w:rPr>
                <w:rFonts w:ascii="Arial" w:hAnsi="Arial" w:cs="Arial"/>
                <w:sz w:val="22"/>
                <w:szCs w:val="22"/>
              </w:rPr>
              <w:t>40.4</w:t>
            </w:r>
          </w:p>
        </w:tc>
        <w:tc>
          <w:tcPr>
            <w:tcW w:w="1559" w:type="dxa"/>
          </w:tcPr>
          <w:p w14:paraId="1686AB21" w14:textId="77777777" w:rsidR="003932B8" w:rsidRDefault="003932B8" w:rsidP="003932B8">
            <w:pPr>
              <w:jc w:val="both"/>
              <w:rPr>
                <w:rFonts w:ascii="Arial" w:hAnsi="Arial" w:cs="Arial"/>
                <w:sz w:val="22"/>
                <w:szCs w:val="22"/>
              </w:rPr>
            </w:pPr>
          </w:p>
          <w:p w14:paraId="475FE0A3" w14:textId="77777777" w:rsidR="003932B8" w:rsidRPr="004A0AE5" w:rsidRDefault="003932B8" w:rsidP="003932B8">
            <w:pPr>
              <w:jc w:val="both"/>
              <w:rPr>
                <w:rFonts w:ascii="Arial" w:hAnsi="Arial" w:cs="Arial"/>
                <w:sz w:val="22"/>
                <w:szCs w:val="22"/>
              </w:rPr>
            </w:pPr>
            <w:r>
              <w:rPr>
                <w:rFonts w:ascii="Arial" w:hAnsi="Arial" w:cs="Arial"/>
                <w:sz w:val="22"/>
                <w:szCs w:val="22"/>
              </w:rPr>
              <w:t>4.4</w:t>
            </w:r>
          </w:p>
        </w:tc>
      </w:tr>
      <w:tr w:rsidR="003932B8" w:rsidRPr="004A0AE5" w14:paraId="0BB9FC69" w14:textId="77777777" w:rsidTr="003932B8">
        <w:trPr>
          <w:trHeight w:val="529"/>
        </w:trPr>
        <w:tc>
          <w:tcPr>
            <w:tcW w:w="1894" w:type="dxa"/>
          </w:tcPr>
          <w:p w14:paraId="73463032" w14:textId="77777777" w:rsidR="003932B8" w:rsidRPr="004A0AE5" w:rsidRDefault="003932B8" w:rsidP="003932B8">
            <w:pPr>
              <w:jc w:val="both"/>
              <w:rPr>
                <w:rFonts w:ascii="Arial" w:hAnsi="Arial" w:cs="Arial"/>
                <w:sz w:val="22"/>
                <w:szCs w:val="22"/>
              </w:rPr>
            </w:pPr>
            <w:r w:rsidRPr="00430487">
              <w:rPr>
                <w:rFonts w:ascii="Arial" w:hAnsi="Arial" w:cs="Arial"/>
                <w:sz w:val="22"/>
                <w:szCs w:val="22"/>
              </w:rPr>
              <w:t>Wellington Management</w:t>
            </w:r>
          </w:p>
        </w:tc>
        <w:tc>
          <w:tcPr>
            <w:tcW w:w="1701" w:type="dxa"/>
          </w:tcPr>
          <w:p w14:paraId="66B3D62A" w14:textId="77777777" w:rsidR="003932B8" w:rsidRPr="004A0AE5" w:rsidRDefault="003932B8" w:rsidP="003932B8">
            <w:pPr>
              <w:jc w:val="both"/>
              <w:rPr>
                <w:rFonts w:ascii="Arial" w:hAnsi="Arial" w:cs="Arial"/>
                <w:sz w:val="22"/>
                <w:szCs w:val="22"/>
              </w:rPr>
            </w:pPr>
            <w:r>
              <w:rPr>
                <w:rFonts w:ascii="Arial" w:hAnsi="Arial" w:cs="Arial"/>
                <w:sz w:val="22"/>
                <w:szCs w:val="22"/>
              </w:rPr>
              <w:t>Multi Sector Credit</w:t>
            </w:r>
          </w:p>
        </w:tc>
        <w:tc>
          <w:tcPr>
            <w:tcW w:w="1559" w:type="dxa"/>
          </w:tcPr>
          <w:p w14:paraId="1C2BE798" w14:textId="77777777" w:rsidR="0043707A" w:rsidRDefault="0043707A" w:rsidP="003932B8">
            <w:pPr>
              <w:jc w:val="both"/>
              <w:rPr>
                <w:rFonts w:ascii="Arial" w:hAnsi="Arial" w:cs="Arial"/>
                <w:sz w:val="22"/>
                <w:szCs w:val="22"/>
              </w:rPr>
            </w:pPr>
          </w:p>
          <w:p w14:paraId="5B607FFE" w14:textId="77777777" w:rsidR="003932B8" w:rsidRPr="004A0AE5" w:rsidRDefault="00367609" w:rsidP="003932B8">
            <w:pPr>
              <w:jc w:val="both"/>
              <w:rPr>
                <w:rFonts w:ascii="Arial" w:hAnsi="Arial" w:cs="Arial"/>
                <w:sz w:val="22"/>
                <w:szCs w:val="22"/>
              </w:rPr>
            </w:pPr>
            <w:r>
              <w:rPr>
                <w:rFonts w:ascii="Arial" w:hAnsi="Arial" w:cs="Arial"/>
                <w:sz w:val="22"/>
                <w:szCs w:val="22"/>
              </w:rPr>
              <w:t>0.0</w:t>
            </w:r>
          </w:p>
        </w:tc>
        <w:tc>
          <w:tcPr>
            <w:tcW w:w="1418" w:type="dxa"/>
          </w:tcPr>
          <w:p w14:paraId="201B21F2" w14:textId="77777777" w:rsidR="003932B8" w:rsidRDefault="003932B8" w:rsidP="003932B8">
            <w:pPr>
              <w:jc w:val="both"/>
              <w:rPr>
                <w:rFonts w:ascii="Arial" w:hAnsi="Arial" w:cs="Arial"/>
                <w:sz w:val="22"/>
                <w:szCs w:val="22"/>
              </w:rPr>
            </w:pPr>
          </w:p>
          <w:p w14:paraId="4BF1FF41" w14:textId="77777777" w:rsidR="00367609" w:rsidRDefault="00367609" w:rsidP="003932B8">
            <w:pPr>
              <w:jc w:val="both"/>
              <w:rPr>
                <w:rFonts w:ascii="Arial" w:hAnsi="Arial" w:cs="Arial"/>
                <w:sz w:val="22"/>
                <w:szCs w:val="22"/>
              </w:rPr>
            </w:pPr>
            <w:r>
              <w:rPr>
                <w:rFonts w:ascii="Arial" w:hAnsi="Arial" w:cs="Arial"/>
                <w:sz w:val="22"/>
                <w:szCs w:val="22"/>
              </w:rPr>
              <w:t>0</w:t>
            </w:r>
          </w:p>
          <w:p w14:paraId="1DDA3F40" w14:textId="77777777" w:rsidR="0043707A" w:rsidRPr="004A0AE5" w:rsidRDefault="0043707A" w:rsidP="003932B8">
            <w:pPr>
              <w:jc w:val="both"/>
              <w:rPr>
                <w:rFonts w:ascii="Arial" w:hAnsi="Arial" w:cs="Arial"/>
                <w:sz w:val="22"/>
                <w:szCs w:val="22"/>
              </w:rPr>
            </w:pPr>
          </w:p>
        </w:tc>
        <w:tc>
          <w:tcPr>
            <w:tcW w:w="1559" w:type="dxa"/>
          </w:tcPr>
          <w:p w14:paraId="58B93D89" w14:textId="77777777" w:rsidR="003932B8" w:rsidRDefault="003932B8" w:rsidP="003932B8">
            <w:pPr>
              <w:jc w:val="both"/>
              <w:rPr>
                <w:rFonts w:ascii="Arial" w:hAnsi="Arial" w:cs="Arial"/>
                <w:sz w:val="22"/>
                <w:szCs w:val="22"/>
              </w:rPr>
            </w:pPr>
          </w:p>
          <w:p w14:paraId="557A8EF4" w14:textId="77777777" w:rsidR="003932B8" w:rsidRPr="004A0AE5" w:rsidRDefault="003932B8" w:rsidP="003932B8">
            <w:pPr>
              <w:jc w:val="both"/>
              <w:rPr>
                <w:rFonts w:ascii="Arial" w:hAnsi="Arial" w:cs="Arial"/>
                <w:sz w:val="22"/>
                <w:szCs w:val="22"/>
              </w:rPr>
            </w:pPr>
            <w:r>
              <w:rPr>
                <w:rFonts w:ascii="Arial" w:hAnsi="Arial" w:cs="Arial"/>
                <w:sz w:val="22"/>
                <w:szCs w:val="22"/>
              </w:rPr>
              <w:t>6</w:t>
            </w:r>
            <w:r w:rsidR="00367609">
              <w:rPr>
                <w:rFonts w:ascii="Arial" w:hAnsi="Arial" w:cs="Arial"/>
                <w:sz w:val="22"/>
                <w:szCs w:val="22"/>
              </w:rPr>
              <w:t>2.1</w:t>
            </w:r>
          </w:p>
        </w:tc>
        <w:tc>
          <w:tcPr>
            <w:tcW w:w="1559" w:type="dxa"/>
          </w:tcPr>
          <w:p w14:paraId="59CB0CD7" w14:textId="77777777" w:rsidR="003932B8" w:rsidRDefault="003932B8" w:rsidP="003932B8">
            <w:pPr>
              <w:jc w:val="both"/>
              <w:rPr>
                <w:rFonts w:ascii="Arial" w:hAnsi="Arial" w:cs="Arial"/>
                <w:sz w:val="22"/>
                <w:szCs w:val="22"/>
              </w:rPr>
            </w:pPr>
          </w:p>
          <w:p w14:paraId="5DB88B04" w14:textId="77777777" w:rsidR="003932B8" w:rsidRPr="004A0AE5" w:rsidRDefault="003932B8" w:rsidP="003932B8">
            <w:pPr>
              <w:jc w:val="both"/>
              <w:rPr>
                <w:rFonts w:ascii="Arial" w:hAnsi="Arial" w:cs="Arial"/>
                <w:sz w:val="22"/>
                <w:szCs w:val="22"/>
              </w:rPr>
            </w:pPr>
            <w:r>
              <w:rPr>
                <w:rFonts w:ascii="Arial" w:hAnsi="Arial" w:cs="Arial"/>
                <w:sz w:val="22"/>
                <w:szCs w:val="22"/>
              </w:rPr>
              <w:t>6.</w:t>
            </w:r>
            <w:r w:rsidR="00367609">
              <w:rPr>
                <w:rFonts w:ascii="Arial" w:hAnsi="Arial" w:cs="Arial"/>
                <w:sz w:val="22"/>
                <w:szCs w:val="22"/>
              </w:rPr>
              <w:t>7</w:t>
            </w:r>
          </w:p>
        </w:tc>
      </w:tr>
      <w:tr w:rsidR="003932B8" w:rsidRPr="004A0AE5" w14:paraId="0A046E2A" w14:textId="77777777" w:rsidTr="003932B8">
        <w:trPr>
          <w:trHeight w:val="795"/>
        </w:trPr>
        <w:tc>
          <w:tcPr>
            <w:tcW w:w="1894" w:type="dxa"/>
          </w:tcPr>
          <w:p w14:paraId="79150775" w14:textId="77777777" w:rsidR="003932B8" w:rsidRPr="004A0AE5" w:rsidRDefault="003932B8" w:rsidP="003932B8">
            <w:pPr>
              <w:jc w:val="both"/>
              <w:rPr>
                <w:rFonts w:ascii="Arial" w:hAnsi="Arial" w:cs="Arial"/>
                <w:i/>
                <w:sz w:val="22"/>
                <w:szCs w:val="22"/>
              </w:rPr>
            </w:pPr>
            <w:r w:rsidRPr="004A0AE5">
              <w:rPr>
                <w:rFonts w:ascii="Arial" w:hAnsi="Arial" w:cs="Arial"/>
                <w:sz w:val="22"/>
                <w:szCs w:val="22"/>
              </w:rPr>
              <w:t>Global Infrastructure Partners</w:t>
            </w:r>
          </w:p>
        </w:tc>
        <w:tc>
          <w:tcPr>
            <w:tcW w:w="1701" w:type="dxa"/>
          </w:tcPr>
          <w:p w14:paraId="36CC0000" w14:textId="77777777" w:rsidR="000458B2" w:rsidRDefault="000458B2" w:rsidP="003932B8">
            <w:pPr>
              <w:jc w:val="both"/>
              <w:rPr>
                <w:rFonts w:ascii="Arial" w:hAnsi="Arial" w:cs="Arial"/>
                <w:sz w:val="22"/>
                <w:szCs w:val="22"/>
              </w:rPr>
            </w:pPr>
          </w:p>
          <w:p w14:paraId="4B28DA70" w14:textId="77777777" w:rsidR="003932B8" w:rsidRPr="004A0AE5" w:rsidRDefault="003932B8" w:rsidP="003932B8">
            <w:pPr>
              <w:jc w:val="both"/>
              <w:rPr>
                <w:rFonts w:ascii="Arial" w:hAnsi="Arial" w:cs="Arial"/>
                <w:sz w:val="22"/>
                <w:szCs w:val="22"/>
              </w:rPr>
            </w:pPr>
            <w:r w:rsidRPr="004A0AE5">
              <w:rPr>
                <w:rFonts w:ascii="Arial" w:hAnsi="Arial" w:cs="Arial"/>
                <w:sz w:val="22"/>
                <w:szCs w:val="22"/>
              </w:rPr>
              <w:t>Infrastructure</w:t>
            </w:r>
          </w:p>
        </w:tc>
        <w:tc>
          <w:tcPr>
            <w:tcW w:w="1559" w:type="dxa"/>
          </w:tcPr>
          <w:p w14:paraId="7950DDBD" w14:textId="77777777" w:rsidR="003932B8" w:rsidRDefault="003932B8" w:rsidP="003932B8">
            <w:pPr>
              <w:jc w:val="both"/>
              <w:rPr>
                <w:rFonts w:ascii="Arial" w:hAnsi="Arial" w:cs="Arial"/>
                <w:sz w:val="22"/>
                <w:szCs w:val="22"/>
              </w:rPr>
            </w:pPr>
          </w:p>
          <w:p w14:paraId="2E57A0CF" w14:textId="77777777" w:rsidR="007C04CF" w:rsidRDefault="007C04CF" w:rsidP="003932B8">
            <w:pPr>
              <w:jc w:val="both"/>
              <w:rPr>
                <w:rFonts w:ascii="Arial" w:hAnsi="Arial" w:cs="Arial"/>
                <w:sz w:val="22"/>
                <w:szCs w:val="22"/>
              </w:rPr>
            </w:pPr>
          </w:p>
          <w:p w14:paraId="72C0F67E" w14:textId="77777777" w:rsidR="007C04CF" w:rsidRPr="004A0AE5" w:rsidRDefault="00574BD0" w:rsidP="003932B8">
            <w:pPr>
              <w:jc w:val="both"/>
              <w:rPr>
                <w:rFonts w:ascii="Arial" w:hAnsi="Arial" w:cs="Arial"/>
                <w:sz w:val="22"/>
                <w:szCs w:val="22"/>
              </w:rPr>
            </w:pPr>
            <w:r>
              <w:rPr>
                <w:rFonts w:ascii="Arial" w:hAnsi="Arial" w:cs="Arial"/>
                <w:sz w:val="22"/>
                <w:szCs w:val="22"/>
              </w:rPr>
              <w:t>52.2</w:t>
            </w:r>
          </w:p>
        </w:tc>
        <w:tc>
          <w:tcPr>
            <w:tcW w:w="1418" w:type="dxa"/>
          </w:tcPr>
          <w:p w14:paraId="6FBD430C" w14:textId="77777777" w:rsidR="003932B8" w:rsidRDefault="003932B8" w:rsidP="003932B8">
            <w:pPr>
              <w:jc w:val="both"/>
              <w:rPr>
                <w:rFonts w:ascii="Arial" w:hAnsi="Arial" w:cs="Arial"/>
                <w:sz w:val="22"/>
                <w:szCs w:val="22"/>
              </w:rPr>
            </w:pPr>
          </w:p>
          <w:p w14:paraId="4AC20631" w14:textId="77777777" w:rsidR="0043707A" w:rsidRDefault="0043707A" w:rsidP="003932B8">
            <w:pPr>
              <w:jc w:val="both"/>
              <w:rPr>
                <w:rFonts w:ascii="Arial" w:hAnsi="Arial" w:cs="Arial"/>
                <w:sz w:val="22"/>
                <w:szCs w:val="22"/>
              </w:rPr>
            </w:pPr>
          </w:p>
          <w:p w14:paraId="10744FC2" w14:textId="77777777" w:rsidR="0043707A" w:rsidRPr="004A0AE5" w:rsidRDefault="00574BD0" w:rsidP="003932B8">
            <w:pPr>
              <w:jc w:val="both"/>
              <w:rPr>
                <w:rFonts w:ascii="Arial" w:hAnsi="Arial" w:cs="Arial"/>
                <w:sz w:val="22"/>
                <w:szCs w:val="22"/>
              </w:rPr>
            </w:pPr>
            <w:r>
              <w:rPr>
                <w:rFonts w:ascii="Arial" w:hAnsi="Arial" w:cs="Arial"/>
                <w:sz w:val="22"/>
                <w:szCs w:val="22"/>
              </w:rPr>
              <w:t>5.9</w:t>
            </w:r>
          </w:p>
        </w:tc>
        <w:tc>
          <w:tcPr>
            <w:tcW w:w="1559" w:type="dxa"/>
          </w:tcPr>
          <w:p w14:paraId="592483AA" w14:textId="77777777" w:rsidR="003932B8" w:rsidRDefault="003932B8" w:rsidP="003932B8">
            <w:pPr>
              <w:jc w:val="both"/>
              <w:rPr>
                <w:rFonts w:ascii="Arial" w:hAnsi="Arial" w:cs="Arial"/>
                <w:sz w:val="22"/>
                <w:szCs w:val="22"/>
              </w:rPr>
            </w:pPr>
          </w:p>
          <w:p w14:paraId="68DC07D1" w14:textId="77777777" w:rsidR="003932B8" w:rsidRDefault="003932B8" w:rsidP="003932B8">
            <w:pPr>
              <w:jc w:val="both"/>
              <w:rPr>
                <w:rFonts w:ascii="Arial" w:hAnsi="Arial" w:cs="Arial"/>
                <w:sz w:val="22"/>
                <w:szCs w:val="22"/>
              </w:rPr>
            </w:pPr>
          </w:p>
          <w:p w14:paraId="5C24CED1" w14:textId="77777777" w:rsidR="003932B8" w:rsidRPr="004A0AE5" w:rsidRDefault="00367609" w:rsidP="003932B8">
            <w:pPr>
              <w:jc w:val="both"/>
              <w:rPr>
                <w:rFonts w:ascii="Arial" w:hAnsi="Arial" w:cs="Arial"/>
                <w:sz w:val="22"/>
                <w:szCs w:val="22"/>
              </w:rPr>
            </w:pPr>
            <w:r>
              <w:rPr>
                <w:rFonts w:ascii="Arial" w:hAnsi="Arial" w:cs="Arial"/>
                <w:sz w:val="22"/>
                <w:szCs w:val="22"/>
              </w:rPr>
              <w:t>57.8</w:t>
            </w:r>
          </w:p>
        </w:tc>
        <w:tc>
          <w:tcPr>
            <w:tcW w:w="1559" w:type="dxa"/>
          </w:tcPr>
          <w:p w14:paraId="0B1F055D" w14:textId="77777777" w:rsidR="003932B8" w:rsidRDefault="003932B8" w:rsidP="003932B8">
            <w:pPr>
              <w:jc w:val="both"/>
              <w:rPr>
                <w:rFonts w:ascii="Arial" w:hAnsi="Arial" w:cs="Arial"/>
                <w:sz w:val="22"/>
                <w:szCs w:val="22"/>
              </w:rPr>
            </w:pPr>
          </w:p>
          <w:p w14:paraId="401D87AB" w14:textId="77777777" w:rsidR="003932B8" w:rsidRDefault="003932B8" w:rsidP="003932B8">
            <w:pPr>
              <w:jc w:val="both"/>
              <w:rPr>
                <w:rFonts w:ascii="Arial" w:hAnsi="Arial" w:cs="Arial"/>
                <w:sz w:val="22"/>
                <w:szCs w:val="22"/>
              </w:rPr>
            </w:pPr>
          </w:p>
          <w:p w14:paraId="47EA7E84" w14:textId="77777777" w:rsidR="003932B8" w:rsidRPr="004A0AE5" w:rsidRDefault="00367609" w:rsidP="003932B8">
            <w:pPr>
              <w:jc w:val="both"/>
              <w:rPr>
                <w:rFonts w:ascii="Arial" w:hAnsi="Arial" w:cs="Arial"/>
                <w:sz w:val="22"/>
                <w:szCs w:val="22"/>
              </w:rPr>
            </w:pPr>
            <w:r>
              <w:rPr>
                <w:rFonts w:ascii="Arial" w:hAnsi="Arial" w:cs="Arial"/>
                <w:sz w:val="22"/>
                <w:szCs w:val="22"/>
              </w:rPr>
              <w:t>6</w:t>
            </w:r>
            <w:r w:rsidR="003932B8">
              <w:rPr>
                <w:rFonts w:ascii="Arial" w:hAnsi="Arial" w:cs="Arial"/>
                <w:sz w:val="22"/>
                <w:szCs w:val="22"/>
              </w:rPr>
              <w:t>.</w:t>
            </w:r>
            <w:r>
              <w:rPr>
                <w:rFonts w:ascii="Arial" w:hAnsi="Arial" w:cs="Arial"/>
                <w:sz w:val="22"/>
                <w:szCs w:val="22"/>
              </w:rPr>
              <w:t>3</w:t>
            </w:r>
          </w:p>
        </w:tc>
      </w:tr>
      <w:tr w:rsidR="003932B8" w:rsidRPr="004A0AE5" w14:paraId="2161DC95" w14:textId="77777777" w:rsidTr="003932B8">
        <w:trPr>
          <w:trHeight w:val="249"/>
        </w:trPr>
        <w:tc>
          <w:tcPr>
            <w:tcW w:w="1894" w:type="dxa"/>
          </w:tcPr>
          <w:p w14:paraId="6702FD6C" w14:textId="77777777" w:rsidR="003932B8" w:rsidRPr="004A0AE5" w:rsidRDefault="003932B8" w:rsidP="003932B8">
            <w:pPr>
              <w:jc w:val="both"/>
              <w:rPr>
                <w:rFonts w:ascii="Arial" w:hAnsi="Arial" w:cs="Arial"/>
                <w:sz w:val="22"/>
                <w:szCs w:val="22"/>
              </w:rPr>
            </w:pPr>
            <w:r w:rsidRPr="004A0AE5">
              <w:rPr>
                <w:rFonts w:ascii="Arial" w:hAnsi="Arial" w:cs="Arial"/>
                <w:sz w:val="22"/>
                <w:szCs w:val="22"/>
              </w:rPr>
              <w:lastRenderedPageBreak/>
              <w:t>Capital Dynamics</w:t>
            </w:r>
          </w:p>
        </w:tc>
        <w:tc>
          <w:tcPr>
            <w:tcW w:w="1701" w:type="dxa"/>
          </w:tcPr>
          <w:p w14:paraId="78C112F7" w14:textId="77777777" w:rsidR="000458B2" w:rsidRDefault="000458B2" w:rsidP="003932B8">
            <w:pPr>
              <w:jc w:val="both"/>
              <w:rPr>
                <w:rFonts w:ascii="Arial" w:hAnsi="Arial" w:cs="Arial"/>
                <w:sz w:val="22"/>
                <w:szCs w:val="22"/>
              </w:rPr>
            </w:pPr>
          </w:p>
          <w:p w14:paraId="22017BCD" w14:textId="77777777" w:rsidR="003932B8" w:rsidRPr="004A0AE5" w:rsidRDefault="003932B8" w:rsidP="003932B8">
            <w:pPr>
              <w:jc w:val="both"/>
              <w:rPr>
                <w:rFonts w:ascii="Arial" w:hAnsi="Arial" w:cs="Arial"/>
                <w:sz w:val="22"/>
                <w:szCs w:val="22"/>
              </w:rPr>
            </w:pPr>
            <w:r w:rsidRPr="004A0AE5">
              <w:rPr>
                <w:rFonts w:ascii="Arial" w:hAnsi="Arial" w:cs="Arial"/>
                <w:sz w:val="22"/>
                <w:szCs w:val="22"/>
              </w:rPr>
              <w:t>Infrastructure</w:t>
            </w:r>
          </w:p>
        </w:tc>
        <w:tc>
          <w:tcPr>
            <w:tcW w:w="1559" w:type="dxa"/>
          </w:tcPr>
          <w:p w14:paraId="2DF73ADF" w14:textId="77777777" w:rsidR="003932B8" w:rsidRDefault="003932B8" w:rsidP="003932B8">
            <w:pPr>
              <w:jc w:val="both"/>
              <w:rPr>
                <w:rFonts w:ascii="Arial" w:hAnsi="Arial" w:cs="Arial"/>
                <w:sz w:val="22"/>
                <w:szCs w:val="22"/>
              </w:rPr>
            </w:pPr>
          </w:p>
          <w:p w14:paraId="009A36DC" w14:textId="77777777" w:rsidR="007C04CF" w:rsidRPr="004A0AE5" w:rsidRDefault="00574BD0" w:rsidP="003932B8">
            <w:pPr>
              <w:jc w:val="both"/>
              <w:rPr>
                <w:rFonts w:ascii="Arial" w:hAnsi="Arial" w:cs="Arial"/>
                <w:sz w:val="22"/>
                <w:szCs w:val="22"/>
              </w:rPr>
            </w:pPr>
            <w:r>
              <w:rPr>
                <w:rFonts w:ascii="Arial" w:hAnsi="Arial" w:cs="Arial"/>
                <w:sz w:val="22"/>
                <w:szCs w:val="22"/>
              </w:rPr>
              <w:t>46.4</w:t>
            </w:r>
          </w:p>
        </w:tc>
        <w:tc>
          <w:tcPr>
            <w:tcW w:w="1418" w:type="dxa"/>
          </w:tcPr>
          <w:p w14:paraId="37375217" w14:textId="77777777" w:rsidR="003932B8" w:rsidRDefault="003932B8" w:rsidP="003932B8">
            <w:pPr>
              <w:jc w:val="both"/>
              <w:rPr>
                <w:rFonts w:ascii="Arial" w:hAnsi="Arial" w:cs="Arial"/>
                <w:sz w:val="22"/>
                <w:szCs w:val="22"/>
              </w:rPr>
            </w:pPr>
          </w:p>
          <w:p w14:paraId="605510B9" w14:textId="77777777" w:rsidR="0043707A" w:rsidRPr="00186D6B" w:rsidRDefault="00574BD0" w:rsidP="003932B8">
            <w:pPr>
              <w:jc w:val="both"/>
              <w:rPr>
                <w:rFonts w:ascii="Arial" w:hAnsi="Arial" w:cs="Arial"/>
                <w:sz w:val="22"/>
                <w:szCs w:val="22"/>
              </w:rPr>
            </w:pPr>
            <w:r>
              <w:rPr>
                <w:rFonts w:ascii="Arial" w:hAnsi="Arial" w:cs="Arial"/>
                <w:sz w:val="22"/>
                <w:szCs w:val="22"/>
              </w:rPr>
              <w:t>4.6</w:t>
            </w:r>
          </w:p>
        </w:tc>
        <w:tc>
          <w:tcPr>
            <w:tcW w:w="1559" w:type="dxa"/>
          </w:tcPr>
          <w:p w14:paraId="3A6F82BE" w14:textId="77777777" w:rsidR="003932B8" w:rsidRDefault="003932B8" w:rsidP="003932B8">
            <w:pPr>
              <w:jc w:val="both"/>
              <w:rPr>
                <w:rFonts w:ascii="Arial" w:hAnsi="Arial" w:cs="Arial"/>
                <w:sz w:val="22"/>
                <w:szCs w:val="22"/>
              </w:rPr>
            </w:pPr>
          </w:p>
          <w:p w14:paraId="62F77E53" w14:textId="77777777" w:rsidR="003932B8" w:rsidRPr="004A0AE5" w:rsidRDefault="003932B8" w:rsidP="003932B8">
            <w:pPr>
              <w:jc w:val="both"/>
              <w:rPr>
                <w:rFonts w:ascii="Arial" w:hAnsi="Arial" w:cs="Arial"/>
                <w:sz w:val="22"/>
                <w:szCs w:val="22"/>
              </w:rPr>
            </w:pPr>
            <w:r>
              <w:rPr>
                <w:rFonts w:ascii="Arial" w:hAnsi="Arial" w:cs="Arial"/>
                <w:sz w:val="22"/>
                <w:szCs w:val="22"/>
              </w:rPr>
              <w:t>4</w:t>
            </w:r>
            <w:r w:rsidR="00367609">
              <w:rPr>
                <w:rFonts w:ascii="Arial" w:hAnsi="Arial" w:cs="Arial"/>
                <w:sz w:val="22"/>
                <w:szCs w:val="22"/>
              </w:rPr>
              <w:t>9</w:t>
            </w:r>
            <w:r w:rsidRPr="00804968">
              <w:rPr>
                <w:rFonts w:ascii="Arial" w:hAnsi="Arial" w:cs="Arial"/>
                <w:sz w:val="22"/>
                <w:szCs w:val="22"/>
              </w:rPr>
              <w:t>.</w:t>
            </w:r>
            <w:r w:rsidR="00367609">
              <w:rPr>
                <w:rFonts w:ascii="Arial" w:hAnsi="Arial" w:cs="Arial"/>
                <w:sz w:val="22"/>
                <w:szCs w:val="22"/>
              </w:rPr>
              <w:t>7</w:t>
            </w:r>
          </w:p>
        </w:tc>
        <w:tc>
          <w:tcPr>
            <w:tcW w:w="1559" w:type="dxa"/>
          </w:tcPr>
          <w:p w14:paraId="4BB6250C" w14:textId="77777777" w:rsidR="003932B8" w:rsidRDefault="003932B8" w:rsidP="003932B8">
            <w:pPr>
              <w:jc w:val="both"/>
              <w:rPr>
                <w:rFonts w:ascii="Arial" w:hAnsi="Arial" w:cs="Arial"/>
                <w:sz w:val="22"/>
                <w:szCs w:val="22"/>
              </w:rPr>
            </w:pPr>
          </w:p>
          <w:p w14:paraId="25B8109B" w14:textId="77777777" w:rsidR="003932B8" w:rsidRPr="004A0AE5" w:rsidRDefault="003932B8" w:rsidP="003932B8">
            <w:pPr>
              <w:jc w:val="both"/>
              <w:rPr>
                <w:rFonts w:ascii="Arial" w:hAnsi="Arial" w:cs="Arial"/>
                <w:sz w:val="22"/>
                <w:szCs w:val="22"/>
              </w:rPr>
            </w:pPr>
            <w:r>
              <w:rPr>
                <w:rFonts w:ascii="Arial" w:hAnsi="Arial" w:cs="Arial"/>
                <w:sz w:val="22"/>
                <w:szCs w:val="22"/>
              </w:rPr>
              <w:t>5.</w:t>
            </w:r>
            <w:r w:rsidR="00367609">
              <w:rPr>
                <w:rFonts w:ascii="Arial" w:hAnsi="Arial" w:cs="Arial"/>
                <w:sz w:val="22"/>
                <w:szCs w:val="22"/>
              </w:rPr>
              <w:t>4</w:t>
            </w:r>
          </w:p>
        </w:tc>
      </w:tr>
      <w:tr w:rsidR="003932B8" w14:paraId="34BD3912" w14:textId="77777777" w:rsidTr="003932B8">
        <w:trPr>
          <w:trHeight w:val="249"/>
        </w:trPr>
        <w:tc>
          <w:tcPr>
            <w:tcW w:w="1894" w:type="dxa"/>
          </w:tcPr>
          <w:p w14:paraId="4258048A" w14:textId="77777777" w:rsidR="003932B8" w:rsidRPr="004A0AE5" w:rsidRDefault="003932B8" w:rsidP="003932B8">
            <w:pPr>
              <w:jc w:val="both"/>
              <w:rPr>
                <w:rFonts w:ascii="Arial" w:hAnsi="Arial" w:cs="Arial"/>
                <w:sz w:val="22"/>
                <w:szCs w:val="22"/>
              </w:rPr>
            </w:pPr>
            <w:r w:rsidRPr="004A0AE5">
              <w:rPr>
                <w:rFonts w:ascii="Arial" w:hAnsi="Arial" w:cs="Arial"/>
                <w:sz w:val="22"/>
                <w:szCs w:val="22"/>
              </w:rPr>
              <w:t>UBS</w:t>
            </w:r>
          </w:p>
        </w:tc>
        <w:tc>
          <w:tcPr>
            <w:tcW w:w="1701" w:type="dxa"/>
          </w:tcPr>
          <w:p w14:paraId="45B2F5C1" w14:textId="77777777" w:rsidR="003932B8" w:rsidRPr="004A0AE5" w:rsidRDefault="003932B8" w:rsidP="003932B8">
            <w:pPr>
              <w:jc w:val="both"/>
              <w:rPr>
                <w:rFonts w:ascii="Arial" w:hAnsi="Arial" w:cs="Arial"/>
                <w:sz w:val="22"/>
                <w:szCs w:val="22"/>
              </w:rPr>
            </w:pPr>
            <w:r w:rsidRPr="004A0AE5">
              <w:rPr>
                <w:rFonts w:ascii="Arial" w:hAnsi="Arial" w:cs="Arial"/>
                <w:sz w:val="22"/>
                <w:szCs w:val="22"/>
              </w:rPr>
              <w:t>UK Property</w:t>
            </w:r>
          </w:p>
        </w:tc>
        <w:tc>
          <w:tcPr>
            <w:tcW w:w="1559" w:type="dxa"/>
          </w:tcPr>
          <w:p w14:paraId="7D8ABBDC" w14:textId="77777777" w:rsidR="003932B8" w:rsidRPr="004A0AE5" w:rsidRDefault="00CE7373" w:rsidP="003932B8">
            <w:pPr>
              <w:jc w:val="both"/>
              <w:rPr>
                <w:rFonts w:ascii="Arial" w:hAnsi="Arial" w:cs="Arial"/>
                <w:sz w:val="22"/>
                <w:szCs w:val="22"/>
              </w:rPr>
            </w:pPr>
            <w:r>
              <w:rPr>
                <w:rFonts w:ascii="Arial" w:hAnsi="Arial" w:cs="Arial"/>
                <w:sz w:val="22"/>
                <w:szCs w:val="22"/>
              </w:rPr>
              <w:t>27.4</w:t>
            </w:r>
          </w:p>
        </w:tc>
        <w:tc>
          <w:tcPr>
            <w:tcW w:w="1418" w:type="dxa"/>
          </w:tcPr>
          <w:p w14:paraId="4E55E374" w14:textId="77777777" w:rsidR="003932B8" w:rsidRPr="004A0AE5" w:rsidRDefault="00CE7373" w:rsidP="003932B8">
            <w:pPr>
              <w:jc w:val="both"/>
              <w:rPr>
                <w:rFonts w:ascii="Arial" w:hAnsi="Arial" w:cs="Arial"/>
                <w:sz w:val="22"/>
                <w:szCs w:val="22"/>
              </w:rPr>
            </w:pPr>
            <w:r>
              <w:rPr>
                <w:rFonts w:ascii="Arial" w:hAnsi="Arial" w:cs="Arial"/>
                <w:sz w:val="22"/>
                <w:szCs w:val="22"/>
              </w:rPr>
              <w:t>3.2</w:t>
            </w:r>
          </w:p>
        </w:tc>
        <w:tc>
          <w:tcPr>
            <w:tcW w:w="1559" w:type="dxa"/>
          </w:tcPr>
          <w:p w14:paraId="5003AEC8" w14:textId="77777777" w:rsidR="003932B8" w:rsidRPr="004A0AE5" w:rsidRDefault="003932B8" w:rsidP="003932B8">
            <w:pPr>
              <w:jc w:val="both"/>
              <w:rPr>
                <w:rFonts w:ascii="Arial" w:hAnsi="Arial" w:cs="Arial"/>
                <w:sz w:val="22"/>
                <w:szCs w:val="22"/>
              </w:rPr>
            </w:pPr>
            <w:r>
              <w:rPr>
                <w:rFonts w:ascii="Arial" w:hAnsi="Arial" w:cs="Arial"/>
                <w:sz w:val="22"/>
                <w:szCs w:val="22"/>
              </w:rPr>
              <w:t>2</w:t>
            </w:r>
            <w:r w:rsidR="00367609">
              <w:rPr>
                <w:rFonts w:ascii="Arial" w:hAnsi="Arial" w:cs="Arial"/>
                <w:sz w:val="22"/>
                <w:szCs w:val="22"/>
              </w:rPr>
              <w:t>8</w:t>
            </w:r>
            <w:r>
              <w:rPr>
                <w:rFonts w:ascii="Arial" w:hAnsi="Arial" w:cs="Arial"/>
                <w:sz w:val="22"/>
                <w:szCs w:val="22"/>
              </w:rPr>
              <w:t>.</w:t>
            </w:r>
            <w:r w:rsidR="00367609">
              <w:rPr>
                <w:rFonts w:ascii="Arial" w:hAnsi="Arial" w:cs="Arial"/>
                <w:sz w:val="22"/>
                <w:szCs w:val="22"/>
              </w:rPr>
              <w:t>0</w:t>
            </w:r>
          </w:p>
        </w:tc>
        <w:tc>
          <w:tcPr>
            <w:tcW w:w="1559" w:type="dxa"/>
          </w:tcPr>
          <w:p w14:paraId="38552019" w14:textId="77777777" w:rsidR="003932B8" w:rsidRPr="004A0AE5" w:rsidRDefault="003932B8" w:rsidP="003932B8">
            <w:pPr>
              <w:jc w:val="both"/>
              <w:rPr>
                <w:rFonts w:ascii="Arial" w:hAnsi="Arial" w:cs="Arial"/>
                <w:sz w:val="22"/>
                <w:szCs w:val="22"/>
              </w:rPr>
            </w:pPr>
            <w:r>
              <w:rPr>
                <w:rFonts w:ascii="Arial" w:hAnsi="Arial" w:cs="Arial"/>
                <w:sz w:val="22"/>
                <w:szCs w:val="22"/>
              </w:rPr>
              <w:t>3.</w:t>
            </w:r>
            <w:r w:rsidR="00367609">
              <w:rPr>
                <w:rFonts w:ascii="Arial" w:hAnsi="Arial" w:cs="Arial"/>
                <w:sz w:val="22"/>
                <w:szCs w:val="22"/>
              </w:rPr>
              <w:t>0</w:t>
            </w:r>
          </w:p>
        </w:tc>
      </w:tr>
      <w:tr w:rsidR="003932B8" w14:paraId="6A26069C" w14:textId="77777777" w:rsidTr="003932B8">
        <w:trPr>
          <w:trHeight w:val="249"/>
        </w:trPr>
        <w:tc>
          <w:tcPr>
            <w:tcW w:w="1894" w:type="dxa"/>
          </w:tcPr>
          <w:p w14:paraId="5A434725" w14:textId="77777777" w:rsidR="003932B8" w:rsidRPr="004A0AE5" w:rsidRDefault="003932B8" w:rsidP="003932B8">
            <w:pPr>
              <w:jc w:val="both"/>
              <w:rPr>
                <w:rFonts w:ascii="Arial" w:hAnsi="Arial" w:cs="Arial"/>
                <w:sz w:val="22"/>
                <w:szCs w:val="22"/>
              </w:rPr>
            </w:pPr>
            <w:r>
              <w:rPr>
                <w:rFonts w:ascii="Arial" w:hAnsi="Arial" w:cs="Arial"/>
                <w:sz w:val="22"/>
                <w:szCs w:val="22"/>
              </w:rPr>
              <w:t>Darwin</w:t>
            </w:r>
          </w:p>
        </w:tc>
        <w:tc>
          <w:tcPr>
            <w:tcW w:w="1701" w:type="dxa"/>
          </w:tcPr>
          <w:p w14:paraId="620D4DF3" w14:textId="77777777" w:rsidR="003932B8" w:rsidRPr="004A0AE5" w:rsidRDefault="003932B8" w:rsidP="003932B8">
            <w:pPr>
              <w:jc w:val="both"/>
              <w:rPr>
                <w:rFonts w:ascii="Arial" w:hAnsi="Arial" w:cs="Arial"/>
                <w:sz w:val="22"/>
                <w:szCs w:val="22"/>
              </w:rPr>
            </w:pPr>
            <w:r>
              <w:rPr>
                <w:rFonts w:ascii="Arial" w:hAnsi="Arial" w:cs="Arial"/>
                <w:sz w:val="22"/>
                <w:szCs w:val="22"/>
              </w:rPr>
              <w:t>UK Property</w:t>
            </w:r>
          </w:p>
        </w:tc>
        <w:tc>
          <w:tcPr>
            <w:tcW w:w="1559" w:type="dxa"/>
          </w:tcPr>
          <w:p w14:paraId="3374589E" w14:textId="77777777" w:rsidR="003932B8" w:rsidRPr="004A0AE5" w:rsidRDefault="00CE7373" w:rsidP="003932B8">
            <w:pPr>
              <w:jc w:val="both"/>
              <w:rPr>
                <w:rFonts w:ascii="Arial" w:hAnsi="Arial" w:cs="Arial"/>
                <w:sz w:val="22"/>
                <w:szCs w:val="22"/>
              </w:rPr>
            </w:pPr>
            <w:r>
              <w:rPr>
                <w:rFonts w:ascii="Arial" w:hAnsi="Arial" w:cs="Arial"/>
                <w:sz w:val="22"/>
                <w:szCs w:val="22"/>
              </w:rPr>
              <w:t>36.3</w:t>
            </w:r>
          </w:p>
        </w:tc>
        <w:tc>
          <w:tcPr>
            <w:tcW w:w="1418" w:type="dxa"/>
          </w:tcPr>
          <w:p w14:paraId="11786A1C" w14:textId="77777777" w:rsidR="003932B8" w:rsidRPr="004A0AE5" w:rsidRDefault="00CE7373" w:rsidP="003932B8">
            <w:pPr>
              <w:jc w:val="both"/>
              <w:rPr>
                <w:rFonts w:ascii="Arial" w:hAnsi="Arial" w:cs="Arial"/>
                <w:sz w:val="22"/>
                <w:szCs w:val="22"/>
              </w:rPr>
            </w:pPr>
            <w:r>
              <w:rPr>
                <w:rFonts w:ascii="Arial" w:hAnsi="Arial" w:cs="Arial"/>
                <w:sz w:val="22"/>
                <w:szCs w:val="22"/>
              </w:rPr>
              <w:t>4.2</w:t>
            </w:r>
          </w:p>
        </w:tc>
        <w:tc>
          <w:tcPr>
            <w:tcW w:w="1559" w:type="dxa"/>
          </w:tcPr>
          <w:p w14:paraId="538B7D4D" w14:textId="77777777" w:rsidR="003932B8" w:rsidRPr="004A0AE5" w:rsidRDefault="003932B8" w:rsidP="003932B8">
            <w:pPr>
              <w:jc w:val="both"/>
              <w:rPr>
                <w:rFonts w:ascii="Arial" w:hAnsi="Arial" w:cs="Arial"/>
                <w:sz w:val="22"/>
                <w:szCs w:val="22"/>
              </w:rPr>
            </w:pPr>
            <w:r>
              <w:rPr>
                <w:rFonts w:ascii="Arial" w:hAnsi="Arial" w:cs="Arial"/>
                <w:sz w:val="22"/>
                <w:szCs w:val="22"/>
              </w:rPr>
              <w:t>3</w:t>
            </w:r>
            <w:r w:rsidR="00367609">
              <w:rPr>
                <w:rFonts w:ascii="Arial" w:hAnsi="Arial" w:cs="Arial"/>
                <w:sz w:val="22"/>
                <w:szCs w:val="22"/>
              </w:rPr>
              <w:t>4.2</w:t>
            </w:r>
          </w:p>
        </w:tc>
        <w:tc>
          <w:tcPr>
            <w:tcW w:w="1559" w:type="dxa"/>
          </w:tcPr>
          <w:p w14:paraId="2952D79A" w14:textId="77777777" w:rsidR="003932B8" w:rsidRPr="004A0AE5" w:rsidRDefault="003932B8" w:rsidP="003932B8">
            <w:pPr>
              <w:jc w:val="both"/>
              <w:rPr>
                <w:rFonts w:ascii="Arial" w:hAnsi="Arial" w:cs="Arial"/>
                <w:sz w:val="22"/>
                <w:szCs w:val="22"/>
              </w:rPr>
            </w:pPr>
            <w:r>
              <w:rPr>
                <w:rFonts w:ascii="Arial" w:hAnsi="Arial" w:cs="Arial"/>
                <w:sz w:val="22"/>
                <w:szCs w:val="22"/>
              </w:rPr>
              <w:t>3.</w:t>
            </w:r>
            <w:r w:rsidR="00367609">
              <w:rPr>
                <w:rFonts w:ascii="Arial" w:hAnsi="Arial" w:cs="Arial"/>
                <w:sz w:val="22"/>
                <w:szCs w:val="22"/>
              </w:rPr>
              <w:t>7</w:t>
            </w:r>
          </w:p>
        </w:tc>
      </w:tr>
      <w:tr w:rsidR="003932B8" w14:paraId="607E561F" w14:textId="77777777" w:rsidTr="003932B8">
        <w:trPr>
          <w:trHeight w:val="265"/>
        </w:trPr>
        <w:tc>
          <w:tcPr>
            <w:tcW w:w="1894" w:type="dxa"/>
          </w:tcPr>
          <w:p w14:paraId="4FD87C71" w14:textId="77777777" w:rsidR="003932B8" w:rsidRDefault="003932B8" w:rsidP="003932B8">
            <w:pPr>
              <w:jc w:val="both"/>
              <w:rPr>
                <w:rFonts w:ascii="Arial" w:hAnsi="Arial" w:cs="Arial"/>
                <w:sz w:val="22"/>
                <w:szCs w:val="22"/>
              </w:rPr>
            </w:pPr>
            <w:r>
              <w:rPr>
                <w:rFonts w:ascii="Arial" w:hAnsi="Arial" w:cs="Arial"/>
                <w:sz w:val="22"/>
                <w:szCs w:val="22"/>
              </w:rPr>
              <w:t>Invesco</w:t>
            </w:r>
          </w:p>
        </w:tc>
        <w:tc>
          <w:tcPr>
            <w:tcW w:w="1701" w:type="dxa"/>
          </w:tcPr>
          <w:p w14:paraId="3F2AD8DD" w14:textId="77777777" w:rsidR="003932B8" w:rsidRDefault="003932B8" w:rsidP="003932B8">
            <w:pPr>
              <w:jc w:val="both"/>
              <w:rPr>
                <w:rFonts w:ascii="Arial" w:hAnsi="Arial" w:cs="Arial"/>
                <w:sz w:val="22"/>
                <w:szCs w:val="22"/>
              </w:rPr>
            </w:pPr>
            <w:r>
              <w:rPr>
                <w:rFonts w:ascii="Arial" w:hAnsi="Arial" w:cs="Arial"/>
                <w:sz w:val="22"/>
                <w:szCs w:val="22"/>
              </w:rPr>
              <w:t>UK Property</w:t>
            </w:r>
          </w:p>
        </w:tc>
        <w:tc>
          <w:tcPr>
            <w:tcW w:w="1559" w:type="dxa"/>
          </w:tcPr>
          <w:p w14:paraId="69CE59A5" w14:textId="77777777" w:rsidR="003932B8" w:rsidRDefault="00CE7373" w:rsidP="003932B8">
            <w:pPr>
              <w:jc w:val="both"/>
              <w:rPr>
                <w:rFonts w:ascii="Arial" w:hAnsi="Arial" w:cs="Arial"/>
                <w:sz w:val="22"/>
                <w:szCs w:val="22"/>
              </w:rPr>
            </w:pPr>
            <w:r>
              <w:rPr>
                <w:rFonts w:ascii="Arial" w:hAnsi="Arial" w:cs="Arial"/>
                <w:sz w:val="22"/>
                <w:szCs w:val="22"/>
              </w:rPr>
              <w:t>20.5</w:t>
            </w:r>
          </w:p>
        </w:tc>
        <w:tc>
          <w:tcPr>
            <w:tcW w:w="1418" w:type="dxa"/>
          </w:tcPr>
          <w:p w14:paraId="2C51F419" w14:textId="77777777" w:rsidR="003932B8" w:rsidRDefault="00CE7373" w:rsidP="003932B8">
            <w:pPr>
              <w:jc w:val="both"/>
              <w:rPr>
                <w:rFonts w:ascii="Arial" w:hAnsi="Arial" w:cs="Arial"/>
                <w:sz w:val="22"/>
                <w:szCs w:val="22"/>
              </w:rPr>
            </w:pPr>
            <w:r>
              <w:rPr>
                <w:rFonts w:ascii="Arial" w:hAnsi="Arial" w:cs="Arial"/>
                <w:sz w:val="22"/>
                <w:szCs w:val="22"/>
              </w:rPr>
              <w:t>2.4</w:t>
            </w:r>
          </w:p>
        </w:tc>
        <w:tc>
          <w:tcPr>
            <w:tcW w:w="1559" w:type="dxa"/>
          </w:tcPr>
          <w:p w14:paraId="5F0E1ECC" w14:textId="77777777" w:rsidR="003932B8" w:rsidRDefault="003932B8" w:rsidP="003932B8">
            <w:pPr>
              <w:jc w:val="both"/>
              <w:rPr>
                <w:rFonts w:ascii="Arial" w:hAnsi="Arial" w:cs="Arial"/>
                <w:sz w:val="22"/>
                <w:szCs w:val="22"/>
              </w:rPr>
            </w:pPr>
            <w:r>
              <w:rPr>
                <w:rFonts w:ascii="Arial" w:hAnsi="Arial" w:cs="Arial"/>
                <w:sz w:val="22"/>
                <w:szCs w:val="22"/>
              </w:rPr>
              <w:t>20</w:t>
            </w:r>
            <w:r w:rsidR="00367609">
              <w:rPr>
                <w:rFonts w:ascii="Arial" w:hAnsi="Arial" w:cs="Arial"/>
                <w:sz w:val="22"/>
                <w:szCs w:val="22"/>
              </w:rPr>
              <w:t>.3</w:t>
            </w:r>
          </w:p>
        </w:tc>
        <w:tc>
          <w:tcPr>
            <w:tcW w:w="1559" w:type="dxa"/>
          </w:tcPr>
          <w:p w14:paraId="3BC06F65" w14:textId="77777777" w:rsidR="003932B8" w:rsidRDefault="003932B8" w:rsidP="003932B8">
            <w:pPr>
              <w:jc w:val="both"/>
              <w:rPr>
                <w:rFonts w:ascii="Arial" w:hAnsi="Arial" w:cs="Arial"/>
                <w:sz w:val="22"/>
                <w:szCs w:val="22"/>
              </w:rPr>
            </w:pPr>
            <w:r>
              <w:rPr>
                <w:rFonts w:ascii="Arial" w:hAnsi="Arial" w:cs="Arial"/>
                <w:sz w:val="22"/>
                <w:szCs w:val="22"/>
              </w:rPr>
              <w:t>2.</w:t>
            </w:r>
            <w:r w:rsidR="00367609">
              <w:rPr>
                <w:rFonts w:ascii="Arial" w:hAnsi="Arial" w:cs="Arial"/>
                <w:sz w:val="22"/>
                <w:szCs w:val="22"/>
              </w:rPr>
              <w:t>2</w:t>
            </w:r>
          </w:p>
        </w:tc>
      </w:tr>
      <w:tr w:rsidR="003932B8" w14:paraId="282D5E6A" w14:textId="77777777" w:rsidTr="003932B8">
        <w:trPr>
          <w:trHeight w:val="514"/>
        </w:trPr>
        <w:tc>
          <w:tcPr>
            <w:tcW w:w="1894" w:type="dxa"/>
          </w:tcPr>
          <w:p w14:paraId="69BADAB2" w14:textId="77777777" w:rsidR="003932B8" w:rsidRPr="00B10013" w:rsidRDefault="003932B8" w:rsidP="003932B8">
            <w:pPr>
              <w:jc w:val="both"/>
              <w:rPr>
                <w:rFonts w:ascii="Arial" w:hAnsi="Arial" w:cs="Arial"/>
                <w:iCs/>
                <w:sz w:val="22"/>
                <w:szCs w:val="22"/>
              </w:rPr>
            </w:pPr>
            <w:r w:rsidRPr="00B10013">
              <w:rPr>
                <w:rFonts w:ascii="Arial" w:hAnsi="Arial" w:cs="Arial"/>
                <w:iCs/>
                <w:sz w:val="22"/>
                <w:szCs w:val="22"/>
              </w:rPr>
              <w:t>Impact Ventures U</w:t>
            </w:r>
            <w:r>
              <w:rPr>
                <w:rFonts w:ascii="Arial" w:hAnsi="Arial" w:cs="Arial"/>
                <w:iCs/>
                <w:sz w:val="22"/>
                <w:szCs w:val="22"/>
              </w:rPr>
              <w:t>K</w:t>
            </w:r>
          </w:p>
        </w:tc>
        <w:tc>
          <w:tcPr>
            <w:tcW w:w="1701" w:type="dxa"/>
          </w:tcPr>
          <w:p w14:paraId="4064CD09" w14:textId="77777777" w:rsidR="000458B2" w:rsidRDefault="000458B2" w:rsidP="003932B8">
            <w:pPr>
              <w:jc w:val="both"/>
              <w:rPr>
                <w:rFonts w:ascii="Arial" w:hAnsi="Arial" w:cs="Arial"/>
                <w:sz w:val="22"/>
                <w:szCs w:val="22"/>
              </w:rPr>
            </w:pPr>
          </w:p>
          <w:p w14:paraId="761A9B19" w14:textId="77777777" w:rsidR="003932B8" w:rsidRPr="004A0AE5" w:rsidRDefault="003932B8" w:rsidP="003932B8">
            <w:pPr>
              <w:jc w:val="both"/>
              <w:rPr>
                <w:rFonts w:ascii="Arial" w:hAnsi="Arial" w:cs="Arial"/>
                <w:sz w:val="22"/>
                <w:szCs w:val="22"/>
              </w:rPr>
            </w:pPr>
            <w:r>
              <w:rPr>
                <w:rFonts w:ascii="Arial" w:hAnsi="Arial" w:cs="Arial"/>
                <w:sz w:val="22"/>
                <w:szCs w:val="22"/>
              </w:rPr>
              <w:t>Social Impact</w:t>
            </w:r>
          </w:p>
        </w:tc>
        <w:tc>
          <w:tcPr>
            <w:tcW w:w="1559" w:type="dxa"/>
          </w:tcPr>
          <w:p w14:paraId="75BCFD33" w14:textId="77777777" w:rsidR="00946003" w:rsidRDefault="00946003" w:rsidP="003932B8">
            <w:pPr>
              <w:jc w:val="both"/>
              <w:rPr>
                <w:rFonts w:ascii="Arial" w:hAnsi="Arial" w:cs="Arial"/>
                <w:sz w:val="22"/>
                <w:szCs w:val="22"/>
              </w:rPr>
            </w:pPr>
          </w:p>
          <w:p w14:paraId="6E4A75C0" w14:textId="77777777" w:rsidR="003932B8" w:rsidRPr="00666765" w:rsidRDefault="00CE7373" w:rsidP="003932B8">
            <w:pPr>
              <w:jc w:val="both"/>
              <w:rPr>
                <w:rFonts w:ascii="Arial" w:hAnsi="Arial" w:cs="Arial"/>
                <w:sz w:val="22"/>
                <w:szCs w:val="22"/>
              </w:rPr>
            </w:pPr>
            <w:r>
              <w:rPr>
                <w:rFonts w:ascii="Arial" w:hAnsi="Arial" w:cs="Arial"/>
                <w:sz w:val="22"/>
                <w:szCs w:val="22"/>
              </w:rPr>
              <w:t>3.5</w:t>
            </w:r>
          </w:p>
        </w:tc>
        <w:tc>
          <w:tcPr>
            <w:tcW w:w="1418" w:type="dxa"/>
          </w:tcPr>
          <w:p w14:paraId="39943A11" w14:textId="77777777" w:rsidR="00946003" w:rsidRDefault="00946003" w:rsidP="003932B8">
            <w:pPr>
              <w:jc w:val="both"/>
              <w:rPr>
                <w:rFonts w:ascii="Arial" w:hAnsi="Arial" w:cs="Arial"/>
                <w:sz w:val="22"/>
                <w:szCs w:val="22"/>
              </w:rPr>
            </w:pPr>
          </w:p>
          <w:p w14:paraId="068466A3" w14:textId="77777777" w:rsidR="003932B8" w:rsidRPr="00666765" w:rsidRDefault="00CE7373" w:rsidP="003932B8">
            <w:pPr>
              <w:jc w:val="both"/>
              <w:rPr>
                <w:rFonts w:ascii="Arial" w:hAnsi="Arial" w:cs="Arial"/>
                <w:sz w:val="22"/>
                <w:szCs w:val="22"/>
              </w:rPr>
            </w:pPr>
            <w:r>
              <w:rPr>
                <w:rFonts w:ascii="Arial" w:hAnsi="Arial" w:cs="Arial"/>
                <w:sz w:val="22"/>
                <w:szCs w:val="22"/>
              </w:rPr>
              <w:t>0.4</w:t>
            </w:r>
          </w:p>
        </w:tc>
        <w:tc>
          <w:tcPr>
            <w:tcW w:w="1559" w:type="dxa"/>
          </w:tcPr>
          <w:p w14:paraId="20622121" w14:textId="77777777" w:rsidR="003932B8" w:rsidRDefault="003932B8" w:rsidP="003932B8">
            <w:pPr>
              <w:jc w:val="both"/>
              <w:rPr>
                <w:rFonts w:ascii="Arial" w:hAnsi="Arial" w:cs="Arial"/>
                <w:sz w:val="22"/>
                <w:szCs w:val="22"/>
              </w:rPr>
            </w:pPr>
          </w:p>
          <w:p w14:paraId="6F9DC561" w14:textId="77777777" w:rsidR="003932B8" w:rsidRPr="00666765" w:rsidRDefault="00367609" w:rsidP="003932B8">
            <w:pPr>
              <w:jc w:val="both"/>
              <w:rPr>
                <w:rFonts w:ascii="Arial" w:hAnsi="Arial" w:cs="Arial"/>
                <w:sz w:val="22"/>
                <w:szCs w:val="22"/>
              </w:rPr>
            </w:pPr>
            <w:r>
              <w:rPr>
                <w:rFonts w:ascii="Arial" w:hAnsi="Arial" w:cs="Arial"/>
                <w:sz w:val="22"/>
                <w:szCs w:val="22"/>
              </w:rPr>
              <w:t>3</w:t>
            </w:r>
            <w:r w:rsidR="003932B8" w:rsidRPr="00804968">
              <w:rPr>
                <w:rFonts w:ascii="Arial" w:hAnsi="Arial" w:cs="Arial"/>
                <w:sz w:val="22"/>
                <w:szCs w:val="22"/>
              </w:rPr>
              <w:t>.</w:t>
            </w:r>
            <w:r>
              <w:rPr>
                <w:rFonts w:ascii="Arial" w:hAnsi="Arial" w:cs="Arial"/>
                <w:sz w:val="22"/>
                <w:szCs w:val="22"/>
              </w:rPr>
              <w:t>6</w:t>
            </w:r>
          </w:p>
        </w:tc>
        <w:tc>
          <w:tcPr>
            <w:tcW w:w="1559" w:type="dxa"/>
          </w:tcPr>
          <w:p w14:paraId="12AA04A4" w14:textId="77777777" w:rsidR="003932B8" w:rsidRDefault="003932B8" w:rsidP="003932B8">
            <w:pPr>
              <w:jc w:val="both"/>
              <w:rPr>
                <w:rFonts w:ascii="Arial" w:hAnsi="Arial" w:cs="Arial"/>
                <w:sz w:val="22"/>
                <w:szCs w:val="22"/>
              </w:rPr>
            </w:pPr>
          </w:p>
          <w:p w14:paraId="1F80B85C" w14:textId="77777777" w:rsidR="003932B8" w:rsidRPr="00666765" w:rsidRDefault="003932B8" w:rsidP="003932B8">
            <w:pPr>
              <w:jc w:val="both"/>
              <w:rPr>
                <w:rFonts w:ascii="Arial" w:hAnsi="Arial" w:cs="Arial"/>
                <w:sz w:val="22"/>
                <w:szCs w:val="22"/>
              </w:rPr>
            </w:pPr>
            <w:r>
              <w:rPr>
                <w:rFonts w:ascii="Arial" w:hAnsi="Arial" w:cs="Arial"/>
                <w:sz w:val="22"/>
                <w:szCs w:val="22"/>
              </w:rPr>
              <w:t>0.</w:t>
            </w:r>
            <w:r w:rsidR="00367609">
              <w:rPr>
                <w:rFonts w:ascii="Arial" w:hAnsi="Arial" w:cs="Arial"/>
                <w:sz w:val="22"/>
                <w:szCs w:val="22"/>
              </w:rPr>
              <w:t>4</w:t>
            </w:r>
          </w:p>
        </w:tc>
      </w:tr>
      <w:tr w:rsidR="003932B8" w14:paraId="46955779" w14:textId="77777777" w:rsidTr="003932B8">
        <w:trPr>
          <w:trHeight w:val="265"/>
        </w:trPr>
        <w:tc>
          <w:tcPr>
            <w:tcW w:w="1894" w:type="dxa"/>
          </w:tcPr>
          <w:p w14:paraId="6F8BDCCD" w14:textId="77777777" w:rsidR="003932B8" w:rsidRPr="004A0AE5" w:rsidRDefault="003932B8" w:rsidP="003932B8">
            <w:pPr>
              <w:jc w:val="both"/>
              <w:rPr>
                <w:rFonts w:ascii="Arial" w:hAnsi="Arial" w:cs="Arial"/>
                <w:sz w:val="22"/>
                <w:szCs w:val="22"/>
              </w:rPr>
            </w:pPr>
            <w:r>
              <w:rPr>
                <w:rFonts w:ascii="Arial" w:hAnsi="Arial" w:cs="Arial"/>
                <w:sz w:val="22"/>
                <w:szCs w:val="22"/>
              </w:rPr>
              <w:t>London CIV</w:t>
            </w:r>
          </w:p>
        </w:tc>
        <w:tc>
          <w:tcPr>
            <w:tcW w:w="1701" w:type="dxa"/>
          </w:tcPr>
          <w:p w14:paraId="63A28B92" w14:textId="77777777" w:rsidR="000458B2" w:rsidRDefault="000458B2" w:rsidP="003932B8">
            <w:pPr>
              <w:jc w:val="both"/>
              <w:rPr>
                <w:rFonts w:ascii="Arial" w:hAnsi="Arial" w:cs="Arial"/>
                <w:sz w:val="22"/>
                <w:szCs w:val="22"/>
              </w:rPr>
            </w:pPr>
          </w:p>
          <w:p w14:paraId="6DD15DD7" w14:textId="77777777" w:rsidR="003932B8" w:rsidRPr="004A0AE5" w:rsidRDefault="003932B8" w:rsidP="003932B8">
            <w:pPr>
              <w:jc w:val="both"/>
              <w:rPr>
                <w:rFonts w:ascii="Arial" w:hAnsi="Arial" w:cs="Arial"/>
                <w:sz w:val="22"/>
                <w:szCs w:val="22"/>
              </w:rPr>
            </w:pPr>
            <w:r>
              <w:rPr>
                <w:rFonts w:ascii="Arial" w:hAnsi="Arial" w:cs="Arial"/>
                <w:sz w:val="22"/>
                <w:szCs w:val="22"/>
              </w:rPr>
              <w:t>London Pool</w:t>
            </w:r>
          </w:p>
        </w:tc>
        <w:tc>
          <w:tcPr>
            <w:tcW w:w="1559" w:type="dxa"/>
          </w:tcPr>
          <w:p w14:paraId="140A0056" w14:textId="77777777" w:rsidR="00946003" w:rsidRDefault="00946003" w:rsidP="003932B8">
            <w:pPr>
              <w:jc w:val="both"/>
              <w:rPr>
                <w:rFonts w:ascii="Arial" w:hAnsi="Arial" w:cs="Arial"/>
                <w:sz w:val="22"/>
                <w:szCs w:val="22"/>
              </w:rPr>
            </w:pPr>
          </w:p>
          <w:p w14:paraId="5EBBA733" w14:textId="77777777" w:rsidR="003932B8" w:rsidRPr="00804968" w:rsidRDefault="00CE7373" w:rsidP="003932B8">
            <w:pPr>
              <w:jc w:val="both"/>
              <w:rPr>
                <w:rFonts w:ascii="Arial" w:hAnsi="Arial" w:cs="Arial"/>
                <w:sz w:val="22"/>
                <w:szCs w:val="22"/>
              </w:rPr>
            </w:pPr>
            <w:r>
              <w:rPr>
                <w:rFonts w:ascii="Arial" w:hAnsi="Arial" w:cs="Arial"/>
                <w:sz w:val="22"/>
                <w:szCs w:val="22"/>
              </w:rPr>
              <w:t>0.2</w:t>
            </w:r>
          </w:p>
        </w:tc>
        <w:tc>
          <w:tcPr>
            <w:tcW w:w="1418" w:type="dxa"/>
          </w:tcPr>
          <w:p w14:paraId="600A4610" w14:textId="77777777" w:rsidR="003932B8" w:rsidRDefault="003932B8" w:rsidP="003932B8">
            <w:pPr>
              <w:jc w:val="both"/>
              <w:rPr>
                <w:rFonts w:ascii="Arial" w:hAnsi="Arial" w:cs="Arial"/>
                <w:sz w:val="22"/>
                <w:szCs w:val="22"/>
              </w:rPr>
            </w:pPr>
          </w:p>
          <w:p w14:paraId="052EBB4B" w14:textId="77777777" w:rsidR="00946003" w:rsidRPr="00666765" w:rsidRDefault="00CE7373" w:rsidP="003932B8">
            <w:pPr>
              <w:jc w:val="both"/>
              <w:rPr>
                <w:rFonts w:ascii="Arial" w:hAnsi="Arial" w:cs="Arial"/>
                <w:sz w:val="22"/>
                <w:szCs w:val="22"/>
              </w:rPr>
            </w:pPr>
            <w:r>
              <w:rPr>
                <w:rFonts w:ascii="Arial" w:hAnsi="Arial" w:cs="Arial"/>
                <w:sz w:val="22"/>
                <w:szCs w:val="22"/>
              </w:rPr>
              <w:t>0.0</w:t>
            </w:r>
          </w:p>
        </w:tc>
        <w:tc>
          <w:tcPr>
            <w:tcW w:w="1559" w:type="dxa"/>
          </w:tcPr>
          <w:p w14:paraId="6CD3D9CD" w14:textId="77777777" w:rsidR="003932B8" w:rsidRDefault="003932B8" w:rsidP="003932B8">
            <w:pPr>
              <w:jc w:val="both"/>
              <w:rPr>
                <w:rFonts w:ascii="Arial" w:hAnsi="Arial" w:cs="Arial"/>
                <w:sz w:val="22"/>
                <w:szCs w:val="22"/>
              </w:rPr>
            </w:pPr>
          </w:p>
          <w:p w14:paraId="16577819" w14:textId="77777777" w:rsidR="003932B8" w:rsidRPr="00804968" w:rsidRDefault="003932B8" w:rsidP="003932B8">
            <w:pPr>
              <w:jc w:val="both"/>
              <w:rPr>
                <w:rFonts w:ascii="Arial" w:hAnsi="Arial" w:cs="Arial"/>
                <w:sz w:val="22"/>
                <w:szCs w:val="22"/>
              </w:rPr>
            </w:pPr>
            <w:r w:rsidRPr="00804968">
              <w:rPr>
                <w:rFonts w:ascii="Arial" w:hAnsi="Arial" w:cs="Arial"/>
                <w:sz w:val="22"/>
                <w:szCs w:val="22"/>
              </w:rPr>
              <w:t>0.2</w:t>
            </w:r>
          </w:p>
        </w:tc>
        <w:tc>
          <w:tcPr>
            <w:tcW w:w="1559" w:type="dxa"/>
          </w:tcPr>
          <w:p w14:paraId="34A71CD7" w14:textId="77777777" w:rsidR="003932B8" w:rsidRDefault="003932B8" w:rsidP="003932B8">
            <w:pPr>
              <w:jc w:val="both"/>
              <w:rPr>
                <w:rFonts w:ascii="Arial" w:hAnsi="Arial" w:cs="Arial"/>
                <w:sz w:val="22"/>
                <w:szCs w:val="22"/>
              </w:rPr>
            </w:pPr>
          </w:p>
          <w:p w14:paraId="0A0A4212" w14:textId="77777777" w:rsidR="003932B8" w:rsidRPr="00666765" w:rsidRDefault="003932B8" w:rsidP="003932B8">
            <w:pPr>
              <w:jc w:val="both"/>
              <w:rPr>
                <w:rFonts w:ascii="Arial" w:hAnsi="Arial" w:cs="Arial"/>
                <w:sz w:val="22"/>
                <w:szCs w:val="22"/>
              </w:rPr>
            </w:pPr>
            <w:r>
              <w:rPr>
                <w:rFonts w:ascii="Arial" w:hAnsi="Arial" w:cs="Arial"/>
                <w:sz w:val="22"/>
                <w:szCs w:val="22"/>
              </w:rPr>
              <w:t>0</w:t>
            </w:r>
          </w:p>
        </w:tc>
      </w:tr>
      <w:tr w:rsidR="0077592A" w14:paraId="567CB4E9" w14:textId="77777777" w:rsidTr="003932B8">
        <w:trPr>
          <w:trHeight w:val="265"/>
        </w:trPr>
        <w:tc>
          <w:tcPr>
            <w:tcW w:w="1894" w:type="dxa"/>
          </w:tcPr>
          <w:p w14:paraId="6A4999DE" w14:textId="77777777" w:rsidR="0077592A" w:rsidRPr="004A0AE5" w:rsidRDefault="0077592A" w:rsidP="003932B8">
            <w:pPr>
              <w:jc w:val="both"/>
              <w:rPr>
                <w:rFonts w:ascii="Arial" w:hAnsi="Arial" w:cs="Arial"/>
                <w:sz w:val="22"/>
                <w:szCs w:val="22"/>
              </w:rPr>
            </w:pPr>
            <w:r>
              <w:rPr>
                <w:rFonts w:ascii="Arial" w:hAnsi="Arial" w:cs="Arial"/>
                <w:sz w:val="22"/>
                <w:szCs w:val="22"/>
              </w:rPr>
              <w:t>LGIM</w:t>
            </w:r>
          </w:p>
        </w:tc>
        <w:tc>
          <w:tcPr>
            <w:tcW w:w="1701" w:type="dxa"/>
          </w:tcPr>
          <w:p w14:paraId="24A0BC7B" w14:textId="77777777" w:rsidR="0077592A" w:rsidRPr="004A0AE5" w:rsidRDefault="0077592A" w:rsidP="003932B8">
            <w:pPr>
              <w:jc w:val="both"/>
              <w:rPr>
                <w:rFonts w:ascii="Arial" w:hAnsi="Arial" w:cs="Arial"/>
                <w:sz w:val="22"/>
                <w:szCs w:val="22"/>
              </w:rPr>
            </w:pPr>
            <w:r>
              <w:rPr>
                <w:rFonts w:ascii="Arial" w:hAnsi="Arial" w:cs="Arial"/>
                <w:sz w:val="22"/>
                <w:szCs w:val="22"/>
              </w:rPr>
              <w:t>Equity Protection</w:t>
            </w:r>
          </w:p>
        </w:tc>
        <w:tc>
          <w:tcPr>
            <w:tcW w:w="1559" w:type="dxa"/>
          </w:tcPr>
          <w:p w14:paraId="456B8490" w14:textId="77777777" w:rsidR="0077592A" w:rsidRDefault="0077592A" w:rsidP="003932B8">
            <w:pPr>
              <w:jc w:val="both"/>
              <w:rPr>
                <w:rFonts w:ascii="Arial" w:hAnsi="Arial" w:cs="Arial"/>
                <w:sz w:val="22"/>
                <w:szCs w:val="22"/>
              </w:rPr>
            </w:pPr>
          </w:p>
          <w:p w14:paraId="48C965E6" w14:textId="77777777" w:rsidR="00CE7373" w:rsidRPr="00666765" w:rsidRDefault="00CE7373" w:rsidP="003932B8">
            <w:pPr>
              <w:jc w:val="both"/>
              <w:rPr>
                <w:rFonts w:ascii="Arial" w:hAnsi="Arial" w:cs="Arial"/>
                <w:sz w:val="22"/>
                <w:szCs w:val="22"/>
              </w:rPr>
            </w:pPr>
            <w:r>
              <w:rPr>
                <w:rFonts w:ascii="Arial" w:hAnsi="Arial" w:cs="Arial"/>
                <w:sz w:val="22"/>
                <w:szCs w:val="22"/>
              </w:rPr>
              <w:t>155.9</w:t>
            </w:r>
          </w:p>
        </w:tc>
        <w:tc>
          <w:tcPr>
            <w:tcW w:w="1418" w:type="dxa"/>
          </w:tcPr>
          <w:p w14:paraId="7156FD5F" w14:textId="77777777" w:rsidR="0077592A" w:rsidRDefault="0077592A" w:rsidP="003932B8">
            <w:pPr>
              <w:jc w:val="both"/>
              <w:rPr>
                <w:rFonts w:ascii="Arial" w:hAnsi="Arial" w:cs="Arial"/>
                <w:sz w:val="22"/>
                <w:szCs w:val="22"/>
              </w:rPr>
            </w:pPr>
          </w:p>
          <w:p w14:paraId="31431708" w14:textId="77777777" w:rsidR="00CE7373" w:rsidRPr="00666765" w:rsidRDefault="00CE7373" w:rsidP="003932B8">
            <w:pPr>
              <w:jc w:val="both"/>
              <w:rPr>
                <w:rFonts w:ascii="Arial" w:hAnsi="Arial" w:cs="Arial"/>
                <w:sz w:val="22"/>
                <w:szCs w:val="22"/>
              </w:rPr>
            </w:pPr>
            <w:r>
              <w:rPr>
                <w:rFonts w:ascii="Arial" w:hAnsi="Arial" w:cs="Arial"/>
                <w:sz w:val="22"/>
                <w:szCs w:val="22"/>
              </w:rPr>
              <w:t>11.8</w:t>
            </w:r>
          </w:p>
        </w:tc>
        <w:tc>
          <w:tcPr>
            <w:tcW w:w="1559" w:type="dxa"/>
          </w:tcPr>
          <w:p w14:paraId="75D74892" w14:textId="77777777" w:rsidR="0077592A" w:rsidRDefault="0077592A" w:rsidP="003932B8">
            <w:pPr>
              <w:jc w:val="both"/>
              <w:rPr>
                <w:rFonts w:ascii="Arial" w:hAnsi="Arial" w:cs="Arial"/>
                <w:sz w:val="22"/>
                <w:szCs w:val="22"/>
              </w:rPr>
            </w:pPr>
          </w:p>
          <w:p w14:paraId="5F0811DB" w14:textId="77777777" w:rsidR="00CE7373" w:rsidRDefault="00CE7373" w:rsidP="003932B8">
            <w:pPr>
              <w:jc w:val="both"/>
              <w:rPr>
                <w:rFonts w:ascii="Arial" w:hAnsi="Arial" w:cs="Arial"/>
                <w:sz w:val="22"/>
                <w:szCs w:val="22"/>
              </w:rPr>
            </w:pPr>
            <w:r>
              <w:rPr>
                <w:rFonts w:ascii="Arial" w:hAnsi="Arial" w:cs="Arial"/>
                <w:sz w:val="22"/>
                <w:szCs w:val="22"/>
              </w:rPr>
              <w:t>0.0</w:t>
            </w:r>
          </w:p>
        </w:tc>
        <w:tc>
          <w:tcPr>
            <w:tcW w:w="1559" w:type="dxa"/>
          </w:tcPr>
          <w:p w14:paraId="53A1F279" w14:textId="77777777" w:rsidR="0077592A" w:rsidRDefault="0077592A" w:rsidP="003932B8">
            <w:pPr>
              <w:jc w:val="both"/>
              <w:rPr>
                <w:rFonts w:ascii="Arial" w:hAnsi="Arial" w:cs="Arial"/>
                <w:sz w:val="22"/>
                <w:szCs w:val="22"/>
              </w:rPr>
            </w:pPr>
          </w:p>
          <w:p w14:paraId="06DFE5BA" w14:textId="77777777" w:rsidR="00CE7373" w:rsidRDefault="00CE7373" w:rsidP="003932B8">
            <w:pPr>
              <w:jc w:val="both"/>
              <w:rPr>
                <w:rFonts w:ascii="Arial" w:hAnsi="Arial" w:cs="Arial"/>
                <w:sz w:val="22"/>
                <w:szCs w:val="22"/>
              </w:rPr>
            </w:pPr>
            <w:r>
              <w:rPr>
                <w:rFonts w:ascii="Arial" w:hAnsi="Arial" w:cs="Arial"/>
                <w:sz w:val="22"/>
                <w:szCs w:val="22"/>
              </w:rPr>
              <w:t>0</w:t>
            </w:r>
          </w:p>
        </w:tc>
      </w:tr>
      <w:tr w:rsidR="003932B8" w14:paraId="2A4D83ED" w14:textId="77777777" w:rsidTr="003932B8">
        <w:trPr>
          <w:trHeight w:val="265"/>
        </w:trPr>
        <w:tc>
          <w:tcPr>
            <w:tcW w:w="1894" w:type="dxa"/>
          </w:tcPr>
          <w:p w14:paraId="09352C29" w14:textId="77777777" w:rsidR="003932B8" w:rsidRPr="004A0AE5" w:rsidRDefault="003932B8" w:rsidP="003932B8">
            <w:pPr>
              <w:jc w:val="both"/>
              <w:rPr>
                <w:rFonts w:ascii="Arial" w:hAnsi="Arial" w:cs="Arial"/>
                <w:sz w:val="22"/>
                <w:szCs w:val="22"/>
              </w:rPr>
            </w:pPr>
            <w:r w:rsidRPr="004A0AE5">
              <w:rPr>
                <w:rFonts w:ascii="Arial" w:hAnsi="Arial" w:cs="Arial"/>
                <w:sz w:val="22"/>
                <w:szCs w:val="22"/>
              </w:rPr>
              <w:t>Cash</w:t>
            </w:r>
          </w:p>
        </w:tc>
        <w:tc>
          <w:tcPr>
            <w:tcW w:w="1701" w:type="dxa"/>
          </w:tcPr>
          <w:p w14:paraId="57EBC861" w14:textId="77777777" w:rsidR="003932B8" w:rsidRPr="004A0AE5" w:rsidRDefault="003932B8" w:rsidP="003932B8">
            <w:pPr>
              <w:jc w:val="both"/>
              <w:rPr>
                <w:rFonts w:ascii="Arial" w:hAnsi="Arial" w:cs="Arial"/>
                <w:sz w:val="22"/>
                <w:szCs w:val="22"/>
              </w:rPr>
            </w:pPr>
          </w:p>
        </w:tc>
        <w:tc>
          <w:tcPr>
            <w:tcW w:w="1559" w:type="dxa"/>
          </w:tcPr>
          <w:p w14:paraId="0B7326E1" w14:textId="77777777" w:rsidR="003932B8" w:rsidRPr="00666765" w:rsidRDefault="007274A7" w:rsidP="003932B8">
            <w:pPr>
              <w:jc w:val="both"/>
              <w:rPr>
                <w:rFonts w:ascii="Arial" w:hAnsi="Arial" w:cs="Arial"/>
                <w:sz w:val="22"/>
                <w:szCs w:val="22"/>
              </w:rPr>
            </w:pPr>
            <w:r>
              <w:rPr>
                <w:rFonts w:ascii="Arial" w:hAnsi="Arial" w:cs="Arial"/>
                <w:sz w:val="22"/>
                <w:szCs w:val="22"/>
              </w:rPr>
              <w:t>2.2</w:t>
            </w:r>
          </w:p>
        </w:tc>
        <w:tc>
          <w:tcPr>
            <w:tcW w:w="1418" w:type="dxa"/>
          </w:tcPr>
          <w:p w14:paraId="5BA73FF5" w14:textId="77777777" w:rsidR="003932B8" w:rsidRPr="00666765" w:rsidRDefault="007274A7" w:rsidP="003932B8">
            <w:pPr>
              <w:jc w:val="both"/>
              <w:rPr>
                <w:rFonts w:ascii="Arial" w:hAnsi="Arial" w:cs="Arial"/>
                <w:sz w:val="22"/>
                <w:szCs w:val="22"/>
              </w:rPr>
            </w:pPr>
            <w:r>
              <w:rPr>
                <w:rFonts w:ascii="Arial" w:hAnsi="Arial" w:cs="Arial"/>
                <w:sz w:val="22"/>
                <w:szCs w:val="22"/>
              </w:rPr>
              <w:t>0.3</w:t>
            </w:r>
          </w:p>
        </w:tc>
        <w:tc>
          <w:tcPr>
            <w:tcW w:w="1559" w:type="dxa"/>
          </w:tcPr>
          <w:p w14:paraId="3A4D7903" w14:textId="77777777" w:rsidR="003932B8" w:rsidRPr="00666765" w:rsidRDefault="00367609" w:rsidP="003932B8">
            <w:pPr>
              <w:jc w:val="both"/>
              <w:rPr>
                <w:rFonts w:ascii="Arial" w:hAnsi="Arial" w:cs="Arial"/>
                <w:sz w:val="22"/>
                <w:szCs w:val="22"/>
              </w:rPr>
            </w:pPr>
            <w:r>
              <w:rPr>
                <w:rFonts w:ascii="Arial" w:hAnsi="Arial" w:cs="Arial"/>
                <w:sz w:val="22"/>
                <w:szCs w:val="22"/>
              </w:rPr>
              <w:t>20</w:t>
            </w:r>
            <w:r w:rsidR="003932B8">
              <w:rPr>
                <w:rFonts w:ascii="Arial" w:hAnsi="Arial" w:cs="Arial"/>
                <w:sz w:val="22"/>
                <w:szCs w:val="22"/>
              </w:rPr>
              <w:t>.2</w:t>
            </w:r>
          </w:p>
        </w:tc>
        <w:tc>
          <w:tcPr>
            <w:tcW w:w="1559" w:type="dxa"/>
          </w:tcPr>
          <w:p w14:paraId="49284E38" w14:textId="77777777" w:rsidR="003932B8" w:rsidRPr="00666765" w:rsidRDefault="00367609" w:rsidP="003932B8">
            <w:pPr>
              <w:jc w:val="both"/>
              <w:rPr>
                <w:rFonts w:ascii="Arial" w:hAnsi="Arial" w:cs="Arial"/>
                <w:sz w:val="22"/>
                <w:szCs w:val="22"/>
              </w:rPr>
            </w:pPr>
            <w:r>
              <w:rPr>
                <w:rFonts w:ascii="Arial" w:hAnsi="Arial" w:cs="Arial"/>
                <w:sz w:val="22"/>
                <w:szCs w:val="22"/>
              </w:rPr>
              <w:t>2</w:t>
            </w:r>
            <w:r w:rsidR="003932B8">
              <w:rPr>
                <w:rFonts w:ascii="Arial" w:hAnsi="Arial" w:cs="Arial"/>
                <w:sz w:val="22"/>
                <w:szCs w:val="22"/>
              </w:rPr>
              <w:t>.</w:t>
            </w:r>
            <w:r>
              <w:rPr>
                <w:rFonts w:ascii="Arial" w:hAnsi="Arial" w:cs="Arial"/>
                <w:sz w:val="22"/>
                <w:szCs w:val="22"/>
              </w:rPr>
              <w:t>2</w:t>
            </w:r>
          </w:p>
        </w:tc>
      </w:tr>
      <w:tr w:rsidR="00574BD0" w14:paraId="413E41F3" w14:textId="77777777" w:rsidTr="003932B8">
        <w:trPr>
          <w:trHeight w:val="265"/>
        </w:trPr>
        <w:tc>
          <w:tcPr>
            <w:tcW w:w="1894" w:type="dxa"/>
          </w:tcPr>
          <w:p w14:paraId="7ACADCCE" w14:textId="77777777" w:rsidR="00574BD0" w:rsidRPr="004A0AE5" w:rsidRDefault="00574BD0" w:rsidP="003932B8">
            <w:pPr>
              <w:jc w:val="both"/>
              <w:rPr>
                <w:rFonts w:ascii="Arial" w:hAnsi="Arial" w:cs="Arial"/>
                <w:sz w:val="22"/>
                <w:szCs w:val="22"/>
              </w:rPr>
            </w:pPr>
            <w:r>
              <w:rPr>
                <w:rFonts w:ascii="Arial" w:hAnsi="Arial" w:cs="Arial"/>
                <w:sz w:val="22"/>
                <w:szCs w:val="22"/>
              </w:rPr>
              <w:t>Residual Assets</w:t>
            </w:r>
          </w:p>
        </w:tc>
        <w:tc>
          <w:tcPr>
            <w:tcW w:w="1701" w:type="dxa"/>
          </w:tcPr>
          <w:p w14:paraId="5385D680" w14:textId="77777777" w:rsidR="00574BD0" w:rsidRPr="004A0AE5" w:rsidRDefault="00574BD0" w:rsidP="003932B8">
            <w:pPr>
              <w:jc w:val="both"/>
              <w:rPr>
                <w:rFonts w:ascii="Arial" w:hAnsi="Arial" w:cs="Arial"/>
                <w:sz w:val="22"/>
                <w:szCs w:val="22"/>
              </w:rPr>
            </w:pPr>
          </w:p>
        </w:tc>
        <w:tc>
          <w:tcPr>
            <w:tcW w:w="1559" w:type="dxa"/>
          </w:tcPr>
          <w:p w14:paraId="5082DC84" w14:textId="77777777" w:rsidR="00574BD0" w:rsidRPr="00666765" w:rsidRDefault="00574BD0" w:rsidP="003932B8">
            <w:pPr>
              <w:jc w:val="both"/>
              <w:rPr>
                <w:rFonts w:ascii="Arial" w:hAnsi="Arial" w:cs="Arial"/>
                <w:sz w:val="22"/>
                <w:szCs w:val="22"/>
              </w:rPr>
            </w:pPr>
            <w:r>
              <w:rPr>
                <w:rFonts w:ascii="Arial" w:hAnsi="Arial" w:cs="Arial"/>
                <w:sz w:val="22"/>
                <w:szCs w:val="22"/>
              </w:rPr>
              <w:t>0.</w:t>
            </w:r>
            <w:r w:rsidR="009C31C4">
              <w:rPr>
                <w:rFonts w:ascii="Arial" w:hAnsi="Arial" w:cs="Arial"/>
                <w:sz w:val="22"/>
                <w:szCs w:val="22"/>
              </w:rPr>
              <w:t>2</w:t>
            </w:r>
          </w:p>
        </w:tc>
        <w:tc>
          <w:tcPr>
            <w:tcW w:w="1418" w:type="dxa"/>
          </w:tcPr>
          <w:p w14:paraId="4752A2FF" w14:textId="77777777" w:rsidR="00574BD0" w:rsidRPr="00666765" w:rsidRDefault="0077592A" w:rsidP="003932B8">
            <w:pPr>
              <w:jc w:val="both"/>
              <w:rPr>
                <w:rFonts w:ascii="Arial" w:hAnsi="Arial" w:cs="Arial"/>
                <w:sz w:val="22"/>
                <w:szCs w:val="22"/>
              </w:rPr>
            </w:pPr>
            <w:r>
              <w:rPr>
                <w:rFonts w:ascii="Arial" w:hAnsi="Arial" w:cs="Arial"/>
                <w:sz w:val="22"/>
                <w:szCs w:val="22"/>
              </w:rPr>
              <w:t>0.</w:t>
            </w:r>
            <w:r w:rsidR="009C31C4">
              <w:rPr>
                <w:rFonts w:ascii="Arial" w:hAnsi="Arial" w:cs="Arial"/>
                <w:sz w:val="22"/>
                <w:szCs w:val="22"/>
              </w:rPr>
              <w:t>0</w:t>
            </w:r>
          </w:p>
        </w:tc>
        <w:tc>
          <w:tcPr>
            <w:tcW w:w="1559" w:type="dxa"/>
          </w:tcPr>
          <w:p w14:paraId="4843F1D2" w14:textId="77777777" w:rsidR="00574BD0" w:rsidRDefault="00830E68" w:rsidP="003932B8">
            <w:pPr>
              <w:jc w:val="both"/>
              <w:rPr>
                <w:rFonts w:ascii="Arial" w:hAnsi="Arial" w:cs="Arial"/>
                <w:sz w:val="22"/>
                <w:szCs w:val="22"/>
              </w:rPr>
            </w:pPr>
            <w:r>
              <w:rPr>
                <w:rFonts w:ascii="Arial" w:hAnsi="Arial" w:cs="Arial"/>
                <w:sz w:val="22"/>
                <w:szCs w:val="22"/>
              </w:rPr>
              <w:t>0.</w:t>
            </w:r>
            <w:r w:rsidR="0033451F">
              <w:rPr>
                <w:rFonts w:ascii="Arial" w:hAnsi="Arial" w:cs="Arial"/>
                <w:sz w:val="22"/>
                <w:szCs w:val="22"/>
              </w:rPr>
              <w:t>3</w:t>
            </w:r>
          </w:p>
        </w:tc>
        <w:tc>
          <w:tcPr>
            <w:tcW w:w="1559" w:type="dxa"/>
          </w:tcPr>
          <w:p w14:paraId="71A0CF51" w14:textId="77777777" w:rsidR="00574BD0" w:rsidRDefault="00574BD0" w:rsidP="003932B8">
            <w:pPr>
              <w:jc w:val="both"/>
              <w:rPr>
                <w:rFonts w:ascii="Arial" w:hAnsi="Arial" w:cs="Arial"/>
                <w:sz w:val="22"/>
                <w:szCs w:val="22"/>
              </w:rPr>
            </w:pPr>
          </w:p>
        </w:tc>
      </w:tr>
      <w:tr w:rsidR="003932B8" w14:paraId="1BC39932" w14:textId="77777777" w:rsidTr="003932B8">
        <w:trPr>
          <w:trHeight w:val="265"/>
        </w:trPr>
        <w:tc>
          <w:tcPr>
            <w:tcW w:w="1894" w:type="dxa"/>
          </w:tcPr>
          <w:p w14:paraId="0C74D3EF" w14:textId="77777777" w:rsidR="003932B8" w:rsidRPr="004A0AE5" w:rsidRDefault="003932B8" w:rsidP="003932B8">
            <w:pPr>
              <w:jc w:val="both"/>
              <w:rPr>
                <w:rFonts w:ascii="Arial" w:hAnsi="Arial" w:cs="Arial"/>
                <w:b/>
                <w:sz w:val="22"/>
                <w:szCs w:val="22"/>
              </w:rPr>
            </w:pPr>
            <w:r w:rsidRPr="004A0AE5">
              <w:rPr>
                <w:rFonts w:ascii="Arial" w:hAnsi="Arial" w:cs="Arial"/>
                <w:b/>
                <w:sz w:val="22"/>
                <w:szCs w:val="22"/>
              </w:rPr>
              <w:t>TOTAL</w:t>
            </w:r>
          </w:p>
        </w:tc>
        <w:tc>
          <w:tcPr>
            <w:tcW w:w="1701" w:type="dxa"/>
          </w:tcPr>
          <w:p w14:paraId="78F32454" w14:textId="77777777" w:rsidR="003932B8" w:rsidRPr="004A0AE5" w:rsidRDefault="003932B8" w:rsidP="003932B8">
            <w:pPr>
              <w:jc w:val="both"/>
              <w:rPr>
                <w:rFonts w:ascii="Arial" w:hAnsi="Arial" w:cs="Arial"/>
                <w:b/>
                <w:sz w:val="22"/>
                <w:szCs w:val="22"/>
              </w:rPr>
            </w:pPr>
          </w:p>
        </w:tc>
        <w:tc>
          <w:tcPr>
            <w:tcW w:w="1559" w:type="dxa"/>
          </w:tcPr>
          <w:p w14:paraId="22C5A6AD" w14:textId="77777777" w:rsidR="003932B8" w:rsidRPr="004A0AE5" w:rsidRDefault="007274A7" w:rsidP="003932B8">
            <w:pPr>
              <w:jc w:val="both"/>
              <w:rPr>
                <w:rFonts w:ascii="Arial" w:hAnsi="Arial" w:cs="Arial"/>
                <w:b/>
                <w:sz w:val="22"/>
                <w:szCs w:val="22"/>
              </w:rPr>
            </w:pPr>
            <w:r>
              <w:rPr>
                <w:rFonts w:ascii="Arial" w:hAnsi="Arial" w:cs="Arial"/>
                <w:b/>
                <w:sz w:val="22"/>
                <w:szCs w:val="22"/>
              </w:rPr>
              <w:t>855.3</w:t>
            </w:r>
          </w:p>
        </w:tc>
        <w:tc>
          <w:tcPr>
            <w:tcW w:w="1418" w:type="dxa"/>
          </w:tcPr>
          <w:p w14:paraId="1397ED94" w14:textId="77777777" w:rsidR="003932B8" w:rsidRPr="004A0AE5" w:rsidRDefault="00946003" w:rsidP="003932B8">
            <w:pPr>
              <w:jc w:val="both"/>
              <w:rPr>
                <w:rFonts w:ascii="Arial" w:hAnsi="Arial" w:cs="Arial"/>
                <w:b/>
                <w:sz w:val="22"/>
                <w:szCs w:val="22"/>
              </w:rPr>
            </w:pPr>
            <w:r>
              <w:rPr>
                <w:rFonts w:ascii="Arial" w:hAnsi="Arial" w:cs="Arial"/>
                <w:b/>
                <w:sz w:val="22"/>
                <w:szCs w:val="22"/>
              </w:rPr>
              <w:t>100</w:t>
            </w:r>
          </w:p>
        </w:tc>
        <w:tc>
          <w:tcPr>
            <w:tcW w:w="1559" w:type="dxa"/>
          </w:tcPr>
          <w:p w14:paraId="4681F91E" w14:textId="77777777" w:rsidR="003932B8" w:rsidRPr="004A0AE5" w:rsidRDefault="00367609" w:rsidP="003932B8">
            <w:pPr>
              <w:jc w:val="both"/>
              <w:rPr>
                <w:rFonts w:ascii="Arial" w:hAnsi="Arial" w:cs="Arial"/>
                <w:b/>
                <w:sz w:val="22"/>
                <w:szCs w:val="22"/>
              </w:rPr>
            </w:pPr>
            <w:r>
              <w:rPr>
                <w:rFonts w:ascii="Arial" w:hAnsi="Arial" w:cs="Arial"/>
                <w:b/>
                <w:sz w:val="22"/>
                <w:szCs w:val="22"/>
              </w:rPr>
              <w:t>92</w:t>
            </w:r>
            <w:r w:rsidR="0033451F">
              <w:rPr>
                <w:rFonts w:ascii="Arial" w:hAnsi="Arial" w:cs="Arial"/>
                <w:b/>
                <w:sz w:val="22"/>
                <w:szCs w:val="22"/>
              </w:rPr>
              <w:t>2</w:t>
            </w:r>
            <w:r>
              <w:rPr>
                <w:rFonts w:ascii="Arial" w:hAnsi="Arial" w:cs="Arial"/>
                <w:b/>
                <w:sz w:val="22"/>
                <w:szCs w:val="22"/>
              </w:rPr>
              <w:t>.</w:t>
            </w:r>
            <w:r w:rsidR="00830E68">
              <w:rPr>
                <w:rFonts w:ascii="Arial" w:hAnsi="Arial" w:cs="Arial"/>
                <w:b/>
                <w:sz w:val="22"/>
                <w:szCs w:val="22"/>
              </w:rPr>
              <w:t>4</w:t>
            </w:r>
          </w:p>
        </w:tc>
        <w:tc>
          <w:tcPr>
            <w:tcW w:w="1559" w:type="dxa"/>
          </w:tcPr>
          <w:p w14:paraId="033ED024" w14:textId="77777777" w:rsidR="003932B8" w:rsidRPr="004A0AE5" w:rsidRDefault="003932B8" w:rsidP="003932B8">
            <w:pPr>
              <w:jc w:val="both"/>
              <w:rPr>
                <w:rFonts w:ascii="Arial" w:hAnsi="Arial" w:cs="Arial"/>
                <w:b/>
                <w:sz w:val="22"/>
                <w:szCs w:val="22"/>
              </w:rPr>
            </w:pPr>
            <w:r>
              <w:rPr>
                <w:rFonts w:ascii="Arial" w:hAnsi="Arial" w:cs="Arial"/>
                <w:b/>
                <w:sz w:val="22"/>
                <w:szCs w:val="22"/>
              </w:rPr>
              <w:t>100</w:t>
            </w:r>
          </w:p>
        </w:tc>
      </w:tr>
    </w:tbl>
    <w:p w14:paraId="39D8DBC6" w14:textId="77777777" w:rsidR="00925F77" w:rsidRDefault="00925F77" w:rsidP="00D263A6">
      <w:pPr>
        <w:jc w:val="both"/>
        <w:rPr>
          <w:rFonts w:ascii="Arial" w:hAnsi="Arial" w:cs="Arial"/>
        </w:rPr>
      </w:pPr>
    </w:p>
    <w:p w14:paraId="4F7405C8" w14:textId="77777777" w:rsidR="00925F77" w:rsidRPr="00F00A65" w:rsidRDefault="00925F77" w:rsidP="00D263A6">
      <w:pPr>
        <w:jc w:val="both"/>
        <w:rPr>
          <w:rFonts w:ascii="Arial" w:hAnsi="Arial" w:cs="Arial"/>
        </w:rPr>
      </w:pPr>
      <w:r w:rsidRPr="00F00A65">
        <w:rPr>
          <w:rFonts w:ascii="Arial" w:hAnsi="Arial" w:cs="Arial"/>
        </w:rPr>
        <w:t xml:space="preserve">Table </w:t>
      </w:r>
      <w:r w:rsidR="00CE7373">
        <w:rPr>
          <w:rFonts w:ascii="Arial" w:hAnsi="Arial" w:cs="Arial"/>
        </w:rPr>
        <w:t>2</w:t>
      </w:r>
      <w:r w:rsidRPr="00F00A65">
        <w:rPr>
          <w:rFonts w:ascii="Arial" w:hAnsi="Arial" w:cs="Arial"/>
        </w:rPr>
        <w:t xml:space="preserve"> reflects the movement between asset classes throughout 201</w:t>
      </w:r>
      <w:r w:rsidR="00F82687">
        <w:rPr>
          <w:rFonts w:ascii="Arial" w:hAnsi="Arial" w:cs="Arial"/>
        </w:rPr>
        <w:t>9</w:t>
      </w:r>
      <w:r w:rsidRPr="00F00A65">
        <w:rPr>
          <w:rFonts w:ascii="Arial" w:hAnsi="Arial" w:cs="Arial"/>
        </w:rPr>
        <w:t>/</w:t>
      </w:r>
      <w:r w:rsidR="00F82687">
        <w:rPr>
          <w:rFonts w:ascii="Arial" w:hAnsi="Arial" w:cs="Arial"/>
        </w:rPr>
        <w:t>20</w:t>
      </w:r>
      <w:r w:rsidRPr="00F00A65">
        <w:rPr>
          <w:rFonts w:ascii="Arial" w:hAnsi="Arial" w:cs="Arial"/>
        </w:rPr>
        <w:t>. Th</w:t>
      </w:r>
      <w:r w:rsidR="00E6211F" w:rsidRPr="00F00A65">
        <w:rPr>
          <w:rFonts w:ascii="Arial" w:hAnsi="Arial" w:cs="Arial"/>
        </w:rPr>
        <w:t>e</w:t>
      </w:r>
      <w:r w:rsidRPr="00F00A65">
        <w:rPr>
          <w:rFonts w:ascii="Arial" w:hAnsi="Arial" w:cs="Arial"/>
        </w:rPr>
        <w:t xml:space="preserve"> change in asset allocation over the year reflects the relative performance between the different asset classes and the managers’ own relative performance against their own specific benchmarks</w:t>
      </w:r>
      <w:r w:rsidR="009E41E4" w:rsidRPr="00F00A65">
        <w:rPr>
          <w:rFonts w:ascii="Arial" w:hAnsi="Arial" w:cs="Arial"/>
        </w:rPr>
        <w:t xml:space="preserve"> and the </w:t>
      </w:r>
      <w:r w:rsidR="00DD6CEB" w:rsidRPr="00F00A65">
        <w:rPr>
          <w:rFonts w:ascii="Arial" w:hAnsi="Arial" w:cs="Arial"/>
        </w:rPr>
        <w:t>draw down</w:t>
      </w:r>
      <w:r w:rsidR="006E50F4" w:rsidRPr="00F00A65">
        <w:rPr>
          <w:rFonts w:ascii="Arial" w:hAnsi="Arial" w:cs="Arial"/>
        </w:rPr>
        <w:t>s</w:t>
      </w:r>
      <w:r w:rsidR="00DD6CEB" w:rsidRPr="00F00A65">
        <w:rPr>
          <w:rFonts w:ascii="Arial" w:hAnsi="Arial" w:cs="Arial"/>
        </w:rPr>
        <w:t xml:space="preserve"> of commitments to Infrastructure and </w:t>
      </w:r>
      <w:r w:rsidR="00162716" w:rsidRPr="00F00A65">
        <w:rPr>
          <w:rFonts w:ascii="Arial" w:hAnsi="Arial" w:cs="Arial"/>
        </w:rPr>
        <w:t>Social Impact</w:t>
      </w:r>
      <w:r w:rsidR="00DD6CEB" w:rsidRPr="00F00A65">
        <w:rPr>
          <w:rFonts w:ascii="Arial" w:hAnsi="Arial" w:cs="Arial"/>
        </w:rPr>
        <w:t xml:space="preserve"> funds in</w:t>
      </w:r>
      <w:r w:rsidR="009E41E4" w:rsidRPr="00F00A65">
        <w:rPr>
          <w:rFonts w:ascii="Arial" w:hAnsi="Arial" w:cs="Arial"/>
        </w:rPr>
        <w:t xml:space="preserve"> the year</w:t>
      </w:r>
      <w:r w:rsidRPr="00F00A65">
        <w:rPr>
          <w:rFonts w:ascii="Arial" w:hAnsi="Arial" w:cs="Arial"/>
        </w:rPr>
        <w:t>. £</w:t>
      </w:r>
      <w:r w:rsidR="00FE46CE">
        <w:rPr>
          <w:rFonts w:ascii="Arial" w:hAnsi="Arial" w:cs="Arial"/>
        </w:rPr>
        <w:t>0</w:t>
      </w:r>
      <w:r w:rsidR="00C97058" w:rsidRPr="00F00A65">
        <w:rPr>
          <w:rFonts w:ascii="Arial" w:hAnsi="Arial" w:cs="Arial"/>
        </w:rPr>
        <w:t>.</w:t>
      </w:r>
      <w:r w:rsidR="00FE46CE">
        <w:rPr>
          <w:rFonts w:ascii="Arial" w:hAnsi="Arial" w:cs="Arial"/>
        </w:rPr>
        <w:t>41</w:t>
      </w:r>
      <w:r w:rsidRPr="00F00A65">
        <w:rPr>
          <w:rFonts w:ascii="Arial" w:hAnsi="Arial" w:cs="Arial"/>
        </w:rPr>
        <w:t xml:space="preserve">m was </w:t>
      </w:r>
      <w:r w:rsidR="00C214E3" w:rsidRPr="00F00A65">
        <w:rPr>
          <w:rFonts w:ascii="Arial" w:hAnsi="Arial" w:cs="Arial"/>
        </w:rPr>
        <w:t>returned to the fund from</w:t>
      </w:r>
      <w:r w:rsidRPr="00F00A65">
        <w:rPr>
          <w:rFonts w:ascii="Arial" w:hAnsi="Arial" w:cs="Arial"/>
        </w:rPr>
        <w:t xml:space="preserve"> DTZ Aurora </w:t>
      </w:r>
      <w:r w:rsidR="00F00A65" w:rsidRPr="00F00A65">
        <w:rPr>
          <w:rFonts w:ascii="Arial" w:hAnsi="Arial" w:cs="Arial"/>
        </w:rPr>
        <w:t>P</w:t>
      </w:r>
      <w:r w:rsidRPr="00F00A65">
        <w:rPr>
          <w:rFonts w:ascii="Arial" w:hAnsi="Arial" w:cs="Arial"/>
        </w:rPr>
        <w:t>roperty Fund</w:t>
      </w:r>
      <w:r w:rsidR="00C214E3" w:rsidRPr="00F00A65">
        <w:rPr>
          <w:rFonts w:ascii="Arial" w:hAnsi="Arial" w:cs="Arial"/>
        </w:rPr>
        <w:t>. Th</w:t>
      </w:r>
      <w:r w:rsidR="00F00A65" w:rsidRPr="00F00A65">
        <w:rPr>
          <w:rFonts w:ascii="Arial" w:hAnsi="Arial" w:cs="Arial"/>
        </w:rPr>
        <w:t>ese</w:t>
      </w:r>
      <w:r w:rsidR="00C214E3" w:rsidRPr="00F00A65">
        <w:rPr>
          <w:rFonts w:ascii="Arial" w:hAnsi="Arial" w:cs="Arial"/>
        </w:rPr>
        <w:t xml:space="preserve"> investment</w:t>
      </w:r>
      <w:r w:rsidR="00F00A65" w:rsidRPr="00F00A65">
        <w:rPr>
          <w:rFonts w:ascii="Arial" w:hAnsi="Arial" w:cs="Arial"/>
        </w:rPr>
        <w:t>s</w:t>
      </w:r>
      <w:r w:rsidR="00C214E3" w:rsidRPr="00F00A65">
        <w:rPr>
          <w:rFonts w:ascii="Arial" w:hAnsi="Arial" w:cs="Arial"/>
        </w:rPr>
        <w:t xml:space="preserve"> </w:t>
      </w:r>
      <w:r w:rsidR="00F00A65" w:rsidRPr="00F00A65">
        <w:rPr>
          <w:rFonts w:ascii="Arial" w:hAnsi="Arial" w:cs="Arial"/>
        </w:rPr>
        <w:t>are</w:t>
      </w:r>
      <w:r w:rsidR="00C214E3" w:rsidRPr="00F00A65">
        <w:rPr>
          <w:rFonts w:ascii="Arial" w:hAnsi="Arial" w:cs="Arial"/>
        </w:rPr>
        <w:t xml:space="preserve"> </w:t>
      </w:r>
      <w:r w:rsidR="00E60289" w:rsidRPr="00F00A65">
        <w:rPr>
          <w:rFonts w:ascii="Arial" w:hAnsi="Arial" w:cs="Arial"/>
        </w:rPr>
        <w:t>still</w:t>
      </w:r>
      <w:r w:rsidR="00C214E3" w:rsidRPr="00F00A65">
        <w:rPr>
          <w:rFonts w:ascii="Arial" w:hAnsi="Arial" w:cs="Arial"/>
        </w:rPr>
        <w:t xml:space="preserve"> in winddown with the fund due to close </w:t>
      </w:r>
      <w:r w:rsidR="00F00A65" w:rsidRPr="00F00A65">
        <w:rPr>
          <w:rFonts w:ascii="Arial" w:hAnsi="Arial" w:cs="Arial"/>
        </w:rPr>
        <w:t>during</w:t>
      </w:r>
      <w:r w:rsidR="00C214E3" w:rsidRPr="00F00A65">
        <w:rPr>
          <w:rFonts w:ascii="Arial" w:hAnsi="Arial" w:cs="Arial"/>
        </w:rPr>
        <w:t xml:space="preserve"> 20</w:t>
      </w:r>
      <w:r w:rsidR="00A543D2">
        <w:rPr>
          <w:rFonts w:ascii="Arial" w:hAnsi="Arial" w:cs="Arial"/>
        </w:rPr>
        <w:t>20</w:t>
      </w:r>
      <w:r w:rsidR="00A870F0">
        <w:rPr>
          <w:rFonts w:ascii="Arial" w:hAnsi="Arial" w:cs="Arial"/>
        </w:rPr>
        <w:t>.</w:t>
      </w:r>
      <w:r w:rsidR="00C214E3" w:rsidRPr="00F00A65">
        <w:rPr>
          <w:rFonts w:ascii="Arial" w:hAnsi="Arial" w:cs="Arial"/>
        </w:rPr>
        <w:t xml:space="preserve"> Between the two infrastructure </w:t>
      </w:r>
      <w:r w:rsidR="006E50F4" w:rsidRPr="00F00A65">
        <w:rPr>
          <w:rFonts w:ascii="Arial" w:hAnsi="Arial" w:cs="Arial"/>
        </w:rPr>
        <w:t>managers</w:t>
      </w:r>
      <w:r w:rsidR="00FE46CE">
        <w:rPr>
          <w:rFonts w:ascii="Arial" w:hAnsi="Arial" w:cs="Arial"/>
        </w:rPr>
        <w:t xml:space="preserve"> and IVUK</w:t>
      </w:r>
      <w:r w:rsidR="003E482B">
        <w:rPr>
          <w:rFonts w:ascii="Arial" w:hAnsi="Arial" w:cs="Arial"/>
        </w:rPr>
        <w:t>,</w:t>
      </w:r>
      <w:r w:rsidR="00C97058" w:rsidRPr="00F00A65">
        <w:rPr>
          <w:rFonts w:ascii="Arial" w:hAnsi="Arial" w:cs="Arial"/>
        </w:rPr>
        <w:t xml:space="preserve"> £</w:t>
      </w:r>
      <w:r w:rsidR="00FE46CE">
        <w:rPr>
          <w:rFonts w:ascii="Arial" w:hAnsi="Arial" w:cs="Arial"/>
        </w:rPr>
        <w:t>13</w:t>
      </w:r>
      <w:r w:rsidR="00C97058" w:rsidRPr="00F00A65">
        <w:rPr>
          <w:rFonts w:ascii="Arial" w:hAnsi="Arial" w:cs="Arial"/>
        </w:rPr>
        <w:t>m was drawn</w:t>
      </w:r>
      <w:r w:rsidR="00E97489" w:rsidRPr="00F00A65">
        <w:rPr>
          <w:rFonts w:ascii="Arial" w:hAnsi="Arial" w:cs="Arial"/>
        </w:rPr>
        <w:t xml:space="preserve"> </w:t>
      </w:r>
      <w:r w:rsidR="00C97058" w:rsidRPr="00F00A65">
        <w:rPr>
          <w:rFonts w:ascii="Arial" w:hAnsi="Arial" w:cs="Arial"/>
        </w:rPr>
        <w:t xml:space="preserve">down </w:t>
      </w:r>
      <w:r w:rsidR="00C214E3" w:rsidRPr="00F00A65">
        <w:rPr>
          <w:rFonts w:ascii="Arial" w:hAnsi="Arial" w:cs="Arial"/>
        </w:rPr>
        <w:t>and £</w:t>
      </w:r>
      <w:r w:rsidR="00FE46CE">
        <w:rPr>
          <w:rFonts w:ascii="Arial" w:hAnsi="Arial" w:cs="Arial"/>
        </w:rPr>
        <w:t>4</w:t>
      </w:r>
      <w:r w:rsidR="00B36D14" w:rsidRPr="00F00A65">
        <w:rPr>
          <w:rFonts w:ascii="Arial" w:hAnsi="Arial" w:cs="Arial"/>
        </w:rPr>
        <w:t>.</w:t>
      </w:r>
      <w:r w:rsidR="00FE46CE">
        <w:rPr>
          <w:rFonts w:ascii="Arial" w:hAnsi="Arial" w:cs="Arial"/>
        </w:rPr>
        <w:t>5</w:t>
      </w:r>
      <w:r w:rsidR="00E60289" w:rsidRPr="00F00A65">
        <w:rPr>
          <w:rFonts w:ascii="Arial" w:hAnsi="Arial" w:cs="Arial"/>
        </w:rPr>
        <w:t>m</w:t>
      </w:r>
      <w:r w:rsidR="00C214E3" w:rsidRPr="00F00A65">
        <w:rPr>
          <w:rFonts w:ascii="Arial" w:hAnsi="Arial" w:cs="Arial"/>
        </w:rPr>
        <w:t xml:space="preserve"> return</w:t>
      </w:r>
      <w:r w:rsidR="00E60289" w:rsidRPr="00F00A65">
        <w:rPr>
          <w:rFonts w:ascii="Arial" w:hAnsi="Arial" w:cs="Arial"/>
        </w:rPr>
        <w:t xml:space="preserve">ed </w:t>
      </w:r>
      <w:r w:rsidR="00C214E3" w:rsidRPr="00F00A65">
        <w:rPr>
          <w:rFonts w:ascii="Arial" w:hAnsi="Arial" w:cs="Arial"/>
        </w:rPr>
        <w:t>to the fund</w:t>
      </w:r>
      <w:r w:rsidR="00B36D14" w:rsidRPr="00F00A65">
        <w:rPr>
          <w:rFonts w:ascii="Arial" w:hAnsi="Arial" w:cs="Arial"/>
        </w:rPr>
        <w:t>.</w:t>
      </w:r>
      <w:r w:rsidR="00E60289" w:rsidRPr="00F00A65">
        <w:rPr>
          <w:rFonts w:ascii="Arial" w:hAnsi="Arial" w:cs="Arial"/>
        </w:rPr>
        <w:t xml:space="preserve"> This</w:t>
      </w:r>
      <w:r w:rsidR="00C97058" w:rsidRPr="00F00A65">
        <w:rPr>
          <w:rFonts w:ascii="Arial" w:hAnsi="Arial" w:cs="Arial"/>
        </w:rPr>
        <w:t xml:space="preserve"> le</w:t>
      </w:r>
      <w:r w:rsidR="00E60289" w:rsidRPr="00F00A65">
        <w:rPr>
          <w:rFonts w:ascii="Arial" w:hAnsi="Arial" w:cs="Arial"/>
        </w:rPr>
        <w:t xml:space="preserve">ft </w:t>
      </w:r>
      <w:r w:rsidR="00C97058" w:rsidRPr="00F00A65">
        <w:rPr>
          <w:rFonts w:ascii="Arial" w:hAnsi="Arial" w:cs="Arial"/>
        </w:rPr>
        <w:t>an undrawn commitment of £</w:t>
      </w:r>
      <w:r w:rsidR="00043424">
        <w:rPr>
          <w:rFonts w:ascii="Arial" w:hAnsi="Arial" w:cs="Arial"/>
        </w:rPr>
        <w:t>11</w:t>
      </w:r>
      <w:r w:rsidR="00C97058" w:rsidRPr="00F00A65">
        <w:rPr>
          <w:rFonts w:ascii="Arial" w:hAnsi="Arial" w:cs="Arial"/>
        </w:rPr>
        <w:t>.</w:t>
      </w:r>
      <w:r w:rsidR="00377341" w:rsidRPr="00F00A65">
        <w:rPr>
          <w:rFonts w:ascii="Arial" w:hAnsi="Arial" w:cs="Arial"/>
        </w:rPr>
        <w:t>9</w:t>
      </w:r>
      <w:r w:rsidR="00043424">
        <w:rPr>
          <w:rFonts w:ascii="Arial" w:hAnsi="Arial" w:cs="Arial"/>
        </w:rPr>
        <w:t>6</w:t>
      </w:r>
      <w:r w:rsidR="00C97058" w:rsidRPr="00F00A65">
        <w:rPr>
          <w:rFonts w:ascii="Arial" w:hAnsi="Arial" w:cs="Arial"/>
        </w:rPr>
        <w:t>m</w:t>
      </w:r>
      <w:r w:rsidR="000B17B8" w:rsidRPr="00F00A65">
        <w:rPr>
          <w:rFonts w:ascii="Arial" w:hAnsi="Arial" w:cs="Arial"/>
        </w:rPr>
        <w:t xml:space="preserve"> mainly due to GIPII</w:t>
      </w:r>
      <w:r w:rsidR="00162716" w:rsidRPr="00F00A65">
        <w:rPr>
          <w:rFonts w:ascii="Arial" w:hAnsi="Arial" w:cs="Arial"/>
        </w:rPr>
        <w:t>I</w:t>
      </w:r>
      <w:r w:rsidR="000B17B8" w:rsidRPr="00F00A65">
        <w:rPr>
          <w:rFonts w:ascii="Arial" w:hAnsi="Arial" w:cs="Arial"/>
        </w:rPr>
        <w:t xml:space="preserve"> fund</w:t>
      </w:r>
      <w:r w:rsidR="00C97058" w:rsidRPr="00F00A65">
        <w:rPr>
          <w:rFonts w:ascii="Arial" w:hAnsi="Arial" w:cs="Arial"/>
        </w:rPr>
        <w:t>.</w:t>
      </w:r>
      <w:r w:rsidR="00C214E3" w:rsidRPr="00F00A65">
        <w:rPr>
          <w:rFonts w:ascii="Arial" w:hAnsi="Arial" w:cs="Arial"/>
        </w:rPr>
        <w:t xml:space="preserve"> £</w:t>
      </w:r>
      <w:r w:rsidR="006E50F4" w:rsidRPr="00F00A65">
        <w:rPr>
          <w:rFonts w:ascii="Arial" w:hAnsi="Arial" w:cs="Arial"/>
        </w:rPr>
        <w:t>0</w:t>
      </w:r>
      <w:r w:rsidR="00B36D14" w:rsidRPr="00F00A65">
        <w:rPr>
          <w:rFonts w:ascii="Arial" w:hAnsi="Arial" w:cs="Arial"/>
        </w:rPr>
        <w:t>.</w:t>
      </w:r>
      <w:r w:rsidR="006E50F4" w:rsidRPr="00F00A65">
        <w:rPr>
          <w:rFonts w:ascii="Arial" w:hAnsi="Arial" w:cs="Arial"/>
        </w:rPr>
        <w:t>62</w:t>
      </w:r>
      <w:r w:rsidR="00A30AA9" w:rsidRPr="00F00A65">
        <w:rPr>
          <w:rFonts w:ascii="Arial" w:hAnsi="Arial" w:cs="Arial"/>
        </w:rPr>
        <w:t>m</w:t>
      </w:r>
      <w:r w:rsidR="00C214E3" w:rsidRPr="00F00A65">
        <w:rPr>
          <w:rFonts w:ascii="Arial" w:hAnsi="Arial" w:cs="Arial"/>
        </w:rPr>
        <w:t xml:space="preserve"> was drawn down in</w:t>
      </w:r>
      <w:r w:rsidR="000B17B8" w:rsidRPr="00F00A65">
        <w:rPr>
          <w:rFonts w:ascii="Arial" w:hAnsi="Arial" w:cs="Arial"/>
        </w:rPr>
        <w:t>to</w:t>
      </w:r>
      <w:r w:rsidR="00C214E3" w:rsidRPr="00F00A65">
        <w:rPr>
          <w:rFonts w:ascii="Arial" w:hAnsi="Arial" w:cs="Arial"/>
        </w:rPr>
        <w:t xml:space="preserve"> the Impact Venture UK fund leaving and undrawn commitment of £</w:t>
      </w:r>
      <w:r w:rsidR="00830E68">
        <w:rPr>
          <w:rFonts w:ascii="Arial" w:hAnsi="Arial" w:cs="Arial"/>
        </w:rPr>
        <w:t>0</w:t>
      </w:r>
      <w:r w:rsidR="00162716" w:rsidRPr="00F00A65">
        <w:rPr>
          <w:rFonts w:ascii="Arial" w:hAnsi="Arial" w:cs="Arial"/>
        </w:rPr>
        <w:t>.</w:t>
      </w:r>
      <w:r w:rsidR="00830E68">
        <w:rPr>
          <w:rFonts w:ascii="Arial" w:hAnsi="Arial" w:cs="Arial"/>
        </w:rPr>
        <w:t>5</w:t>
      </w:r>
      <w:r w:rsidR="00F8728C" w:rsidRPr="00F00A65">
        <w:rPr>
          <w:rFonts w:ascii="Arial" w:hAnsi="Arial" w:cs="Arial"/>
        </w:rPr>
        <w:t>M.</w:t>
      </w:r>
      <w:r w:rsidR="00377341" w:rsidRPr="00F00A65">
        <w:rPr>
          <w:rFonts w:ascii="Arial" w:hAnsi="Arial" w:cs="Arial"/>
        </w:rPr>
        <w:t xml:space="preserve"> </w:t>
      </w:r>
      <w:r w:rsidR="00381AE2" w:rsidRPr="00F00A65">
        <w:rPr>
          <w:rFonts w:ascii="Arial" w:hAnsi="Arial" w:cs="Arial"/>
        </w:rPr>
        <w:t>Drawdowns</w:t>
      </w:r>
      <w:r w:rsidR="00377341" w:rsidRPr="00F00A65">
        <w:rPr>
          <w:rFonts w:ascii="Arial" w:hAnsi="Arial" w:cs="Arial"/>
        </w:rPr>
        <w:t xml:space="preserve"> were funded through income</w:t>
      </w:r>
      <w:r w:rsidR="00162716" w:rsidRPr="00F00A65">
        <w:rPr>
          <w:rFonts w:ascii="Arial" w:hAnsi="Arial" w:cs="Arial"/>
        </w:rPr>
        <w:t xml:space="preserve"> or</w:t>
      </w:r>
      <w:r w:rsidR="00377341" w:rsidRPr="00F00A65">
        <w:rPr>
          <w:rFonts w:ascii="Arial" w:hAnsi="Arial" w:cs="Arial"/>
        </w:rPr>
        <w:t xml:space="preserve"> capital returned</w:t>
      </w:r>
      <w:r w:rsidR="002D6357" w:rsidRPr="00F00A65">
        <w:rPr>
          <w:rFonts w:ascii="Arial" w:hAnsi="Arial" w:cs="Arial"/>
        </w:rPr>
        <w:t>.</w:t>
      </w:r>
      <w:r w:rsidR="00377341" w:rsidRPr="00F00A65">
        <w:rPr>
          <w:rFonts w:ascii="Arial" w:hAnsi="Arial" w:cs="Arial"/>
        </w:rPr>
        <w:t xml:space="preserve">  </w:t>
      </w:r>
    </w:p>
    <w:p w14:paraId="310EB51B" w14:textId="77777777" w:rsidR="00925F77" w:rsidRDefault="008E5FB3" w:rsidP="00D263A6">
      <w:pPr>
        <w:jc w:val="both"/>
        <w:rPr>
          <w:rFonts w:ascii="Arial" w:hAnsi="Arial" w:cs="Arial"/>
        </w:rPr>
      </w:pPr>
      <w:r>
        <w:rPr>
          <w:rFonts w:ascii="Arial" w:hAnsi="Arial" w:cs="Arial"/>
          <w:color w:val="FF0000"/>
        </w:rPr>
        <w:t xml:space="preserve"> </w:t>
      </w:r>
      <w:r w:rsidR="00925F77" w:rsidRPr="00394262">
        <w:rPr>
          <w:rFonts w:ascii="Arial" w:hAnsi="Arial" w:cs="Arial"/>
          <w:color w:val="FF0000"/>
        </w:rPr>
        <w:t xml:space="preserve"> </w:t>
      </w:r>
    </w:p>
    <w:p w14:paraId="1C46926B" w14:textId="77777777" w:rsidR="00925F77" w:rsidRDefault="00925F77" w:rsidP="00D263A6">
      <w:pPr>
        <w:pStyle w:val="Heading2"/>
        <w:jc w:val="both"/>
        <w:rPr>
          <w:color w:val="003300"/>
        </w:rPr>
      </w:pPr>
      <w:r>
        <w:rPr>
          <w:color w:val="003300"/>
        </w:rPr>
        <w:t>Pension Fund Accounts 201</w:t>
      </w:r>
      <w:r w:rsidR="003E482B">
        <w:rPr>
          <w:color w:val="003300"/>
        </w:rPr>
        <w:t>9</w:t>
      </w:r>
      <w:r>
        <w:rPr>
          <w:color w:val="003300"/>
        </w:rPr>
        <w:t>/</w:t>
      </w:r>
      <w:r w:rsidR="003E482B">
        <w:rPr>
          <w:color w:val="003300"/>
        </w:rPr>
        <w:t>20</w:t>
      </w:r>
      <w:r>
        <w:rPr>
          <w:color w:val="003300"/>
        </w:rPr>
        <w:t xml:space="preserve"> </w:t>
      </w:r>
    </w:p>
    <w:p w14:paraId="5A6BE2E5" w14:textId="77777777" w:rsidR="00925F77" w:rsidRDefault="00925F77" w:rsidP="00D263A6">
      <w:pPr>
        <w:jc w:val="both"/>
        <w:rPr>
          <w:rFonts w:ascii="Arial" w:hAnsi="Arial" w:cs="Arial"/>
        </w:rPr>
      </w:pPr>
    </w:p>
    <w:p w14:paraId="77EC44BA" w14:textId="77777777" w:rsidR="00925F77" w:rsidRDefault="00925F77" w:rsidP="00D263A6">
      <w:pPr>
        <w:jc w:val="both"/>
        <w:rPr>
          <w:rFonts w:ascii="Arial" w:hAnsi="Arial" w:cs="Arial"/>
        </w:rPr>
      </w:pPr>
      <w:r>
        <w:rPr>
          <w:rFonts w:ascii="Arial" w:hAnsi="Arial" w:cs="Arial"/>
        </w:rPr>
        <w:t>The 201</w:t>
      </w:r>
      <w:r w:rsidR="003E482B">
        <w:rPr>
          <w:rFonts w:ascii="Arial" w:hAnsi="Arial" w:cs="Arial"/>
        </w:rPr>
        <w:t>9</w:t>
      </w:r>
      <w:r>
        <w:rPr>
          <w:rFonts w:ascii="Arial" w:hAnsi="Arial" w:cs="Arial"/>
        </w:rPr>
        <w:t>/</w:t>
      </w:r>
      <w:r w:rsidR="003E482B">
        <w:rPr>
          <w:rFonts w:ascii="Arial" w:hAnsi="Arial" w:cs="Arial"/>
        </w:rPr>
        <w:t>20</w:t>
      </w:r>
      <w:r>
        <w:rPr>
          <w:rFonts w:ascii="Arial" w:hAnsi="Arial" w:cs="Arial"/>
        </w:rPr>
        <w:t xml:space="preserve"> Accounts are attached as Appendix 1. The Accounts show that over</w:t>
      </w:r>
      <w:r w:rsidR="00830E68">
        <w:rPr>
          <w:rFonts w:ascii="Arial" w:hAnsi="Arial" w:cs="Arial"/>
        </w:rPr>
        <w:t xml:space="preserve"> </w:t>
      </w:r>
      <w:r>
        <w:rPr>
          <w:rFonts w:ascii="Arial" w:hAnsi="Arial" w:cs="Arial"/>
        </w:rPr>
        <w:t xml:space="preserve">all there was a net </w:t>
      </w:r>
      <w:r w:rsidR="00830E68">
        <w:rPr>
          <w:rFonts w:ascii="Arial" w:hAnsi="Arial" w:cs="Arial"/>
        </w:rPr>
        <w:t>de</w:t>
      </w:r>
      <w:r w:rsidR="004A4DFC">
        <w:rPr>
          <w:rFonts w:ascii="Arial" w:hAnsi="Arial" w:cs="Arial"/>
        </w:rPr>
        <w:t>crease</w:t>
      </w:r>
      <w:r>
        <w:rPr>
          <w:rFonts w:ascii="Arial" w:hAnsi="Arial" w:cs="Arial"/>
        </w:rPr>
        <w:t xml:space="preserve"> in the </w:t>
      </w:r>
      <w:r w:rsidR="006C7008">
        <w:rPr>
          <w:rFonts w:ascii="Arial" w:hAnsi="Arial" w:cs="Arial"/>
        </w:rPr>
        <w:t xml:space="preserve">assets </w:t>
      </w:r>
      <w:r>
        <w:rPr>
          <w:rFonts w:ascii="Arial" w:hAnsi="Arial" w:cs="Arial"/>
        </w:rPr>
        <w:t xml:space="preserve">of </w:t>
      </w:r>
      <w:r w:rsidR="004A7BFD">
        <w:rPr>
          <w:rFonts w:ascii="Arial" w:hAnsi="Arial" w:cs="Arial"/>
        </w:rPr>
        <w:t>fund of £</w:t>
      </w:r>
      <w:r w:rsidR="00830E68">
        <w:rPr>
          <w:rFonts w:ascii="Arial" w:hAnsi="Arial" w:cs="Arial"/>
        </w:rPr>
        <w:t>67</w:t>
      </w:r>
      <w:r w:rsidR="00043424">
        <w:rPr>
          <w:rFonts w:ascii="Arial" w:hAnsi="Arial" w:cs="Arial"/>
        </w:rPr>
        <w:t>.</w:t>
      </w:r>
      <w:r w:rsidR="00830E68">
        <w:rPr>
          <w:rFonts w:ascii="Arial" w:hAnsi="Arial" w:cs="Arial"/>
        </w:rPr>
        <w:t>6</w:t>
      </w:r>
      <w:r w:rsidR="004A7BFD">
        <w:rPr>
          <w:rFonts w:ascii="Arial" w:hAnsi="Arial" w:cs="Arial"/>
        </w:rPr>
        <w:t>m</w:t>
      </w:r>
      <w:r>
        <w:rPr>
          <w:rFonts w:ascii="Arial" w:hAnsi="Arial" w:cs="Arial"/>
        </w:rPr>
        <w:t xml:space="preserve"> from £</w:t>
      </w:r>
      <w:r w:rsidR="00830E68">
        <w:rPr>
          <w:rFonts w:ascii="Arial" w:hAnsi="Arial" w:cs="Arial"/>
        </w:rPr>
        <w:t>930.1</w:t>
      </w:r>
      <w:r>
        <w:rPr>
          <w:rFonts w:ascii="Arial" w:hAnsi="Arial" w:cs="Arial"/>
        </w:rPr>
        <w:t>m at 31 March 201</w:t>
      </w:r>
      <w:r w:rsidR="00830E68">
        <w:rPr>
          <w:rFonts w:ascii="Arial" w:hAnsi="Arial" w:cs="Arial"/>
        </w:rPr>
        <w:t>9</w:t>
      </w:r>
      <w:r>
        <w:rPr>
          <w:rFonts w:ascii="Arial" w:hAnsi="Arial" w:cs="Arial"/>
        </w:rPr>
        <w:t>, to £</w:t>
      </w:r>
      <w:r w:rsidR="00830E68">
        <w:rPr>
          <w:rFonts w:ascii="Arial" w:hAnsi="Arial" w:cs="Arial"/>
        </w:rPr>
        <w:t>862</w:t>
      </w:r>
      <w:r w:rsidR="00043424">
        <w:rPr>
          <w:rFonts w:ascii="Arial" w:hAnsi="Arial" w:cs="Arial"/>
        </w:rPr>
        <w:t>.</w:t>
      </w:r>
      <w:r w:rsidR="00830E68">
        <w:rPr>
          <w:rFonts w:ascii="Arial" w:hAnsi="Arial" w:cs="Arial"/>
        </w:rPr>
        <w:t>5</w:t>
      </w:r>
      <w:r>
        <w:rPr>
          <w:rFonts w:ascii="Arial" w:hAnsi="Arial" w:cs="Arial"/>
        </w:rPr>
        <w:t>m at 31 March 20</w:t>
      </w:r>
      <w:r w:rsidR="00830E68">
        <w:rPr>
          <w:rFonts w:ascii="Arial" w:hAnsi="Arial" w:cs="Arial"/>
        </w:rPr>
        <w:t>20.</w:t>
      </w:r>
      <w:r>
        <w:rPr>
          <w:rFonts w:ascii="Arial" w:hAnsi="Arial" w:cs="Arial"/>
        </w:rPr>
        <w:t xml:space="preserve"> </w:t>
      </w:r>
    </w:p>
    <w:p w14:paraId="3E159619" w14:textId="77777777" w:rsidR="00925F77" w:rsidRDefault="00925F77" w:rsidP="00D263A6">
      <w:pPr>
        <w:jc w:val="both"/>
        <w:rPr>
          <w:rFonts w:ascii="Arial" w:hAnsi="Arial" w:cs="Arial"/>
        </w:rPr>
      </w:pPr>
    </w:p>
    <w:p w14:paraId="5D2C00BE" w14:textId="77777777" w:rsidR="00925F77" w:rsidRDefault="00925F77" w:rsidP="00D263A6">
      <w:pPr>
        <w:jc w:val="both"/>
        <w:rPr>
          <w:rFonts w:ascii="Arial" w:hAnsi="Arial" w:cs="Arial"/>
        </w:rPr>
      </w:pPr>
      <w:r w:rsidRPr="001C0308">
        <w:rPr>
          <w:rFonts w:ascii="Arial" w:hAnsi="Arial" w:cs="Arial"/>
        </w:rPr>
        <w:t xml:space="preserve">From dealings with members, employers and others directly involved in the scheme, there was a net </w:t>
      </w:r>
      <w:r w:rsidR="00B43FB2">
        <w:rPr>
          <w:rFonts w:ascii="Arial" w:hAnsi="Arial" w:cs="Arial"/>
        </w:rPr>
        <w:t>decrease</w:t>
      </w:r>
      <w:r w:rsidRPr="001C0308">
        <w:rPr>
          <w:rFonts w:ascii="Arial" w:hAnsi="Arial" w:cs="Arial"/>
        </w:rPr>
        <w:t xml:space="preserve"> of £</w:t>
      </w:r>
      <w:r w:rsidR="003C74EE">
        <w:rPr>
          <w:rFonts w:ascii="Arial" w:hAnsi="Arial" w:cs="Arial"/>
        </w:rPr>
        <w:t>15</w:t>
      </w:r>
      <w:r w:rsidR="00B43FB2">
        <w:rPr>
          <w:rFonts w:ascii="Arial" w:hAnsi="Arial" w:cs="Arial"/>
        </w:rPr>
        <w:t>.</w:t>
      </w:r>
      <w:r w:rsidR="003C74EE">
        <w:rPr>
          <w:rFonts w:ascii="Arial" w:hAnsi="Arial" w:cs="Arial"/>
        </w:rPr>
        <w:t>2</w:t>
      </w:r>
      <w:r w:rsidRPr="001C0308">
        <w:rPr>
          <w:rFonts w:ascii="Arial" w:hAnsi="Arial" w:cs="Arial"/>
        </w:rPr>
        <w:t>m</w:t>
      </w:r>
      <w:r w:rsidR="00830E68">
        <w:rPr>
          <w:rFonts w:ascii="Arial" w:hAnsi="Arial" w:cs="Arial"/>
        </w:rPr>
        <w:t>.</w:t>
      </w:r>
      <w:r w:rsidR="001E662D" w:rsidRPr="001E662D">
        <w:rPr>
          <w:rFonts w:ascii="Arial" w:hAnsi="Arial" w:cs="Arial"/>
        </w:rPr>
        <w:t xml:space="preserve"> </w:t>
      </w:r>
    </w:p>
    <w:p w14:paraId="7C2553AF" w14:textId="77777777" w:rsidR="003C5941" w:rsidRPr="006547E3" w:rsidRDefault="003C5941" w:rsidP="00D263A6">
      <w:pPr>
        <w:jc w:val="both"/>
        <w:rPr>
          <w:rFonts w:ascii="Arial" w:hAnsi="Arial" w:cs="Arial"/>
          <w:color w:val="FF0000"/>
        </w:rPr>
      </w:pPr>
    </w:p>
    <w:p w14:paraId="3F085889" w14:textId="77777777" w:rsidR="00666AB4" w:rsidRDefault="00925F77" w:rsidP="00D263A6">
      <w:pPr>
        <w:pStyle w:val="BodyText"/>
        <w:jc w:val="both"/>
        <w:rPr>
          <w:color w:val="auto"/>
        </w:rPr>
      </w:pPr>
      <w:r w:rsidRPr="001C0308">
        <w:rPr>
          <w:color w:val="auto"/>
        </w:rPr>
        <w:t>Taking investment income net of management expenses, plus th</w:t>
      </w:r>
      <w:r w:rsidR="00C67448">
        <w:rPr>
          <w:color w:val="auto"/>
        </w:rPr>
        <w:t>e</w:t>
      </w:r>
      <w:r w:rsidRPr="001C0308">
        <w:rPr>
          <w:color w:val="auto"/>
        </w:rPr>
        <w:t xml:space="preserve"> addition</w:t>
      </w:r>
      <w:r w:rsidR="00C1381E">
        <w:rPr>
          <w:color w:val="auto"/>
        </w:rPr>
        <w:t>s</w:t>
      </w:r>
      <w:r w:rsidRPr="001C0308">
        <w:rPr>
          <w:color w:val="auto"/>
        </w:rPr>
        <w:t xml:space="preserve"> to the Fund from dealings with members </w:t>
      </w:r>
      <w:r w:rsidR="003C74EE">
        <w:rPr>
          <w:color w:val="auto"/>
        </w:rPr>
        <w:t xml:space="preserve">there were </w:t>
      </w:r>
      <w:r w:rsidRPr="001C0308">
        <w:rPr>
          <w:color w:val="auto"/>
        </w:rPr>
        <w:t>£</w:t>
      </w:r>
      <w:r w:rsidR="00EB3547">
        <w:rPr>
          <w:color w:val="auto"/>
        </w:rPr>
        <w:t>1</w:t>
      </w:r>
      <w:r w:rsidR="003C74EE">
        <w:rPr>
          <w:color w:val="auto"/>
        </w:rPr>
        <w:t>3</w:t>
      </w:r>
      <w:r w:rsidR="00EB3547">
        <w:rPr>
          <w:color w:val="auto"/>
        </w:rPr>
        <w:t>.3</w:t>
      </w:r>
      <w:r w:rsidR="00F33C0A">
        <w:rPr>
          <w:color w:val="auto"/>
        </w:rPr>
        <w:t>m</w:t>
      </w:r>
      <w:r w:rsidRPr="001C0308">
        <w:rPr>
          <w:color w:val="auto"/>
        </w:rPr>
        <w:t xml:space="preserve"> </w:t>
      </w:r>
      <w:r w:rsidR="00EB3547">
        <w:rPr>
          <w:color w:val="auto"/>
        </w:rPr>
        <w:t>less</w:t>
      </w:r>
      <w:r w:rsidRPr="001C0308">
        <w:rPr>
          <w:color w:val="auto"/>
        </w:rPr>
        <w:t xml:space="preserve"> funds for investment. </w:t>
      </w:r>
      <w:r w:rsidR="003C0D1F" w:rsidRPr="001C0308">
        <w:rPr>
          <w:color w:val="auto"/>
        </w:rPr>
        <w:t>The</w:t>
      </w:r>
      <w:r w:rsidRPr="001C0308">
        <w:rPr>
          <w:color w:val="auto"/>
        </w:rPr>
        <w:t xml:space="preserve"> net </w:t>
      </w:r>
      <w:r w:rsidR="003C74EE">
        <w:rPr>
          <w:color w:val="auto"/>
        </w:rPr>
        <w:t>de</w:t>
      </w:r>
      <w:r w:rsidR="00317459">
        <w:rPr>
          <w:color w:val="auto"/>
        </w:rPr>
        <w:t>crease</w:t>
      </w:r>
      <w:r w:rsidRPr="001C0308">
        <w:rPr>
          <w:color w:val="auto"/>
        </w:rPr>
        <w:t xml:space="preserve"> in the value of the fund investments, (realised and unrealised), </w:t>
      </w:r>
      <w:r w:rsidR="00A27750" w:rsidRPr="001C0308">
        <w:rPr>
          <w:color w:val="auto"/>
        </w:rPr>
        <w:t>was</w:t>
      </w:r>
      <w:r w:rsidRPr="001C0308">
        <w:rPr>
          <w:color w:val="auto"/>
        </w:rPr>
        <w:t xml:space="preserve"> £</w:t>
      </w:r>
      <w:r w:rsidR="003C74EE">
        <w:rPr>
          <w:color w:val="auto"/>
        </w:rPr>
        <w:t>54</w:t>
      </w:r>
      <w:r w:rsidR="00B43FB2">
        <w:rPr>
          <w:color w:val="auto"/>
        </w:rPr>
        <w:t>.</w:t>
      </w:r>
      <w:r w:rsidR="003C74EE">
        <w:rPr>
          <w:color w:val="auto"/>
        </w:rPr>
        <w:t>3</w:t>
      </w:r>
      <w:r w:rsidR="00A30AA9">
        <w:rPr>
          <w:color w:val="auto"/>
        </w:rPr>
        <w:t>m</w:t>
      </w:r>
      <w:r w:rsidRPr="001C0308">
        <w:rPr>
          <w:color w:val="auto"/>
        </w:rPr>
        <w:t>. The investment performance for the year is set out in the next section.</w:t>
      </w:r>
    </w:p>
    <w:p w14:paraId="3E395244" w14:textId="77777777" w:rsidR="000C463A" w:rsidRDefault="000C463A" w:rsidP="00D263A6">
      <w:pPr>
        <w:pStyle w:val="BodyText"/>
        <w:jc w:val="both"/>
        <w:rPr>
          <w:color w:val="auto"/>
        </w:rPr>
      </w:pPr>
    </w:p>
    <w:p w14:paraId="3815D405" w14:textId="77777777" w:rsidR="000C463A" w:rsidRDefault="000C463A" w:rsidP="00D263A6">
      <w:pPr>
        <w:pStyle w:val="BodyText"/>
        <w:jc w:val="both"/>
        <w:rPr>
          <w:color w:val="auto"/>
        </w:rPr>
      </w:pPr>
    </w:p>
    <w:p w14:paraId="38738B13" w14:textId="77777777" w:rsidR="000C463A" w:rsidRDefault="000C463A" w:rsidP="00D263A6">
      <w:pPr>
        <w:pStyle w:val="BodyText"/>
        <w:jc w:val="both"/>
        <w:rPr>
          <w:color w:val="auto"/>
        </w:rPr>
      </w:pPr>
    </w:p>
    <w:p w14:paraId="43AB27C7" w14:textId="77777777" w:rsidR="000C463A" w:rsidRDefault="000C463A" w:rsidP="00D263A6">
      <w:pPr>
        <w:pStyle w:val="BodyText"/>
        <w:jc w:val="both"/>
        <w:rPr>
          <w:color w:val="auto"/>
        </w:rPr>
      </w:pPr>
    </w:p>
    <w:p w14:paraId="1821C8E6" w14:textId="77777777" w:rsidR="000C463A" w:rsidRDefault="000C463A" w:rsidP="00D263A6">
      <w:pPr>
        <w:pStyle w:val="BodyText"/>
        <w:jc w:val="both"/>
        <w:rPr>
          <w:color w:val="auto"/>
        </w:rPr>
      </w:pPr>
    </w:p>
    <w:p w14:paraId="6324DD98" w14:textId="77777777" w:rsidR="000C463A" w:rsidRDefault="000C463A" w:rsidP="00D263A6">
      <w:pPr>
        <w:pStyle w:val="BodyText"/>
        <w:jc w:val="both"/>
        <w:rPr>
          <w:color w:val="auto"/>
        </w:rPr>
      </w:pPr>
    </w:p>
    <w:p w14:paraId="1855F959" w14:textId="77777777" w:rsidR="000C463A" w:rsidRDefault="000C463A" w:rsidP="00D263A6">
      <w:pPr>
        <w:pStyle w:val="BodyText"/>
        <w:jc w:val="both"/>
        <w:rPr>
          <w:color w:val="auto"/>
        </w:rPr>
      </w:pPr>
    </w:p>
    <w:p w14:paraId="354B78BD" w14:textId="77777777" w:rsidR="000C463A" w:rsidRDefault="000C463A" w:rsidP="00D263A6">
      <w:pPr>
        <w:pStyle w:val="BodyText"/>
        <w:jc w:val="both"/>
        <w:rPr>
          <w:color w:val="auto"/>
        </w:rPr>
      </w:pPr>
    </w:p>
    <w:p w14:paraId="2B63C759" w14:textId="77777777" w:rsidR="000C463A" w:rsidRDefault="000C463A" w:rsidP="00D263A6">
      <w:pPr>
        <w:pStyle w:val="BodyText"/>
        <w:jc w:val="both"/>
        <w:rPr>
          <w:color w:val="auto"/>
        </w:rPr>
      </w:pPr>
    </w:p>
    <w:p w14:paraId="2DE36F42" w14:textId="77777777" w:rsidR="000C463A" w:rsidRDefault="000C463A" w:rsidP="00D263A6">
      <w:pPr>
        <w:pStyle w:val="BodyText"/>
        <w:jc w:val="both"/>
        <w:rPr>
          <w:color w:val="auto"/>
        </w:rPr>
      </w:pPr>
    </w:p>
    <w:p w14:paraId="09300D39" w14:textId="77777777" w:rsidR="000C463A" w:rsidRDefault="000C463A" w:rsidP="00D263A6">
      <w:pPr>
        <w:pStyle w:val="BodyText"/>
        <w:jc w:val="both"/>
        <w:rPr>
          <w:color w:val="auto"/>
        </w:rPr>
      </w:pPr>
    </w:p>
    <w:p w14:paraId="1377F9CF" w14:textId="77777777" w:rsidR="000C463A" w:rsidRDefault="000C463A" w:rsidP="00D263A6">
      <w:pPr>
        <w:pStyle w:val="BodyText"/>
        <w:jc w:val="both"/>
        <w:rPr>
          <w:color w:val="003300"/>
        </w:rPr>
      </w:pPr>
    </w:p>
    <w:p w14:paraId="7CB73337" w14:textId="77777777" w:rsidR="00666AB4" w:rsidRDefault="00666AB4" w:rsidP="00D263A6">
      <w:pPr>
        <w:pStyle w:val="Heading2"/>
        <w:jc w:val="both"/>
        <w:rPr>
          <w:color w:val="003300"/>
        </w:rPr>
      </w:pPr>
    </w:p>
    <w:p w14:paraId="1B34CDF4" w14:textId="77777777" w:rsidR="00925F77" w:rsidRDefault="00925F77" w:rsidP="00D263A6">
      <w:pPr>
        <w:pStyle w:val="Heading2"/>
        <w:jc w:val="both"/>
        <w:rPr>
          <w:color w:val="003300"/>
        </w:rPr>
      </w:pPr>
      <w:r>
        <w:rPr>
          <w:color w:val="003300"/>
        </w:rPr>
        <w:t>Pension Fund Performance 201</w:t>
      </w:r>
      <w:r w:rsidR="003E482B">
        <w:rPr>
          <w:color w:val="003300"/>
        </w:rPr>
        <w:t>9</w:t>
      </w:r>
      <w:r>
        <w:rPr>
          <w:color w:val="003300"/>
        </w:rPr>
        <w:t>/</w:t>
      </w:r>
      <w:r w:rsidR="003E482B">
        <w:rPr>
          <w:color w:val="003300"/>
        </w:rPr>
        <w:t>20</w:t>
      </w:r>
    </w:p>
    <w:p w14:paraId="53CDBE9D" w14:textId="77777777" w:rsidR="00925F77" w:rsidRDefault="00925F77" w:rsidP="00D263A6">
      <w:pPr>
        <w:jc w:val="both"/>
        <w:rPr>
          <w:rFonts w:ascii="Arial" w:hAnsi="Arial" w:cs="Arial"/>
        </w:rPr>
      </w:pPr>
    </w:p>
    <w:p w14:paraId="171676FD" w14:textId="77777777" w:rsidR="00925F77" w:rsidRDefault="00925F77" w:rsidP="00D263A6">
      <w:pPr>
        <w:pStyle w:val="Heading5"/>
        <w:jc w:val="both"/>
        <w:rPr>
          <w:color w:val="336600"/>
        </w:rPr>
      </w:pPr>
      <w:r>
        <w:rPr>
          <w:color w:val="336600"/>
        </w:rPr>
        <w:t>Fund Returns 201</w:t>
      </w:r>
      <w:r w:rsidR="003E482B">
        <w:rPr>
          <w:color w:val="336600"/>
        </w:rPr>
        <w:t>9</w:t>
      </w:r>
      <w:r>
        <w:rPr>
          <w:color w:val="336600"/>
        </w:rPr>
        <w:t>/</w:t>
      </w:r>
      <w:r w:rsidR="003E482B">
        <w:rPr>
          <w:color w:val="336600"/>
        </w:rPr>
        <w:t>20</w:t>
      </w:r>
      <w:r>
        <w:rPr>
          <w:color w:val="336600"/>
        </w:rPr>
        <w:t xml:space="preserve"> </w:t>
      </w:r>
    </w:p>
    <w:p w14:paraId="53DF753E" w14:textId="77777777" w:rsidR="00925F77" w:rsidRDefault="00925F77" w:rsidP="00D263A6">
      <w:pPr>
        <w:jc w:val="both"/>
        <w:rPr>
          <w:rFonts w:ascii="Arial" w:hAnsi="Arial" w:cs="Arial"/>
          <w:i/>
        </w:rPr>
      </w:pPr>
    </w:p>
    <w:p w14:paraId="3EA1A13E" w14:textId="77777777" w:rsidR="00447FCA" w:rsidRDefault="00925F77" w:rsidP="00D263A6">
      <w:pPr>
        <w:jc w:val="both"/>
        <w:rPr>
          <w:rFonts w:ascii="Arial" w:hAnsi="Arial" w:cs="Arial"/>
        </w:rPr>
      </w:pPr>
      <w:r>
        <w:rPr>
          <w:rFonts w:ascii="Arial" w:hAnsi="Arial" w:cs="Arial"/>
        </w:rPr>
        <w:t xml:space="preserve">Table </w:t>
      </w:r>
      <w:r w:rsidR="00317459">
        <w:rPr>
          <w:rFonts w:ascii="Arial" w:hAnsi="Arial" w:cs="Arial"/>
        </w:rPr>
        <w:t>1</w:t>
      </w:r>
      <w:r>
        <w:rPr>
          <w:rFonts w:ascii="Arial" w:hAnsi="Arial" w:cs="Arial"/>
        </w:rPr>
        <w:t xml:space="preserve"> below sets out the quarter by quarter results for the Fund in 201</w:t>
      </w:r>
      <w:r w:rsidR="003C74EE">
        <w:rPr>
          <w:rFonts w:ascii="Arial" w:hAnsi="Arial" w:cs="Arial"/>
        </w:rPr>
        <w:t>9</w:t>
      </w:r>
      <w:r>
        <w:rPr>
          <w:rFonts w:ascii="Arial" w:hAnsi="Arial" w:cs="Arial"/>
        </w:rPr>
        <w:t>/</w:t>
      </w:r>
      <w:r w:rsidR="003C74EE">
        <w:rPr>
          <w:rFonts w:ascii="Arial" w:hAnsi="Arial" w:cs="Arial"/>
        </w:rPr>
        <w:t>20</w:t>
      </w:r>
      <w:r w:rsidR="00041BDC">
        <w:rPr>
          <w:rFonts w:ascii="Arial" w:hAnsi="Arial" w:cs="Arial"/>
        </w:rPr>
        <w:t>.</w:t>
      </w:r>
      <w:r>
        <w:rPr>
          <w:rFonts w:ascii="Arial" w:hAnsi="Arial" w:cs="Arial"/>
        </w:rPr>
        <w:t xml:space="preserve"> Over the year</w:t>
      </w:r>
      <w:r w:rsidR="00337C32">
        <w:rPr>
          <w:rFonts w:ascii="Arial" w:hAnsi="Arial" w:cs="Arial"/>
        </w:rPr>
        <w:t>.</w:t>
      </w:r>
      <w:r>
        <w:rPr>
          <w:rFonts w:ascii="Arial" w:hAnsi="Arial" w:cs="Arial"/>
        </w:rPr>
        <w:t xml:space="preserve"> Fund return was </w:t>
      </w:r>
      <w:r w:rsidR="0033451F">
        <w:rPr>
          <w:rFonts w:ascii="Arial" w:hAnsi="Arial" w:cs="Arial"/>
        </w:rPr>
        <w:t>-5</w:t>
      </w:r>
      <w:r w:rsidR="00932F7E">
        <w:rPr>
          <w:rFonts w:ascii="Arial" w:hAnsi="Arial" w:cs="Arial"/>
        </w:rPr>
        <w:t>.</w:t>
      </w:r>
      <w:r w:rsidR="0033451F">
        <w:rPr>
          <w:rFonts w:ascii="Arial" w:hAnsi="Arial" w:cs="Arial"/>
        </w:rPr>
        <w:t>4</w:t>
      </w:r>
      <w:r>
        <w:rPr>
          <w:rFonts w:ascii="Arial" w:hAnsi="Arial" w:cs="Arial"/>
        </w:rPr>
        <w:t xml:space="preserve">%, against the benchmark return of </w:t>
      </w:r>
      <w:r w:rsidR="0033451F">
        <w:rPr>
          <w:rFonts w:ascii="Arial" w:hAnsi="Arial" w:cs="Arial"/>
        </w:rPr>
        <w:t>-3</w:t>
      </w:r>
      <w:r w:rsidR="00932F7E">
        <w:rPr>
          <w:rFonts w:ascii="Arial" w:hAnsi="Arial" w:cs="Arial"/>
        </w:rPr>
        <w:t>.</w:t>
      </w:r>
      <w:r w:rsidR="0033451F">
        <w:rPr>
          <w:rFonts w:ascii="Arial" w:hAnsi="Arial" w:cs="Arial"/>
        </w:rPr>
        <w:t>9</w:t>
      </w:r>
      <w:r>
        <w:rPr>
          <w:rFonts w:ascii="Arial" w:hAnsi="Arial" w:cs="Arial"/>
        </w:rPr>
        <w:t xml:space="preserve">%, the Fund showed relative </w:t>
      </w:r>
      <w:r w:rsidR="00932F7E">
        <w:rPr>
          <w:rFonts w:ascii="Arial" w:hAnsi="Arial" w:cs="Arial"/>
        </w:rPr>
        <w:t>under</w:t>
      </w:r>
      <w:r>
        <w:rPr>
          <w:rFonts w:ascii="Arial" w:hAnsi="Arial" w:cs="Arial"/>
        </w:rPr>
        <w:t xml:space="preserve"> performance of </w:t>
      </w:r>
      <w:r w:rsidR="00932F7E">
        <w:rPr>
          <w:rFonts w:ascii="Arial" w:hAnsi="Arial" w:cs="Arial"/>
        </w:rPr>
        <w:t>-</w:t>
      </w:r>
      <w:r w:rsidR="0088190E">
        <w:rPr>
          <w:rFonts w:ascii="Arial" w:hAnsi="Arial" w:cs="Arial"/>
        </w:rPr>
        <w:t>1</w:t>
      </w:r>
      <w:r w:rsidR="00932F7E">
        <w:rPr>
          <w:rFonts w:ascii="Arial" w:hAnsi="Arial" w:cs="Arial"/>
        </w:rPr>
        <w:t>.</w:t>
      </w:r>
      <w:r w:rsidR="0088190E">
        <w:rPr>
          <w:rFonts w:ascii="Arial" w:hAnsi="Arial" w:cs="Arial"/>
        </w:rPr>
        <w:t>5</w:t>
      </w:r>
      <w:r>
        <w:rPr>
          <w:rFonts w:ascii="Arial" w:hAnsi="Arial" w:cs="Arial"/>
        </w:rPr>
        <w:t>%.</w:t>
      </w:r>
    </w:p>
    <w:p w14:paraId="59B39992" w14:textId="77777777" w:rsidR="00925F77" w:rsidRDefault="00925F77" w:rsidP="00D263A6">
      <w:pPr>
        <w:jc w:val="both"/>
        <w:rPr>
          <w:rFonts w:ascii="Arial" w:hAnsi="Arial" w:cs="Arial"/>
          <w:b/>
          <w:i/>
          <w:sz w:val="22"/>
          <w:szCs w:val="22"/>
        </w:rPr>
      </w:pPr>
    </w:p>
    <w:p w14:paraId="5A174BE8" w14:textId="77777777" w:rsidR="00925F77" w:rsidRDefault="00925F77" w:rsidP="00D263A6">
      <w:pPr>
        <w:pStyle w:val="Heading6"/>
        <w:jc w:val="both"/>
        <w:rPr>
          <w:color w:val="336600"/>
        </w:rPr>
      </w:pPr>
      <w:r>
        <w:rPr>
          <w:color w:val="336600"/>
        </w:rPr>
        <w:t xml:space="preserve">Table </w:t>
      </w:r>
      <w:r w:rsidR="00317459">
        <w:rPr>
          <w:color w:val="336600"/>
        </w:rPr>
        <w:t>1</w:t>
      </w:r>
      <w:r>
        <w:rPr>
          <w:color w:val="336600"/>
        </w:rPr>
        <w:t xml:space="preserve"> – Quarterly Fund Returns 201</w:t>
      </w:r>
      <w:r w:rsidR="003C74EE">
        <w:rPr>
          <w:color w:val="336600"/>
        </w:rPr>
        <w:t>9/20</w:t>
      </w:r>
    </w:p>
    <w:tbl>
      <w:tblPr>
        <w:tblpPr w:leftFromText="180" w:rightFromText="180" w:vertAnchor="text" w:horzAnchor="margin" w:tblpXSpec="center" w:tblpY="455"/>
        <w:tblW w:w="10099"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678"/>
        <w:gridCol w:w="1633"/>
        <w:gridCol w:w="1672"/>
        <w:gridCol w:w="1663"/>
        <w:gridCol w:w="1640"/>
        <w:gridCol w:w="1813"/>
      </w:tblGrid>
      <w:tr w:rsidR="007053B3" w14:paraId="32E2EE3C" w14:textId="77777777" w:rsidTr="007053B3">
        <w:trPr>
          <w:trHeight w:val="1321"/>
        </w:trPr>
        <w:tc>
          <w:tcPr>
            <w:tcW w:w="1678" w:type="dxa"/>
          </w:tcPr>
          <w:p w14:paraId="4AC7E344" w14:textId="77777777" w:rsidR="007053B3" w:rsidRDefault="007053B3" w:rsidP="00F33C0A">
            <w:pPr>
              <w:jc w:val="both"/>
              <w:rPr>
                <w:rFonts w:ascii="Arial" w:hAnsi="Arial" w:cs="Arial"/>
                <w:b/>
                <w:sz w:val="22"/>
                <w:szCs w:val="22"/>
              </w:rPr>
            </w:pPr>
            <w:bookmarkStart w:id="1" w:name="_Hlk56206901"/>
          </w:p>
        </w:tc>
        <w:tc>
          <w:tcPr>
            <w:tcW w:w="1633" w:type="dxa"/>
          </w:tcPr>
          <w:p w14:paraId="71667553" w14:textId="77777777" w:rsidR="007053B3" w:rsidRDefault="007053B3" w:rsidP="00D263A6">
            <w:pPr>
              <w:jc w:val="both"/>
              <w:rPr>
                <w:rFonts w:ascii="Arial" w:hAnsi="Arial" w:cs="Arial"/>
                <w:b/>
                <w:sz w:val="22"/>
                <w:szCs w:val="22"/>
              </w:rPr>
            </w:pPr>
            <w:r>
              <w:rPr>
                <w:rFonts w:ascii="Arial" w:hAnsi="Arial" w:cs="Arial"/>
                <w:b/>
                <w:sz w:val="22"/>
                <w:szCs w:val="22"/>
              </w:rPr>
              <w:t>Q</w:t>
            </w:r>
            <w:r w:rsidR="001B34D7">
              <w:rPr>
                <w:rFonts w:ascii="Arial" w:hAnsi="Arial" w:cs="Arial"/>
                <w:b/>
                <w:sz w:val="22"/>
                <w:szCs w:val="22"/>
              </w:rPr>
              <w:t>2</w:t>
            </w:r>
          </w:p>
          <w:p w14:paraId="02AFF841" w14:textId="77777777" w:rsidR="007053B3" w:rsidRDefault="007053B3" w:rsidP="00F33C0A">
            <w:pPr>
              <w:jc w:val="both"/>
              <w:rPr>
                <w:rFonts w:ascii="Arial" w:hAnsi="Arial" w:cs="Arial"/>
                <w:b/>
                <w:sz w:val="22"/>
                <w:szCs w:val="22"/>
              </w:rPr>
            </w:pPr>
            <w:r>
              <w:rPr>
                <w:rFonts w:ascii="Arial" w:hAnsi="Arial" w:cs="Arial"/>
                <w:b/>
                <w:sz w:val="22"/>
                <w:szCs w:val="22"/>
              </w:rPr>
              <w:t>April-June 201</w:t>
            </w:r>
            <w:r w:rsidR="003C74EE">
              <w:rPr>
                <w:rFonts w:ascii="Arial" w:hAnsi="Arial" w:cs="Arial"/>
                <w:b/>
                <w:sz w:val="22"/>
                <w:szCs w:val="22"/>
              </w:rPr>
              <w:t>9</w:t>
            </w:r>
          </w:p>
        </w:tc>
        <w:tc>
          <w:tcPr>
            <w:tcW w:w="1672" w:type="dxa"/>
          </w:tcPr>
          <w:p w14:paraId="33D375E9" w14:textId="77777777" w:rsidR="007053B3" w:rsidRDefault="007053B3" w:rsidP="00D263A6">
            <w:pPr>
              <w:jc w:val="both"/>
              <w:rPr>
                <w:rFonts w:ascii="Arial" w:hAnsi="Arial" w:cs="Arial"/>
                <w:b/>
                <w:sz w:val="22"/>
                <w:szCs w:val="22"/>
              </w:rPr>
            </w:pPr>
            <w:r>
              <w:rPr>
                <w:rFonts w:ascii="Arial" w:hAnsi="Arial" w:cs="Arial"/>
                <w:b/>
                <w:sz w:val="22"/>
                <w:szCs w:val="22"/>
              </w:rPr>
              <w:t>Q</w:t>
            </w:r>
            <w:r w:rsidR="001B34D7">
              <w:rPr>
                <w:rFonts w:ascii="Arial" w:hAnsi="Arial" w:cs="Arial"/>
                <w:b/>
                <w:sz w:val="22"/>
                <w:szCs w:val="22"/>
              </w:rPr>
              <w:t>3</w:t>
            </w:r>
          </w:p>
          <w:p w14:paraId="525F2A23" w14:textId="77777777" w:rsidR="007053B3" w:rsidRDefault="007053B3" w:rsidP="00F33C0A">
            <w:pPr>
              <w:jc w:val="both"/>
              <w:rPr>
                <w:rFonts w:ascii="Arial" w:hAnsi="Arial" w:cs="Arial"/>
                <w:b/>
                <w:sz w:val="22"/>
                <w:szCs w:val="22"/>
              </w:rPr>
            </w:pPr>
            <w:r>
              <w:rPr>
                <w:rFonts w:ascii="Arial" w:hAnsi="Arial" w:cs="Arial"/>
                <w:b/>
                <w:sz w:val="22"/>
                <w:szCs w:val="22"/>
              </w:rPr>
              <w:t>July-September 201</w:t>
            </w:r>
            <w:r w:rsidR="003C74EE">
              <w:rPr>
                <w:rFonts w:ascii="Arial" w:hAnsi="Arial" w:cs="Arial"/>
                <w:b/>
                <w:sz w:val="22"/>
                <w:szCs w:val="22"/>
              </w:rPr>
              <w:t>9</w:t>
            </w:r>
          </w:p>
        </w:tc>
        <w:tc>
          <w:tcPr>
            <w:tcW w:w="1663" w:type="dxa"/>
          </w:tcPr>
          <w:p w14:paraId="27E05DED" w14:textId="77777777" w:rsidR="007053B3" w:rsidRDefault="001273D5" w:rsidP="00D263A6">
            <w:pPr>
              <w:jc w:val="both"/>
              <w:rPr>
                <w:rFonts w:ascii="Arial" w:hAnsi="Arial" w:cs="Arial"/>
                <w:b/>
                <w:sz w:val="22"/>
                <w:szCs w:val="22"/>
              </w:rPr>
            </w:pPr>
            <w:r>
              <w:rPr>
                <w:rFonts w:ascii="Arial" w:hAnsi="Arial" w:cs="Arial"/>
                <w:b/>
                <w:sz w:val="22"/>
                <w:szCs w:val="22"/>
              </w:rPr>
              <w:t>Q</w:t>
            </w:r>
            <w:r w:rsidR="001B34D7">
              <w:rPr>
                <w:rFonts w:ascii="Arial" w:hAnsi="Arial" w:cs="Arial"/>
                <w:b/>
                <w:sz w:val="22"/>
                <w:szCs w:val="22"/>
              </w:rPr>
              <w:t>4</w:t>
            </w:r>
          </w:p>
          <w:p w14:paraId="65802570" w14:textId="77777777" w:rsidR="007053B3" w:rsidRDefault="007053B3" w:rsidP="00F33C0A">
            <w:pPr>
              <w:jc w:val="both"/>
              <w:rPr>
                <w:rFonts w:ascii="Arial" w:hAnsi="Arial" w:cs="Arial"/>
                <w:b/>
                <w:sz w:val="22"/>
                <w:szCs w:val="22"/>
              </w:rPr>
            </w:pPr>
            <w:r>
              <w:rPr>
                <w:rFonts w:ascii="Arial" w:hAnsi="Arial" w:cs="Arial"/>
                <w:b/>
                <w:sz w:val="22"/>
                <w:szCs w:val="22"/>
              </w:rPr>
              <w:t>October</w:t>
            </w:r>
            <w:r w:rsidR="001273D5">
              <w:rPr>
                <w:rFonts w:ascii="Arial" w:hAnsi="Arial" w:cs="Arial"/>
                <w:b/>
                <w:sz w:val="22"/>
                <w:szCs w:val="22"/>
              </w:rPr>
              <w:t>-</w:t>
            </w:r>
            <w:r>
              <w:rPr>
                <w:rFonts w:ascii="Arial" w:hAnsi="Arial" w:cs="Arial"/>
                <w:b/>
                <w:sz w:val="22"/>
                <w:szCs w:val="22"/>
              </w:rPr>
              <w:t>December 201</w:t>
            </w:r>
            <w:r w:rsidR="003C74EE">
              <w:rPr>
                <w:rFonts w:ascii="Arial" w:hAnsi="Arial" w:cs="Arial"/>
                <w:b/>
                <w:sz w:val="22"/>
                <w:szCs w:val="22"/>
              </w:rPr>
              <w:t>9</w:t>
            </w:r>
          </w:p>
        </w:tc>
        <w:tc>
          <w:tcPr>
            <w:tcW w:w="1640" w:type="dxa"/>
          </w:tcPr>
          <w:p w14:paraId="00291973" w14:textId="77777777" w:rsidR="007053B3" w:rsidRDefault="001273D5" w:rsidP="00D263A6">
            <w:pPr>
              <w:jc w:val="both"/>
              <w:rPr>
                <w:rFonts w:ascii="Arial" w:hAnsi="Arial" w:cs="Arial"/>
                <w:b/>
                <w:sz w:val="22"/>
                <w:szCs w:val="22"/>
              </w:rPr>
            </w:pPr>
            <w:r>
              <w:rPr>
                <w:rFonts w:ascii="Arial" w:hAnsi="Arial" w:cs="Arial"/>
                <w:b/>
                <w:sz w:val="22"/>
                <w:szCs w:val="22"/>
              </w:rPr>
              <w:t>Q</w:t>
            </w:r>
            <w:r w:rsidR="001B34D7">
              <w:rPr>
                <w:rFonts w:ascii="Arial" w:hAnsi="Arial" w:cs="Arial"/>
                <w:b/>
                <w:sz w:val="22"/>
                <w:szCs w:val="22"/>
              </w:rPr>
              <w:t>1</w:t>
            </w:r>
          </w:p>
          <w:p w14:paraId="43C20980" w14:textId="77777777" w:rsidR="007053B3" w:rsidRDefault="007053B3" w:rsidP="00F33C0A">
            <w:pPr>
              <w:jc w:val="both"/>
              <w:rPr>
                <w:rFonts w:ascii="Arial" w:hAnsi="Arial" w:cs="Arial"/>
                <w:b/>
                <w:sz w:val="22"/>
                <w:szCs w:val="22"/>
              </w:rPr>
            </w:pPr>
            <w:r>
              <w:rPr>
                <w:rFonts w:ascii="Arial" w:hAnsi="Arial" w:cs="Arial"/>
                <w:b/>
                <w:sz w:val="22"/>
                <w:szCs w:val="22"/>
              </w:rPr>
              <w:t>January</w:t>
            </w:r>
            <w:r w:rsidR="001273D5">
              <w:rPr>
                <w:rFonts w:ascii="Arial" w:hAnsi="Arial" w:cs="Arial"/>
                <w:b/>
                <w:sz w:val="22"/>
                <w:szCs w:val="22"/>
              </w:rPr>
              <w:t>-</w:t>
            </w:r>
            <w:r>
              <w:rPr>
                <w:rFonts w:ascii="Arial" w:hAnsi="Arial" w:cs="Arial"/>
                <w:b/>
                <w:sz w:val="22"/>
                <w:szCs w:val="22"/>
              </w:rPr>
              <w:t xml:space="preserve"> March 20</w:t>
            </w:r>
            <w:r w:rsidR="003C74EE">
              <w:rPr>
                <w:rFonts w:ascii="Arial" w:hAnsi="Arial" w:cs="Arial"/>
                <w:b/>
                <w:sz w:val="22"/>
                <w:szCs w:val="22"/>
              </w:rPr>
              <w:t>20</w:t>
            </w:r>
          </w:p>
        </w:tc>
        <w:tc>
          <w:tcPr>
            <w:tcW w:w="1813" w:type="dxa"/>
          </w:tcPr>
          <w:p w14:paraId="05F33A3D" w14:textId="77777777" w:rsidR="007053B3" w:rsidRDefault="007053B3" w:rsidP="00D263A6">
            <w:pPr>
              <w:jc w:val="both"/>
              <w:rPr>
                <w:rFonts w:ascii="Arial" w:hAnsi="Arial" w:cs="Arial"/>
                <w:b/>
                <w:sz w:val="22"/>
                <w:szCs w:val="22"/>
              </w:rPr>
            </w:pPr>
            <w:r>
              <w:rPr>
                <w:rFonts w:ascii="Arial" w:hAnsi="Arial" w:cs="Arial"/>
                <w:b/>
                <w:sz w:val="22"/>
                <w:szCs w:val="22"/>
              </w:rPr>
              <w:t>Total Annual Performance</w:t>
            </w:r>
          </w:p>
          <w:p w14:paraId="5F0DE3A4" w14:textId="77777777" w:rsidR="007053B3" w:rsidRDefault="007053B3" w:rsidP="00F33C0A">
            <w:pPr>
              <w:jc w:val="both"/>
              <w:rPr>
                <w:rFonts w:ascii="Arial" w:hAnsi="Arial" w:cs="Arial"/>
                <w:b/>
                <w:sz w:val="22"/>
                <w:szCs w:val="22"/>
              </w:rPr>
            </w:pPr>
            <w:r>
              <w:rPr>
                <w:rFonts w:ascii="Arial" w:hAnsi="Arial" w:cs="Arial"/>
                <w:b/>
                <w:sz w:val="22"/>
                <w:szCs w:val="22"/>
              </w:rPr>
              <w:t>201</w:t>
            </w:r>
            <w:r w:rsidR="003C74EE">
              <w:rPr>
                <w:rFonts w:ascii="Arial" w:hAnsi="Arial" w:cs="Arial"/>
                <w:b/>
                <w:sz w:val="22"/>
                <w:szCs w:val="22"/>
              </w:rPr>
              <w:t>9</w:t>
            </w:r>
            <w:r>
              <w:rPr>
                <w:rFonts w:ascii="Arial" w:hAnsi="Arial" w:cs="Arial"/>
                <w:b/>
                <w:sz w:val="22"/>
                <w:szCs w:val="22"/>
              </w:rPr>
              <w:t>/</w:t>
            </w:r>
            <w:r w:rsidR="003C74EE">
              <w:rPr>
                <w:rFonts w:ascii="Arial" w:hAnsi="Arial" w:cs="Arial"/>
                <w:b/>
                <w:sz w:val="22"/>
                <w:szCs w:val="22"/>
              </w:rPr>
              <w:t>20</w:t>
            </w:r>
          </w:p>
        </w:tc>
      </w:tr>
      <w:tr w:rsidR="007053B3" w14:paraId="4C8F6C1C" w14:textId="77777777" w:rsidTr="007053B3">
        <w:trPr>
          <w:trHeight w:val="268"/>
        </w:trPr>
        <w:tc>
          <w:tcPr>
            <w:tcW w:w="1678" w:type="dxa"/>
          </w:tcPr>
          <w:p w14:paraId="46DA3D9A" w14:textId="77777777" w:rsidR="007053B3" w:rsidRDefault="007053B3" w:rsidP="00D263A6">
            <w:pPr>
              <w:jc w:val="both"/>
              <w:rPr>
                <w:rFonts w:ascii="Arial" w:hAnsi="Arial" w:cs="Arial"/>
                <w:b/>
                <w:sz w:val="22"/>
                <w:szCs w:val="22"/>
              </w:rPr>
            </w:pPr>
          </w:p>
        </w:tc>
        <w:tc>
          <w:tcPr>
            <w:tcW w:w="1633" w:type="dxa"/>
          </w:tcPr>
          <w:p w14:paraId="3D7A1390" w14:textId="77777777" w:rsidR="007053B3" w:rsidRDefault="007053B3" w:rsidP="00D263A6">
            <w:pPr>
              <w:jc w:val="both"/>
              <w:rPr>
                <w:rFonts w:ascii="Arial" w:hAnsi="Arial" w:cs="Arial"/>
                <w:b/>
                <w:sz w:val="22"/>
                <w:szCs w:val="22"/>
              </w:rPr>
            </w:pPr>
            <w:r>
              <w:rPr>
                <w:rFonts w:ascii="Arial" w:hAnsi="Arial" w:cs="Arial"/>
                <w:b/>
                <w:sz w:val="22"/>
                <w:szCs w:val="22"/>
              </w:rPr>
              <w:t>%</w:t>
            </w:r>
          </w:p>
        </w:tc>
        <w:tc>
          <w:tcPr>
            <w:tcW w:w="1672" w:type="dxa"/>
          </w:tcPr>
          <w:p w14:paraId="0F4D5441" w14:textId="77777777" w:rsidR="007053B3" w:rsidRDefault="007053B3" w:rsidP="00D263A6">
            <w:pPr>
              <w:jc w:val="both"/>
              <w:rPr>
                <w:rFonts w:ascii="Arial" w:hAnsi="Arial" w:cs="Arial"/>
                <w:b/>
                <w:sz w:val="22"/>
                <w:szCs w:val="22"/>
              </w:rPr>
            </w:pPr>
            <w:r>
              <w:rPr>
                <w:rFonts w:ascii="Arial" w:hAnsi="Arial" w:cs="Arial"/>
                <w:b/>
                <w:sz w:val="22"/>
                <w:szCs w:val="22"/>
              </w:rPr>
              <w:t>%</w:t>
            </w:r>
          </w:p>
        </w:tc>
        <w:tc>
          <w:tcPr>
            <w:tcW w:w="1663" w:type="dxa"/>
          </w:tcPr>
          <w:p w14:paraId="24A60C65" w14:textId="77777777" w:rsidR="007053B3" w:rsidRDefault="007053B3" w:rsidP="00D263A6">
            <w:pPr>
              <w:jc w:val="both"/>
              <w:rPr>
                <w:rFonts w:ascii="Arial" w:hAnsi="Arial" w:cs="Arial"/>
                <w:b/>
                <w:sz w:val="22"/>
                <w:szCs w:val="22"/>
              </w:rPr>
            </w:pPr>
            <w:r>
              <w:rPr>
                <w:rFonts w:ascii="Arial" w:hAnsi="Arial" w:cs="Arial"/>
                <w:b/>
                <w:sz w:val="22"/>
                <w:szCs w:val="22"/>
              </w:rPr>
              <w:t>%</w:t>
            </w:r>
          </w:p>
        </w:tc>
        <w:tc>
          <w:tcPr>
            <w:tcW w:w="1640" w:type="dxa"/>
          </w:tcPr>
          <w:p w14:paraId="11363CCF" w14:textId="77777777" w:rsidR="007053B3" w:rsidRDefault="007053B3" w:rsidP="00D263A6">
            <w:pPr>
              <w:jc w:val="both"/>
              <w:rPr>
                <w:rFonts w:ascii="Arial" w:hAnsi="Arial" w:cs="Arial"/>
                <w:b/>
                <w:sz w:val="22"/>
                <w:szCs w:val="22"/>
              </w:rPr>
            </w:pPr>
            <w:r>
              <w:rPr>
                <w:rFonts w:ascii="Arial" w:hAnsi="Arial" w:cs="Arial"/>
                <w:b/>
                <w:sz w:val="22"/>
                <w:szCs w:val="22"/>
              </w:rPr>
              <w:t>%</w:t>
            </w:r>
          </w:p>
        </w:tc>
        <w:tc>
          <w:tcPr>
            <w:tcW w:w="1813" w:type="dxa"/>
          </w:tcPr>
          <w:p w14:paraId="68C79AED" w14:textId="77777777" w:rsidR="007053B3" w:rsidRDefault="007053B3" w:rsidP="00D263A6">
            <w:pPr>
              <w:jc w:val="both"/>
              <w:rPr>
                <w:rFonts w:ascii="Arial" w:hAnsi="Arial" w:cs="Arial"/>
                <w:b/>
                <w:sz w:val="22"/>
                <w:szCs w:val="22"/>
              </w:rPr>
            </w:pPr>
            <w:r>
              <w:rPr>
                <w:rFonts w:ascii="Arial" w:hAnsi="Arial" w:cs="Arial"/>
                <w:b/>
                <w:sz w:val="22"/>
                <w:szCs w:val="22"/>
              </w:rPr>
              <w:t>%</w:t>
            </w:r>
          </w:p>
        </w:tc>
      </w:tr>
      <w:tr w:rsidR="007053B3" w14:paraId="49EA9436" w14:textId="77777777" w:rsidTr="007053B3">
        <w:trPr>
          <w:trHeight w:val="519"/>
        </w:trPr>
        <w:tc>
          <w:tcPr>
            <w:tcW w:w="1678" w:type="dxa"/>
          </w:tcPr>
          <w:p w14:paraId="35334B3C" w14:textId="77777777" w:rsidR="007053B3" w:rsidRDefault="007053B3" w:rsidP="00D263A6">
            <w:pPr>
              <w:jc w:val="both"/>
              <w:rPr>
                <w:rFonts w:ascii="Arial" w:hAnsi="Arial" w:cs="Arial"/>
                <w:b/>
                <w:sz w:val="22"/>
                <w:szCs w:val="22"/>
              </w:rPr>
            </w:pPr>
            <w:r>
              <w:rPr>
                <w:rFonts w:ascii="Arial" w:hAnsi="Arial" w:cs="Arial"/>
                <w:b/>
                <w:sz w:val="22"/>
                <w:szCs w:val="22"/>
              </w:rPr>
              <w:t>Fund Return</w:t>
            </w:r>
          </w:p>
        </w:tc>
        <w:tc>
          <w:tcPr>
            <w:tcW w:w="1633" w:type="dxa"/>
          </w:tcPr>
          <w:p w14:paraId="0BDA0734" w14:textId="77777777" w:rsidR="007053B3" w:rsidRDefault="007053B3" w:rsidP="00D263A6">
            <w:pPr>
              <w:jc w:val="both"/>
              <w:rPr>
                <w:rFonts w:ascii="Arial" w:hAnsi="Arial" w:cs="Arial"/>
                <w:sz w:val="22"/>
                <w:szCs w:val="22"/>
              </w:rPr>
            </w:pPr>
          </w:p>
          <w:p w14:paraId="46531787" w14:textId="77777777" w:rsidR="00804ACC" w:rsidRDefault="00E008A6" w:rsidP="007B11F2">
            <w:pPr>
              <w:jc w:val="both"/>
              <w:rPr>
                <w:rFonts w:ascii="Arial" w:hAnsi="Arial" w:cs="Arial"/>
                <w:sz w:val="22"/>
                <w:szCs w:val="22"/>
              </w:rPr>
            </w:pPr>
            <w:r>
              <w:rPr>
                <w:rFonts w:ascii="Arial" w:hAnsi="Arial" w:cs="Arial"/>
                <w:sz w:val="22"/>
                <w:szCs w:val="22"/>
              </w:rPr>
              <w:t>3</w:t>
            </w:r>
            <w:r w:rsidR="00804ACC">
              <w:rPr>
                <w:rFonts w:ascii="Arial" w:hAnsi="Arial" w:cs="Arial"/>
                <w:sz w:val="22"/>
                <w:szCs w:val="22"/>
              </w:rPr>
              <w:t>.</w:t>
            </w:r>
            <w:r>
              <w:rPr>
                <w:rFonts w:ascii="Arial" w:hAnsi="Arial" w:cs="Arial"/>
                <w:sz w:val="22"/>
                <w:szCs w:val="22"/>
              </w:rPr>
              <w:t>9</w:t>
            </w:r>
          </w:p>
        </w:tc>
        <w:tc>
          <w:tcPr>
            <w:tcW w:w="1672" w:type="dxa"/>
          </w:tcPr>
          <w:p w14:paraId="7CBA7460" w14:textId="77777777" w:rsidR="007053B3" w:rsidRDefault="007053B3" w:rsidP="00D263A6">
            <w:pPr>
              <w:jc w:val="both"/>
              <w:rPr>
                <w:rFonts w:ascii="Arial" w:hAnsi="Arial" w:cs="Arial"/>
                <w:sz w:val="22"/>
                <w:szCs w:val="22"/>
              </w:rPr>
            </w:pPr>
          </w:p>
          <w:p w14:paraId="180F7B04" w14:textId="77777777" w:rsidR="00804ACC" w:rsidRDefault="009B7C14" w:rsidP="007B11F2">
            <w:pPr>
              <w:jc w:val="both"/>
              <w:rPr>
                <w:rFonts w:ascii="Arial" w:hAnsi="Arial" w:cs="Arial"/>
                <w:sz w:val="22"/>
                <w:szCs w:val="22"/>
              </w:rPr>
            </w:pPr>
            <w:r>
              <w:rPr>
                <w:rFonts w:ascii="Arial" w:hAnsi="Arial" w:cs="Arial"/>
                <w:sz w:val="22"/>
                <w:szCs w:val="22"/>
              </w:rPr>
              <w:t>0</w:t>
            </w:r>
            <w:r w:rsidR="007B11F2">
              <w:rPr>
                <w:rFonts w:ascii="Arial" w:hAnsi="Arial" w:cs="Arial"/>
                <w:sz w:val="22"/>
                <w:szCs w:val="22"/>
              </w:rPr>
              <w:t>.</w:t>
            </w:r>
            <w:r w:rsidR="00E008A6">
              <w:rPr>
                <w:rFonts w:ascii="Arial" w:hAnsi="Arial" w:cs="Arial"/>
                <w:sz w:val="22"/>
                <w:szCs w:val="22"/>
              </w:rPr>
              <w:t>8</w:t>
            </w:r>
          </w:p>
        </w:tc>
        <w:tc>
          <w:tcPr>
            <w:tcW w:w="1663" w:type="dxa"/>
          </w:tcPr>
          <w:p w14:paraId="24EF10E9" w14:textId="77777777" w:rsidR="007053B3" w:rsidRDefault="007053B3" w:rsidP="00D263A6">
            <w:pPr>
              <w:jc w:val="both"/>
              <w:rPr>
                <w:rFonts w:ascii="Arial" w:hAnsi="Arial" w:cs="Arial"/>
                <w:sz w:val="22"/>
                <w:szCs w:val="22"/>
              </w:rPr>
            </w:pPr>
          </w:p>
          <w:p w14:paraId="026886ED" w14:textId="77777777" w:rsidR="00804ACC" w:rsidRDefault="00E008A6" w:rsidP="007B11F2">
            <w:pPr>
              <w:jc w:val="both"/>
              <w:rPr>
                <w:rFonts w:ascii="Arial" w:hAnsi="Arial" w:cs="Arial"/>
                <w:sz w:val="22"/>
                <w:szCs w:val="22"/>
              </w:rPr>
            </w:pPr>
            <w:r>
              <w:rPr>
                <w:rFonts w:ascii="Arial" w:hAnsi="Arial" w:cs="Arial"/>
                <w:sz w:val="22"/>
                <w:szCs w:val="22"/>
              </w:rPr>
              <w:t>0</w:t>
            </w:r>
            <w:r w:rsidR="009B7C14">
              <w:rPr>
                <w:rFonts w:ascii="Arial" w:hAnsi="Arial" w:cs="Arial"/>
                <w:sz w:val="22"/>
                <w:szCs w:val="22"/>
              </w:rPr>
              <w:t>.</w:t>
            </w:r>
            <w:r>
              <w:rPr>
                <w:rFonts w:ascii="Arial" w:hAnsi="Arial" w:cs="Arial"/>
                <w:sz w:val="22"/>
                <w:szCs w:val="22"/>
              </w:rPr>
              <w:t>5</w:t>
            </w:r>
          </w:p>
        </w:tc>
        <w:tc>
          <w:tcPr>
            <w:tcW w:w="1640" w:type="dxa"/>
          </w:tcPr>
          <w:p w14:paraId="7F0CE220" w14:textId="77777777" w:rsidR="007053B3" w:rsidRDefault="007053B3" w:rsidP="00D263A6">
            <w:pPr>
              <w:jc w:val="both"/>
              <w:rPr>
                <w:rFonts w:ascii="Arial" w:hAnsi="Arial" w:cs="Arial"/>
                <w:sz w:val="22"/>
                <w:szCs w:val="22"/>
              </w:rPr>
            </w:pPr>
          </w:p>
          <w:p w14:paraId="2C4BD007" w14:textId="77777777" w:rsidR="00804ACC" w:rsidRDefault="0008785A" w:rsidP="007B11F2">
            <w:pPr>
              <w:jc w:val="both"/>
              <w:rPr>
                <w:rFonts w:ascii="Arial" w:hAnsi="Arial" w:cs="Arial"/>
                <w:sz w:val="22"/>
                <w:szCs w:val="22"/>
              </w:rPr>
            </w:pPr>
            <w:r>
              <w:rPr>
                <w:rFonts w:ascii="Arial" w:hAnsi="Arial" w:cs="Arial"/>
                <w:sz w:val="22"/>
                <w:szCs w:val="22"/>
              </w:rPr>
              <w:t>-9.8</w:t>
            </w:r>
          </w:p>
        </w:tc>
        <w:tc>
          <w:tcPr>
            <w:tcW w:w="1813" w:type="dxa"/>
          </w:tcPr>
          <w:p w14:paraId="73786465" w14:textId="77777777" w:rsidR="007053B3" w:rsidRDefault="007053B3" w:rsidP="00D263A6">
            <w:pPr>
              <w:jc w:val="both"/>
              <w:rPr>
                <w:rFonts w:ascii="Arial" w:hAnsi="Arial" w:cs="Arial"/>
                <w:sz w:val="22"/>
                <w:szCs w:val="22"/>
              </w:rPr>
            </w:pPr>
          </w:p>
          <w:p w14:paraId="6CB07E4F" w14:textId="77777777" w:rsidR="00804ACC" w:rsidRDefault="0008785A" w:rsidP="007B11F2">
            <w:pPr>
              <w:jc w:val="both"/>
              <w:rPr>
                <w:rFonts w:ascii="Arial" w:hAnsi="Arial" w:cs="Arial"/>
                <w:sz w:val="22"/>
                <w:szCs w:val="22"/>
              </w:rPr>
            </w:pPr>
            <w:r>
              <w:rPr>
                <w:rFonts w:ascii="Arial" w:hAnsi="Arial" w:cs="Arial"/>
                <w:sz w:val="22"/>
                <w:szCs w:val="22"/>
              </w:rPr>
              <w:t>-5.4</w:t>
            </w:r>
          </w:p>
        </w:tc>
      </w:tr>
      <w:tr w:rsidR="007053B3" w14:paraId="2741AE93" w14:textId="77777777" w:rsidTr="007053B3">
        <w:trPr>
          <w:trHeight w:val="519"/>
        </w:trPr>
        <w:tc>
          <w:tcPr>
            <w:tcW w:w="1678" w:type="dxa"/>
          </w:tcPr>
          <w:p w14:paraId="4744AAAB" w14:textId="77777777" w:rsidR="007053B3" w:rsidRDefault="007053B3" w:rsidP="00D263A6">
            <w:pPr>
              <w:jc w:val="both"/>
              <w:rPr>
                <w:rFonts w:ascii="Arial" w:hAnsi="Arial" w:cs="Arial"/>
                <w:b/>
                <w:sz w:val="22"/>
                <w:szCs w:val="22"/>
              </w:rPr>
            </w:pPr>
            <w:r>
              <w:rPr>
                <w:rFonts w:ascii="Arial" w:hAnsi="Arial" w:cs="Arial"/>
                <w:b/>
                <w:sz w:val="22"/>
                <w:szCs w:val="22"/>
              </w:rPr>
              <w:t>Benchmark Return</w:t>
            </w:r>
          </w:p>
        </w:tc>
        <w:tc>
          <w:tcPr>
            <w:tcW w:w="1633" w:type="dxa"/>
          </w:tcPr>
          <w:p w14:paraId="30542DCD" w14:textId="77777777" w:rsidR="007053B3" w:rsidRDefault="007053B3" w:rsidP="00D263A6">
            <w:pPr>
              <w:jc w:val="both"/>
              <w:rPr>
                <w:rFonts w:ascii="Arial" w:hAnsi="Arial" w:cs="Arial"/>
                <w:sz w:val="22"/>
                <w:szCs w:val="22"/>
              </w:rPr>
            </w:pPr>
          </w:p>
          <w:p w14:paraId="286DD67C" w14:textId="77777777" w:rsidR="00804ACC" w:rsidRDefault="00E008A6" w:rsidP="007B11F2">
            <w:pPr>
              <w:jc w:val="both"/>
              <w:rPr>
                <w:rFonts w:ascii="Arial" w:hAnsi="Arial" w:cs="Arial"/>
                <w:sz w:val="22"/>
                <w:szCs w:val="22"/>
              </w:rPr>
            </w:pPr>
            <w:r>
              <w:rPr>
                <w:rFonts w:ascii="Arial" w:hAnsi="Arial" w:cs="Arial"/>
                <w:sz w:val="22"/>
                <w:szCs w:val="22"/>
              </w:rPr>
              <w:t>3</w:t>
            </w:r>
            <w:r w:rsidR="00804ACC">
              <w:rPr>
                <w:rFonts w:ascii="Arial" w:hAnsi="Arial" w:cs="Arial"/>
                <w:sz w:val="22"/>
                <w:szCs w:val="22"/>
              </w:rPr>
              <w:t>.</w:t>
            </w:r>
            <w:r>
              <w:rPr>
                <w:rFonts w:ascii="Arial" w:hAnsi="Arial" w:cs="Arial"/>
                <w:sz w:val="22"/>
                <w:szCs w:val="22"/>
              </w:rPr>
              <w:t>2</w:t>
            </w:r>
          </w:p>
        </w:tc>
        <w:tc>
          <w:tcPr>
            <w:tcW w:w="1672" w:type="dxa"/>
          </w:tcPr>
          <w:p w14:paraId="18CA11B1" w14:textId="77777777" w:rsidR="007053B3" w:rsidRDefault="007053B3" w:rsidP="00D263A6">
            <w:pPr>
              <w:jc w:val="both"/>
              <w:rPr>
                <w:rFonts w:ascii="Arial" w:hAnsi="Arial" w:cs="Arial"/>
                <w:sz w:val="22"/>
                <w:szCs w:val="22"/>
              </w:rPr>
            </w:pPr>
          </w:p>
          <w:p w14:paraId="1B156116" w14:textId="77777777" w:rsidR="00804ACC" w:rsidRDefault="007B11F2" w:rsidP="007B11F2">
            <w:pPr>
              <w:jc w:val="both"/>
              <w:rPr>
                <w:rFonts w:ascii="Arial" w:hAnsi="Arial" w:cs="Arial"/>
                <w:sz w:val="22"/>
                <w:szCs w:val="22"/>
              </w:rPr>
            </w:pPr>
            <w:r>
              <w:rPr>
                <w:rFonts w:ascii="Arial" w:hAnsi="Arial" w:cs="Arial"/>
                <w:sz w:val="22"/>
                <w:szCs w:val="22"/>
              </w:rPr>
              <w:t>1</w:t>
            </w:r>
            <w:r w:rsidR="00804ACC">
              <w:rPr>
                <w:rFonts w:ascii="Arial" w:hAnsi="Arial" w:cs="Arial"/>
                <w:sz w:val="22"/>
                <w:szCs w:val="22"/>
              </w:rPr>
              <w:t>.</w:t>
            </w:r>
            <w:r w:rsidR="00E008A6">
              <w:rPr>
                <w:rFonts w:ascii="Arial" w:hAnsi="Arial" w:cs="Arial"/>
                <w:sz w:val="22"/>
                <w:szCs w:val="22"/>
              </w:rPr>
              <w:t>5</w:t>
            </w:r>
          </w:p>
        </w:tc>
        <w:tc>
          <w:tcPr>
            <w:tcW w:w="1663" w:type="dxa"/>
          </w:tcPr>
          <w:p w14:paraId="1E3A3BCC" w14:textId="77777777" w:rsidR="00E008A6" w:rsidRDefault="00E008A6" w:rsidP="00D263A6">
            <w:pPr>
              <w:jc w:val="both"/>
              <w:rPr>
                <w:rFonts w:ascii="Arial" w:hAnsi="Arial" w:cs="Arial"/>
                <w:sz w:val="22"/>
                <w:szCs w:val="22"/>
              </w:rPr>
            </w:pPr>
          </w:p>
          <w:p w14:paraId="3B14BA6E" w14:textId="77777777" w:rsidR="00804ACC" w:rsidRDefault="00E008A6" w:rsidP="00D263A6">
            <w:pPr>
              <w:jc w:val="both"/>
              <w:rPr>
                <w:rFonts w:ascii="Arial" w:hAnsi="Arial" w:cs="Arial"/>
                <w:sz w:val="22"/>
                <w:szCs w:val="22"/>
              </w:rPr>
            </w:pPr>
            <w:r>
              <w:rPr>
                <w:rFonts w:ascii="Arial" w:hAnsi="Arial" w:cs="Arial"/>
                <w:sz w:val="22"/>
                <w:szCs w:val="22"/>
              </w:rPr>
              <w:t>0</w:t>
            </w:r>
            <w:r w:rsidR="009B7C14">
              <w:rPr>
                <w:rFonts w:ascii="Arial" w:hAnsi="Arial" w:cs="Arial"/>
                <w:sz w:val="22"/>
                <w:szCs w:val="22"/>
              </w:rPr>
              <w:t>.</w:t>
            </w:r>
            <w:r>
              <w:rPr>
                <w:rFonts w:ascii="Arial" w:hAnsi="Arial" w:cs="Arial"/>
                <w:sz w:val="22"/>
                <w:szCs w:val="22"/>
              </w:rPr>
              <w:t>7</w:t>
            </w:r>
          </w:p>
        </w:tc>
        <w:tc>
          <w:tcPr>
            <w:tcW w:w="1640" w:type="dxa"/>
          </w:tcPr>
          <w:p w14:paraId="2540E614" w14:textId="77777777" w:rsidR="007053B3" w:rsidRDefault="007053B3" w:rsidP="00D263A6">
            <w:pPr>
              <w:jc w:val="both"/>
              <w:rPr>
                <w:rFonts w:ascii="Arial" w:hAnsi="Arial" w:cs="Arial"/>
                <w:sz w:val="22"/>
                <w:szCs w:val="22"/>
              </w:rPr>
            </w:pPr>
          </w:p>
          <w:p w14:paraId="45C7581E" w14:textId="77777777" w:rsidR="00804ACC" w:rsidRDefault="0008785A" w:rsidP="007B11F2">
            <w:pPr>
              <w:jc w:val="both"/>
              <w:rPr>
                <w:rFonts w:ascii="Arial" w:hAnsi="Arial" w:cs="Arial"/>
                <w:sz w:val="22"/>
                <w:szCs w:val="22"/>
              </w:rPr>
            </w:pPr>
            <w:r>
              <w:rPr>
                <w:rFonts w:ascii="Arial" w:hAnsi="Arial" w:cs="Arial"/>
                <w:sz w:val="22"/>
                <w:szCs w:val="22"/>
              </w:rPr>
              <w:t>-11.0</w:t>
            </w:r>
          </w:p>
        </w:tc>
        <w:tc>
          <w:tcPr>
            <w:tcW w:w="1813" w:type="dxa"/>
          </w:tcPr>
          <w:p w14:paraId="0B8C6259" w14:textId="77777777" w:rsidR="007053B3" w:rsidRDefault="007053B3" w:rsidP="00D263A6">
            <w:pPr>
              <w:jc w:val="both"/>
              <w:rPr>
                <w:rFonts w:ascii="Arial" w:hAnsi="Arial" w:cs="Arial"/>
                <w:sz w:val="22"/>
                <w:szCs w:val="22"/>
              </w:rPr>
            </w:pPr>
          </w:p>
          <w:p w14:paraId="23A5B5F1" w14:textId="77777777" w:rsidR="00804ACC" w:rsidRDefault="0008785A" w:rsidP="007B11F2">
            <w:pPr>
              <w:jc w:val="both"/>
              <w:rPr>
                <w:rFonts w:ascii="Arial" w:hAnsi="Arial" w:cs="Arial"/>
                <w:sz w:val="22"/>
                <w:szCs w:val="22"/>
              </w:rPr>
            </w:pPr>
            <w:r>
              <w:rPr>
                <w:rFonts w:ascii="Arial" w:hAnsi="Arial" w:cs="Arial"/>
                <w:sz w:val="22"/>
                <w:szCs w:val="22"/>
              </w:rPr>
              <w:t>-3</w:t>
            </w:r>
            <w:r w:rsidR="007B11F2">
              <w:rPr>
                <w:rFonts w:ascii="Arial" w:hAnsi="Arial" w:cs="Arial"/>
                <w:sz w:val="22"/>
                <w:szCs w:val="22"/>
              </w:rPr>
              <w:t>.</w:t>
            </w:r>
            <w:r>
              <w:rPr>
                <w:rFonts w:ascii="Arial" w:hAnsi="Arial" w:cs="Arial"/>
                <w:sz w:val="22"/>
                <w:szCs w:val="22"/>
              </w:rPr>
              <w:t>9</w:t>
            </w:r>
          </w:p>
        </w:tc>
      </w:tr>
      <w:tr w:rsidR="007053B3" w14:paraId="31E8AF82" w14:textId="77777777" w:rsidTr="007053B3">
        <w:trPr>
          <w:trHeight w:val="551"/>
        </w:trPr>
        <w:tc>
          <w:tcPr>
            <w:tcW w:w="1678" w:type="dxa"/>
          </w:tcPr>
          <w:p w14:paraId="1DD316F2" w14:textId="77777777" w:rsidR="007053B3" w:rsidRDefault="007053B3" w:rsidP="00D263A6">
            <w:pPr>
              <w:jc w:val="both"/>
              <w:rPr>
                <w:rFonts w:ascii="Arial" w:hAnsi="Arial" w:cs="Arial"/>
                <w:b/>
                <w:sz w:val="22"/>
                <w:szCs w:val="22"/>
              </w:rPr>
            </w:pPr>
            <w:r>
              <w:rPr>
                <w:rFonts w:ascii="Arial" w:hAnsi="Arial" w:cs="Arial"/>
                <w:b/>
                <w:sz w:val="22"/>
                <w:szCs w:val="22"/>
              </w:rPr>
              <w:t>Relative Return</w:t>
            </w:r>
          </w:p>
        </w:tc>
        <w:tc>
          <w:tcPr>
            <w:tcW w:w="1633" w:type="dxa"/>
          </w:tcPr>
          <w:p w14:paraId="4623F7B6" w14:textId="77777777" w:rsidR="007053B3" w:rsidRDefault="007053B3" w:rsidP="00D263A6">
            <w:pPr>
              <w:jc w:val="both"/>
              <w:rPr>
                <w:rFonts w:ascii="Arial" w:hAnsi="Arial" w:cs="Arial"/>
                <w:sz w:val="22"/>
                <w:szCs w:val="22"/>
              </w:rPr>
            </w:pPr>
          </w:p>
          <w:p w14:paraId="6CE2EAFD" w14:textId="77777777" w:rsidR="00804ACC" w:rsidRDefault="00E008A6" w:rsidP="007B11F2">
            <w:pPr>
              <w:jc w:val="both"/>
              <w:rPr>
                <w:rFonts w:ascii="Arial" w:hAnsi="Arial" w:cs="Arial"/>
                <w:sz w:val="22"/>
                <w:szCs w:val="22"/>
              </w:rPr>
            </w:pPr>
            <w:r>
              <w:rPr>
                <w:rFonts w:ascii="Arial" w:hAnsi="Arial" w:cs="Arial"/>
                <w:sz w:val="22"/>
                <w:szCs w:val="22"/>
              </w:rPr>
              <w:t>0</w:t>
            </w:r>
            <w:r w:rsidR="00804ACC">
              <w:rPr>
                <w:rFonts w:ascii="Arial" w:hAnsi="Arial" w:cs="Arial"/>
                <w:sz w:val="22"/>
                <w:szCs w:val="22"/>
              </w:rPr>
              <w:t>.</w:t>
            </w:r>
            <w:r>
              <w:rPr>
                <w:rFonts w:ascii="Arial" w:hAnsi="Arial" w:cs="Arial"/>
                <w:sz w:val="22"/>
                <w:szCs w:val="22"/>
              </w:rPr>
              <w:t>7</w:t>
            </w:r>
          </w:p>
        </w:tc>
        <w:tc>
          <w:tcPr>
            <w:tcW w:w="1672" w:type="dxa"/>
          </w:tcPr>
          <w:p w14:paraId="585DDF00" w14:textId="77777777" w:rsidR="007053B3" w:rsidRDefault="007053B3" w:rsidP="00D263A6">
            <w:pPr>
              <w:jc w:val="both"/>
              <w:rPr>
                <w:rFonts w:ascii="Arial" w:hAnsi="Arial" w:cs="Arial"/>
                <w:sz w:val="22"/>
                <w:szCs w:val="22"/>
              </w:rPr>
            </w:pPr>
          </w:p>
          <w:p w14:paraId="2440DCD7" w14:textId="77777777" w:rsidR="00804ACC" w:rsidRDefault="009B7C14" w:rsidP="007B11F2">
            <w:pPr>
              <w:jc w:val="both"/>
              <w:rPr>
                <w:rFonts w:ascii="Arial" w:hAnsi="Arial" w:cs="Arial"/>
                <w:sz w:val="22"/>
                <w:szCs w:val="22"/>
              </w:rPr>
            </w:pPr>
            <w:r>
              <w:rPr>
                <w:rFonts w:ascii="Arial" w:hAnsi="Arial" w:cs="Arial"/>
                <w:sz w:val="22"/>
                <w:szCs w:val="22"/>
              </w:rPr>
              <w:t>-</w:t>
            </w:r>
            <w:r w:rsidR="00E008A6">
              <w:rPr>
                <w:rFonts w:ascii="Arial" w:hAnsi="Arial" w:cs="Arial"/>
                <w:sz w:val="22"/>
                <w:szCs w:val="22"/>
              </w:rPr>
              <w:t>0</w:t>
            </w:r>
            <w:r w:rsidR="00804ACC">
              <w:rPr>
                <w:rFonts w:ascii="Arial" w:hAnsi="Arial" w:cs="Arial"/>
                <w:sz w:val="22"/>
                <w:szCs w:val="22"/>
              </w:rPr>
              <w:t>.</w:t>
            </w:r>
            <w:r w:rsidR="00E008A6">
              <w:rPr>
                <w:rFonts w:ascii="Arial" w:hAnsi="Arial" w:cs="Arial"/>
                <w:sz w:val="22"/>
                <w:szCs w:val="22"/>
              </w:rPr>
              <w:t>7</w:t>
            </w:r>
          </w:p>
        </w:tc>
        <w:tc>
          <w:tcPr>
            <w:tcW w:w="1663" w:type="dxa"/>
          </w:tcPr>
          <w:p w14:paraId="6764F5C6" w14:textId="77777777" w:rsidR="007053B3" w:rsidRDefault="007053B3" w:rsidP="00D263A6">
            <w:pPr>
              <w:jc w:val="both"/>
              <w:rPr>
                <w:rFonts w:ascii="Arial" w:hAnsi="Arial" w:cs="Arial"/>
                <w:sz w:val="22"/>
                <w:szCs w:val="22"/>
              </w:rPr>
            </w:pPr>
          </w:p>
          <w:p w14:paraId="2735ACAF" w14:textId="77777777" w:rsidR="00804ACC" w:rsidRDefault="00E008A6" w:rsidP="007B11F2">
            <w:pPr>
              <w:jc w:val="both"/>
              <w:rPr>
                <w:rFonts w:ascii="Arial" w:hAnsi="Arial" w:cs="Arial"/>
                <w:sz w:val="22"/>
                <w:szCs w:val="22"/>
              </w:rPr>
            </w:pPr>
            <w:r>
              <w:rPr>
                <w:rFonts w:ascii="Arial" w:hAnsi="Arial" w:cs="Arial"/>
                <w:sz w:val="22"/>
                <w:szCs w:val="22"/>
              </w:rPr>
              <w:t>-</w:t>
            </w:r>
            <w:r w:rsidR="007B11F2">
              <w:rPr>
                <w:rFonts w:ascii="Arial" w:hAnsi="Arial" w:cs="Arial"/>
                <w:sz w:val="22"/>
                <w:szCs w:val="22"/>
              </w:rPr>
              <w:t>0</w:t>
            </w:r>
            <w:r w:rsidR="00804ACC">
              <w:rPr>
                <w:rFonts w:ascii="Arial" w:hAnsi="Arial" w:cs="Arial"/>
                <w:sz w:val="22"/>
                <w:szCs w:val="22"/>
              </w:rPr>
              <w:t>.</w:t>
            </w:r>
            <w:r>
              <w:rPr>
                <w:rFonts w:ascii="Arial" w:hAnsi="Arial" w:cs="Arial"/>
                <w:sz w:val="22"/>
                <w:szCs w:val="22"/>
              </w:rPr>
              <w:t>2</w:t>
            </w:r>
          </w:p>
        </w:tc>
        <w:tc>
          <w:tcPr>
            <w:tcW w:w="1640" w:type="dxa"/>
          </w:tcPr>
          <w:p w14:paraId="512E83CC" w14:textId="77777777" w:rsidR="0008785A" w:rsidRDefault="0008785A" w:rsidP="007B11F2">
            <w:pPr>
              <w:jc w:val="both"/>
              <w:rPr>
                <w:rFonts w:ascii="Arial" w:hAnsi="Arial" w:cs="Arial"/>
                <w:sz w:val="22"/>
                <w:szCs w:val="22"/>
              </w:rPr>
            </w:pPr>
          </w:p>
          <w:p w14:paraId="00831B3B" w14:textId="77777777" w:rsidR="00804ACC" w:rsidRDefault="0008785A" w:rsidP="007B11F2">
            <w:pPr>
              <w:jc w:val="both"/>
              <w:rPr>
                <w:rFonts w:ascii="Arial" w:hAnsi="Arial" w:cs="Arial"/>
                <w:sz w:val="22"/>
                <w:szCs w:val="22"/>
              </w:rPr>
            </w:pPr>
            <w:r>
              <w:rPr>
                <w:rFonts w:ascii="Arial" w:hAnsi="Arial" w:cs="Arial"/>
                <w:sz w:val="22"/>
                <w:szCs w:val="22"/>
              </w:rPr>
              <w:t>1</w:t>
            </w:r>
            <w:r w:rsidR="00804ACC">
              <w:rPr>
                <w:rFonts w:ascii="Arial" w:hAnsi="Arial" w:cs="Arial"/>
                <w:sz w:val="22"/>
                <w:szCs w:val="22"/>
              </w:rPr>
              <w:t>.</w:t>
            </w:r>
            <w:r>
              <w:rPr>
                <w:rFonts w:ascii="Arial" w:hAnsi="Arial" w:cs="Arial"/>
                <w:sz w:val="22"/>
                <w:szCs w:val="22"/>
              </w:rPr>
              <w:t>2</w:t>
            </w:r>
          </w:p>
        </w:tc>
        <w:tc>
          <w:tcPr>
            <w:tcW w:w="1813" w:type="dxa"/>
          </w:tcPr>
          <w:p w14:paraId="40B84C0C" w14:textId="77777777" w:rsidR="007053B3" w:rsidRDefault="007053B3" w:rsidP="00D263A6">
            <w:pPr>
              <w:jc w:val="both"/>
              <w:rPr>
                <w:rFonts w:ascii="Arial" w:hAnsi="Arial" w:cs="Arial"/>
                <w:sz w:val="22"/>
                <w:szCs w:val="22"/>
              </w:rPr>
            </w:pPr>
          </w:p>
          <w:p w14:paraId="794A493D" w14:textId="77777777" w:rsidR="00804ACC" w:rsidRDefault="00804ACC" w:rsidP="007B11F2">
            <w:pPr>
              <w:jc w:val="both"/>
              <w:rPr>
                <w:rFonts w:ascii="Arial" w:hAnsi="Arial" w:cs="Arial"/>
                <w:sz w:val="22"/>
                <w:szCs w:val="22"/>
              </w:rPr>
            </w:pPr>
            <w:r>
              <w:rPr>
                <w:rFonts w:ascii="Arial" w:hAnsi="Arial" w:cs="Arial"/>
                <w:sz w:val="22"/>
                <w:szCs w:val="22"/>
              </w:rPr>
              <w:t>-</w:t>
            </w:r>
            <w:r w:rsidR="0008785A">
              <w:rPr>
                <w:rFonts w:ascii="Arial" w:hAnsi="Arial" w:cs="Arial"/>
                <w:sz w:val="22"/>
                <w:szCs w:val="22"/>
              </w:rPr>
              <w:t>1</w:t>
            </w:r>
            <w:r>
              <w:rPr>
                <w:rFonts w:ascii="Arial" w:hAnsi="Arial" w:cs="Arial"/>
                <w:sz w:val="22"/>
                <w:szCs w:val="22"/>
              </w:rPr>
              <w:t>.</w:t>
            </w:r>
            <w:r w:rsidR="0008785A">
              <w:rPr>
                <w:rFonts w:ascii="Arial" w:hAnsi="Arial" w:cs="Arial"/>
                <w:sz w:val="22"/>
                <w:szCs w:val="22"/>
              </w:rPr>
              <w:t>5</w:t>
            </w:r>
          </w:p>
        </w:tc>
      </w:tr>
      <w:bookmarkEnd w:id="1"/>
    </w:tbl>
    <w:p w14:paraId="46A1DBED" w14:textId="77777777" w:rsidR="00925F77" w:rsidRDefault="00925F77" w:rsidP="00D263A6">
      <w:pPr>
        <w:jc w:val="both"/>
        <w:rPr>
          <w:rFonts w:ascii="Arial" w:hAnsi="Arial" w:cs="Arial"/>
          <w:i/>
          <w:highlight w:val="yellow"/>
        </w:rPr>
      </w:pPr>
    </w:p>
    <w:p w14:paraId="4A7EFACC" w14:textId="77777777" w:rsidR="00925F77" w:rsidRDefault="00925F77" w:rsidP="00D263A6">
      <w:pPr>
        <w:jc w:val="both"/>
        <w:rPr>
          <w:rFonts w:ascii="Arial" w:hAnsi="Arial" w:cs="Arial"/>
          <w:iCs/>
          <w:sz w:val="20"/>
          <w:szCs w:val="20"/>
        </w:rPr>
      </w:pPr>
      <w:r>
        <w:rPr>
          <w:rFonts w:ascii="Arial" w:hAnsi="Arial" w:cs="Arial"/>
          <w:iCs/>
          <w:sz w:val="20"/>
          <w:szCs w:val="20"/>
        </w:rPr>
        <w:t xml:space="preserve">All figures </w:t>
      </w:r>
      <w:r w:rsidR="0008785A">
        <w:rPr>
          <w:rFonts w:ascii="Arial" w:hAnsi="Arial" w:cs="Arial"/>
          <w:iCs/>
          <w:sz w:val="20"/>
          <w:szCs w:val="20"/>
        </w:rPr>
        <w:t xml:space="preserve">provided by </w:t>
      </w:r>
      <w:r w:rsidR="003C74EE">
        <w:rPr>
          <w:rFonts w:ascii="Arial" w:hAnsi="Arial" w:cs="Arial"/>
          <w:iCs/>
          <w:sz w:val="20"/>
          <w:szCs w:val="20"/>
        </w:rPr>
        <w:t>Mercer</w:t>
      </w:r>
      <w:r>
        <w:rPr>
          <w:rFonts w:ascii="Arial" w:hAnsi="Arial" w:cs="Arial"/>
          <w:iCs/>
          <w:sz w:val="20"/>
          <w:szCs w:val="20"/>
        </w:rPr>
        <w:t xml:space="preserve"> Performance Services</w:t>
      </w:r>
    </w:p>
    <w:p w14:paraId="04684CF0" w14:textId="77777777" w:rsidR="003C74EE" w:rsidRDefault="003C74EE" w:rsidP="00D263A6">
      <w:pPr>
        <w:jc w:val="both"/>
        <w:rPr>
          <w:rFonts w:ascii="Arial" w:hAnsi="Arial" w:cs="Arial"/>
          <w:iCs/>
          <w:sz w:val="20"/>
          <w:szCs w:val="20"/>
        </w:rPr>
      </w:pPr>
    </w:p>
    <w:p w14:paraId="305C4B16" w14:textId="77777777" w:rsidR="00F376AA" w:rsidRDefault="00F376AA" w:rsidP="00D263A6">
      <w:pPr>
        <w:jc w:val="both"/>
        <w:rPr>
          <w:rFonts w:ascii="Arial" w:hAnsi="Arial" w:cs="Arial"/>
          <w:iCs/>
          <w:sz w:val="20"/>
          <w:szCs w:val="20"/>
        </w:rPr>
      </w:pPr>
    </w:p>
    <w:p w14:paraId="5FB951CC" w14:textId="77777777" w:rsidR="00F376AA" w:rsidRDefault="00F376AA" w:rsidP="00D263A6">
      <w:pPr>
        <w:jc w:val="both"/>
        <w:rPr>
          <w:rFonts w:ascii="Arial" w:hAnsi="Arial" w:cs="Arial"/>
          <w:iCs/>
          <w:sz w:val="20"/>
          <w:szCs w:val="20"/>
        </w:rPr>
      </w:pPr>
    </w:p>
    <w:p w14:paraId="6383F1E6" w14:textId="77777777" w:rsidR="00F376AA" w:rsidRDefault="00F376AA" w:rsidP="00D263A6">
      <w:pPr>
        <w:jc w:val="both"/>
        <w:rPr>
          <w:rFonts w:ascii="Arial" w:hAnsi="Arial" w:cs="Arial"/>
          <w:iCs/>
          <w:sz w:val="20"/>
          <w:szCs w:val="20"/>
        </w:rPr>
      </w:pPr>
    </w:p>
    <w:p w14:paraId="57E3E8E2" w14:textId="77777777" w:rsidR="00925F77" w:rsidRDefault="00925F77" w:rsidP="00D263A6">
      <w:pPr>
        <w:jc w:val="both"/>
        <w:rPr>
          <w:rFonts w:ascii="Arial" w:hAnsi="Arial" w:cs="Arial"/>
        </w:rPr>
      </w:pPr>
    </w:p>
    <w:p w14:paraId="5D6A0842" w14:textId="77777777" w:rsidR="00925F77" w:rsidRDefault="00925F77" w:rsidP="00D263A6">
      <w:pPr>
        <w:jc w:val="both"/>
        <w:rPr>
          <w:rFonts w:ascii="Arial" w:hAnsi="Arial" w:cs="Arial"/>
        </w:rPr>
      </w:pPr>
      <w:r>
        <w:rPr>
          <w:rFonts w:ascii="Arial" w:hAnsi="Arial" w:cs="Arial"/>
        </w:rPr>
        <w:t xml:space="preserve">Table </w:t>
      </w:r>
      <w:r w:rsidR="00317459">
        <w:rPr>
          <w:rFonts w:ascii="Arial" w:hAnsi="Arial" w:cs="Arial"/>
        </w:rPr>
        <w:t>2</w:t>
      </w:r>
      <w:r>
        <w:rPr>
          <w:rFonts w:ascii="Arial" w:hAnsi="Arial" w:cs="Arial"/>
        </w:rPr>
        <w:t xml:space="preserve"> provides a breakdown of the results for the fund managers for the last two years. </w:t>
      </w:r>
    </w:p>
    <w:p w14:paraId="47CBA3DE" w14:textId="77777777" w:rsidR="00925F77" w:rsidRDefault="00925F77" w:rsidP="00D263A6">
      <w:pPr>
        <w:jc w:val="both"/>
        <w:rPr>
          <w:rFonts w:ascii="Arial" w:hAnsi="Arial" w:cs="Arial"/>
          <w:b/>
          <w:i/>
          <w:sz w:val="22"/>
          <w:szCs w:val="22"/>
        </w:rPr>
      </w:pPr>
      <w:r>
        <w:rPr>
          <w:rFonts w:ascii="Arial" w:hAnsi="Arial" w:cs="Arial"/>
        </w:rPr>
        <w:t xml:space="preserve"> </w:t>
      </w:r>
    </w:p>
    <w:p w14:paraId="6A5A57F5" w14:textId="77777777" w:rsidR="00925F77" w:rsidRDefault="00925F77" w:rsidP="00D263A6">
      <w:pPr>
        <w:pStyle w:val="Heading6"/>
        <w:jc w:val="both"/>
        <w:rPr>
          <w:color w:val="336600"/>
        </w:rPr>
      </w:pPr>
      <w:r>
        <w:rPr>
          <w:color w:val="336600"/>
        </w:rPr>
        <w:t xml:space="preserve">Table </w:t>
      </w:r>
      <w:r w:rsidR="00317459">
        <w:rPr>
          <w:color w:val="336600"/>
        </w:rPr>
        <w:t>2</w:t>
      </w:r>
      <w:r>
        <w:rPr>
          <w:color w:val="336600"/>
        </w:rPr>
        <w:t xml:space="preserve"> – Fund Manager Returns vs Benchmark 20</w:t>
      </w:r>
      <w:r w:rsidR="00CA15F7">
        <w:rPr>
          <w:color w:val="336600"/>
        </w:rPr>
        <w:t>1</w:t>
      </w:r>
      <w:r w:rsidR="00C7260A">
        <w:rPr>
          <w:color w:val="336600"/>
        </w:rPr>
        <w:t>8</w:t>
      </w:r>
      <w:r>
        <w:rPr>
          <w:color w:val="336600"/>
        </w:rPr>
        <w:t>/1</w:t>
      </w:r>
      <w:r w:rsidR="00C7260A">
        <w:rPr>
          <w:color w:val="336600"/>
        </w:rPr>
        <w:t>9</w:t>
      </w:r>
      <w:r>
        <w:rPr>
          <w:color w:val="336600"/>
        </w:rPr>
        <w:t xml:space="preserve"> and 201</w:t>
      </w:r>
      <w:r w:rsidR="00C7260A">
        <w:rPr>
          <w:color w:val="336600"/>
        </w:rPr>
        <w:t>9</w:t>
      </w:r>
      <w:r>
        <w:rPr>
          <w:color w:val="336600"/>
        </w:rPr>
        <w:t>/</w:t>
      </w:r>
      <w:r w:rsidR="00C7260A">
        <w:rPr>
          <w:color w:val="336600"/>
        </w:rPr>
        <w:t>20</w:t>
      </w:r>
    </w:p>
    <w:p w14:paraId="26ED49D1" w14:textId="77777777" w:rsidR="00925F77" w:rsidRDefault="00925F77" w:rsidP="00D263A6">
      <w:pPr>
        <w:jc w:val="both"/>
        <w:rPr>
          <w:rFonts w:ascii="Arial" w:hAnsi="Arial" w:cs="Arial"/>
        </w:rPr>
      </w:pPr>
    </w:p>
    <w:tbl>
      <w:tblPr>
        <w:tblW w:w="9180"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1E0" w:firstRow="1" w:lastRow="1" w:firstColumn="1" w:lastColumn="1" w:noHBand="0" w:noVBand="0"/>
      </w:tblPr>
      <w:tblGrid>
        <w:gridCol w:w="1242"/>
        <w:gridCol w:w="1418"/>
        <w:gridCol w:w="992"/>
        <w:gridCol w:w="1305"/>
        <w:gridCol w:w="992"/>
        <w:gridCol w:w="992"/>
        <w:gridCol w:w="1276"/>
        <w:gridCol w:w="963"/>
      </w:tblGrid>
      <w:tr w:rsidR="006D7A52" w14:paraId="2605A647" w14:textId="77777777" w:rsidTr="006D7A52">
        <w:tc>
          <w:tcPr>
            <w:tcW w:w="1242" w:type="dxa"/>
          </w:tcPr>
          <w:p w14:paraId="78359B68" w14:textId="77777777" w:rsidR="006D7A52" w:rsidRDefault="006D7A52" w:rsidP="006D7A52">
            <w:pPr>
              <w:jc w:val="both"/>
              <w:rPr>
                <w:rFonts w:ascii="Arial" w:hAnsi="Arial" w:cs="Arial"/>
                <w:b/>
                <w:sz w:val="18"/>
              </w:rPr>
            </w:pPr>
            <w:r>
              <w:rPr>
                <w:rFonts w:ascii="Arial" w:hAnsi="Arial" w:cs="Arial"/>
                <w:b/>
                <w:sz w:val="18"/>
              </w:rPr>
              <w:t>Manager</w:t>
            </w:r>
          </w:p>
        </w:tc>
        <w:tc>
          <w:tcPr>
            <w:tcW w:w="1418" w:type="dxa"/>
          </w:tcPr>
          <w:p w14:paraId="3B97E5BC" w14:textId="77777777" w:rsidR="006D7A52" w:rsidRDefault="006D7A52" w:rsidP="006D7A52">
            <w:pPr>
              <w:jc w:val="both"/>
              <w:rPr>
                <w:rFonts w:ascii="Arial" w:hAnsi="Arial" w:cs="Arial"/>
                <w:b/>
                <w:sz w:val="18"/>
              </w:rPr>
            </w:pPr>
            <w:r>
              <w:rPr>
                <w:rFonts w:ascii="Arial" w:hAnsi="Arial" w:cs="Arial"/>
                <w:b/>
                <w:sz w:val="18"/>
              </w:rPr>
              <w:t>Asset Class</w:t>
            </w:r>
          </w:p>
        </w:tc>
        <w:tc>
          <w:tcPr>
            <w:tcW w:w="992" w:type="dxa"/>
          </w:tcPr>
          <w:p w14:paraId="4D552800" w14:textId="77777777" w:rsidR="006D7A52" w:rsidRDefault="0088190E" w:rsidP="006D7A52">
            <w:pPr>
              <w:jc w:val="both"/>
              <w:rPr>
                <w:rFonts w:ascii="Arial" w:hAnsi="Arial" w:cs="Arial"/>
                <w:b/>
                <w:sz w:val="18"/>
              </w:rPr>
            </w:pPr>
            <w:r>
              <w:rPr>
                <w:rFonts w:ascii="Arial" w:hAnsi="Arial" w:cs="Arial"/>
                <w:b/>
                <w:sz w:val="18"/>
              </w:rPr>
              <w:t>Portfolio Return 2018/19 %</w:t>
            </w:r>
          </w:p>
        </w:tc>
        <w:tc>
          <w:tcPr>
            <w:tcW w:w="1305" w:type="dxa"/>
          </w:tcPr>
          <w:p w14:paraId="56EC6582" w14:textId="77777777" w:rsidR="006D7A52" w:rsidRDefault="0088190E" w:rsidP="006D7A52">
            <w:pPr>
              <w:jc w:val="both"/>
              <w:rPr>
                <w:rFonts w:ascii="Arial" w:hAnsi="Arial" w:cs="Arial"/>
                <w:b/>
                <w:sz w:val="20"/>
              </w:rPr>
            </w:pPr>
            <w:r>
              <w:rPr>
                <w:rFonts w:ascii="Arial" w:hAnsi="Arial" w:cs="Arial"/>
                <w:b/>
                <w:sz w:val="18"/>
              </w:rPr>
              <w:t>Benchmark return 2018/19 %</w:t>
            </w:r>
          </w:p>
        </w:tc>
        <w:tc>
          <w:tcPr>
            <w:tcW w:w="992" w:type="dxa"/>
          </w:tcPr>
          <w:p w14:paraId="45FF2071" w14:textId="77777777" w:rsidR="0088190E" w:rsidRDefault="0088190E" w:rsidP="0088190E">
            <w:pPr>
              <w:jc w:val="both"/>
              <w:rPr>
                <w:rFonts w:ascii="Arial" w:hAnsi="Arial" w:cs="Arial"/>
                <w:b/>
                <w:sz w:val="18"/>
              </w:rPr>
            </w:pPr>
            <w:r>
              <w:rPr>
                <w:rFonts w:ascii="Arial" w:hAnsi="Arial" w:cs="Arial"/>
                <w:b/>
                <w:sz w:val="18"/>
              </w:rPr>
              <w:t>Relative Return 2018/19 %</w:t>
            </w:r>
          </w:p>
          <w:p w14:paraId="678C5E53" w14:textId="77777777" w:rsidR="006D7A52" w:rsidRDefault="006D7A52" w:rsidP="006D7A52">
            <w:pPr>
              <w:jc w:val="both"/>
              <w:rPr>
                <w:rFonts w:ascii="Arial" w:hAnsi="Arial" w:cs="Arial"/>
                <w:b/>
                <w:sz w:val="20"/>
              </w:rPr>
            </w:pPr>
          </w:p>
        </w:tc>
        <w:tc>
          <w:tcPr>
            <w:tcW w:w="992" w:type="dxa"/>
          </w:tcPr>
          <w:p w14:paraId="0F0B76BD" w14:textId="77777777" w:rsidR="006D7A52" w:rsidRDefault="006D7A52" w:rsidP="006D7A52">
            <w:pPr>
              <w:jc w:val="both"/>
              <w:rPr>
                <w:rFonts w:ascii="Arial" w:hAnsi="Arial" w:cs="Arial"/>
                <w:b/>
                <w:sz w:val="18"/>
              </w:rPr>
            </w:pPr>
            <w:r>
              <w:rPr>
                <w:rFonts w:ascii="Arial" w:hAnsi="Arial" w:cs="Arial"/>
                <w:b/>
                <w:sz w:val="18"/>
              </w:rPr>
              <w:t>Portfolio Return 201</w:t>
            </w:r>
            <w:r w:rsidR="0088190E">
              <w:rPr>
                <w:rFonts w:ascii="Arial" w:hAnsi="Arial" w:cs="Arial"/>
                <w:b/>
                <w:sz w:val="18"/>
              </w:rPr>
              <w:t>9</w:t>
            </w:r>
            <w:r>
              <w:rPr>
                <w:rFonts w:ascii="Arial" w:hAnsi="Arial" w:cs="Arial"/>
                <w:b/>
                <w:sz w:val="18"/>
              </w:rPr>
              <w:t>/</w:t>
            </w:r>
            <w:r w:rsidR="0088190E">
              <w:rPr>
                <w:rFonts w:ascii="Arial" w:hAnsi="Arial" w:cs="Arial"/>
                <w:b/>
                <w:sz w:val="18"/>
              </w:rPr>
              <w:t>20</w:t>
            </w:r>
            <w:r>
              <w:rPr>
                <w:rFonts w:ascii="Arial" w:hAnsi="Arial" w:cs="Arial"/>
                <w:b/>
                <w:sz w:val="18"/>
              </w:rPr>
              <w:t xml:space="preserve"> % </w:t>
            </w:r>
          </w:p>
        </w:tc>
        <w:tc>
          <w:tcPr>
            <w:tcW w:w="1276" w:type="dxa"/>
          </w:tcPr>
          <w:p w14:paraId="45D6E94E" w14:textId="77777777" w:rsidR="006D7A52" w:rsidRDefault="006D7A52" w:rsidP="006D7A52">
            <w:pPr>
              <w:jc w:val="both"/>
              <w:rPr>
                <w:rFonts w:ascii="Arial" w:hAnsi="Arial" w:cs="Arial"/>
                <w:b/>
                <w:sz w:val="20"/>
              </w:rPr>
            </w:pPr>
            <w:r>
              <w:rPr>
                <w:rFonts w:ascii="Arial" w:hAnsi="Arial" w:cs="Arial"/>
                <w:b/>
                <w:sz w:val="18"/>
              </w:rPr>
              <w:t>Benchmark return 201</w:t>
            </w:r>
            <w:r w:rsidR="0088190E">
              <w:rPr>
                <w:rFonts w:ascii="Arial" w:hAnsi="Arial" w:cs="Arial"/>
                <w:b/>
                <w:sz w:val="18"/>
              </w:rPr>
              <w:t>9</w:t>
            </w:r>
            <w:r>
              <w:rPr>
                <w:rFonts w:ascii="Arial" w:hAnsi="Arial" w:cs="Arial"/>
                <w:b/>
                <w:sz w:val="18"/>
              </w:rPr>
              <w:t>/</w:t>
            </w:r>
            <w:r w:rsidR="0088190E">
              <w:rPr>
                <w:rFonts w:ascii="Arial" w:hAnsi="Arial" w:cs="Arial"/>
                <w:b/>
                <w:sz w:val="18"/>
              </w:rPr>
              <w:t>20</w:t>
            </w:r>
            <w:r>
              <w:rPr>
                <w:rFonts w:ascii="Arial" w:hAnsi="Arial" w:cs="Arial"/>
                <w:b/>
                <w:sz w:val="18"/>
              </w:rPr>
              <w:t xml:space="preserve"> %</w:t>
            </w:r>
          </w:p>
        </w:tc>
        <w:tc>
          <w:tcPr>
            <w:tcW w:w="963" w:type="dxa"/>
          </w:tcPr>
          <w:p w14:paraId="60C13B76" w14:textId="77777777" w:rsidR="006D7A52" w:rsidRDefault="006D7A52" w:rsidP="006D7A52">
            <w:pPr>
              <w:jc w:val="both"/>
              <w:rPr>
                <w:rFonts w:ascii="Arial" w:hAnsi="Arial" w:cs="Arial"/>
                <w:b/>
                <w:sz w:val="18"/>
              </w:rPr>
            </w:pPr>
            <w:r>
              <w:rPr>
                <w:rFonts w:ascii="Arial" w:hAnsi="Arial" w:cs="Arial"/>
                <w:b/>
                <w:sz w:val="18"/>
              </w:rPr>
              <w:t>Relative Return 201</w:t>
            </w:r>
            <w:r w:rsidR="0088190E">
              <w:rPr>
                <w:rFonts w:ascii="Arial" w:hAnsi="Arial" w:cs="Arial"/>
                <w:b/>
                <w:sz w:val="18"/>
              </w:rPr>
              <w:t>9</w:t>
            </w:r>
            <w:r>
              <w:rPr>
                <w:rFonts w:ascii="Arial" w:hAnsi="Arial" w:cs="Arial"/>
                <w:b/>
                <w:sz w:val="18"/>
              </w:rPr>
              <w:t>/</w:t>
            </w:r>
            <w:r w:rsidR="0088190E">
              <w:rPr>
                <w:rFonts w:ascii="Arial" w:hAnsi="Arial" w:cs="Arial"/>
                <w:b/>
                <w:sz w:val="18"/>
              </w:rPr>
              <w:t>20</w:t>
            </w:r>
            <w:r>
              <w:rPr>
                <w:rFonts w:ascii="Arial" w:hAnsi="Arial" w:cs="Arial"/>
                <w:b/>
                <w:sz w:val="18"/>
              </w:rPr>
              <w:t xml:space="preserve"> %</w:t>
            </w:r>
          </w:p>
          <w:p w14:paraId="70130DCF" w14:textId="77777777" w:rsidR="006D7A52" w:rsidRDefault="006D7A52" w:rsidP="006D7A52">
            <w:pPr>
              <w:jc w:val="both"/>
              <w:rPr>
                <w:rFonts w:ascii="Arial" w:hAnsi="Arial" w:cs="Arial"/>
                <w:b/>
                <w:sz w:val="20"/>
              </w:rPr>
            </w:pPr>
          </w:p>
        </w:tc>
      </w:tr>
      <w:tr w:rsidR="006D7A52" w14:paraId="4386DABA" w14:textId="77777777" w:rsidTr="006D7A52">
        <w:tc>
          <w:tcPr>
            <w:tcW w:w="1242" w:type="dxa"/>
          </w:tcPr>
          <w:p w14:paraId="41C8B0CF" w14:textId="77777777" w:rsidR="006D7A52" w:rsidRDefault="006D7A52" w:rsidP="006D7A52">
            <w:pPr>
              <w:jc w:val="both"/>
              <w:rPr>
                <w:rFonts w:ascii="Arial" w:hAnsi="Arial" w:cs="Arial"/>
                <w:sz w:val="18"/>
              </w:rPr>
            </w:pPr>
            <w:r>
              <w:rPr>
                <w:rFonts w:ascii="Arial" w:hAnsi="Arial" w:cs="Arial"/>
                <w:sz w:val="18"/>
              </w:rPr>
              <w:t xml:space="preserve">AXA </w:t>
            </w:r>
            <w:proofErr w:type="spellStart"/>
            <w:r>
              <w:rPr>
                <w:rFonts w:ascii="Arial" w:hAnsi="Arial" w:cs="Arial"/>
                <w:sz w:val="18"/>
              </w:rPr>
              <w:t>Framlington</w:t>
            </w:r>
            <w:proofErr w:type="spellEnd"/>
          </w:p>
        </w:tc>
        <w:tc>
          <w:tcPr>
            <w:tcW w:w="1418" w:type="dxa"/>
          </w:tcPr>
          <w:p w14:paraId="4B33C5D2" w14:textId="77777777" w:rsidR="006D7A52" w:rsidRDefault="006D7A52" w:rsidP="006D7A52">
            <w:pPr>
              <w:widowControl w:val="0"/>
              <w:jc w:val="both"/>
              <w:rPr>
                <w:rFonts w:ascii="Arial" w:hAnsi="Arial" w:cs="Arial"/>
                <w:sz w:val="18"/>
              </w:rPr>
            </w:pPr>
          </w:p>
          <w:p w14:paraId="1C38F437" w14:textId="77777777" w:rsidR="006D7A52" w:rsidRDefault="006D7A52" w:rsidP="006D7A52">
            <w:pPr>
              <w:widowControl w:val="0"/>
              <w:jc w:val="both"/>
              <w:rPr>
                <w:rFonts w:ascii="Arial" w:hAnsi="Arial" w:cs="Arial"/>
                <w:sz w:val="18"/>
              </w:rPr>
            </w:pPr>
            <w:r>
              <w:rPr>
                <w:rFonts w:ascii="Arial" w:hAnsi="Arial" w:cs="Arial"/>
                <w:sz w:val="18"/>
              </w:rPr>
              <w:t>UK Equities</w:t>
            </w:r>
          </w:p>
        </w:tc>
        <w:tc>
          <w:tcPr>
            <w:tcW w:w="992" w:type="dxa"/>
          </w:tcPr>
          <w:p w14:paraId="4FFD9D2C" w14:textId="77777777" w:rsidR="006D7A52" w:rsidRDefault="006D7A52" w:rsidP="006D7A52">
            <w:pPr>
              <w:keepNext/>
              <w:keepLines/>
              <w:jc w:val="both"/>
              <w:outlineLvl w:val="1"/>
              <w:rPr>
                <w:rFonts w:ascii="Arial" w:hAnsi="Arial" w:cs="Arial"/>
                <w:bCs/>
                <w:iCs/>
                <w:sz w:val="20"/>
                <w:szCs w:val="20"/>
                <w:lang w:eastAsia="en-US"/>
              </w:rPr>
            </w:pPr>
          </w:p>
          <w:p w14:paraId="4F838DDB" w14:textId="77777777" w:rsidR="0088190E" w:rsidRPr="005D0B99" w:rsidRDefault="0088190E"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3.5</w:t>
            </w:r>
          </w:p>
        </w:tc>
        <w:tc>
          <w:tcPr>
            <w:tcW w:w="1305" w:type="dxa"/>
          </w:tcPr>
          <w:p w14:paraId="04E5E17B" w14:textId="77777777" w:rsidR="0088190E" w:rsidRDefault="0088190E" w:rsidP="006D7A52">
            <w:pPr>
              <w:keepNext/>
              <w:keepLines/>
              <w:jc w:val="both"/>
              <w:outlineLvl w:val="1"/>
              <w:rPr>
                <w:rFonts w:ascii="Arial" w:hAnsi="Arial" w:cs="Arial"/>
                <w:bCs/>
                <w:iCs/>
                <w:sz w:val="20"/>
                <w:szCs w:val="20"/>
                <w:lang w:eastAsia="en-US"/>
              </w:rPr>
            </w:pPr>
          </w:p>
          <w:p w14:paraId="0207D3C6" w14:textId="77777777" w:rsidR="006D7A52" w:rsidRPr="005D0B99" w:rsidRDefault="0088190E"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6.4</w:t>
            </w:r>
          </w:p>
        </w:tc>
        <w:tc>
          <w:tcPr>
            <w:tcW w:w="992" w:type="dxa"/>
          </w:tcPr>
          <w:p w14:paraId="01540D3A" w14:textId="77777777" w:rsidR="006D7A52" w:rsidRDefault="006D7A52" w:rsidP="006D7A52">
            <w:pPr>
              <w:keepNext/>
              <w:keepLines/>
              <w:jc w:val="both"/>
              <w:outlineLvl w:val="1"/>
              <w:rPr>
                <w:rFonts w:ascii="Arial" w:hAnsi="Arial" w:cs="Arial"/>
                <w:bCs/>
                <w:iCs/>
                <w:sz w:val="20"/>
                <w:szCs w:val="20"/>
                <w:lang w:eastAsia="en-US"/>
              </w:rPr>
            </w:pPr>
          </w:p>
          <w:p w14:paraId="108C29B1" w14:textId="77777777" w:rsidR="0088190E" w:rsidRPr="005D0B99" w:rsidRDefault="0088190E"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-2.7</w:t>
            </w:r>
          </w:p>
        </w:tc>
        <w:tc>
          <w:tcPr>
            <w:tcW w:w="992" w:type="dxa"/>
          </w:tcPr>
          <w:p w14:paraId="6C281793" w14:textId="77777777" w:rsidR="006D7A52" w:rsidRDefault="006D7A52" w:rsidP="006D7A52">
            <w:pPr>
              <w:keepNext/>
              <w:keepLines/>
              <w:jc w:val="both"/>
              <w:outlineLvl w:val="1"/>
              <w:rPr>
                <w:rFonts w:ascii="Arial" w:hAnsi="Arial" w:cs="Arial"/>
                <w:bCs/>
                <w:iCs/>
                <w:sz w:val="20"/>
                <w:szCs w:val="20"/>
                <w:lang w:eastAsia="en-US"/>
              </w:rPr>
            </w:pPr>
          </w:p>
          <w:p w14:paraId="591D5CE4" w14:textId="77777777" w:rsidR="000B7150" w:rsidRPr="005D0B99" w:rsidRDefault="004E34BD"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-19.3</w:t>
            </w:r>
          </w:p>
        </w:tc>
        <w:tc>
          <w:tcPr>
            <w:tcW w:w="1276" w:type="dxa"/>
          </w:tcPr>
          <w:p w14:paraId="568177DC" w14:textId="77777777" w:rsidR="006D7A52" w:rsidRDefault="006D7A52" w:rsidP="006D7A52">
            <w:pPr>
              <w:keepNext/>
              <w:keepLines/>
              <w:jc w:val="both"/>
              <w:outlineLvl w:val="1"/>
              <w:rPr>
                <w:rFonts w:ascii="Arial" w:hAnsi="Arial" w:cs="Arial"/>
                <w:bCs/>
                <w:iCs/>
                <w:sz w:val="20"/>
                <w:szCs w:val="20"/>
                <w:lang w:eastAsia="en-US"/>
              </w:rPr>
            </w:pPr>
          </w:p>
          <w:p w14:paraId="3FE01561" w14:textId="77777777" w:rsidR="000B7150" w:rsidRPr="005D0B99" w:rsidRDefault="004E34BD"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-18.5</w:t>
            </w:r>
          </w:p>
        </w:tc>
        <w:tc>
          <w:tcPr>
            <w:tcW w:w="963" w:type="dxa"/>
          </w:tcPr>
          <w:p w14:paraId="12A0F7A4" w14:textId="77777777" w:rsidR="006D7A52" w:rsidRDefault="006D7A52" w:rsidP="006D7A52">
            <w:pPr>
              <w:keepNext/>
              <w:keepLines/>
              <w:jc w:val="both"/>
              <w:outlineLvl w:val="1"/>
              <w:rPr>
                <w:rFonts w:ascii="Arial" w:hAnsi="Arial" w:cs="Arial"/>
                <w:bCs/>
                <w:iCs/>
                <w:sz w:val="20"/>
                <w:szCs w:val="20"/>
                <w:lang w:eastAsia="en-US"/>
              </w:rPr>
            </w:pPr>
          </w:p>
          <w:p w14:paraId="44491A68" w14:textId="77777777" w:rsidR="000B7150" w:rsidRPr="005D0B99" w:rsidRDefault="004E34BD"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-0.8</w:t>
            </w:r>
          </w:p>
        </w:tc>
      </w:tr>
      <w:tr w:rsidR="000B7150" w14:paraId="49D5B91D" w14:textId="77777777" w:rsidTr="006D7A52">
        <w:tc>
          <w:tcPr>
            <w:tcW w:w="1242" w:type="dxa"/>
          </w:tcPr>
          <w:p w14:paraId="2781EE55" w14:textId="77777777" w:rsidR="000B7150" w:rsidRDefault="008117E6" w:rsidP="006D7A52">
            <w:pPr>
              <w:jc w:val="both"/>
              <w:rPr>
                <w:rFonts w:ascii="Arial" w:hAnsi="Arial" w:cs="Arial"/>
                <w:sz w:val="18"/>
              </w:rPr>
            </w:pPr>
            <w:r>
              <w:rPr>
                <w:rFonts w:ascii="Arial" w:hAnsi="Arial" w:cs="Arial"/>
                <w:sz w:val="18"/>
              </w:rPr>
              <w:t xml:space="preserve">London CIV – </w:t>
            </w:r>
            <w:proofErr w:type="spellStart"/>
            <w:r>
              <w:rPr>
                <w:rFonts w:ascii="Arial" w:hAnsi="Arial" w:cs="Arial"/>
                <w:sz w:val="18"/>
              </w:rPr>
              <w:t>LongView</w:t>
            </w:r>
            <w:proofErr w:type="spellEnd"/>
          </w:p>
        </w:tc>
        <w:tc>
          <w:tcPr>
            <w:tcW w:w="1418" w:type="dxa"/>
          </w:tcPr>
          <w:p w14:paraId="3EA107C6" w14:textId="77777777" w:rsidR="000B7150" w:rsidRDefault="000B7150" w:rsidP="006D7A52">
            <w:pPr>
              <w:widowControl w:val="0"/>
              <w:jc w:val="both"/>
              <w:rPr>
                <w:rFonts w:ascii="Arial" w:hAnsi="Arial" w:cs="Arial"/>
                <w:sz w:val="18"/>
              </w:rPr>
            </w:pPr>
          </w:p>
          <w:p w14:paraId="42B4090D" w14:textId="77777777" w:rsidR="008117E6" w:rsidRDefault="008117E6" w:rsidP="006D7A52">
            <w:pPr>
              <w:widowControl w:val="0"/>
              <w:jc w:val="both"/>
              <w:rPr>
                <w:rFonts w:ascii="Arial" w:hAnsi="Arial" w:cs="Arial"/>
                <w:sz w:val="18"/>
              </w:rPr>
            </w:pPr>
            <w:r>
              <w:rPr>
                <w:rFonts w:ascii="Arial" w:hAnsi="Arial" w:cs="Arial"/>
                <w:sz w:val="18"/>
              </w:rPr>
              <w:t>Global Equities</w:t>
            </w:r>
          </w:p>
        </w:tc>
        <w:tc>
          <w:tcPr>
            <w:tcW w:w="992" w:type="dxa"/>
          </w:tcPr>
          <w:p w14:paraId="0FCC1490" w14:textId="77777777" w:rsidR="004A694E" w:rsidRDefault="004A694E" w:rsidP="006D7A52">
            <w:pPr>
              <w:keepNext/>
              <w:keepLines/>
              <w:jc w:val="both"/>
              <w:outlineLvl w:val="1"/>
              <w:rPr>
                <w:rFonts w:ascii="Arial" w:hAnsi="Arial" w:cs="Arial"/>
                <w:bCs/>
                <w:iCs/>
                <w:sz w:val="20"/>
                <w:szCs w:val="20"/>
                <w:lang w:eastAsia="en-US"/>
              </w:rPr>
            </w:pPr>
          </w:p>
          <w:p w14:paraId="233D8DD0" w14:textId="77777777" w:rsidR="0088190E" w:rsidRDefault="0088190E"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-0.3</w:t>
            </w:r>
          </w:p>
        </w:tc>
        <w:tc>
          <w:tcPr>
            <w:tcW w:w="1305" w:type="dxa"/>
          </w:tcPr>
          <w:p w14:paraId="0B763291" w14:textId="77777777" w:rsidR="004A694E" w:rsidRDefault="004A694E" w:rsidP="006D7A52">
            <w:pPr>
              <w:keepNext/>
              <w:keepLines/>
              <w:jc w:val="both"/>
              <w:outlineLvl w:val="1"/>
              <w:rPr>
                <w:rFonts w:ascii="Arial" w:hAnsi="Arial" w:cs="Arial"/>
                <w:bCs/>
                <w:iCs/>
                <w:sz w:val="20"/>
                <w:szCs w:val="20"/>
                <w:lang w:eastAsia="en-US"/>
              </w:rPr>
            </w:pPr>
          </w:p>
          <w:p w14:paraId="507E9B86" w14:textId="77777777" w:rsidR="0088190E" w:rsidRDefault="0088190E"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-1.3</w:t>
            </w:r>
          </w:p>
        </w:tc>
        <w:tc>
          <w:tcPr>
            <w:tcW w:w="992" w:type="dxa"/>
          </w:tcPr>
          <w:p w14:paraId="24213C06" w14:textId="77777777" w:rsidR="004A694E" w:rsidRDefault="004A694E" w:rsidP="006D7A52">
            <w:pPr>
              <w:keepNext/>
              <w:keepLines/>
              <w:jc w:val="both"/>
              <w:outlineLvl w:val="1"/>
              <w:rPr>
                <w:rFonts w:ascii="Arial" w:hAnsi="Arial" w:cs="Arial"/>
                <w:bCs/>
                <w:iCs/>
                <w:sz w:val="20"/>
                <w:szCs w:val="20"/>
                <w:lang w:eastAsia="en-US"/>
              </w:rPr>
            </w:pPr>
          </w:p>
          <w:p w14:paraId="2A086B94" w14:textId="77777777" w:rsidR="0088190E" w:rsidRDefault="0088190E"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1.1</w:t>
            </w:r>
          </w:p>
        </w:tc>
        <w:tc>
          <w:tcPr>
            <w:tcW w:w="992" w:type="dxa"/>
          </w:tcPr>
          <w:p w14:paraId="2013C57D" w14:textId="77777777" w:rsidR="000B7150" w:rsidRDefault="000B7150" w:rsidP="006D7A52">
            <w:pPr>
              <w:keepNext/>
              <w:keepLines/>
              <w:jc w:val="both"/>
              <w:outlineLvl w:val="1"/>
              <w:rPr>
                <w:rFonts w:ascii="Arial" w:hAnsi="Arial" w:cs="Arial"/>
                <w:bCs/>
                <w:iCs/>
                <w:sz w:val="20"/>
                <w:szCs w:val="20"/>
                <w:lang w:eastAsia="en-US"/>
              </w:rPr>
            </w:pPr>
          </w:p>
          <w:p w14:paraId="318C1325" w14:textId="77777777" w:rsidR="004A694E" w:rsidRPr="005D0B99" w:rsidRDefault="004E34BD"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-12.6</w:t>
            </w:r>
          </w:p>
        </w:tc>
        <w:tc>
          <w:tcPr>
            <w:tcW w:w="1276" w:type="dxa"/>
          </w:tcPr>
          <w:p w14:paraId="65C737E6" w14:textId="77777777" w:rsidR="000B7150" w:rsidRDefault="000B7150" w:rsidP="006D7A52">
            <w:pPr>
              <w:keepNext/>
              <w:keepLines/>
              <w:jc w:val="both"/>
              <w:outlineLvl w:val="1"/>
              <w:rPr>
                <w:rFonts w:ascii="Arial" w:hAnsi="Arial" w:cs="Arial"/>
                <w:bCs/>
                <w:iCs/>
                <w:sz w:val="20"/>
                <w:szCs w:val="20"/>
                <w:lang w:eastAsia="en-US"/>
              </w:rPr>
            </w:pPr>
          </w:p>
          <w:p w14:paraId="26B85B02" w14:textId="77777777" w:rsidR="004A694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-5.8</w:t>
            </w:r>
          </w:p>
        </w:tc>
        <w:tc>
          <w:tcPr>
            <w:tcW w:w="963" w:type="dxa"/>
          </w:tcPr>
          <w:p w14:paraId="09881726" w14:textId="77777777" w:rsidR="000B7150" w:rsidRDefault="000B7150" w:rsidP="006D7A52">
            <w:pPr>
              <w:keepNext/>
              <w:keepLines/>
              <w:jc w:val="both"/>
              <w:outlineLvl w:val="1"/>
              <w:rPr>
                <w:rFonts w:ascii="Arial" w:hAnsi="Arial" w:cs="Arial"/>
                <w:bCs/>
                <w:iCs/>
                <w:sz w:val="20"/>
                <w:szCs w:val="20"/>
                <w:lang w:eastAsia="en-US"/>
              </w:rPr>
            </w:pPr>
          </w:p>
          <w:p w14:paraId="44ECC1DB" w14:textId="77777777" w:rsidR="004A694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-18.4</w:t>
            </w:r>
          </w:p>
        </w:tc>
      </w:tr>
      <w:tr w:rsidR="000B7150" w14:paraId="1CFF1E75" w14:textId="77777777" w:rsidTr="006D7A52">
        <w:tc>
          <w:tcPr>
            <w:tcW w:w="1242" w:type="dxa"/>
          </w:tcPr>
          <w:p w14:paraId="272B5D1C" w14:textId="77777777" w:rsidR="000B7150" w:rsidRDefault="008117E6" w:rsidP="006D7A52">
            <w:pPr>
              <w:jc w:val="both"/>
              <w:rPr>
                <w:rFonts w:ascii="Arial" w:hAnsi="Arial" w:cs="Arial"/>
                <w:sz w:val="18"/>
              </w:rPr>
            </w:pPr>
            <w:r>
              <w:rPr>
                <w:rFonts w:ascii="Arial" w:hAnsi="Arial" w:cs="Arial"/>
                <w:sz w:val="18"/>
              </w:rPr>
              <w:t>London CIV – Baillie Gifford</w:t>
            </w:r>
          </w:p>
        </w:tc>
        <w:tc>
          <w:tcPr>
            <w:tcW w:w="1418" w:type="dxa"/>
          </w:tcPr>
          <w:p w14:paraId="459FD144" w14:textId="77777777" w:rsidR="000B7150" w:rsidRDefault="000B7150" w:rsidP="006D7A52">
            <w:pPr>
              <w:widowControl w:val="0"/>
              <w:jc w:val="both"/>
              <w:rPr>
                <w:rFonts w:ascii="Arial" w:hAnsi="Arial" w:cs="Arial"/>
                <w:sz w:val="18"/>
              </w:rPr>
            </w:pPr>
          </w:p>
          <w:p w14:paraId="1F2BEC3B" w14:textId="77777777" w:rsidR="008117E6" w:rsidRDefault="008117E6" w:rsidP="006D7A52">
            <w:pPr>
              <w:widowControl w:val="0"/>
              <w:jc w:val="both"/>
              <w:rPr>
                <w:rFonts w:ascii="Arial" w:hAnsi="Arial" w:cs="Arial"/>
                <w:sz w:val="18"/>
              </w:rPr>
            </w:pPr>
          </w:p>
          <w:p w14:paraId="731254B1" w14:textId="77777777" w:rsidR="008117E6" w:rsidRDefault="008117E6" w:rsidP="006D7A52">
            <w:pPr>
              <w:widowControl w:val="0"/>
              <w:jc w:val="both"/>
              <w:rPr>
                <w:rFonts w:ascii="Arial" w:hAnsi="Arial" w:cs="Arial"/>
                <w:sz w:val="18"/>
              </w:rPr>
            </w:pPr>
            <w:r>
              <w:rPr>
                <w:rFonts w:ascii="Arial" w:hAnsi="Arial" w:cs="Arial"/>
                <w:sz w:val="18"/>
              </w:rPr>
              <w:t>Global Equities</w:t>
            </w:r>
          </w:p>
        </w:tc>
        <w:tc>
          <w:tcPr>
            <w:tcW w:w="992" w:type="dxa"/>
          </w:tcPr>
          <w:p w14:paraId="21481286" w14:textId="77777777" w:rsidR="004A694E" w:rsidRDefault="004A694E" w:rsidP="006D7A52">
            <w:pPr>
              <w:keepNext/>
              <w:keepLines/>
              <w:jc w:val="both"/>
              <w:outlineLvl w:val="1"/>
              <w:rPr>
                <w:rFonts w:ascii="Arial" w:hAnsi="Arial" w:cs="Arial"/>
                <w:bCs/>
                <w:iCs/>
                <w:sz w:val="20"/>
                <w:szCs w:val="20"/>
                <w:lang w:eastAsia="en-US"/>
              </w:rPr>
            </w:pPr>
          </w:p>
          <w:p w14:paraId="64FB5AD8" w14:textId="77777777" w:rsidR="0088190E" w:rsidRDefault="0088190E" w:rsidP="006D7A52">
            <w:pPr>
              <w:keepNext/>
              <w:keepLines/>
              <w:jc w:val="both"/>
              <w:outlineLvl w:val="1"/>
              <w:rPr>
                <w:rFonts w:ascii="Arial" w:hAnsi="Arial" w:cs="Arial"/>
                <w:bCs/>
                <w:iCs/>
                <w:sz w:val="20"/>
                <w:szCs w:val="20"/>
                <w:lang w:eastAsia="en-US"/>
              </w:rPr>
            </w:pPr>
          </w:p>
          <w:p w14:paraId="19D90B34" w14:textId="77777777" w:rsidR="0088190E" w:rsidRDefault="0088190E"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-0.5</w:t>
            </w:r>
          </w:p>
        </w:tc>
        <w:tc>
          <w:tcPr>
            <w:tcW w:w="1305" w:type="dxa"/>
          </w:tcPr>
          <w:p w14:paraId="368F9199" w14:textId="77777777" w:rsidR="004A694E" w:rsidRDefault="004A694E" w:rsidP="006D7A52">
            <w:pPr>
              <w:keepNext/>
              <w:keepLines/>
              <w:jc w:val="both"/>
              <w:outlineLvl w:val="1"/>
              <w:rPr>
                <w:rFonts w:ascii="Arial" w:hAnsi="Arial" w:cs="Arial"/>
                <w:bCs/>
                <w:iCs/>
                <w:sz w:val="20"/>
                <w:szCs w:val="20"/>
                <w:lang w:eastAsia="en-US"/>
              </w:rPr>
            </w:pPr>
          </w:p>
          <w:p w14:paraId="3CD16DE7" w14:textId="77777777" w:rsidR="0088190E" w:rsidRDefault="0088190E" w:rsidP="006D7A52">
            <w:pPr>
              <w:keepNext/>
              <w:keepLines/>
              <w:jc w:val="both"/>
              <w:outlineLvl w:val="1"/>
              <w:rPr>
                <w:rFonts w:ascii="Arial" w:hAnsi="Arial" w:cs="Arial"/>
                <w:bCs/>
                <w:iCs/>
                <w:sz w:val="20"/>
                <w:szCs w:val="20"/>
                <w:lang w:eastAsia="en-US"/>
              </w:rPr>
            </w:pPr>
          </w:p>
          <w:p w14:paraId="49721028" w14:textId="77777777" w:rsidR="0088190E" w:rsidRDefault="0088190E"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-0.4</w:t>
            </w:r>
          </w:p>
        </w:tc>
        <w:tc>
          <w:tcPr>
            <w:tcW w:w="992" w:type="dxa"/>
          </w:tcPr>
          <w:p w14:paraId="37E2B52F" w14:textId="77777777" w:rsidR="004A694E" w:rsidRDefault="004A694E" w:rsidP="006D7A52">
            <w:pPr>
              <w:keepNext/>
              <w:keepLines/>
              <w:jc w:val="both"/>
              <w:outlineLvl w:val="1"/>
              <w:rPr>
                <w:rFonts w:ascii="Arial" w:hAnsi="Arial" w:cs="Arial"/>
                <w:bCs/>
                <w:iCs/>
                <w:sz w:val="20"/>
                <w:szCs w:val="20"/>
                <w:lang w:eastAsia="en-US"/>
              </w:rPr>
            </w:pPr>
          </w:p>
          <w:p w14:paraId="0F4DA012" w14:textId="77777777" w:rsidR="0088190E" w:rsidRDefault="0088190E" w:rsidP="006D7A52">
            <w:pPr>
              <w:keepNext/>
              <w:keepLines/>
              <w:jc w:val="both"/>
              <w:outlineLvl w:val="1"/>
              <w:rPr>
                <w:rFonts w:ascii="Arial" w:hAnsi="Arial" w:cs="Arial"/>
                <w:bCs/>
                <w:iCs/>
                <w:sz w:val="20"/>
                <w:szCs w:val="20"/>
                <w:lang w:eastAsia="en-US"/>
              </w:rPr>
            </w:pPr>
          </w:p>
          <w:p w14:paraId="30029DC5" w14:textId="77777777" w:rsidR="0088190E" w:rsidRDefault="0088190E"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0.0</w:t>
            </w:r>
          </w:p>
        </w:tc>
        <w:tc>
          <w:tcPr>
            <w:tcW w:w="992" w:type="dxa"/>
          </w:tcPr>
          <w:p w14:paraId="6F6B5020" w14:textId="77777777" w:rsidR="000B7150" w:rsidRDefault="000B7150" w:rsidP="006D7A52">
            <w:pPr>
              <w:keepNext/>
              <w:keepLines/>
              <w:jc w:val="both"/>
              <w:outlineLvl w:val="1"/>
              <w:rPr>
                <w:rFonts w:ascii="Arial" w:hAnsi="Arial" w:cs="Arial"/>
                <w:bCs/>
                <w:iCs/>
                <w:sz w:val="20"/>
                <w:szCs w:val="20"/>
                <w:lang w:eastAsia="en-US"/>
              </w:rPr>
            </w:pPr>
          </w:p>
          <w:p w14:paraId="02EDD95C" w14:textId="77777777" w:rsidR="004A694E" w:rsidRDefault="004A694E" w:rsidP="006D7A52">
            <w:pPr>
              <w:keepNext/>
              <w:keepLines/>
              <w:jc w:val="both"/>
              <w:outlineLvl w:val="1"/>
              <w:rPr>
                <w:rFonts w:ascii="Arial" w:hAnsi="Arial" w:cs="Arial"/>
                <w:bCs/>
                <w:iCs/>
                <w:sz w:val="20"/>
                <w:szCs w:val="20"/>
                <w:lang w:eastAsia="en-US"/>
              </w:rPr>
            </w:pPr>
          </w:p>
          <w:p w14:paraId="79B84A1A" w14:textId="77777777" w:rsidR="004A694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-1.7</w:t>
            </w:r>
          </w:p>
        </w:tc>
        <w:tc>
          <w:tcPr>
            <w:tcW w:w="1276" w:type="dxa"/>
          </w:tcPr>
          <w:p w14:paraId="2DFFC3AE" w14:textId="77777777" w:rsidR="000B7150" w:rsidRDefault="000B7150" w:rsidP="006D7A52">
            <w:pPr>
              <w:keepNext/>
              <w:keepLines/>
              <w:jc w:val="both"/>
              <w:outlineLvl w:val="1"/>
              <w:rPr>
                <w:rFonts w:ascii="Arial" w:hAnsi="Arial" w:cs="Arial"/>
                <w:bCs/>
                <w:iCs/>
                <w:sz w:val="20"/>
                <w:szCs w:val="20"/>
                <w:lang w:eastAsia="en-US"/>
              </w:rPr>
            </w:pPr>
          </w:p>
          <w:p w14:paraId="4802BAE9" w14:textId="77777777" w:rsidR="004A694E" w:rsidRDefault="004A694E" w:rsidP="006D7A52">
            <w:pPr>
              <w:keepNext/>
              <w:keepLines/>
              <w:jc w:val="both"/>
              <w:outlineLvl w:val="1"/>
              <w:rPr>
                <w:rFonts w:ascii="Arial" w:hAnsi="Arial" w:cs="Arial"/>
                <w:bCs/>
                <w:iCs/>
                <w:sz w:val="20"/>
                <w:szCs w:val="20"/>
                <w:lang w:eastAsia="en-US"/>
              </w:rPr>
            </w:pPr>
          </w:p>
          <w:p w14:paraId="2BC9482C" w14:textId="77777777" w:rsidR="004A694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-6.2</w:t>
            </w:r>
          </w:p>
        </w:tc>
        <w:tc>
          <w:tcPr>
            <w:tcW w:w="963" w:type="dxa"/>
          </w:tcPr>
          <w:p w14:paraId="63E29D6B" w14:textId="77777777" w:rsidR="000B7150" w:rsidRDefault="000B7150" w:rsidP="006D7A52">
            <w:pPr>
              <w:keepNext/>
              <w:keepLines/>
              <w:jc w:val="both"/>
              <w:outlineLvl w:val="1"/>
              <w:rPr>
                <w:rFonts w:ascii="Arial" w:hAnsi="Arial" w:cs="Arial"/>
                <w:bCs/>
                <w:iCs/>
                <w:sz w:val="20"/>
                <w:szCs w:val="20"/>
                <w:lang w:eastAsia="en-US"/>
              </w:rPr>
            </w:pPr>
          </w:p>
          <w:p w14:paraId="07BDFF1F" w14:textId="77777777" w:rsidR="00533C24" w:rsidRDefault="00533C24" w:rsidP="006D7A52">
            <w:pPr>
              <w:keepNext/>
              <w:keepLines/>
              <w:jc w:val="both"/>
              <w:outlineLvl w:val="1"/>
              <w:rPr>
                <w:rFonts w:ascii="Arial" w:hAnsi="Arial" w:cs="Arial"/>
                <w:bCs/>
                <w:iCs/>
                <w:sz w:val="20"/>
                <w:szCs w:val="20"/>
                <w:lang w:eastAsia="en-US"/>
              </w:rPr>
            </w:pPr>
          </w:p>
          <w:p w14:paraId="1EF0F54C" w14:textId="77777777" w:rsidR="00761690"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4.5</w:t>
            </w:r>
          </w:p>
        </w:tc>
      </w:tr>
      <w:tr w:rsidR="000B7150" w14:paraId="11DE93A4" w14:textId="77777777" w:rsidTr="006D7A52">
        <w:tc>
          <w:tcPr>
            <w:tcW w:w="1242" w:type="dxa"/>
          </w:tcPr>
          <w:p w14:paraId="02402AAD" w14:textId="77777777" w:rsidR="000B7150" w:rsidRDefault="008117E6" w:rsidP="006D7A52">
            <w:pPr>
              <w:jc w:val="both"/>
              <w:rPr>
                <w:rFonts w:ascii="Arial" w:hAnsi="Arial" w:cs="Arial"/>
                <w:sz w:val="18"/>
              </w:rPr>
            </w:pPr>
            <w:r>
              <w:rPr>
                <w:rFonts w:ascii="Arial" w:hAnsi="Arial" w:cs="Arial"/>
                <w:sz w:val="18"/>
              </w:rPr>
              <w:t>London CIV – Janus Henderson</w:t>
            </w:r>
            <w:r w:rsidR="003524A5">
              <w:rPr>
                <w:rFonts w:ascii="Arial" w:hAnsi="Arial" w:cs="Arial"/>
                <w:sz w:val="18"/>
              </w:rPr>
              <w:t>/JP Morgan**</w:t>
            </w:r>
          </w:p>
        </w:tc>
        <w:tc>
          <w:tcPr>
            <w:tcW w:w="1418" w:type="dxa"/>
          </w:tcPr>
          <w:p w14:paraId="72B1DCDA" w14:textId="77777777" w:rsidR="000B7150" w:rsidRDefault="000B7150" w:rsidP="006D7A52">
            <w:pPr>
              <w:widowControl w:val="0"/>
              <w:jc w:val="both"/>
              <w:rPr>
                <w:rFonts w:ascii="Arial" w:hAnsi="Arial" w:cs="Arial"/>
                <w:sz w:val="18"/>
              </w:rPr>
            </w:pPr>
          </w:p>
          <w:p w14:paraId="2C728545" w14:textId="77777777" w:rsidR="008117E6" w:rsidRDefault="008117E6" w:rsidP="008117E6">
            <w:pPr>
              <w:widowControl w:val="0"/>
              <w:jc w:val="both"/>
              <w:rPr>
                <w:rFonts w:ascii="Arial" w:hAnsi="Arial" w:cs="Arial"/>
                <w:sz w:val="18"/>
              </w:rPr>
            </w:pPr>
            <w:r>
              <w:rPr>
                <w:rFonts w:ascii="Arial" w:hAnsi="Arial" w:cs="Arial"/>
                <w:sz w:val="18"/>
              </w:rPr>
              <w:t>Emerging Market Equities</w:t>
            </w:r>
          </w:p>
        </w:tc>
        <w:tc>
          <w:tcPr>
            <w:tcW w:w="992" w:type="dxa"/>
          </w:tcPr>
          <w:p w14:paraId="406F6C07" w14:textId="77777777" w:rsidR="004A694E" w:rsidRDefault="004A694E" w:rsidP="006D7A52">
            <w:pPr>
              <w:keepNext/>
              <w:keepLines/>
              <w:jc w:val="both"/>
              <w:outlineLvl w:val="1"/>
              <w:rPr>
                <w:rFonts w:ascii="Arial" w:hAnsi="Arial" w:cs="Arial"/>
                <w:bCs/>
                <w:iCs/>
                <w:sz w:val="20"/>
                <w:szCs w:val="20"/>
                <w:lang w:eastAsia="en-US"/>
              </w:rPr>
            </w:pPr>
          </w:p>
          <w:p w14:paraId="0D9018B8" w14:textId="77777777" w:rsidR="0088190E" w:rsidRDefault="0088190E" w:rsidP="006D7A52">
            <w:pPr>
              <w:keepNext/>
              <w:keepLines/>
              <w:jc w:val="both"/>
              <w:outlineLvl w:val="1"/>
              <w:rPr>
                <w:rFonts w:ascii="Arial" w:hAnsi="Arial" w:cs="Arial"/>
                <w:bCs/>
                <w:iCs/>
                <w:sz w:val="20"/>
                <w:szCs w:val="20"/>
                <w:lang w:eastAsia="en-US"/>
              </w:rPr>
            </w:pPr>
          </w:p>
          <w:p w14:paraId="6C110BF4" w14:textId="77777777" w:rsidR="0088190E" w:rsidRDefault="0088190E" w:rsidP="006D7A52">
            <w:pPr>
              <w:keepNext/>
              <w:keepLines/>
              <w:jc w:val="both"/>
              <w:outlineLvl w:val="1"/>
              <w:rPr>
                <w:rFonts w:ascii="Arial" w:hAnsi="Arial" w:cs="Arial"/>
                <w:bCs/>
                <w:iCs/>
                <w:sz w:val="20"/>
                <w:szCs w:val="20"/>
                <w:lang w:eastAsia="en-US"/>
              </w:rPr>
            </w:pPr>
          </w:p>
          <w:p w14:paraId="650489EC" w14:textId="77777777" w:rsidR="0088190E"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3.3</w:t>
            </w:r>
          </w:p>
        </w:tc>
        <w:tc>
          <w:tcPr>
            <w:tcW w:w="1305" w:type="dxa"/>
          </w:tcPr>
          <w:p w14:paraId="7A2C0D5B" w14:textId="77777777" w:rsidR="003524A5" w:rsidRDefault="003524A5" w:rsidP="006D7A52">
            <w:pPr>
              <w:keepNext/>
              <w:keepLines/>
              <w:jc w:val="both"/>
              <w:outlineLvl w:val="1"/>
              <w:rPr>
                <w:rFonts w:ascii="Arial" w:hAnsi="Arial" w:cs="Arial"/>
                <w:bCs/>
                <w:iCs/>
                <w:sz w:val="20"/>
                <w:szCs w:val="20"/>
                <w:lang w:eastAsia="en-US"/>
              </w:rPr>
            </w:pPr>
          </w:p>
          <w:p w14:paraId="0709481C" w14:textId="77777777" w:rsidR="003524A5" w:rsidRDefault="003524A5" w:rsidP="006D7A52">
            <w:pPr>
              <w:keepNext/>
              <w:keepLines/>
              <w:jc w:val="both"/>
              <w:outlineLvl w:val="1"/>
              <w:rPr>
                <w:rFonts w:ascii="Arial" w:hAnsi="Arial" w:cs="Arial"/>
                <w:bCs/>
                <w:iCs/>
                <w:sz w:val="20"/>
                <w:szCs w:val="20"/>
                <w:lang w:eastAsia="en-US"/>
              </w:rPr>
            </w:pPr>
          </w:p>
          <w:p w14:paraId="0A200AF4" w14:textId="77777777" w:rsidR="003524A5" w:rsidRDefault="003524A5" w:rsidP="006D7A52">
            <w:pPr>
              <w:keepNext/>
              <w:keepLines/>
              <w:jc w:val="both"/>
              <w:outlineLvl w:val="1"/>
              <w:rPr>
                <w:rFonts w:ascii="Arial" w:hAnsi="Arial" w:cs="Arial"/>
                <w:bCs/>
                <w:iCs/>
                <w:sz w:val="20"/>
                <w:szCs w:val="20"/>
                <w:lang w:eastAsia="en-US"/>
              </w:rPr>
            </w:pPr>
          </w:p>
          <w:p w14:paraId="0A50EFA3" w14:textId="77777777" w:rsidR="004A694E"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4.4</w:t>
            </w:r>
          </w:p>
        </w:tc>
        <w:tc>
          <w:tcPr>
            <w:tcW w:w="992" w:type="dxa"/>
          </w:tcPr>
          <w:p w14:paraId="5E05EE25" w14:textId="77777777" w:rsidR="004A694E" w:rsidRDefault="004A694E" w:rsidP="006D7A52">
            <w:pPr>
              <w:keepNext/>
              <w:keepLines/>
              <w:jc w:val="both"/>
              <w:outlineLvl w:val="1"/>
              <w:rPr>
                <w:rFonts w:ascii="Arial" w:hAnsi="Arial" w:cs="Arial"/>
                <w:bCs/>
                <w:iCs/>
                <w:sz w:val="20"/>
                <w:szCs w:val="20"/>
                <w:lang w:eastAsia="en-US"/>
              </w:rPr>
            </w:pPr>
          </w:p>
          <w:p w14:paraId="248DE88B" w14:textId="77777777" w:rsidR="003524A5" w:rsidRDefault="003524A5" w:rsidP="006D7A52">
            <w:pPr>
              <w:keepNext/>
              <w:keepLines/>
              <w:jc w:val="both"/>
              <w:outlineLvl w:val="1"/>
              <w:rPr>
                <w:rFonts w:ascii="Arial" w:hAnsi="Arial" w:cs="Arial"/>
                <w:bCs/>
                <w:iCs/>
                <w:sz w:val="20"/>
                <w:szCs w:val="20"/>
                <w:lang w:eastAsia="en-US"/>
              </w:rPr>
            </w:pPr>
          </w:p>
          <w:p w14:paraId="731EF3EF" w14:textId="77777777" w:rsidR="003524A5" w:rsidRDefault="003524A5" w:rsidP="006D7A52">
            <w:pPr>
              <w:keepNext/>
              <w:keepLines/>
              <w:jc w:val="both"/>
              <w:outlineLvl w:val="1"/>
              <w:rPr>
                <w:rFonts w:ascii="Arial" w:hAnsi="Arial" w:cs="Arial"/>
                <w:bCs/>
                <w:iCs/>
                <w:sz w:val="20"/>
                <w:szCs w:val="20"/>
                <w:lang w:eastAsia="en-US"/>
              </w:rPr>
            </w:pPr>
          </w:p>
          <w:p w14:paraId="0581170E" w14:textId="77777777" w:rsidR="003524A5"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-1.0</w:t>
            </w:r>
          </w:p>
        </w:tc>
        <w:tc>
          <w:tcPr>
            <w:tcW w:w="992" w:type="dxa"/>
          </w:tcPr>
          <w:p w14:paraId="445E380C" w14:textId="77777777" w:rsidR="000B7150" w:rsidRDefault="000B7150" w:rsidP="006D7A52">
            <w:pPr>
              <w:keepNext/>
              <w:keepLines/>
              <w:jc w:val="both"/>
              <w:outlineLvl w:val="1"/>
              <w:rPr>
                <w:rFonts w:ascii="Arial" w:hAnsi="Arial" w:cs="Arial"/>
                <w:bCs/>
                <w:iCs/>
                <w:sz w:val="20"/>
                <w:szCs w:val="20"/>
                <w:lang w:eastAsia="en-US"/>
              </w:rPr>
            </w:pPr>
          </w:p>
          <w:p w14:paraId="6D98F488" w14:textId="77777777" w:rsidR="00533C24" w:rsidRDefault="00533C24" w:rsidP="006D7A52">
            <w:pPr>
              <w:keepNext/>
              <w:keepLines/>
              <w:jc w:val="both"/>
              <w:outlineLvl w:val="1"/>
              <w:rPr>
                <w:rFonts w:ascii="Arial" w:hAnsi="Arial" w:cs="Arial"/>
                <w:bCs/>
                <w:iCs/>
                <w:sz w:val="20"/>
                <w:szCs w:val="20"/>
                <w:lang w:eastAsia="en-US"/>
              </w:rPr>
            </w:pPr>
          </w:p>
          <w:p w14:paraId="1FE9ECE2" w14:textId="77777777" w:rsidR="00533C24" w:rsidRDefault="00533C24" w:rsidP="006D7A52">
            <w:pPr>
              <w:keepNext/>
              <w:keepLines/>
              <w:jc w:val="both"/>
              <w:outlineLvl w:val="1"/>
              <w:rPr>
                <w:rFonts w:ascii="Arial" w:hAnsi="Arial" w:cs="Arial"/>
                <w:bCs/>
                <w:iCs/>
                <w:sz w:val="20"/>
                <w:szCs w:val="20"/>
                <w:lang w:eastAsia="en-US"/>
              </w:rPr>
            </w:pPr>
          </w:p>
          <w:p w14:paraId="6C316E18" w14:textId="77777777" w:rsidR="00533C24"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-17.0</w:t>
            </w:r>
          </w:p>
        </w:tc>
        <w:tc>
          <w:tcPr>
            <w:tcW w:w="1276" w:type="dxa"/>
          </w:tcPr>
          <w:p w14:paraId="3F59804F" w14:textId="77777777" w:rsidR="000B7150" w:rsidRDefault="000B7150" w:rsidP="006D7A52">
            <w:pPr>
              <w:keepNext/>
              <w:keepLines/>
              <w:jc w:val="both"/>
              <w:outlineLvl w:val="1"/>
              <w:rPr>
                <w:rFonts w:ascii="Arial" w:hAnsi="Arial" w:cs="Arial"/>
                <w:bCs/>
                <w:iCs/>
                <w:sz w:val="20"/>
                <w:szCs w:val="20"/>
                <w:lang w:eastAsia="en-US"/>
              </w:rPr>
            </w:pPr>
          </w:p>
          <w:p w14:paraId="679C3E9F" w14:textId="77777777" w:rsidR="00533C24" w:rsidRDefault="00533C24" w:rsidP="006D7A52">
            <w:pPr>
              <w:keepNext/>
              <w:keepLines/>
              <w:jc w:val="both"/>
              <w:outlineLvl w:val="1"/>
              <w:rPr>
                <w:rFonts w:ascii="Arial" w:hAnsi="Arial" w:cs="Arial"/>
                <w:bCs/>
                <w:iCs/>
                <w:sz w:val="20"/>
                <w:szCs w:val="20"/>
                <w:lang w:eastAsia="en-US"/>
              </w:rPr>
            </w:pPr>
          </w:p>
          <w:p w14:paraId="701B577D" w14:textId="77777777" w:rsidR="00533C24" w:rsidRDefault="00533C24" w:rsidP="006D7A52">
            <w:pPr>
              <w:keepNext/>
              <w:keepLines/>
              <w:jc w:val="both"/>
              <w:outlineLvl w:val="1"/>
              <w:rPr>
                <w:rFonts w:ascii="Arial" w:hAnsi="Arial" w:cs="Arial"/>
                <w:bCs/>
                <w:iCs/>
                <w:sz w:val="20"/>
                <w:szCs w:val="20"/>
                <w:lang w:eastAsia="en-US"/>
              </w:rPr>
            </w:pPr>
          </w:p>
          <w:p w14:paraId="63F84EAB" w14:textId="77777777" w:rsidR="00533C24"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-13.5</w:t>
            </w:r>
          </w:p>
        </w:tc>
        <w:tc>
          <w:tcPr>
            <w:tcW w:w="963" w:type="dxa"/>
          </w:tcPr>
          <w:p w14:paraId="47EEE47E" w14:textId="77777777" w:rsidR="000B7150" w:rsidRDefault="000B7150" w:rsidP="006D7A52">
            <w:pPr>
              <w:keepNext/>
              <w:keepLines/>
              <w:jc w:val="both"/>
              <w:outlineLvl w:val="1"/>
              <w:rPr>
                <w:rFonts w:ascii="Arial" w:hAnsi="Arial" w:cs="Arial"/>
                <w:bCs/>
                <w:iCs/>
                <w:sz w:val="20"/>
                <w:szCs w:val="20"/>
                <w:lang w:eastAsia="en-US"/>
              </w:rPr>
            </w:pPr>
          </w:p>
          <w:p w14:paraId="32C07E9B" w14:textId="77777777" w:rsidR="001F4E7E" w:rsidRDefault="001F4E7E" w:rsidP="006D7A52">
            <w:pPr>
              <w:keepNext/>
              <w:keepLines/>
              <w:jc w:val="both"/>
              <w:outlineLvl w:val="1"/>
              <w:rPr>
                <w:rFonts w:ascii="Arial" w:hAnsi="Arial" w:cs="Arial"/>
                <w:bCs/>
                <w:iCs/>
                <w:sz w:val="20"/>
                <w:szCs w:val="20"/>
                <w:lang w:eastAsia="en-US"/>
              </w:rPr>
            </w:pPr>
          </w:p>
          <w:p w14:paraId="1DC5C911" w14:textId="77777777" w:rsidR="001F4E7E" w:rsidRDefault="001F4E7E" w:rsidP="006D7A52">
            <w:pPr>
              <w:keepNext/>
              <w:keepLines/>
              <w:jc w:val="both"/>
              <w:outlineLvl w:val="1"/>
              <w:rPr>
                <w:rFonts w:ascii="Arial" w:hAnsi="Arial" w:cs="Arial"/>
                <w:bCs/>
                <w:iCs/>
                <w:sz w:val="20"/>
                <w:szCs w:val="20"/>
                <w:lang w:eastAsia="en-US"/>
              </w:rPr>
            </w:pPr>
          </w:p>
          <w:p w14:paraId="47BF52F6" w14:textId="77777777" w:rsidR="001F4E7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-3.5</w:t>
            </w:r>
          </w:p>
        </w:tc>
      </w:tr>
      <w:tr w:rsidR="006D7A52" w14:paraId="1DBEFF1E" w14:textId="77777777" w:rsidTr="006D7A52">
        <w:tc>
          <w:tcPr>
            <w:tcW w:w="1242" w:type="dxa"/>
          </w:tcPr>
          <w:p w14:paraId="22D2C01D" w14:textId="77777777" w:rsidR="006D7A52" w:rsidRDefault="006D7A52" w:rsidP="006D7A52">
            <w:pPr>
              <w:jc w:val="both"/>
              <w:rPr>
                <w:rFonts w:ascii="Arial" w:hAnsi="Arial" w:cs="Arial"/>
                <w:sz w:val="18"/>
              </w:rPr>
            </w:pPr>
          </w:p>
          <w:p w14:paraId="0A20E198" w14:textId="77777777" w:rsidR="006D7A52" w:rsidRDefault="006D7A52" w:rsidP="006D7A52">
            <w:pPr>
              <w:jc w:val="both"/>
              <w:rPr>
                <w:rFonts w:ascii="Arial" w:hAnsi="Arial" w:cs="Arial"/>
                <w:sz w:val="18"/>
              </w:rPr>
            </w:pPr>
            <w:r>
              <w:rPr>
                <w:rFonts w:ascii="Arial" w:hAnsi="Arial" w:cs="Arial"/>
                <w:sz w:val="18"/>
              </w:rPr>
              <w:t>Wellington</w:t>
            </w:r>
          </w:p>
        </w:tc>
        <w:tc>
          <w:tcPr>
            <w:tcW w:w="1418" w:type="dxa"/>
          </w:tcPr>
          <w:p w14:paraId="2A7B3B84" w14:textId="77777777" w:rsidR="006D7A52" w:rsidRDefault="006D7A52" w:rsidP="006D7A52">
            <w:pPr>
              <w:widowControl w:val="0"/>
              <w:jc w:val="both"/>
              <w:rPr>
                <w:rFonts w:ascii="Arial" w:hAnsi="Arial" w:cs="Arial"/>
                <w:sz w:val="18"/>
              </w:rPr>
            </w:pPr>
          </w:p>
          <w:p w14:paraId="54A712BD" w14:textId="77777777" w:rsidR="006D7A52" w:rsidRDefault="006D7A52" w:rsidP="006D7A52">
            <w:pPr>
              <w:widowControl w:val="0"/>
              <w:jc w:val="both"/>
              <w:rPr>
                <w:rFonts w:ascii="Arial" w:hAnsi="Arial" w:cs="Arial"/>
                <w:sz w:val="18"/>
              </w:rPr>
            </w:pPr>
            <w:r>
              <w:rPr>
                <w:rFonts w:ascii="Arial" w:hAnsi="Arial" w:cs="Arial"/>
                <w:sz w:val="18"/>
              </w:rPr>
              <w:t>Global Fixed Income</w:t>
            </w:r>
          </w:p>
        </w:tc>
        <w:tc>
          <w:tcPr>
            <w:tcW w:w="992" w:type="dxa"/>
          </w:tcPr>
          <w:p w14:paraId="2886CA0F" w14:textId="77777777" w:rsidR="006D7A52" w:rsidRDefault="006D7A52" w:rsidP="006D7A52">
            <w:pPr>
              <w:keepNext/>
              <w:keepLines/>
              <w:jc w:val="both"/>
              <w:outlineLvl w:val="1"/>
              <w:rPr>
                <w:rFonts w:ascii="Arial" w:hAnsi="Arial" w:cs="Arial"/>
                <w:bCs/>
                <w:iCs/>
                <w:sz w:val="20"/>
                <w:szCs w:val="20"/>
                <w:lang w:eastAsia="en-US"/>
              </w:rPr>
            </w:pPr>
          </w:p>
          <w:p w14:paraId="56025C6B" w14:textId="77777777" w:rsidR="003524A5" w:rsidRDefault="003524A5" w:rsidP="006D7A52">
            <w:pPr>
              <w:keepNext/>
              <w:keepLines/>
              <w:jc w:val="both"/>
              <w:outlineLvl w:val="1"/>
              <w:rPr>
                <w:rFonts w:ascii="Arial" w:hAnsi="Arial" w:cs="Arial"/>
                <w:bCs/>
                <w:iCs/>
                <w:sz w:val="20"/>
                <w:szCs w:val="20"/>
                <w:lang w:eastAsia="en-US"/>
              </w:rPr>
            </w:pPr>
          </w:p>
          <w:p w14:paraId="33A04CD7"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3.5</w:t>
            </w:r>
          </w:p>
        </w:tc>
        <w:tc>
          <w:tcPr>
            <w:tcW w:w="1305" w:type="dxa"/>
          </w:tcPr>
          <w:p w14:paraId="27B09106" w14:textId="77777777" w:rsidR="006D7A52" w:rsidRDefault="006D7A52" w:rsidP="006D7A52">
            <w:pPr>
              <w:keepNext/>
              <w:keepLines/>
              <w:jc w:val="both"/>
              <w:outlineLvl w:val="1"/>
              <w:rPr>
                <w:rFonts w:ascii="Arial" w:hAnsi="Arial" w:cs="Arial"/>
                <w:bCs/>
                <w:iCs/>
                <w:sz w:val="20"/>
                <w:szCs w:val="20"/>
                <w:lang w:eastAsia="en-US"/>
              </w:rPr>
            </w:pPr>
          </w:p>
          <w:p w14:paraId="3BB86082" w14:textId="77777777" w:rsidR="003524A5" w:rsidRDefault="003524A5" w:rsidP="006D7A52">
            <w:pPr>
              <w:keepNext/>
              <w:keepLines/>
              <w:jc w:val="both"/>
              <w:outlineLvl w:val="1"/>
              <w:rPr>
                <w:rFonts w:ascii="Arial" w:hAnsi="Arial" w:cs="Arial"/>
                <w:bCs/>
                <w:iCs/>
                <w:sz w:val="20"/>
                <w:szCs w:val="20"/>
                <w:lang w:eastAsia="en-US"/>
              </w:rPr>
            </w:pPr>
          </w:p>
          <w:p w14:paraId="2B5B2016"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4.6</w:t>
            </w:r>
          </w:p>
        </w:tc>
        <w:tc>
          <w:tcPr>
            <w:tcW w:w="992" w:type="dxa"/>
          </w:tcPr>
          <w:p w14:paraId="61EAC30F" w14:textId="77777777" w:rsidR="006D7A52" w:rsidRDefault="006D7A52" w:rsidP="006D7A52">
            <w:pPr>
              <w:keepNext/>
              <w:keepLines/>
              <w:jc w:val="both"/>
              <w:outlineLvl w:val="1"/>
              <w:rPr>
                <w:rFonts w:ascii="Arial" w:hAnsi="Arial" w:cs="Arial"/>
                <w:bCs/>
                <w:iCs/>
                <w:sz w:val="20"/>
                <w:szCs w:val="20"/>
                <w:lang w:eastAsia="en-US"/>
              </w:rPr>
            </w:pPr>
          </w:p>
          <w:p w14:paraId="0649F2D7" w14:textId="77777777" w:rsidR="003524A5" w:rsidRDefault="003524A5" w:rsidP="006D7A52">
            <w:pPr>
              <w:keepNext/>
              <w:keepLines/>
              <w:jc w:val="both"/>
              <w:outlineLvl w:val="1"/>
              <w:rPr>
                <w:rFonts w:ascii="Arial" w:hAnsi="Arial" w:cs="Arial"/>
                <w:bCs/>
                <w:iCs/>
                <w:sz w:val="20"/>
                <w:szCs w:val="20"/>
                <w:lang w:eastAsia="en-US"/>
              </w:rPr>
            </w:pPr>
          </w:p>
          <w:p w14:paraId="5DF5D428"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-1.1</w:t>
            </w:r>
          </w:p>
        </w:tc>
        <w:tc>
          <w:tcPr>
            <w:tcW w:w="992" w:type="dxa"/>
          </w:tcPr>
          <w:p w14:paraId="3AD8E942" w14:textId="77777777" w:rsidR="006D7A52" w:rsidRDefault="006D7A52" w:rsidP="006D7A52">
            <w:pPr>
              <w:keepNext/>
              <w:keepLines/>
              <w:jc w:val="both"/>
              <w:outlineLvl w:val="1"/>
              <w:rPr>
                <w:rFonts w:ascii="Arial" w:hAnsi="Arial" w:cs="Arial"/>
                <w:bCs/>
                <w:iCs/>
                <w:sz w:val="20"/>
                <w:szCs w:val="20"/>
                <w:lang w:eastAsia="en-US"/>
              </w:rPr>
            </w:pPr>
          </w:p>
          <w:p w14:paraId="2E7963F1" w14:textId="77777777" w:rsidR="001F4E7E" w:rsidRDefault="001F4E7E" w:rsidP="006D7A52">
            <w:pPr>
              <w:keepNext/>
              <w:keepLines/>
              <w:jc w:val="both"/>
              <w:outlineLvl w:val="1"/>
              <w:rPr>
                <w:rFonts w:ascii="Arial" w:hAnsi="Arial" w:cs="Arial"/>
                <w:bCs/>
                <w:iCs/>
                <w:sz w:val="20"/>
                <w:szCs w:val="20"/>
                <w:lang w:eastAsia="en-US"/>
              </w:rPr>
            </w:pPr>
          </w:p>
          <w:p w14:paraId="01FBDBA9" w14:textId="77777777" w:rsidR="001F4E7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0.0</w:t>
            </w:r>
          </w:p>
        </w:tc>
        <w:tc>
          <w:tcPr>
            <w:tcW w:w="1276" w:type="dxa"/>
          </w:tcPr>
          <w:p w14:paraId="3626A455" w14:textId="77777777" w:rsidR="006D7A52" w:rsidRDefault="006D7A52" w:rsidP="006D7A52">
            <w:pPr>
              <w:keepNext/>
              <w:keepLines/>
              <w:jc w:val="both"/>
              <w:outlineLvl w:val="1"/>
              <w:rPr>
                <w:rFonts w:ascii="Arial" w:hAnsi="Arial" w:cs="Arial"/>
                <w:bCs/>
                <w:iCs/>
                <w:sz w:val="20"/>
                <w:szCs w:val="20"/>
                <w:lang w:eastAsia="en-US"/>
              </w:rPr>
            </w:pPr>
          </w:p>
          <w:p w14:paraId="037B24BB" w14:textId="77777777" w:rsidR="001F4E7E" w:rsidRDefault="001F4E7E" w:rsidP="006D7A52">
            <w:pPr>
              <w:keepNext/>
              <w:keepLines/>
              <w:jc w:val="both"/>
              <w:outlineLvl w:val="1"/>
              <w:rPr>
                <w:rFonts w:ascii="Arial" w:hAnsi="Arial" w:cs="Arial"/>
                <w:bCs/>
                <w:iCs/>
                <w:sz w:val="20"/>
                <w:szCs w:val="20"/>
                <w:lang w:eastAsia="en-US"/>
              </w:rPr>
            </w:pPr>
          </w:p>
          <w:p w14:paraId="263CC7DE" w14:textId="77777777" w:rsidR="001F4E7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0.0</w:t>
            </w:r>
          </w:p>
        </w:tc>
        <w:tc>
          <w:tcPr>
            <w:tcW w:w="963" w:type="dxa"/>
          </w:tcPr>
          <w:p w14:paraId="04CC5064" w14:textId="77777777" w:rsidR="006D7A52" w:rsidRDefault="006D7A52" w:rsidP="006D7A52">
            <w:pPr>
              <w:keepNext/>
              <w:keepLines/>
              <w:jc w:val="both"/>
              <w:outlineLvl w:val="1"/>
              <w:rPr>
                <w:rFonts w:ascii="Arial" w:hAnsi="Arial" w:cs="Arial"/>
                <w:bCs/>
                <w:iCs/>
                <w:sz w:val="20"/>
                <w:szCs w:val="20"/>
                <w:lang w:eastAsia="en-US"/>
              </w:rPr>
            </w:pPr>
          </w:p>
          <w:p w14:paraId="2D34BD68" w14:textId="77777777" w:rsidR="001F4E7E" w:rsidRDefault="001F4E7E" w:rsidP="006D7A52">
            <w:pPr>
              <w:keepNext/>
              <w:keepLines/>
              <w:jc w:val="both"/>
              <w:outlineLvl w:val="1"/>
              <w:rPr>
                <w:rFonts w:ascii="Arial" w:hAnsi="Arial" w:cs="Arial"/>
                <w:bCs/>
                <w:iCs/>
                <w:sz w:val="20"/>
                <w:szCs w:val="20"/>
                <w:lang w:eastAsia="en-US"/>
              </w:rPr>
            </w:pPr>
          </w:p>
          <w:p w14:paraId="5B5317A5" w14:textId="77777777" w:rsidR="001F4E7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0.0</w:t>
            </w:r>
          </w:p>
        </w:tc>
      </w:tr>
      <w:tr w:rsidR="006D7A52" w14:paraId="5455436D" w14:textId="77777777" w:rsidTr="006D7A52">
        <w:tc>
          <w:tcPr>
            <w:tcW w:w="1242" w:type="dxa"/>
          </w:tcPr>
          <w:p w14:paraId="434DE423" w14:textId="77777777" w:rsidR="006D7A52" w:rsidRDefault="006D7A52" w:rsidP="006D7A52">
            <w:pPr>
              <w:jc w:val="both"/>
              <w:rPr>
                <w:rFonts w:ascii="Arial" w:hAnsi="Arial" w:cs="Arial"/>
                <w:sz w:val="18"/>
              </w:rPr>
            </w:pPr>
            <w:r>
              <w:rPr>
                <w:rFonts w:ascii="Arial" w:hAnsi="Arial" w:cs="Arial"/>
                <w:sz w:val="18"/>
              </w:rPr>
              <w:t>Wellington</w:t>
            </w:r>
          </w:p>
        </w:tc>
        <w:tc>
          <w:tcPr>
            <w:tcW w:w="1418" w:type="dxa"/>
          </w:tcPr>
          <w:p w14:paraId="1E35DC12" w14:textId="77777777" w:rsidR="006D7A52" w:rsidRDefault="006D7A52" w:rsidP="006D7A52">
            <w:pPr>
              <w:widowControl w:val="0"/>
              <w:jc w:val="both"/>
              <w:rPr>
                <w:rFonts w:ascii="Arial" w:hAnsi="Arial" w:cs="Arial"/>
                <w:sz w:val="18"/>
              </w:rPr>
            </w:pPr>
            <w:r>
              <w:rPr>
                <w:rFonts w:ascii="Arial" w:hAnsi="Arial" w:cs="Arial"/>
                <w:sz w:val="18"/>
              </w:rPr>
              <w:t>Multi Sector Credit</w:t>
            </w:r>
          </w:p>
        </w:tc>
        <w:tc>
          <w:tcPr>
            <w:tcW w:w="992" w:type="dxa"/>
          </w:tcPr>
          <w:p w14:paraId="134871B6" w14:textId="77777777" w:rsidR="006D7A52" w:rsidRDefault="006D7A52" w:rsidP="006D7A52">
            <w:pPr>
              <w:keepNext/>
              <w:keepLines/>
              <w:jc w:val="both"/>
              <w:outlineLvl w:val="1"/>
              <w:rPr>
                <w:rFonts w:ascii="Arial" w:hAnsi="Arial" w:cs="Arial"/>
                <w:sz w:val="20"/>
                <w:szCs w:val="20"/>
              </w:rPr>
            </w:pPr>
          </w:p>
          <w:p w14:paraId="5D3F1E6B" w14:textId="77777777" w:rsidR="003524A5" w:rsidRPr="005D0B99" w:rsidRDefault="003524A5" w:rsidP="006D7A52">
            <w:pPr>
              <w:keepNext/>
              <w:keepLines/>
              <w:jc w:val="both"/>
              <w:outlineLvl w:val="1"/>
              <w:rPr>
                <w:rFonts w:ascii="Arial" w:hAnsi="Arial" w:cs="Arial"/>
                <w:sz w:val="20"/>
                <w:szCs w:val="20"/>
              </w:rPr>
            </w:pPr>
            <w:r>
              <w:rPr>
                <w:rFonts w:ascii="Arial" w:hAnsi="Arial" w:cs="Arial"/>
                <w:sz w:val="20"/>
                <w:szCs w:val="20"/>
              </w:rPr>
              <w:t>1.9</w:t>
            </w:r>
          </w:p>
        </w:tc>
        <w:tc>
          <w:tcPr>
            <w:tcW w:w="1305" w:type="dxa"/>
          </w:tcPr>
          <w:p w14:paraId="597EDDC4" w14:textId="77777777" w:rsidR="006D7A52" w:rsidRDefault="006D7A52" w:rsidP="006D7A52">
            <w:pPr>
              <w:keepNext/>
              <w:keepLines/>
              <w:jc w:val="both"/>
              <w:outlineLvl w:val="1"/>
              <w:rPr>
                <w:rFonts w:ascii="Arial" w:hAnsi="Arial" w:cs="Arial"/>
                <w:sz w:val="20"/>
                <w:szCs w:val="20"/>
              </w:rPr>
            </w:pPr>
          </w:p>
          <w:p w14:paraId="730E7B72" w14:textId="77777777" w:rsidR="003524A5" w:rsidRPr="005D0B99" w:rsidRDefault="003524A5" w:rsidP="006D7A52">
            <w:pPr>
              <w:keepNext/>
              <w:keepLines/>
              <w:jc w:val="both"/>
              <w:outlineLvl w:val="1"/>
              <w:rPr>
                <w:rFonts w:ascii="Arial" w:hAnsi="Arial" w:cs="Arial"/>
                <w:sz w:val="20"/>
                <w:szCs w:val="20"/>
              </w:rPr>
            </w:pPr>
            <w:r>
              <w:rPr>
                <w:rFonts w:ascii="Arial" w:hAnsi="Arial" w:cs="Arial"/>
                <w:sz w:val="20"/>
                <w:szCs w:val="20"/>
              </w:rPr>
              <w:t>4.1</w:t>
            </w:r>
          </w:p>
        </w:tc>
        <w:tc>
          <w:tcPr>
            <w:tcW w:w="992" w:type="dxa"/>
          </w:tcPr>
          <w:p w14:paraId="0DA2BD0D" w14:textId="77777777" w:rsidR="006D7A52" w:rsidRDefault="006D7A52" w:rsidP="006D7A52">
            <w:pPr>
              <w:keepNext/>
              <w:keepLines/>
              <w:jc w:val="both"/>
              <w:outlineLvl w:val="1"/>
              <w:rPr>
                <w:rFonts w:ascii="Arial" w:hAnsi="Arial" w:cs="Arial"/>
                <w:sz w:val="20"/>
                <w:szCs w:val="20"/>
              </w:rPr>
            </w:pPr>
          </w:p>
          <w:p w14:paraId="373B6048" w14:textId="77777777" w:rsidR="003524A5" w:rsidRPr="005D0B99" w:rsidRDefault="003524A5" w:rsidP="006D7A52">
            <w:pPr>
              <w:keepNext/>
              <w:keepLines/>
              <w:jc w:val="both"/>
              <w:outlineLvl w:val="1"/>
              <w:rPr>
                <w:rFonts w:ascii="Arial" w:hAnsi="Arial" w:cs="Arial"/>
                <w:sz w:val="20"/>
                <w:szCs w:val="20"/>
              </w:rPr>
            </w:pPr>
            <w:r>
              <w:rPr>
                <w:rFonts w:ascii="Arial" w:hAnsi="Arial" w:cs="Arial"/>
                <w:sz w:val="20"/>
                <w:szCs w:val="20"/>
              </w:rPr>
              <w:t>-2.2</w:t>
            </w:r>
          </w:p>
        </w:tc>
        <w:tc>
          <w:tcPr>
            <w:tcW w:w="992" w:type="dxa"/>
          </w:tcPr>
          <w:p w14:paraId="7BE98BB6" w14:textId="77777777" w:rsidR="006D7A52" w:rsidRDefault="006D7A52" w:rsidP="006D7A52">
            <w:pPr>
              <w:keepNext/>
              <w:keepLines/>
              <w:jc w:val="both"/>
              <w:outlineLvl w:val="1"/>
              <w:rPr>
                <w:rFonts w:ascii="Arial" w:hAnsi="Arial" w:cs="Arial"/>
                <w:sz w:val="20"/>
                <w:szCs w:val="20"/>
              </w:rPr>
            </w:pPr>
          </w:p>
          <w:p w14:paraId="49A1B1FD" w14:textId="77777777" w:rsidR="001F4E7E" w:rsidRPr="005D0B99" w:rsidRDefault="00761690" w:rsidP="006D7A52">
            <w:pPr>
              <w:keepNext/>
              <w:keepLines/>
              <w:jc w:val="both"/>
              <w:outlineLvl w:val="1"/>
              <w:rPr>
                <w:rFonts w:ascii="Arial" w:hAnsi="Arial" w:cs="Arial"/>
                <w:sz w:val="20"/>
                <w:szCs w:val="20"/>
              </w:rPr>
            </w:pPr>
            <w:r>
              <w:rPr>
                <w:rFonts w:ascii="Arial" w:hAnsi="Arial" w:cs="Arial"/>
                <w:sz w:val="20"/>
                <w:szCs w:val="20"/>
              </w:rPr>
              <w:t>0.0</w:t>
            </w:r>
          </w:p>
        </w:tc>
        <w:tc>
          <w:tcPr>
            <w:tcW w:w="1276" w:type="dxa"/>
          </w:tcPr>
          <w:p w14:paraId="5B360DE7" w14:textId="77777777" w:rsidR="006D7A52" w:rsidRDefault="006D7A52" w:rsidP="006D7A52">
            <w:pPr>
              <w:keepNext/>
              <w:keepLines/>
              <w:jc w:val="both"/>
              <w:outlineLvl w:val="1"/>
              <w:rPr>
                <w:rFonts w:ascii="Arial" w:hAnsi="Arial" w:cs="Arial"/>
                <w:sz w:val="20"/>
                <w:szCs w:val="20"/>
              </w:rPr>
            </w:pPr>
          </w:p>
          <w:p w14:paraId="43C02C56" w14:textId="77777777" w:rsidR="001F4E7E" w:rsidRPr="005D0B99" w:rsidRDefault="00761690" w:rsidP="006D7A52">
            <w:pPr>
              <w:keepNext/>
              <w:keepLines/>
              <w:jc w:val="both"/>
              <w:outlineLvl w:val="1"/>
              <w:rPr>
                <w:rFonts w:ascii="Arial" w:hAnsi="Arial" w:cs="Arial"/>
                <w:sz w:val="20"/>
                <w:szCs w:val="20"/>
              </w:rPr>
            </w:pPr>
            <w:r>
              <w:rPr>
                <w:rFonts w:ascii="Arial" w:hAnsi="Arial" w:cs="Arial"/>
                <w:sz w:val="20"/>
                <w:szCs w:val="20"/>
              </w:rPr>
              <w:t>0.0</w:t>
            </w:r>
          </w:p>
        </w:tc>
        <w:tc>
          <w:tcPr>
            <w:tcW w:w="963" w:type="dxa"/>
          </w:tcPr>
          <w:p w14:paraId="3E71BBC7" w14:textId="77777777" w:rsidR="006D7A52" w:rsidRDefault="006D7A52" w:rsidP="006D7A52">
            <w:pPr>
              <w:keepNext/>
              <w:keepLines/>
              <w:jc w:val="both"/>
              <w:outlineLvl w:val="1"/>
              <w:rPr>
                <w:rFonts w:ascii="Arial" w:hAnsi="Arial" w:cs="Arial"/>
                <w:sz w:val="20"/>
                <w:szCs w:val="20"/>
              </w:rPr>
            </w:pPr>
          </w:p>
          <w:p w14:paraId="2C3DA7A6" w14:textId="77777777" w:rsidR="001F4E7E" w:rsidRPr="005D0B99" w:rsidRDefault="00761690" w:rsidP="006D7A52">
            <w:pPr>
              <w:keepNext/>
              <w:keepLines/>
              <w:jc w:val="both"/>
              <w:outlineLvl w:val="1"/>
              <w:rPr>
                <w:rFonts w:ascii="Arial" w:hAnsi="Arial" w:cs="Arial"/>
                <w:sz w:val="20"/>
                <w:szCs w:val="20"/>
              </w:rPr>
            </w:pPr>
            <w:r>
              <w:rPr>
                <w:rFonts w:ascii="Arial" w:hAnsi="Arial" w:cs="Arial"/>
                <w:sz w:val="20"/>
                <w:szCs w:val="20"/>
              </w:rPr>
              <w:t>0.0</w:t>
            </w:r>
          </w:p>
        </w:tc>
      </w:tr>
      <w:tr w:rsidR="006D7A52" w14:paraId="322517B8" w14:textId="77777777" w:rsidTr="006D7A52">
        <w:tc>
          <w:tcPr>
            <w:tcW w:w="1242" w:type="dxa"/>
          </w:tcPr>
          <w:p w14:paraId="6608884F" w14:textId="77777777" w:rsidR="006D7A52" w:rsidRDefault="006D7A52" w:rsidP="006D7A52">
            <w:pPr>
              <w:jc w:val="both"/>
              <w:rPr>
                <w:rFonts w:ascii="Arial" w:hAnsi="Arial" w:cs="Arial"/>
                <w:sz w:val="18"/>
              </w:rPr>
            </w:pPr>
          </w:p>
          <w:p w14:paraId="70622520" w14:textId="77777777" w:rsidR="006D7A52" w:rsidRDefault="006D7A52" w:rsidP="006D7A52">
            <w:pPr>
              <w:jc w:val="both"/>
              <w:rPr>
                <w:rFonts w:ascii="Arial" w:hAnsi="Arial" w:cs="Arial"/>
                <w:sz w:val="18"/>
              </w:rPr>
            </w:pPr>
            <w:r>
              <w:rPr>
                <w:rFonts w:ascii="Arial" w:hAnsi="Arial" w:cs="Arial"/>
                <w:sz w:val="18"/>
              </w:rPr>
              <w:t>DTZ</w:t>
            </w:r>
          </w:p>
        </w:tc>
        <w:tc>
          <w:tcPr>
            <w:tcW w:w="1418" w:type="dxa"/>
          </w:tcPr>
          <w:p w14:paraId="00372215" w14:textId="77777777" w:rsidR="006D7A52" w:rsidRDefault="006D7A52" w:rsidP="006D7A52">
            <w:pPr>
              <w:widowControl w:val="0"/>
              <w:jc w:val="both"/>
              <w:rPr>
                <w:rFonts w:ascii="Arial" w:hAnsi="Arial" w:cs="Arial"/>
                <w:sz w:val="18"/>
              </w:rPr>
            </w:pPr>
            <w:r>
              <w:rPr>
                <w:rFonts w:ascii="Arial" w:hAnsi="Arial" w:cs="Arial"/>
                <w:sz w:val="18"/>
              </w:rPr>
              <w:t>European Property (Aurora Fund)</w:t>
            </w:r>
          </w:p>
        </w:tc>
        <w:tc>
          <w:tcPr>
            <w:tcW w:w="992" w:type="dxa"/>
          </w:tcPr>
          <w:p w14:paraId="5E233101" w14:textId="77777777" w:rsidR="006D7A52" w:rsidRDefault="006D7A52" w:rsidP="006D7A52">
            <w:pPr>
              <w:keepNext/>
              <w:keepLines/>
              <w:jc w:val="both"/>
              <w:outlineLvl w:val="1"/>
              <w:rPr>
                <w:rFonts w:ascii="Arial" w:hAnsi="Arial" w:cs="Arial"/>
                <w:bCs/>
                <w:iCs/>
                <w:sz w:val="20"/>
                <w:szCs w:val="20"/>
                <w:lang w:eastAsia="en-US"/>
              </w:rPr>
            </w:pPr>
          </w:p>
          <w:p w14:paraId="071BE81B" w14:textId="77777777" w:rsidR="003524A5" w:rsidRDefault="003524A5" w:rsidP="006D7A52">
            <w:pPr>
              <w:keepNext/>
              <w:keepLines/>
              <w:jc w:val="both"/>
              <w:outlineLvl w:val="1"/>
              <w:rPr>
                <w:rFonts w:ascii="Arial" w:hAnsi="Arial" w:cs="Arial"/>
                <w:bCs/>
                <w:iCs/>
                <w:sz w:val="20"/>
                <w:szCs w:val="20"/>
                <w:lang w:eastAsia="en-US"/>
              </w:rPr>
            </w:pPr>
          </w:p>
          <w:p w14:paraId="54A41585"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-1.0</w:t>
            </w:r>
          </w:p>
        </w:tc>
        <w:tc>
          <w:tcPr>
            <w:tcW w:w="1305" w:type="dxa"/>
          </w:tcPr>
          <w:p w14:paraId="35DA749F" w14:textId="77777777" w:rsidR="006D7A52" w:rsidRDefault="006D7A52" w:rsidP="006D7A52">
            <w:pPr>
              <w:keepNext/>
              <w:keepLines/>
              <w:jc w:val="both"/>
              <w:outlineLvl w:val="1"/>
              <w:rPr>
                <w:rFonts w:ascii="Arial" w:hAnsi="Arial" w:cs="Arial"/>
                <w:bCs/>
                <w:iCs/>
                <w:sz w:val="20"/>
                <w:szCs w:val="20"/>
                <w:lang w:eastAsia="en-US"/>
              </w:rPr>
            </w:pPr>
          </w:p>
          <w:p w14:paraId="18B8C16B" w14:textId="77777777" w:rsidR="003524A5" w:rsidRDefault="003524A5" w:rsidP="006D7A52">
            <w:pPr>
              <w:keepNext/>
              <w:keepLines/>
              <w:jc w:val="both"/>
              <w:outlineLvl w:val="1"/>
              <w:rPr>
                <w:rFonts w:ascii="Arial" w:hAnsi="Arial" w:cs="Arial"/>
                <w:bCs/>
                <w:iCs/>
                <w:sz w:val="20"/>
                <w:szCs w:val="20"/>
                <w:lang w:eastAsia="en-US"/>
              </w:rPr>
            </w:pPr>
          </w:p>
          <w:p w14:paraId="02E0EE8E"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5.6</w:t>
            </w:r>
          </w:p>
        </w:tc>
        <w:tc>
          <w:tcPr>
            <w:tcW w:w="992" w:type="dxa"/>
          </w:tcPr>
          <w:p w14:paraId="0A2C7869" w14:textId="77777777" w:rsidR="006D7A52" w:rsidRDefault="006D7A52" w:rsidP="006D7A52">
            <w:pPr>
              <w:keepNext/>
              <w:keepLines/>
              <w:jc w:val="both"/>
              <w:outlineLvl w:val="1"/>
              <w:rPr>
                <w:rFonts w:ascii="Arial" w:hAnsi="Arial" w:cs="Arial"/>
                <w:bCs/>
                <w:iCs/>
                <w:sz w:val="20"/>
                <w:szCs w:val="20"/>
                <w:lang w:eastAsia="en-US"/>
              </w:rPr>
            </w:pPr>
          </w:p>
          <w:p w14:paraId="6713F7D0" w14:textId="77777777" w:rsidR="003524A5" w:rsidRDefault="003524A5" w:rsidP="006D7A52">
            <w:pPr>
              <w:keepNext/>
              <w:keepLines/>
              <w:jc w:val="both"/>
              <w:outlineLvl w:val="1"/>
              <w:rPr>
                <w:rFonts w:ascii="Arial" w:hAnsi="Arial" w:cs="Arial"/>
                <w:bCs/>
                <w:iCs/>
                <w:sz w:val="20"/>
                <w:szCs w:val="20"/>
                <w:lang w:eastAsia="en-US"/>
              </w:rPr>
            </w:pPr>
          </w:p>
          <w:p w14:paraId="0416C2B8"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-6.2</w:t>
            </w:r>
          </w:p>
        </w:tc>
        <w:tc>
          <w:tcPr>
            <w:tcW w:w="992" w:type="dxa"/>
          </w:tcPr>
          <w:p w14:paraId="7838C111" w14:textId="77777777" w:rsidR="006D7A52" w:rsidRDefault="006D7A52" w:rsidP="006D7A52">
            <w:pPr>
              <w:keepNext/>
              <w:keepLines/>
              <w:jc w:val="both"/>
              <w:outlineLvl w:val="1"/>
              <w:rPr>
                <w:rFonts w:ascii="Arial" w:hAnsi="Arial" w:cs="Arial"/>
                <w:bCs/>
                <w:iCs/>
                <w:sz w:val="20"/>
                <w:szCs w:val="20"/>
                <w:lang w:eastAsia="en-US"/>
              </w:rPr>
            </w:pPr>
          </w:p>
          <w:p w14:paraId="34539A2B" w14:textId="77777777" w:rsidR="00E07AEC" w:rsidRDefault="00E07AEC" w:rsidP="006D7A52">
            <w:pPr>
              <w:keepNext/>
              <w:keepLines/>
              <w:jc w:val="both"/>
              <w:outlineLvl w:val="1"/>
              <w:rPr>
                <w:rFonts w:ascii="Arial" w:hAnsi="Arial" w:cs="Arial"/>
                <w:bCs/>
                <w:iCs/>
                <w:sz w:val="20"/>
                <w:szCs w:val="20"/>
                <w:lang w:eastAsia="en-US"/>
              </w:rPr>
            </w:pPr>
          </w:p>
          <w:p w14:paraId="064E3A2B" w14:textId="77777777" w:rsidR="002E2DA4"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0.0</w:t>
            </w:r>
          </w:p>
        </w:tc>
        <w:tc>
          <w:tcPr>
            <w:tcW w:w="1276" w:type="dxa"/>
          </w:tcPr>
          <w:p w14:paraId="021A2F3C" w14:textId="77777777" w:rsidR="006D7A52" w:rsidRDefault="006D7A52" w:rsidP="006D7A52">
            <w:pPr>
              <w:keepNext/>
              <w:keepLines/>
              <w:jc w:val="both"/>
              <w:outlineLvl w:val="1"/>
              <w:rPr>
                <w:rFonts w:ascii="Arial" w:hAnsi="Arial" w:cs="Arial"/>
                <w:bCs/>
                <w:iCs/>
                <w:sz w:val="20"/>
                <w:szCs w:val="20"/>
                <w:lang w:eastAsia="en-US"/>
              </w:rPr>
            </w:pPr>
          </w:p>
          <w:p w14:paraId="4192B955" w14:textId="77777777" w:rsidR="00E07AEC" w:rsidRDefault="00E07AEC" w:rsidP="006D7A52">
            <w:pPr>
              <w:keepNext/>
              <w:keepLines/>
              <w:jc w:val="both"/>
              <w:outlineLvl w:val="1"/>
              <w:rPr>
                <w:rFonts w:ascii="Arial" w:hAnsi="Arial" w:cs="Arial"/>
                <w:bCs/>
                <w:iCs/>
                <w:sz w:val="20"/>
                <w:szCs w:val="20"/>
                <w:lang w:eastAsia="en-US"/>
              </w:rPr>
            </w:pPr>
          </w:p>
          <w:p w14:paraId="34DCD5FD" w14:textId="77777777" w:rsidR="00E07AEC"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0.0</w:t>
            </w:r>
          </w:p>
        </w:tc>
        <w:tc>
          <w:tcPr>
            <w:tcW w:w="963" w:type="dxa"/>
          </w:tcPr>
          <w:p w14:paraId="170A08CE" w14:textId="77777777" w:rsidR="006D7A52" w:rsidRDefault="006D7A52" w:rsidP="006D7A52">
            <w:pPr>
              <w:keepNext/>
              <w:keepLines/>
              <w:jc w:val="both"/>
              <w:outlineLvl w:val="1"/>
              <w:rPr>
                <w:rFonts w:ascii="Arial" w:hAnsi="Arial" w:cs="Arial"/>
                <w:bCs/>
                <w:iCs/>
                <w:sz w:val="20"/>
                <w:szCs w:val="20"/>
                <w:lang w:eastAsia="en-US"/>
              </w:rPr>
            </w:pPr>
          </w:p>
          <w:p w14:paraId="77007BA8" w14:textId="77777777" w:rsidR="00E07AEC" w:rsidRDefault="00E07AEC" w:rsidP="006D7A52">
            <w:pPr>
              <w:keepNext/>
              <w:keepLines/>
              <w:jc w:val="both"/>
              <w:outlineLvl w:val="1"/>
              <w:rPr>
                <w:rFonts w:ascii="Arial" w:hAnsi="Arial" w:cs="Arial"/>
                <w:bCs/>
                <w:iCs/>
                <w:sz w:val="20"/>
                <w:szCs w:val="20"/>
                <w:lang w:eastAsia="en-US"/>
              </w:rPr>
            </w:pPr>
          </w:p>
          <w:p w14:paraId="6894DE68" w14:textId="77777777" w:rsidR="00E07AEC"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0.0</w:t>
            </w:r>
          </w:p>
        </w:tc>
      </w:tr>
      <w:tr w:rsidR="006D7A52" w14:paraId="5984DBEE" w14:textId="77777777" w:rsidTr="006D7A52">
        <w:trPr>
          <w:trHeight w:val="614"/>
        </w:trPr>
        <w:tc>
          <w:tcPr>
            <w:tcW w:w="1242" w:type="dxa"/>
          </w:tcPr>
          <w:p w14:paraId="540BC2D0" w14:textId="77777777" w:rsidR="006D7A52" w:rsidRDefault="006D7A52" w:rsidP="006D7A52">
            <w:pPr>
              <w:jc w:val="both"/>
              <w:rPr>
                <w:rFonts w:ascii="Arial" w:hAnsi="Arial" w:cs="Arial"/>
                <w:sz w:val="18"/>
              </w:rPr>
            </w:pPr>
          </w:p>
          <w:p w14:paraId="623D7EA7" w14:textId="77777777" w:rsidR="006D7A52" w:rsidRDefault="006D7A52" w:rsidP="006D7A52">
            <w:pPr>
              <w:jc w:val="both"/>
              <w:rPr>
                <w:rFonts w:ascii="Arial" w:hAnsi="Arial" w:cs="Arial"/>
                <w:sz w:val="18"/>
              </w:rPr>
            </w:pPr>
            <w:r>
              <w:rPr>
                <w:rFonts w:ascii="Arial" w:hAnsi="Arial" w:cs="Arial"/>
                <w:sz w:val="18"/>
              </w:rPr>
              <w:t>UBS</w:t>
            </w:r>
          </w:p>
        </w:tc>
        <w:tc>
          <w:tcPr>
            <w:tcW w:w="1418" w:type="dxa"/>
          </w:tcPr>
          <w:p w14:paraId="6C30A561" w14:textId="77777777" w:rsidR="006D7A52" w:rsidRDefault="006D7A52" w:rsidP="006D7A52">
            <w:pPr>
              <w:widowControl w:val="0"/>
              <w:jc w:val="both"/>
              <w:rPr>
                <w:rFonts w:ascii="Arial" w:hAnsi="Arial" w:cs="Arial"/>
                <w:sz w:val="18"/>
              </w:rPr>
            </w:pPr>
          </w:p>
          <w:p w14:paraId="21457CD7" w14:textId="77777777" w:rsidR="006D7A52" w:rsidRDefault="006D7A52" w:rsidP="006D7A52">
            <w:pPr>
              <w:widowControl w:val="0"/>
              <w:jc w:val="both"/>
              <w:rPr>
                <w:rFonts w:ascii="Arial" w:hAnsi="Arial" w:cs="Arial"/>
                <w:sz w:val="18"/>
              </w:rPr>
            </w:pPr>
            <w:r>
              <w:rPr>
                <w:rFonts w:ascii="Arial" w:hAnsi="Arial" w:cs="Arial"/>
                <w:sz w:val="18"/>
              </w:rPr>
              <w:t>UK Property (Triton Fund)</w:t>
            </w:r>
          </w:p>
        </w:tc>
        <w:tc>
          <w:tcPr>
            <w:tcW w:w="992" w:type="dxa"/>
          </w:tcPr>
          <w:p w14:paraId="01D30EAA" w14:textId="77777777" w:rsidR="006D7A52" w:rsidRDefault="006D7A52" w:rsidP="006D7A52">
            <w:pPr>
              <w:keepNext/>
              <w:keepLines/>
              <w:jc w:val="both"/>
              <w:outlineLvl w:val="1"/>
              <w:rPr>
                <w:rFonts w:ascii="Arial" w:hAnsi="Arial" w:cs="Arial"/>
                <w:bCs/>
                <w:iCs/>
                <w:sz w:val="20"/>
                <w:szCs w:val="20"/>
                <w:lang w:eastAsia="en-US"/>
              </w:rPr>
            </w:pPr>
          </w:p>
          <w:p w14:paraId="18E638F9" w14:textId="77777777" w:rsidR="003524A5" w:rsidRDefault="003524A5" w:rsidP="006D7A52">
            <w:pPr>
              <w:keepNext/>
              <w:keepLines/>
              <w:jc w:val="both"/>
              <w:outlineLvl w:val="1"/>
              <w:rPr>
                <w:rFonts w:ascii="Arial" w:hAnsi="Arial" w:cs="Arial"/>
                <w:bCs/>
                <w:iCs/>
                <w:sz w:val="20"/>
                <w:szCs w:val="20"/>
                <w:lang w:eastAsia="en-US"/>
              </w:rPr>
            </w:pPr>
          </w:p>
          <w:p w14:paraId="53245830"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6.4</w:t>
            </w:r>
          </w:p>
        </w:tc>
        <w:tc>
          <w:tcPr>
            <w:tcW w:w="1305" w:type="dxa"/>
          </w:tcPr>
          <w:p w14:paraId="34580EF7" w14:textId="77777777" w:rsidR="006D7A52" w:rsidRDefault="006D7A52" w:rsidP="006D7A52">
            <w:pPr>
              <w:keepNext/>
              <w:keepLines/>
              <w:jc w:val="both"/>
              <w:outlineLvl w:val="1"/>
              <w:rPr>
                <w:rFonts w:ascii="Arial" w:hAnsi="Arial" w:cs="Arial"/>
                <w:bCs/>
                <w:iCs/>
                <w:sz w:val="20"/>
                <w:szCs w:val="20"/>
                <w:lang w:eastAsia="en-US"/>
              </w:rPr>
            </w:pPr>
          </w:p>
          <w:p w14:paraId="3142F84B" w14:textId="77777777" w:rsidR="003524A5" w:rsidRDefault="003524A5" w:rsidP="006D7A52">
            <w:pPr>
              <w:keepNext/>
              <w:keepLines/>
              <w:jc w:val="both"/>
              <w:outlineLvl w:val="1"/>
              <w:rPr>
                <w:rFonts w:ascii="Arial" w:hAnsi="Arial" w:cs="Arial"/>
                <w:bCs/>
                <w:iCs/>
                <w:sz w:val="20"/>
                <w:szCs w:val="20"/>
                <w:lang w:eastAsia="en-US"/>
              </w:rPr>
            </w:pPr>
          </w:p>
          <w:p w14:paraId="713C1190"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5.6</w:t>
            </w:r>
          </w:p>
        </w:tc>
        <w:tc>
          <w:tcPr>
            <w:tcW w:w="992" w:type="dxa"/>
          </w:tcPr>
          <w:p w14:paraId="287AA39F" w14:textId="77777777" w:rsidR="006D7A52" w:rsidRDefault="006D7A52" w:rsidP="006D7A52">
            <w:pPr>
              <w:keepNext/>
              <w:keepLines/>
              <w:jc w:val="both"/>
              <w:outlineLvl w:val="1"/>
              <w:rPr>
                <w:rFonts w:ascii="Arial" w:hAnsi="Arial" w:cs="Arial"/>
                <w:bCs/>
                <w:iCs/>
                <w:sz w:val="20"/>
                <w:szCs w:val="20"/>
                <w:lang w:eastAsia="en-US"/>
              </w:rPr>
            </w:pPr>
          </w:p>
          <w:p w14:paraId="03E3CA3B" w14:textId="77777777" w:rsidR="003524A5" w:rsidRDefault="003524A5" w:rsidP="006D7A52">
            <w:pPr>
              <w:keepNext/>
              <w:keepLines/>
              <w:jc w:val="both"/>
              <w:outlineLvl w:val="1"/>
              <w:rPr>
                <w:rFonts w:ascii="Arial" w:hAnsi="Arial" w:cs="Arial"/>
                <w:bCs/>
                <w:iCs/>
                <w:sz w:val="20"/>
                <w:szCs w:val="20"/>
                <w:lang w:eastAsia="en-US"/>
              </w:rPr>
            </w:pPr>
          </w:p>
          <w:p w14:paraId="54D1E724"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0.7</w:t>
            </w:r>
          </w:p>
        </w:tc>
        <w:tc>
          <w:tcPr>
            <w:tcW w:w="992" w:type="dxa"/>
          </w:tcPr>
          <w:p w14:paraId="139D2247" w14:textId="77777777" w:rsidR="006D7A52" w:rsidRDefault="006D7A52" w:rsidP="006D7A52">
            <w:pPr>
              <w:keepNext/>
              <w:keepLines/>
              <w:jc w:val="both"/>
              <w:outlineLvl w:val="1"/>
              <w:rPr>
                <w:rFonts w:ascii="Arial" w:hAnsi="Arial" w:cs="Arial"/>
                <w:bCs/>
                <w:iCs/>
                <w:sz w:val="20"/>
                <w:szCs w:val="20"/>
                <w:lang w:eastAsia="en-US"/>
              </w:rPr>
            </w:pPr>
          </w:p>
          <w:p w14:paraId="0E38BB3D" w14:textId="77777777" w:rsidR="001F4E7E" w:rsidRDefault="001F4E7E" w:rsidP="006D7A52">
            <w:pPr>
              <w:keepNext/>
              <w:keepLines/>
              <w:jc w:val="both"/>
              <w:outlineLvl w:val="1"/>
              <w:rPr>
                <w:rFonts w:ascii="Arial" w:hAnsi="Arial" w:cs="Arial"/>
                <w:bCs/>
                <w:iCs/>
                <w:sz w:val="20"/>
                <w:szCs w:val="20"/>
                <w:lang w:eastAsia="en-US"/>
              </w:rPr>
            </w:pPr>
          </w:p>
          <w:p w14:paraId="3173C48A" w14:textId="77777777" w:rsidR="001F4E7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0.8</w:t>
            </w:r>
          </w:p>
        </w:tc>
        <w:tc>
          <w:tcPr>
            <w:tcW w:w="1276" w:type="dxa"/>
          </w:tcPr>
          <w:p w14:paraId="4147B082" w14:textId="77777777" w:rsidR="006D7A52" w:rsidRDefault="006D7A52" w:rsidP="006D7A52">
            <w:pPr>
              <w:keepNext/>
              <w:keepLines/>
              <w:jc w:val="both"/>
              <w:outlineLvl w:val="1"/>
              <w:rPr>
                <w:rFonts w:ascii="Arial" w:hAnsi="Arial" w:cs="Arial"/>
                <w:bCs/>
                <w:iCs/>
                <w:sz w:val="20"/>
                <w:szCs w:val="20"/>
                <w:lang w:eastAsia="en-US"/>
              </w:rPr>
            </w:pPr>
          </w:p>
          <w:p w14:paraId="764B44EA" w14:textId="77777777" w:rsidR="001F4E7E" w:rsidRDefault="001F4E7E" w:rsidP="006D7A52">
            <w:pPr>
              <w:keepNext/>
              <w:keepLines/>
              <w:jc w:val="both"/>
              <w:outlineLvl w:val="1"/>
              <w:rPr>
                <w:rFonts w:ascii="Arial" w:hAnsi="Arial" w:cs="Arial"/>
                <w:bCs/>
                <w:iCs/>
                <w:sz w:val="20"/>
                <w:szCs w:val="20"/>
                <w:lang w:eastAsia="en-US"/>
              </w:rPr>
            </w:pPr>
          </w:p>
          <w:p w14:paraId="409FAF1B" w14:textId="77777777" w:rsidR="001F4E7E" w:rsidRPr="005D0B99" w:rsidRDefault="00761690" w:rsidP="00761690">
            <w:pPr>
              <w:keepNext/>
              <w:keepLines/>
              <w:jc w:val="both"/>
              <w:outlineLvl w:val="1"/>
              <w:rPr>
                <w:rFonts w:ascii="Arial" w:hAnsi="Arial" w:cs="Arial"/>
                <w:bCs/>
                <w:iCs/>
                <w:sz w:val="20"/>
                <w:szCs w:val="20"/>
                <w:lang w:eastAsia="en-US"/>
              </w:rPr>
            </w:pPr>
            <w:r>
              <w:rPr>
                <w:rFonts w:ascii="Arial" w:hAnsi="Arial" w:cs="Arial"/>
                <w:bCs/>
                <w:iCs/>
                <w:sz w:val="20"/>
                <w:szCs w:val="20"/>
                <w:lang w:eastAsia="en-US"/>
              </w:rPr>
              <w:t>0.1</w:t>
            </w:r>
          </w:p>
        </w:tc>
        <w:tc>
          <w:tcPr>
            <w:tcW w:w="963" w:type="dxa"/>
          </w:tcPr>
          <w:p w14:paraId="490D8071" w14:textId="77777777" w:rsidR="006D7A52" w:rsidRDefault="006D7A52" w:rsidP="006D7A52">
            <w:pPr>
              <w:keepNext/>
              <w:keepLines/>
              <w:jc w:val="both"/>
              <w:outlineLvl w:val="1"/>
              <w:rPr>
                <w:rFonts w:ascii="Arial" w:hAnsi="Arial" w:cs="Arial"/>
                <w:bCs/>
                <w:iCs/>
                <w:sz w:val="20"/>
                <w:szCs w:val="20"/>
                <w:lang w:eastAsia="en-US"/>
              </w:rPr>
            </w:pPr>
          </w:p>
          <w:p w14:paraId="26053C87" w14:textId="77777777" w:rsidR="001F4E7E" w:rsidRDefault="001F4E7E" w:rsidP="006D7A52">
            <w:pPr>
              <w:keepNext/>
              <w:keepLines/>
              <w:jc w:val="both"/>
              <w:outlineLvl w:val="1"/>
              <w:rPr>
                <w:rFonts w:ascii="Arial" w:hAnsi="Arial" w:cs="Arial"/>
                <w:bCs/>
                <w:iCs/>
                <w:sz w:val="20"/>
                <w:szCs w:val="20"/>
                <w:lang w:eastAsia="en-US"/>
              </w:rPr>
            </w:pPr>
          </w:p>
          <w:p w14:paraId="31EFD9D7" w14:textId="77777777" w:rsidR="001F4E7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0.7</w:t>
            </w:r>
          </w:p>
        </w:tc>
      </w:tr>
      <w:tr w:rsidR="006D7A52" w14:paraId="5ABEDDA3" w14:textId="77777777" w:rsidTr="006D7A52">
        <w:tc>
          <w:tcPr>
            <w:tcW w:w="1242" w:type="dxa"/>
          </w:tcPr>
          <w:p w14:paraId="58F61698" w14:textId="77777777" w:rsidR="006D7A52" w:rsidRDefault="006D7A52" w:rsidP="006D7A52">
            <w:pPr>
              <w:jc w:val="both"/>
              <w:rPr>
                <w:rFonts w:ascii="Arial" w:hAnsi="Arial" w:cs="Arial"/>
                <w:sz w:val="18"/>
              </w:rPr>
            </w:pPr>
          </w:p>
          <w:p w14:paraId="73CDBCF4" w14:textId="77777777" w:rsidR="006D7A52" w:rsidRDefault="006D7A52" w:rsidP="006D7A52">
            <w:pPr>
              <w:jc w:val="both"/>
              <w:rPr>
                <w:rFonts w:ascii="Arial" w:hAnsi="Arial" w:cs="Arial"/>
                <w:sz w:val="18"/>
              </w:rPr>
            </w:pPr>
            <w:r>
              <w:rPr>
                <w:rFonts w:ascii="Arial" w:hAnsi="Arial" w:cs="Arial"/>
                <w:sz w:val="18"/>
              </w:rPr>
              <w:t xml:space="preserve">Darwin </w:t>
            </w:r>
          </w:p>
        </w:tc>
        <w:tc>
          <w:tcPr>
            <w:tcW w:w="1418" w:type="dxa"/>
          </w:tcPr>
          <w:p w14:paraId="36D6C085" w14:textId="77777777" w:rsidR="006D7A52" w:rsidRDefault="006D7A52" w:rsidP="006D7A52">
            <w:pPr>
              <w:widowControl w:val="0"/>
              <w:jc w:val="both"/>
              <w:rPr>
                <w:rFonts w:ascii="Arial" w:hAnsi="Arial" w:cs="Arial"/>
                <w:sz w:val="18"/>
              </w:rPr>
            </w:pPr>
          </w:p>
          <w:p w14:paraId="67A48D19" w14:textId="77777777" w:rsidR="006D7A52" w:rsidRDefault="006D7A52" w:rsidP="006D7A52">
            <w:pPr>
              <w:widowControl w:val="0"/>
              <w:jc w:val="both"/>
              <w:rPr>
                <w:rFonts w:ascii="Arial" w:hAnsi="Arial" w:cs="Arial"/>
                <w:sz w:val="18"/>
              </w:rPr>
            </w:pPr>
            <w:r>
              <w:rPr>
                <w:rFonts w:ascii="Arial" w:hAnsi="Arial" w:cs="Arial"/>
                <w:sz w:val="18"/>
              </w:rPr>
              <w:t>UK Property (DLPF)</w:t>
            </w:r>
          </w:p>
        </w:tc>
        <w:tc>
          <w:tcPr>
            <w:tcW w:w="992" w:type="dxa"/>
          </w:tcPr>
          <w:p w14:paraId="2EC5EFAB" w14:textId="77777777" w:rsidR="006D7A52" w:rsidRDefault="006D7A52" w:rsidP="006D7A52">
            <w:pPr>
              <w:keepNext/>
              <w:keepLines/>
              <w:jc w:val="both"/>
              <w:outlineLvl w:val="1"/>
              <w:rPr>
                <w:rFonts w:ascii="Arial" w:hAnsi="Arial" w:cs="Arial"/>
                <w:bCs/>
                <w:iCs/>
                <w:sz w:val="20"/>
                <w:szCs w:val="20"/>
                <w:lang w:eastAsia="en-US"/>
              </w:rPr>
            </w:pPr>
          </w:p>
          <w:p w14:paraId="7A884910" w14:textId="77777777" w:rsidR="003524A5" w:rsidRDefault="003524A5" w:rsidP="006D7A52">
            <w:pPr>
              <w:keepNext/>
              <w:keepLines/>
              <w:jc w:val="both"/>
              <w:outlineLvl w:val="1"/>
              <w:rPr>
                <w:rFonts w:ascii="Arial" w:hAnsi="Arial" w:cs="Arial"/>
                <w:bCs/>
                <w:iCs/>
                <w:sz w:val="20"/>
                <w:szCs w:val="20"/>
                <w:lang w:eastAsia="en-US"/>
              </w:rPr>
            </w:pPr>
          </w:p>
          <w:p w14:paraId="5967D1C3"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7.2</w:t>
            </w:r>
          </w:p>
        </w:tc>
        <w:tc>
          <w:tcPr>
            <w:tcW w:w="1305" w:type="dxa"/>
          </w:tcPr>
          <w:p w14:paraId="7EE715DB" w14:textId="77777777" w:rsidR="006D7A52" w:rsidRDefault="006D7A52" w:rsidP="006D7A52">
            <w:pPr>
              <w:keepNext/>
              <w:keepLines/>
              <w:jc w:val="both"/>
              <w:outlineLvl w:val="1"/>
              <w:rPr>
                <w:rFonts w:ascii="Arial" w:hAnsi="Arial" w:cs="Arial"/>
                <w:bCs/>
                <w:iCs/>
                <w:sz w:val="20"/>
                <w:szCs w:val="20"/>
                <w:lang w:eastAsia="en-US"/>
              </w:rPr>
            </w:pPr>
          </w:p>
          <w:p w14:paraId="023E619B" w14:textId="77777777" w:rsidR="003524A5" w:rsidRDefault="003524A5" w:rsidP="006D7A52">
            <w:pPr>
              <w:keepNext/>
              <w:keepLines/>
              <w:jc w:val="both"/>
              <w:outlineLvl w:val="1"/>
              <w:rPr>
                <w:rFonts w:ascii="Arial" w:hAnsi="Arial" w:cs="Arial"/>
                <w:bCs/>
                <w:iCs/>
                <w:sz w:val="20"/>
                <w:szCs w:val="20"/>
                <w:lang w:eastAsia="en-US"/>
              </w:rPr>
            </w:pPr>
          </w:p>
          <w:p w14:paraId="2E333247"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8.0</w:t>
            </w:r>
          </w:p>
        </w:tc>
        <w:tc>
          <w:tcPr>
            <w:tcW w:w="992" w:type="dxa"/>
          </w:tcPr>
          <w:p w14:paraId="7D1CA5C2" w14:textId="77777777" w:rsidR="006D7A52" w:rsidRDefault="006D7A52" w:rsidP="006D7A52">
            <w:pPr>
              <w:keepNext/>
              <w:keepLines/>
              <w:jc w:val="both"/>
              <w:outlineLvl w:val="1"/>
              <w:rPr>
                <w:rFonts w:ascii="Arial" w:hAnsi="Arial" w:cs="Arial"/>
                <w:bCs/>
                <w:iCs/>
                <w:sz w:val="20"/>
                <w:szCs w:val="20"/>
                <w:lang w:eastAsia="en-US"/>
              </w:rPr>
            </w:pPr>
          </w:p>
          <w:p w14:paraId="4F0FFDC2" w14:textId="77777777" w:rsidR="003524A5" w:rsidRDefault="003524A5" w:rsidP="006D7A52">
            <w:pPr>
              <w:keepNext/>
              <w:keepLines/>
              <w:jc w:val="both"/>
              <w:outlineLvl w:val="1"/>
              <w:rPr>
                <w:rFonts w:ascii="Arial" w:hAnsi="Arial" w:cs="Arial"/>
                <w:bCs/>
                <w:iCs/>
                <w:sz w:val="20"/>
                <w:szCs w:val="20"/>
                <w:lang w:eastAsia="en-US"/>
              </w:rPr>
            </w:pPr>
          </w:p>
          <w:p w14:paraId="3386E61A"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-0.7</w:t>
            </w:r>
          </w:p>
        </w:tc>
        <w:tc>
          <w:tcPr>
            <w:tcW w:w="992" w:type="dxa"/>
          </w:tcPr>
          <w:p w14:paraId="59363921" w14:textId="77777777" w:rsidR="006D7A52" w:rsidRDefault="006D7A52" w:rsidP="006D7A52">
            <w:pPr>
              <w:keepNext/>
              <w:keepLines/>
              <w:jc w:val="both"/>
              <w:outlineLvl w:val="1"/>
              <w:rPr>
                <w:rFonts w:ascii="Arial" w:hAnsi="Arial" w:cs="Arial"/>
                <w:bCs/>
                <w:iCs/>
                <w:sz w:val="20"/>
                <w:szCs w:val="20"/>
                <w:lang w:eastAsia="en-US"/>
              </w:rPr>
            </w:pPr>
          </w:p>
          <w:p w14:paraId="103A7DFC" w14:textId="77777777" w:rsidR="001F4E7E" w:rsidRDefault="001F4E7E" w:rsidP="006D7A52">
            <w:pPr>
              <w:keepNext/>
              <w:keepLines/>
              <w:jc w:val="both"/>
              <w:outlineLvl w:val="1"/>
              <w:rPr>
                <w:rFonts w:ascii="Arial" w:hAnsi="Arial" w:cs="Arial"/>
                <w:bCs/>
                <w:iCs/>
                <w:sz w:val="20"/>
                <w:szCs w:val="20"/>
                <w:lang w:eastAsia="en-US"/>
              </w:rPr>
            </w:pPr>
          </w:p>
          <w:p w14:paraId="2EFFDB9A" w14:textId="77777777" w:rsidR="001F4E7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6.3</w:t>
            </w:r>
          </w:p>
        </w:tc>
        <w:tc>
          <w:tcPr>
            <w:tcW w:w="1276" w:type="dxa"/>
          </w:tcPr>
          <w:p w14:paraId="28987F7C" w14:textId="77777777" w:rsidR="006D7A52" w:rsidRDefault="006D7A52" w:rsidP="006D7A52">
            <w:pPr>
              <w:keepNext/>
              <w:keepLines/>
              <w:jc w:val="both"/>
              <w:outlineLvl w:val="1"/>
              <w:rPr>
                <w:rFonts w:ascii="Arial" w:hAnsi="Arial" w:cs="Arial"/>
                <w:bCs/>
                <w:iCs/>
                <w:sz w:val="20"/>
                <w:szCs w:val="20"/>
                <w:lang w:eastAsia="en-US"/>
              </w:rPr>
            </w:pPr>
          </w:p>
          <w:p w14:paraId="7D5F7808" w14:textId="77777777" w:rsidR="00761690" w:rsidRDefault="00761690" w:rsidP="006D7A52">
            <w:pPr>
              <w:keepNext/>
              <w:keepLines/>
              <w:jc w:val="both"/>
              <w:outlineLvl w:val="1"/>
              <w:rPr>
                <w:rFonts w:ascii="Arial" w:hAnsi="Arial" w:cs="Arial"/>
                <w:bCs/>
                <w:iCs/>
                <w:sz w:val="20"/>
                <w:szCs w:val="20"/>
                <w:lang w:eastAsia="en-US"/>
              </w:rPr>
            </w:pPr>
          </w:p>
          <w:p w14:paraId="528CCFC1" w14:textId="77777777" w:rsidR="001F4E7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8.0</w:t>
            </w:r>
          </w:p>
        </w:tc>
        <w:tc>
          <w:tcPr>
            <w:tcW w:w="963" w:type="dxa"/>
          </w:tcPr>
          <w:p w14:paraId="7F0AFAE6" w14:textId="77777777" w:rsidR="006D7A52" w:rsidRDefault="006D7A52" w:rsidP="006D7A52">
            <w:pPr>
              <w:keepNext/>
              <w:keepLines/>
              <w:jc w:val="both"/>
              <w:outlineLvl w:val="1"/>
              <w:rPr>
                <w:rFonts w:ascii="Arial" w:hAnsi="Arial" w:cs="Arial"/>
                <w:bCs/>
                <w:iCs/>
                <w:sz w:val="20"/>
                <w:szCs w:val="20"/>
                <w:lang w:eastAsia="en-US"/>
              </w:rPr>
            </w:pPr>
          </w:p>
          <w:p w14:paraId="634836F3" w14:textId="77777777" w:rsidR="001F4E7E" w:rsidRDefault="001F4E7E" w:rsidP="006D7A52">
            <w:pPr>
              <w:keepNext/>
              <w:keepLines/>
              <w:jc w:val="both"/>
              <w:outlineLvl w:val="1"/>
              <w:rPr>
                <w:rFonts w:ascii="Arial" w:hAnsi="Arial" w:cs="Arial"/>
                <w:bCs/>
                <w:iCs/>
                <w:sz w:val="20"/>
                <w:szCs w:val="20"/>
                <w:lang w:eastAsia="en-US"/>
              </w:rPr>
            </w:pPr>
          </w:p>
          <w:p w14:paraId="6470E99B" w14:textId="77777777" w:rsidR="001F4E7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-1.7</w:t>
            </w:r>
          </w:p>
        </w:tc>
      </w:tr>
      <w:tr w:rsidR="006D7A52" w14:paraId="60C9DF8C" w14:textId="77777777" w:rsidTr="006D7A52">
        <w:tc>
          <w:tcPr>
            <w:tcW w:w="1242" w:type="dxa"/>
          </w:tcPr>
          <w:p w14:paraId="6749997E" w14:textId="77777777" w:rsidR="006D7A52" w:rsidRDefault="006D7A52" w:rsidP="006D7A52">
            <w:pPr>
              <w:jc w:val="both"/>
              <w:rPr>
                <w:rFonts w:ascii="Arial" w:hAnsi="Arial" w:cs="Arial"/>
                <w:sz w:val="18"/>
              </w:rPr>
            </w:pPr>
          </w:p>
          <w:p w14:paraId="0D926A77" w14:textId="77777777" w:rsidR="006D7A52" w:rsidRDefault="006D7A52" w:rsidP="006D7A52">
            <w:pPr>
              <w:jc w:val="both"/>
              <w:rPr>
                <w:rFonts w:ascii="Arial" w:hAnsi="Arial" w:cs="Arial"/>
                <w:sz w:val="18"/>
              </w:rPr>
            </w:pPr>
            <w:r>
              <w:rPr>
                <w:rFonts w:ascii="Arial" w:hAnsi="Arial" w:cs="Arial"/>
                <w:sz w:val="18"/>
              </w:rPr>
              <w:t xml:space="preserve">Invesco </w:t>
            </w:r>
          </w:p>
        </w:tc>
        <w:tc>
          <w:tcPr>
            <w:tcW w:w="1418" w:type="dxa"/>
          </w:tcPr>
          <w:p w14:paraId="450B1C17" w14:textId="77777777" w:rsidR="006D7A52" w:rsidRDefault="006D7A52" w:rsidP="006D7A52">
            <w:pPr>
              <w:widowControl w:val="0"/>
              <w:jc w:val="both"/>
              <w:rPr>
                <w:rFonts w:ascii="Arial" w:hAnsi="Arial" w:cs="Arial"/>
                <w:sz w:val="18"/>
              </w:rPr>
            </w:pPr>
          </w:p>
          <w:p w14:paraId="5641756C" w14:textId="77777777" w:rsidR="006D7A52" w:rsidRDefault="006D7A52" w:rsidP="006D7A52">
            <w:pPr>
              <w:widowControl w:val="0"/>
              <w:jc w:val="both"/>
              <w:rPr>
                <w:rFonts w:ascii="Arial" w:hAnsi="Arial" w:cs="Arial"/>
                <w:sz w:val="18"/>
              </w:rPr>
            </w:pPr>
            <w:r>
              <w:rPr>
                <w:rFonts w:ascii="Arial" w:hAnsi="Arial" w:cs="Arial"/>
                <w:sz w:val="18"/>
              </w:rPr>
              <w:t>UK Property (PRS)</w:t>
            </w:r>
          </w:p>
        </w:tc>
        <w:tc>
          <w:tcPr>
            <w:tcW w:w="992" w:type="dxa"/>
          </w:tcPr>
          <w:p w14:paraId="28428C9F" w14:textId="77777777" w:rsidR="006D7A52" w:rsidRDefault="006D7A52" w:rsidP="006D7A52">
            <w:pPr>
              <w:jc w:val="both"/>
              <w:rPr>
                <w:rFonts w:ascii="Arial" w:hAnsi="Arial" w:cs="Arial"/>
                <w:sz w:val="20"/>
                <w:szCs w:val="20"/>
              </w:rPr>
            </w:pPr>
          </w:p>
          <w:p w14:paraId="1C19882E" w14:textId="77777777" w:rsidR="003524A5" w:rsidRDefault="003524A5" w:rsidP="006D7A52">
            <w:pPr>
              <w:jc w:val="both"/>
              <w:rPr>
                <w:rFonts w:ascii="Arial" w:hAnsi="Arial" w:cs="Arial"/>
                <w:sz w:val="20"/>
                <w:szCs w:val="20"/>
              </w:rPr>
            </w:pPr>
          </w:p>
          <w:p w14:paraId="1A8A0D14" w14:textId="77777777" w:rsidR="003524A5" w:rsidRPr="005D0B99" w:rsidRDefault="003524A5" w:rsidP="006D7A52">
            <w:pPr>
              <w:jc w:val="both"/>
              <w:rPr>
                <w:rFonts w:ascii="Arial" w:hAnsi="Arial" w:cs="Arial"/>
                <w:sz w:val="20"/>
                <w:szCs w:val="20"/>
              </w:rPr>
            </w:pPr>
            <w:r>
              <w:rPr>
                <w:rFonts w:ascii="Arial" w:hAnsi="Arial" w:cs="Arial"/>
                <w:sz w:val="20"/>
                <w:szCs w:val="20"/>
              </w:rPr>
              <w:t>0.1</w:t>
            </w:r>
          </w:p>
        </w:tc>
        <w:tc>
          <w:tcPr>
            <w:tcW w:w="1305" w:type="dxa"/>
          </w:tcPr>
          <w:p w14:paraId="3D246CDE" w14:textId="77777777" w:rsidR="003524A5" w:rsidRDefault="003524A5" w:rsidP="006D7A52">
            <w:pPr>
              <w:jc w:val="both"/>
              <w:rPr>
                <w:rFonts w:ascii="Arial" w:hAnsi="Arial" w:cs="Arial"/>
                <w:sz w:val="20"/>
                <w:szCs w:val="20"/>
              </w:rPr>
            </w:pPr>
          </w:p>
          <w:p w14:paraId="397147C2" w14:textId="77777777" w:rsidR="003524A5" w:rsidRDefault="003524A5" w:rsidP="006D7A52">
            <w:pPr>
              <w:jc w:val="both"/>
              <w:rPr>
                <w:rFonts w:ascii="Arial" w:hAnsi="Arial" w:cs="Arial"/>
                <w:sz w:val="20"/>
                <w:szCs w:val="20"/>
              </w:rPr>
            </w:pPr>
          </w:p>
          <w:p w14:paraId="49DA9F6A" w14:textId="77777777" w:rsidR="006D7A52" w:rsidRPr="005D0B99" w:rsidRDefault="003524A5" w:rsidP="006D7A52">
            <w:pPr>
              <w:jc w:val="both"/>
              <w:rPr>
                <w:rFonts w:ascii="Arial" w:hAnsi="Arial" w:cs="Arial"/>
                <w:sz w:val="20"/>
                <w:szCs w:val="20"/>
              </w:rPr>
            </w:pPr>
            <w:r>
              <w:rPr>
                <w:rFonts w:ascii="Arial" w:hAnsi="Arial" w:cs="Arial"/>
                <w:sz w:val="20"/>
                <w:szCs w:val="20"/>
              </w:rPr>
              <w:t>5.6</w:t>
            </w:r>
          </w:p>
        </w:tc>
        <w:tc>
          <w:tcPr>
            <w:tcW w:w="992" w:type="dxa"/>
          </w:tcPr>
          <w:p w14:paraId="6322795A" w14:textId="77777777" w:rsidR="006D7A52" w:rsidRDefault="006D7A52" w:rsidP="006D7A52">
            <w:pPr>
              <w:jc w:val="both"/>
              <w:rPr>
                <w:rFonts w:ascii="Arial" w:hAnsi="Arial" w:cs="Arial"/>
                <w:sz w:val="20"/>
                <w:szCs w:val="20"/>
              </w:rPr>
            </w:pPr>
          </w:p>
          <w:p w14:paraId="3C96555A" w14:textId="77777777" w:rsidR="003524A5" w:rsidRDefault="003524A5" w:rsidP="006D7A52">
            <w:pPr>
              <w:jc w:val="both"/>
              <w:rPr>
                <w:rFonts w:ascii="Arial" w:hAnsi="Arial" w:cs="Arial"/>
                <w:sz w:val="20"/>
                <w:szCs w:val="20"/>
              </w:rPr>
            </w:pPr>
          </w:p>
          <w:p w14:paraId="6E55277F" w14:textId="77777777" w:rsidR="003524A5" w:rsidRPr="005D0B99" w:rsidRDefault="003524A5" w:rsidP="006D7A52">
            <w:pPr>
              <w:jc w:val="both"/>
              <w:rPr>
                <w:rFonts w:ascii="Arial" w:hAnsi="Arial" w:cs="Arial"/>
                <w:sz w:val="20"/>
                <w:szCs w:val="20"/>
              </w:rPr>
            </w:pPr>
            <w:r>
              <w:rPr>
                <w:rFonts w:ascii="Arial" w:hAnsi="Arial" w:cs="Arial"/>
                <w:sz w:val="20"/>
                <w:szCs w:val="20"/>
              </w:rPr>
              <w:t>-5.2</w:t>
            </w:r>
          </w:p>
        </w:tc>
        <w:tc>
          <w:tcPr>
            <w:tcW w:w="992" w:type="dxa"/>
          </w:tcPr>
          <w:p w14:paraId="53D9301E" w14:textId="77777777" w:rsidR="006D7A52" w:rsidRDefault="006D7A52" w:rsidP="006D7A52">
            <w:pPr>
              <w:jc w:val="both"/>
              <w:rPr>
                <w:rFonts w:ascii="Arial" w:hAnsi="Arial" w:cs="Arial"/>
                <w:sz w:val="20"/>
                <w:szCs w:val="20"/>
              </w:rPr>
            </w:pPr>
          </w:p>
          <w:p w14:paraId="4E17C7D6" w14:textId="77777777" w:rsidR="001F4E7E" w:rsidRDefault="001F4E7E" w:rsidP="006D7A52">
            <w:pPr>
              <w:jc w:val="both"/>
              <w:rPr>
                <w:rFonts w:ascii="Arial" w:hAnsi="Arial" w:cs="Arial"/>
                <w:sz w:val="20"/>
                <w:szCs w:val="20"/>
              </w:rPr>
            </w:pPr>
          </w:p>
          <w:p w14:paraId="015A4DE3" w14:textId="77777777" w:rsidR="001F4E7E" w:rsidRPr="005D0B99" w:rsidRDefault="00761690" w:rsidP="006D7A52">
            <w:pPr>
              <w:jc w:val="both"/>
              <w:rPr>
                <w:rFonts w:ascii="Arial" w:hAnsi="Arial" w:cs="Arial"/>
                <w:sz w:val="20"/>
                <w:szCs w:val="20"/>
              </w:rPr>
            </w:pPr>
            <w:r>
              <w:rPr>
                <w:rFonts w:ascii="Arial" w:hAnsi="Arial" w:cs="Arial"/>
                <w:sz w:val="20"/>
                <w:szCs w:val="20"/>
              </w:rPr>
              <w:t>1.9</w:t>
            </w:r>
          </w:p>
        </w:tc>
        <w:tc>
          <w:tcPr>
            <w:tcW w:w="1276" w:type="dxa"/>
          </w:tcPr>
          <w:p w14:paraId="006ABB96" w14:textId="77777777" w:rsidR="006D7A52" w:rsidRDefault="006D7A52" w:rsidP="006D7A52">
            <w:pPr>
              <w:jc w:val="both"/>
              <w:rPr>
                <w:rFonts w:ascii="Arial" w:hAnsi="Arial" w:cs="Arial"/>
                <w:sz w:val="20"/>
                <w:szCs w:val="20"/>
              </w:rPr>
            </w:pPr>
          </w:p>
          <w:p w14:paraId="19AB0CDD" w14:textId="77777777" w:rsidR="001F4E7E" w:rsidRDefault="001F4E7E" w:rsidP="006D7A52">
            <w:pPr>
              <w:jc w:val="both"/>
              <w:rPr>
                <w:rFonts w:ascii="Arial" w:hAnsi="Arial" w:cs="Arial"/>
                <w:sz w:val="20"/>
                <w:szCs w:val="20"/>
              </w:rPr>
            </w:pPr>
          </w:p>
          <w:p w14:paraId="52192F12" w14:textId="77777777" w:rsidR="001F4E7E" w:rsidRPr="005D0B99" w:rsidRDefault="00761690" w:rsidP="006D7A52">
            <w:pPr>
              <w:jc w:val="both"/>
              <w:rPr>
                <w:rFonts w:ascii="Arial" w:hAnsi="Arial" w:cs="Arial"/>
                <w:sz w:val="20"/>
                <w:szCs w:val="20"/>
              </w:rPr>
            </w:pPr>
            <w:r>
              <w:rPr>
                <w:rFonts w:ascii="Arial" w:hAnsi="Arial" w:cs="Arial"/>
                <w:sz w:val="20"/>
                <w:szCs w:val="20"/>
              </w:rPr>
              <w:t>0.1</w:t>
            </w:r>
          </w:p>
        </w:tc>
        <w:tc>
          <w:tcPr>
            <w:tcW w:w="963" w:type="dxa"/>
          </w:tcPr>
          <w:p w14:paraId="2B2F9A3F" w14:textId="77777777" w:rsidR="006D7A52" w:rsidRDefault="006D7A52" w:rsidP="006D7A52">
            <w:pPr>
              <w:jc w:val="both"/>
              <w:rPr>
                <w:rFonts w:ascii="Arial" w:hAnsi="Arial" w:cs="Arial"/>
                <w:sz w:val="20"/>
                <w:szCs w:val="20"/>
              </w:rPr>
            </w:pPr>
          </w:p>
          <w:p w14:paraId="5C3D36CE" w14:textId="77777777" w:rsidR="001F4E7E" w:rsidRDefault="001F4E7E" w:rsidP="006D7A52">
            <w:pPr>
              <w:jc w:val="both"/>
              <w:rPr>
                <w:rFonts w:ascii="Arial" w:hAnsi="Arial" w:cs="Arial"/>
                <w:sz w:val="20"/>
                <w:szCs w:val="20"/>
              </w:rPr>
            </w:pPr>
          </w:p>
          <w:p w14:paraId="336C6776" w14:textId="77777777" w:rsidR="001F4E7E" w:rsidRPr="005D0B99" w:rsidRDefault="00761690" w:rsidP="006D7A52">
            <w:pPr>
              <w:jc w:val="both"/>
              <w:rPr>
                <w:rFonts w:ascii="Arial" w:hAnsi="Arial" w:cs="Arial"/>
                <w:sz w:val="20"/>
                <w:szCs w:val="20"/>
              </w:rPr>
            </w:pPr>
            <w:r>
              <w:rPr>
                <w:rFonts w:ascii="Arial" w:hAnsi="Arial" w:cs="Arial"/>
                <w:sz w:val="20"/>
                <w:szCs w:val="20"/>
              </w:rPr>
              <w:t>1.8</w:t>
            </w:r>
          </w:p>
        </w:tc>
      </w:tr>
      <w:tr w:rsidR="006D7A52" w14:paraId="3EFC620A" w14:textId="77777777" w:rsidTr="006D7A52">
        <w:tc>
          <w:tcPr>
            <w:tcW w:w="1242" w:type="dxa"/>
          </w:tcPr>
          <w:p w14:paraId="3B91FB37" w14:textId="77777777" w:rsidR="003524A5" w:rsidRDefault="003524A5" w:rsidP="006D7A52">
            <w:pPr>
              <w:jc w:val="both"/>
              <w:rPr>
                <w:rFonts w:ascii="Arial" w:hAnsi="Arial" w:cs="Arial"/>
                <w:sz w:val="20"/>
                <w:szCs w:val="20"/>
              </w:rPr>
            </w:pPr>
          </w:p>
          <w:p w14:paraId="6A5F4265" w14:textId="77777777" w:rsidR="006D7A52" w:rsidRPr="00EE0692" w:rsidRDefault="006D7A52" w:rsidP="006D7A52">
            <w:pPr>
              <w:jc w:val="both"/>
              <w:rPr>
                <w:rFonts w:ascii="Arial" w:hAnsi="Arial" w:cs="Arial"/>
                <w:sz w:val="20"/>
                <w:szCs w:val="20"/>
              </w:rPr>
            </w:pPr>
            <w:r w:rsidRPr="00EE0692">
              <w:rPr>
                <w:rFonts w:ascii="Arial" w:hAnsi="Arial" w:cs="Arial"/>
                <w:sz w:val="20"/>
                <w:szCs w:val="20"/>
              </w:rPr>
              <w:t xml:space="preserve">Capital Dynamics </w:t>
            </w:r>
            <w:r w:rsidR="004C6F7C">
              <w:rPr>
                <w:rFonts w:ascii="Arial" w:hAnsi="Arial" w:cs="Arial"/>
                <w:sz w:val="20"/>
                <w:szCs w:val="20"/>
              </w:rPr>
              <w:t>II</w:t>
            </w:r>
          </w:p>
        </w:tc>
        <w:tc>
          <w:tcPr>
            <w:tcW w:w="1418" w:type="dxa"/>
          </w:tcPr>
          <w:p w14:paraId="63831F97" w14:textId="77777777" w:rsidR="006D7A52" w:rsidRDefault="006D7A52" w:rsidP="006D7A52">
            <w:pPr>
              <w:widowControl w:val="0"/>
              <w:jc w:val="both"/>
              <w:rPr>
                <w:rFonts w:ascii="Arial" w:hAnsi="Arial" w:cs="Arial"/>
                <w:sz w:val="20"/>
                <w:szCs w:val="20"/>
              </w:rPr>
            </w:pPr>
          </w:p>
          <w:p w14:paraId="385FCA35" w14:textId="77777777" w:rsidR="006D7A52" w:rsidRPr="00EE0692" w:rsidRDefault="006D7A52" w:rsidP="006D7A52">
            <w:pPr>
              <w:widowControl w:val="0"/>
              <w:jc w:val="both"/>
              <w:rPr>
                <w:rFonts w:ascii="Arial" w:hAnsi="Arial" w:cs="Arial"/>
                <w:sz w:val="20"/>
                <w:szCs w:val="20"/>
              </w:rPr>
            </w:pPr>
            <w:r w:rsidRPr="00EE0692">
              <w:rPr>
                <w:rFonts w:ascii="Arial" w:hAnsi="Arial" w:cs="Arial"/>
                <w:sz w:val="20"/>
                <w:szCs w:val="20"/>
              </w:rPr>
              <w:t>Infrastructure (CEI)</w:t>
            </w:r>
          </w:p>
        </w:tc>
        <w:tc>
          <w:tcPr>
            <w:tcW w:w="992" w:type="dxa"/>
          </w:tcPr>
          <w:p w14:paraId="4DDD31BD" w14:textId="77777777" w:rsidR="006D7A52" w:rsidRDefault="006D7A52" w:rsidP="006D7A52">
            <w:pPr>
              <w:keepNext/>
              <w:keepLines/>
              <w:jc w:val="both"/>
              <w:outlineLvl w:val="1"/>
              <w:rPr>
                <w:rFonts w:ascii="Arial" w:hAnsi="Arial" w:cs="Arial"/>
                <w:bCs/>
                <w:iCs/>
                <w:sz w:val="20"/>
                <w:szCs w:val="20"/>
                <w:lang w:eastAsia="en-US"/>
              </w:rPr>
            </w:pPr>
          </w:p>
          <w:p w14:paraId="39C9FB60" w14:textId="77777777" w:rsidR="003524A5" w:rsidRDefault="003524A5" w:rsidP="006D7A52">
            <w:pPr>
              <w:keepNext/>
              <w:keepLines/>
              <w:jc w:val="both"/>
              <w:outlineLvl w:val="1"/>
              <w:rPr>
                <w:rFonts w:ascii="Arial" w:hAnsi="Arial" w:cs="Arial"/>
                <w:bCs/>
                <w:iCs/>
                <w:sz w:val="20"/>
                <w:szCs w:val="20"/>
                <w:lang w:eastAsia="en-US"/>
              </w:rPr>
            </w:pPr>
          </w:p>
          <w:p w14:paraId="14BD51F1" w14:textId="77777777" w:rsidR="003524A5" w:rsidRDefault="003524A5" w:rsidP="006D7A52">
            <w:pPr>
              <w:keepNext/>
              <w:keepLines/>
              <w:jc w:val="both"/>
              <w:outlineLvl w:val="1"/>
              <w:rPr>
                <w:rFonts w:ascii="Arial" w:hAnsi="Arial" w:cs="Arial"/>
                <w:bCs/>
                <w:iCs/>
                <w:sz w:val="20"/>
                <w:szCs w:val="20"/>
                <w:lang w:eastAsia="en-US"/>
              </w:rPr>
            </w:pPr>
          </w:p>
          <w:p w14:paraId="3DFD49A4"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15.5</w:t>
            </w:r>
          </w:p>
        </w:tc>
        <w:tc>
          <w:tcPr>
            <w:tcW w:w="1305" w:type="dxa"/>
          </w:tcPr>
          <w:p w14:paraId="38FEF02C" w14:textId="77777777" w:rsidR="003524A5" w:rsidRDefault="003524A5" w:rsidP="006D7A52">
            <w:pPr>
              <w:keepNext/>
              <w:keepLines/>
              <w:jc w:val="both"/>
              <w:outlineLvl w:val="1"/>
              <w:rPr>
                <w:rFonts w:ascii="Arial" w:hAnsi="Arial" w:cs="Arial"/>
                <w:bCs/>
                <w:iCs/>
                <w:sz w:val="20"/>
                <w:szCs w:val="20"/>
                <w:lang w:eastAsia="en-US"/>
              </w:rPr>
            </w:pPr>
          </w:p>
          <w:p w14:paraId="2750886D" w14:textId="77777777" w:rsidR="003524A5" w:rsidRDefault="003524A5" w:rsidP="006D7A52">
            <w:pPr>
              <w:keepNext/>
              <w:keepLines/>
              <w:jc w:val="both"/>
              <w:outlineLvl w:val="1"/>
              <w:rPr>
                <w:rFonts w:ascii="Arial" w:hAnsi="Arial" w:cs="Arial"/>
                <w:bCs/>
                <w:iCs/>
                <w:sz w:val="20"/>
                <w:szCs w:val="20"/>
                <w:lang w:eastAsia="en-US"/>
              </w:rPr>
            </w:pPr>
          </w:p>
          <w:p w14:paraId="578E792A" w14:textId="77777777" w:rsidR="003524A5" w:rsidRDefault="003524A5" w:rsidP="006D7A52">
            <w:pPr>
              <w:keepNext/>
              <w:keepLines/>
              <w:jc w:val="both"/>
              <w:outlineLvl w:val="1"/>
              <w:rPr>
                <w:rFonts w:ascii="Arial" w:hAnsi="Arial" w:cs="Arial"/>
                <w:bCs/>
                <w:iCs/>
                <w:sz w:val="20"/>
                <w:szCs w:val="20"/>
                <w:lang w:eastAsia="en-US"/>
              </w:rPr>
            </w:pPr>
          </w:p>
          <w:p w14:paraId="0FCB299C" w14:textId="77777777" w:rsidR="006D7A52"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15.0</w:t>
            </w:r>
          </w:p>
        </w:tc>
        <w:tc>
          <w:tcPr>
            <w:tcW w:w="992" w:type="dxa"/>
          </w:tcPr>
          <w:p w14:paraId="000807FD" w14:textId="77777777" w:rsidR="006D7A52" w:rsidRDefault="006D7A52" w:rsidP="006D7A52">
            <w:pPr>
              <w:keepNext/>
              <w:keepLines/>
              <w:jc w:val="both"/>
              <w:outlineLvl w:val="1"/>
              <w:rPr>
                <w:rFonts w:ascii="Arial" w:hAnsi="Arial" w:cs="Arial"/>
                <w:bCs/>
                <w:iCs/>
                <w:sz w:val="20"/>
                <w:szCs w:val="20"/>
                <w:lang w:eastAsia="en-US"/>
              </w:rPr>
            </w:pPr>
          </w:p>
          <w:p w14:paraId="4F271EDF" w14:textId="77777777" w:rsidR="003524A5" w:rsidRDefault="003524A5" w:rsidP="006D7A52">
            <w:pPr>
              <w:keepNext/>
              <w:keepLines/>
              <w:jc w:val="both"/>
              <w:outlineLvl w:val="1"/>
              <w:rPr>
                <w:rFonts w:ascii="Arial" w:hAnsi="Arial" w:cs="Arial"/>
                <w:bCs/>
                <w:iCs/>
                <w:sz w:val="20"/>
                <w:szCs w:val="20"/>
                <w:lang w:eastAsia="en-US"/>
              </w:rPr>
            </w:pPr>
          </w:p>
          <w:p w14:paraId="2AD82010" w14:textId="77777777" w:rsidR="003524A5" w:rsidRDefault="003524A5" w:rsidP="006D7A52">
            <w:pPr>
              <w:keepNext/>
              <w:keepLines/>
              <w:jc w:val="both"/>
              <w:outlineLvl w:val="1"/>
              <w:rPr>
                <w:rFonts w:ascii="Arial" w:hAnsi="Arial" w:cs="Arial"/>
                <w:bCs/>
                <w:iCs/>
                <w:sz w:val="20"/>
                <w:szCs w:val="20"/>
                <w:lang w:eastAsia="en-US"/>
              </w:rPr>
            </w:pPr>
          </w:p>
          <w:p w14:paraId="4052DF21"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0.1</w:t>
            </w:r>
          </w:p>
        </w:tc>
        <w:tc>
          <w:tcPr>
            <w:tcW w:w="992" w:type="dxa"/>
          </w:tcPr>
          <w:p w14:paraId="4646BC3F" w14:textId="77777777" w:rsidR="006D7A52" w:rsidRDefault="006D7A52" w:rsidP="006D7A52">
            <w:pPr>
              <w:keepNext/>
              <w:keepLines/>
              <w:jc w:val="both"/>
              <w:outlineLvl w:val="1"/>
              <w:rPr>
                <w:rFonts w:ascii="Arial" w:hAnsi="Arial" w:cs="Arial"/>
                <w:bCs/>
                <w:iCs/>
                <w:sz w:val="20"/>
                <w:szCs w:val="20"/>
                <w:lang w:eastAsia="en-US"/>
              </w:rPr>
            </w:pPr>
          </w:p>
          <w:p w14:paraId="22B08CC3" w14:textId="77777777" w:rsidR="001F4E7E" w:rsidRDefault="001F4E7E" w:rsidP="006D7A52">
            <w:pPr>
              <w:keepNext/>
              <w:keepLines/>
              <w:jc w:val="both"/>
              <w:outlineLvl w:val="1"/>
              <w:rPr>
                <w:rFonts w:ascii="Arial" w:hAnsi="Arial" w:cs="Arial"/>
                <w:bCs/>
                <w:iCs/>
                <w:sz w:val="20"/>
                <w:szCs w:val="20"/>
                <w:lang w:eastAsia="en-US"/>
              </w:rPr>
            </w:pPr>
          </w:p>
          <w:p w14:paraId="6A14E071" w14:textId="77777777" w:rsidR="002E2DA4" w:rsidRDefault="002E2DA4" w:rsidP="006D7A52">
            <w:pPr>
              <w:keepNext/>
              <w:keepLines/>
              <w:jc w:val="both"/>
              <w:outlineLvl w:val="1"/>
              <w:rPr>
                <w:rFonts w:ascii="Arial" w:hAnsi="Arial" w:cs="Arial"/>
                <w:bCs/>
                <w:iCs/>
                <w:sz w:val="20"/>
                <w:szCs w:val="20"/>
                <w:lang w:eastAsia="en-US"/>
              </w:rPr>
            </w:pPr>
          </w:p>
          <w:p w14:paraId="3DF33375" w14:textId="77777777" w:rsidR="001F4E7E"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-1.8</w:t>
            </w:r>
          </w:p>
        </w:tc>
        <w:tc>
          <w:tcPr>
            <w:tcW w:w="1276" w:type="dxa"/>
          </w:tcPr>
          <w:p w14:paraId="3609D244" w14:textId="77777777" w:rsidR="006D7A52" w:rsidRDefault="006D7A52" w:rsidP="006D7A52">
            <w:pPr>
              <w:keepNext/>
              <w:keepLines/>
              <w:jc w:val="both"/>
              <w:outlineLvl w:val="1"/>
              <w:rPr>
                <w:rFonts w:ascii="Arial" w:hAnsi="Arial" w:cs="Arial"/>
                <w:bCs/>
                <w:iCs/>
                <w:sz w:val="20"/>
                <w:szCs w:val="20"/>
                <w:lang w:eastAsia="en-US"/>
              </w:rPr>
            </w:pPr>
          </w:p>
          <w:p w14:paraId="31D44E79" w14:textId="77777777" w:rsidR="002E2DA4" w:rsidRDefault="002E2DA4" w:rsidP="006D7A52">
            <w:pPr>
              <w:keepNext/>
              <w:keepLines/>
              <w:jc w:val="both"/>
              <w:outlineLvl w:val="1"/>
              <w:rPr>
                <w:rFonts w:ascii="Arial" w:hAnsi="Arial" w:cs="Arial"/>
                <w:bCs/>
                <w:iCs/>
                <w:sz w:val="20"/>
                <w:szCs w:val="20"/>
                <w:lang w:eastAsia="en-US"/>
              </w:rPr>
            </w:pPr>
          </w:p>
          <w:p w14:paraId="38D354A5" w14:textId="77777777" w:rsidR="002E2DA4" w:rsidRDefault="002E2DA4" w:rsidP="006D7A52">
            <w:pPr>
              <w:keepNext/>
              <w:keepLines/>
              <w:jc w:val="both"/>
              <w:outlineLvl w:val="1"/>
              <w:rPr>
                <w:rFonts w:ascii="Arial" w:hAnsi="Arial" w:cs="Arial"/>
                <w:bCs/>
                <w:iCs/>
                <w:sz w:val="20"/>
                <w:szCs w:val="20"/>
                <w:lang w:eastAsia="en-US"/>
              </w:rPr>
            </w:pPr>
          </w:p>
          <w:p w14:paraId="1E630BDF" w14:textId="77777777" w:rsidR="002E2DA4"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15.0</w:t>
            </w:r>
          </w:p>
        </w:tc>
        <w:tc>
          <w:tcPr>
            <w:tcW w:w="963" w:type="dxa"/>
          </w:tcPr>
          <w:p w14:paraId="58CB19E4" w14:textId="77777777" w:rsidR="006D7A52" w:rsidRDefault="006D7A52" w:rsidP="006D7A52">
            <w:pPr>
              <w:keepNext/>
              <w:keepLines/>
              <w:jc w:val="both"/>
              <w:outlineLvl w:val="1"/>
              <w:rPr>
                <w:rFonts w:ascii="Arial" w:hAnsi="Arial" w:cs="Arial"/>
                <w:bCs/>
                <w:iCs/>
                <w:sz w:val="20"/>
                <w:szCs w:val="20"/>
                <w:lang w:eastAsia="en-US"/>
              </w:rPr>
            </w:pPr>
          </w:p>
          <w:p w14:paraId="02AD1C4B" w14:textId="77777777" w:rsidR="002E2DA4" w:rsidRDefault="002E2DA4" w:rsidP="006D7A52">
            <w:pPr>
              <w:keepNext/>
              <w:keepLines/>
              <w:jc w:val="both"/>
              <w:outlineLvl w:val="1"/>
              <w:rPr>
                <w:rFonts w:ascii="Arial" w:hAnsi="Arial" w:cs="Arial"/>
                <w:bCs/>
                <w:iCs/>
                <w:sz w:val="20"/>
                <w:szCs w:val="20"/>
                <w:lang w:eastAsia="en-US"/>
              </w:rPr>
            </w:pPr>
          </w:p>
          <w:p w14:paraId="46232244" w14:textId="77777777" w:rsidR="002E2DA4" w:rsidRDefault="002E2DA4" w:rsidP="006D7A52">
            <w:pPr>
              <w:keepNext/>
              <w:keepLines/>
              <w:jc w:val="both"/>
              <w:outlineLvl w:val="1"/>
              <w:rPr>
                <w:rFonts w:ascii="Arial" w:hAnsi="Arial" w:cs="Arial"/>
                <w:bCs/>
                <w:iCs/>
                <w:sz w:val="20"/>
                <w:szCs w:val="20"/>
                <w:lang w:eastAsia="en-US"/>
              </w:rPr>
            </w:pPr>
          </w:p>
          <w:p w14:paraId="4CE66D50" w14:textId="77777777" w:rsidR="002E2DA4"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-16.8</w:t>
            </w:r>
          </w:p>
        </w:tc>
      </w:tr>
      <w:tr w:rsidR="001F4E7E" w14:paraId="765D5C08" w14:textId="77777777" w:rsidTr="006D7A52">
        <w:tc>
          <w:tcPr>
            <w:tcW w:w="1242" w:type="dxa"/>
          </w:tcPr>
          <w:p w14:paraId="7349FA83" w14:textId="77777777" w:rsidR="004C6F7C" w:rsidRDefault="004C6F7C" w:rsidP="006D7A52">
            <w:pPr>
              <w:jc w:val="both"/>
              <w:rPr>
                <w:rFonts w:ascii="Arial" w:hAnsi="Arial" w:cs="Arial"/>
                <w:sz w:val="20"/>
                <w:szCs w:val="20"/>
              </w:rPr>
            </w:pPr>
          </w:p>
          <w:p w14:paraId="781C6E78" w14:textId="77777777" w:rsidR="001F4E7E" w:rsidRDefault="004C6F7C" w:rsidP="006D7A52">
            <w:pPr>
              <w:jc w:val="both"/>
              <w:rPr>
                <w:rFonts w:ascii="Arial" w:hAnsi="Arial" w:cs="Arial"/>
                <w:sz w:val="20"/>
                <w:szCs w:val="20"/>
              </w:rPr>
            </w:pPr>
            <w:r>
              <w:rPr>
                <w:rFonts w:ascii="Arial" w:hAnsi="Arial" w:cs="Arial"/>
                <w:sz w:val="20"/>
                <w:szCs w:val="20"/>
              </w:rPr>
              <w:t>Capital Dynamics III</w:t>
            </w:r>
          </w:p>
        </w:tc>
        <w:tc>
          <w:tcPr>
            <w:tcW w:w="1418" w:type="dxa"/>
          </w:tcPr>
          <w:p w14:paraId="75C6ED99" w14:textId="77777777" w:rsidR="002E2DA4" w:rsidRDefault="002E2DA4" w:rsidP="006D7A52">
            <w:pPr>
              <w:widowControl w:val="0"/>
              <w:jc w:val="both"/>
              <w:rPr>
                <w:rFonts w:ascii="Arial" w:hAnsi="Arial" w:cs="Arial"/>
                <w:sz w:val="20"/>
                <w:szCs w:val="20"/>
              </w:rPr>
            </w:pPr>
          </w:p>
          <w:p w14:paraId="6B95F819" w14:textId="77777777" w:rsidR="001F4E7E" w:rsidRDefault="002E2DA4" w:rsidP="006D7A52">
            <w:pPr>
              <w:widowControl w:val="0"/>
              <w:jc w:val="both"/>
              <w:rPr>
                <w:rFonts w:ascii="Arial" w:hAnsi="Arial" w:cs="Arial"/>
                <w:sz w:val="20"/>
                <w:szCs w:val="20"/>
              </w:rPr>
            </w:pPr>
            <w:r w:rsidRPr="00EE0692">
              <w:rPr>
                <w:rFonts w:ascii="Arial" w:hAnsi="Arial" w:cs="Arial"/>
                <w:sz w:val="20"/>
                <w:szCs w:val="20"/>
              </w:rPr>
              <w:t>Infrastructure (CEI)</w:t>
            </w:r>
          </w:p>
        </w:tc>
        <w:tc>
          <w:tcPr>
            <w:tcW w:w="992" w:type="dxa"/>
          </w:tcPr>
          <w:p w14:paraId="735BB81D" w14:textId="77777777" w:rsidR="002E2DA4" w:rsidRDefault="002E2DA4" w:rsidP="006D7A52">
            <w:pPr>
              <w:keepNext/>
              <w:keepLines/>
              <w:jc w:val="both"/>
              <w:outlineLvl w:val="1"/>
              <w:rPr>
                <w:rFonts w:ascii="Arial" w:hAnsi="Arial" w:cs="Arial"/>
                <w:bCs/>
                <w:iCs/>
                <w:sz w:val="20"/>
                <w:szCs w:val="20"/>
                <w:lang w:eastAsia="en-US"/>
              </w:rPr>
            </w:pPr>
          </w:p>
          <w:p w14:paraId="20B31311" w14:textId="77777777" w:rsidR="003524A5" w:rsidRDefault="003524A5" w:rsidP="006D7A52">
            <w:pPr>
              <w:keepNext/>
              <w:keepLines/>
              <w:jc w:val="both"/>
              <w:outlineLvl w:val="1"/>
              <w:rPr>
                <w:rFonts w:ascii="Arial" w:hAnsi="Arial" w:cs="Arial"/>
                <w:bCs/>
                <w:iCs/>
                <w:sz w:val="20"/>
                <w:szCs w:val="20"/>
                <w:lang w:eastAsia="en-US"/>
              </w:rPr>
            </w:pPr>
          </w:p>
          <w:p w14:paraId="10EF47A0" w14:textId="77777777" w:rsidR="003524A5" w:rsidRDefault="003524A5" w:rsidP="006D7A52">
            <w:pPr>
              <w:keepNext/>
              <w:keepLines/>
              <w:jc w:val="both"/>
              <w:outlineLvl w:val="1"/>
              <w:rPr>
                <w:rFonts w:ascii="Arial" w:hAnsi="Arial" w:cs="Arial"/>
                <w:bCs/>
                <w:iCs/>
                <w:sz w:val="20"/>
                <w:szCs w:val="20"/>
                <w:lang w:eastAsia="en-US"/>
              </w:rPr>
            </w:pPr>
          </w:p>
          <w:p w14:paraId="469B6D70" w14:textId="77777777" w:rsidR="003524A5"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28.1</w:t>
            </w:r>
          </w:p>
        </w:tc>
        <w:tc>
          <w:tcPr>
            <w:tcW w:w="1305" w:type="dxa"/>
          </w:tcPr>
          <w:p w14:paraId="53C230E3" w14:textId="77777777" w:rsidR="001F4E7E" w:rsidRDefault="001F4E7E" w:rsidP="006D7A52">
            <w:pPr>
              <w:keepNext/>
              <w:keepLines/>
              <w:jc w:val="both"/>
              <w:outlineLvl w:val="1"/>
              <w:rPr>
                <w:rFonts w:ascii="Arial" w:hAnsi="Arial" w:cs="Arial"/>
                <w:bCs/>
                <w:iCs/>
                <w:sz w:val="20"/>
                <w:szCs w:val="20"/>
                <w:lang w:eastAsia="en-US"/>
              </w:rPr>
            </w:pPr>
          </w:p>
          <w:p w14:paraId="5BDA4E14" w14:textId="77777777" w:rsidR="003524A5" w:rsidRDefault="003524A5" w:rsidP="006D7A52">
            <w:pPr>
              <w:keepNext/>
              <w:keepLines/>
              <w:jc w:val="both"/>
              <w:outlineLvl w:val="1"/>
              <w:rPr>
                <w:rFonts w:ascii="Arial" w:hAnsi="Arial" w:cs="Arial"/>
                <w:bCs/>
                <w:iCs/>
                <w:sz w:val="20"/>
                <w:szCs w:val="20"/>
                <w:lang w:eastAsia="en-US"/>
              </w:rPr>
            </w:pPr>
          </w:p>
          <w:p w14:paraId="60F23865" w14:textId="77777777" w:rsidR="003524A5" w:rsidRDefault="003524A5" w:rsidP="006D7A52">
            <w:pPr>
              <w:keepNext/>
              <w:keepLines/>
              <w:jc w:val="both"/>
              <w:outlineLvl w:val="1"/>
              <w:rPr>
                <w:rFonts w:ascii="Arial" w:hAnsi="Arial" w:cs="Arial"/>
                <w:bCs/>
                <w:iCs/>
                <w:sz w:val="20"/>
                <w:szCs w:val="20"/>
                <w:lang w:eastAsia="en-US"/>
              </w:rPr>
            </w:pPr>
          </w:p>
          <w:p w14:paraId="476A6072" w14:textId="77777777" w:rsidR="003524A5"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15.0</w:t>
            </w:r>
          </w:p>
        </w:tc>
        <w:tc>
          <w:tcPr>
            <w:tcW w:w="992" w:type="dxa"/>
          </w:tcPr>
          <w:p w14:paraId="5702C284" w14:textId="77777777" w:rsidR="002E2DA4" w:rsidRDefault="002E2DA4" w:rsidP="006D7A52">
            <w:pPr>
              <w:keepNext/>
              <w:keepLines/>
              <w:jc w:val="both"/>
              <w:outlineLvl w:val="1"/>
              <w:rPr>
                <w:rFonts w:ascii="Arial" w:hAnsi="Arial" w:cs="Arial"/>
                <w:bCs/>
                <w:iCs/>
                <w:sz w:val="20"/>
                <w:szCs w:val="20"/>
                <w:lang w:eastAsia="en-US"/>
              </w:rPr>
            </w:pPr>
          </w:p>
          <w:p w14:paraId="1FED1846" w14:textId="77777777" w:rsidR="003524A5" w:rsidRDefault="003524A5" w:rsidP="006D7A52">
            <w:pPr>
              <w:keepNext/>
              <w:keepLines/>
              <w:jc w:val="both"/>
              <w:outlineLvl w:val="1"/>
              <w:rPr>
                <w:rFonts w:ascii="Arial" w:hAnsi="Arial" w:cs="Arial"/>
                <w:bCs/>
                <w:iCs/>
                <w:sz w:val="20"/>
                <w:szCs w:val="20"/>
                <w:lang w:eastAsia="en-US"/>
              </w:rPr>
            </w:pPr>
          </w:p>
          <w:p w14:paraId="65C8F27F" w14:textId="77777777" w:rsidR="003524A5" w:rsidRDefault="003524A5" w:rsidP="006D7A52">
            <w:pPr>
              <w:keepNext/>
              <w:keepLines/>
              <w:jc w:val="both"/>
              <w:outlineLvl w:val="1"/>
              <w:rPr>
                <w:rFonts w:ascii="Arial" w:hAnsi="Arial" w:cs="Arial"/>
                <w:bCs/>
                <w:iCs/>
                <w:sz w:val="20"/>
                <w:szCs w:val="20"/>
                <w:lang w:eastAsia="en-US"/>
              </w:rPr>
            </w:pPr>
          </w:p>
          <w:p w14:paraId="690BCD66" w14:textId="77777777" w:rsidR="003524A5"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11.4</w:t>
            </w:r>
          </w:p>
        </w:tc>
        <w:tc>
          <w:tcPr>
            <w:tcW w:w="992" w:type="dxa"/>
          </w:tcPr>
          <w:p w14:paraId="04D3A50A" w14:textId="77777777" w:rsidR="002E2DA4" w:rsidRDefault="002E2DA4" w:rsidP="006D7A52">
            <w:pPr>
              <w:keepNext/>
              <w:keepLines/>
              <w:jc w:val="both"/>
              <w:outlineLvl w:val="1"/>
              <w:rPr>
                <w:rFonts w:ascii="Arial" w:hAnsi="Arial" w:cs="Arial"/>
                <w:bCs/>
                <w:iCs/>
                <w:sz w:val="20"/>
                <w:szCs w:val="20"/>
                <w:lang w:eastAsia="en-US"/>
              </w:rPr>
            </w:pPr>
          </w:p>
          <w:p w14:paraId="466F2216" w14:textId="77777777" w:rsidR="002E2DA4" w:rsidRDefault="002E2DA4" w:rsidP="006D7A52">
            <w:pPr>
              <w:keepNext/>
              <w:keepLines/>
              <w:jc w:val="both"/>
              <w:outlineLvl w:val="1"/>
              <w:rPr>
                <w:rFonts w:ascii="Arial" w:hAnsi="Arial" w:cs="Arial"/>
                <w:bCs/>
                <w:iCs/>
                <w:sz w:val="20"/>
                <w:szCs w:val="20"/>
                <w:lang w:eastAsia="en-US"/>
              </w:rPr>
            </w:pPr>
          </w:p>
          <w:p w14:paraId="307B7B56" w14:textId="77777777" w:rsidR="002E2DA4" w:rsidRDefault="002E2DA4" w:rsidP="006D7A52">
            <w:pPr>
              <w:keepNext/>
              <w:keepLines/>
              <w:jc w:val="both"/>
              <w:outlineLvl w:val="1"/>
              <w:rPr>
                <w:rFonts w:ascii="Arial" w:hAnsi="Arial" w:cs="Arial"/>
                <w:bCs/>
                <w:iCs/>
                <w:sz w:val="20"/>
                <w:szCs w:val="20"/>
                <w:lang w:eastAsia="en-US"/>
              </w:rPr>
            </w:pPr>
          </w:p>
          <w:p w14:paraId="0C3767D0" w14:textId="77777777" w:rsidR="001F4E7E"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17.2</w:t>
            </w:r>
          </w:p>
        </w:tc>
        <w:tc>
          <w:tcPr>
            <w:tcW w:w="1276" w:type="dxa"/>
          </w:tcPr>
          <w:p w14:paraId="44965AAC" w14:textId="77777777" w:rsidR="001F4E7E" w:rsidRDefault="001F4E7E" w:rsidP="006D7A52">
            <w:pPr>
              <w:keepNext/>
              <w:keepLines/>
              <w:jc w:val="both"/>
              <w:outlineLvl w:val="1"/>
              <w:rPr>
                <w:rFonts w:ascii="Arial" w:hAnsi="Arial" w:cs="Arial"/>
                <w:bCs/>
                <w:iCs/>
                <w:sz w:val="20"/>
                <w:szCs w:val="20"/>
                <w:lang w:eastAsia="en-US"/>
              </w:rPr>
            </w:pPr>
          </w:p>
          <w:p w14:paraId="57215698" w14:textId="77777777" w:rsidR="002E2DA4" w:rsidRDefault="002E2DA4" w:rsidP="006D7A52">
            <w:pPr>
              <w:keepNext/>
              <w:keepLines/>
              <w:jc w:val="both"/>
              <w:outlineLvl w:val="1"/>
              <w:rPr>
                <w:rFonts w:ascii="Arial" w:hAnsi="Arial" w:cs="Arial"/>
                <w:bCs/>
                <w:iCs/>
                <w:sz w:val="20"/>
                <w:szCs w:val="20"/>
                <w:lang w:eastAsia="en-US"/>
              </w:rPr>
            </w:pPr>
          </w:p>
          <w:p w14:paraId="3503E474" w14:textId="77777777" w:rsidR="002E2DA4" w:rsidRDefault="002E2DA4" w:rsidP="006D7A52">
            <w:pPr>
              <w:keepNext/>
              <w:keepLines/>
              <w:jc w:val="both"/>
              <w:outlineLvl w:val="1"/>
              <w:rPr>
                <w:rFonts w:ascii="Arial" w:hAnsi="Arial" w:cs="Arial"/>
                <w:bCs/>
                <w:iCs/>
                <w:sz w:val="20"/>
                <w:szCs w:val="20"/>
                <w:lang w:eastAsia="en-US"/>
              </w:rPr>
            </w:pPr>
          </w:p>
          <w:p w14:paraId="71600ACF" w14:textId="77777777" w:rsidR="002E2DA4"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15.0</w:t>
            </w:r>
          </w:p>
        </w:tc>
        <w:tc>
          <w:tcPr>
            <w:tcW w:w="963" w:type="dxa"/>
          </w:tcPr>
          <w:p w14:paraId="0C8B8AC8" w14:textId="77777777" w:rsidR="001F4E7E" w:rsidRDefault="001F4E7E" w:rsidP="006D7A52">
            <w:pPr>
              <w:keepNext/>
              <w:keepLines/>
              <w:jc w:val="both"/>
              <w:outlineLvl w:val="1"/>
              <w:rPr>
                <w:rFonts w:ascii="Arial" w:hAnsi="Arial" w:cs="Arial"/>
                <w:bCs/>
                <w:iCs/>
                <w:sz w:val="20"/>
                <w:szCs w:val="20"/>
                <w:lang w:eastAsia="en-US"/>
              </w:rPr>
            </w:pPr>
          </w:p>
          <w:p w14:paraId="6057DD91" w14:textId="77777777" w:rsidR="002E2DA4" w:rsidRDefault="002E2DA4" w:rsidP="006D7A52">
            <w:pPr>
              <w:keepNext/>
              <w:keepLines/>
              <w:jc w:val="both"/>
              <w:outlineLvl w:val="1"/>
              <w:rPr>
                <w:rFonts w:ascii="Arial" w:hAnsi="Arial" w:cs="Arial"/>
                <w:bCs/>
                <w:iCs/>
                <w:sz w:val="20"/>
                <w:szCs w:val="20"/>
                <w:lang w:eastAsia="en-US"/>
              </w:rPr>
            </w:pPr>
          </w:p>
          <w:p w14:paraId="25DBE562" w14:textId="77777777" w:rsidR="002E2DA4" w:rsidRDefault="002E2DA4" w:rsidP="006D7A52">
            <w:pPr>
              <w:keepNext/>
              <w:keepLines/>
              <w:jc w:val="both"/>
              <w:outlineLvl w:val="1"/>
              <w:rPr>
                <w:rFonts w:ascii="Arial" w:hAnsi="Arial" w:cs="Arial"/>
                <w:bCs/>
                <w:iCs/>
                <w:sz w:val="20"/>
                <w:szCs w:val="20"/>
                <w:lang w:eastAsia="en-US"/>
              </w:rPr>
            </w:pPr>
          </w:p>
          <w:p w14:paraId="7FFBB50B" w14:textId="77777777" w:rsidR="002E2DA4"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2.2</w:t>
            </w:r>
          </w:p>
        </w:tc>
      </w:tr>
      <w:tr w:rsidR="006D7A52" w14:paraId="33A650A8" w14:textId="77777777" w:rsidTr="006D7A52">
        <w:tc>
          <w:tcPr>
            <w:tcW w:w="1242" w:type="dxa"/>
          </w:tcPr>
          <w:p w14:paraId="76A0949E" w14:textId="77777777" w:rsidR="003524A5" w:rsidRDefault="003524A5" w:rsidP="006D7A52">
            <w:pPr>
              <w:jc w:val="both"/>
              <w:rPr>
                <w:rFonts w:ascii="Arial" w:hAnsi="Arial" w:cs="Arial"/>
                <w:sz w:val="20"/>
                <w:szCs w:val="20"/>
              </w:rPr>
            </w:pPr>
          </w:p>
          <w:p w14:paraId="09725907" w14:textId="77777777" w:rsidR="006D7A52" w:rsidRPr="00EE0692" w:rsidRDefault="006D7A52" w:rsidP="006D7A52">
            <w:pPr>
              <w:jc w:val="both"/>
              <w:rPr>
                <w:rFonts w:ascii="Arial" w:hAnsi="Arial" w:cs="Arial"/>
                <w:sz w:val="20"/>
                <w:szCs w:val="20"/>
              </w:rPr>
            </w:pPr>
            <w:r w:rsidRPr="00EE0692">
              <w:rPr>
                <w:rFonts w:ascii="Arial" w:hAnsi="Arial" w:cs="Arial"/>
                <w:sz w:val="20"/>
                <w:szCs w:val="20"/>
              </w:rPr>
              <w:t xml:space="preserve">GIP II </w:t>
            </w:r>
          </w:p>
        </w:tc>
        <w:tc>
          <w:tcPr>
            <w:tcW w:w="1418" w:type="dxa"/>
          </w:tcPr>
          <w:p w14:paraId="02CE1D1D" w14:textId="77777777" w:rsidR="006D7A52" w:rsidRDefault="006D7A52" w:rsidP="006D7A52">
            <w:pPr>
              <w:widowControl w:val="0"/>
              <w:jc w:val="both"/>
              <w:rPr>
                <w:rFonts w:ascii="Arial" w:hAnsi="Arial" w:cs="Arial"/>
                <w:sz w:val="20"/>
                <w:szCs w:val="20"/>
              </w:rPr>
            </w:pPr>
          </w:p>
          <w:p w14:paraId="383FA486" w14:textId="77777777" w:rsidR="006D7A52" w:rsidRPr="00EE0692" w:rsidRDefault="006D7A52" w:rsidP="006D7A52">
            <w:pPr>
              <w:widowControl w:val="0"/>
              <w:jc w:val="both"/>
              <w:rPr>
                <w:rFonts w:ascii="Arial" w:hAnsi="Arial" w:cs="Arial"/>
                <w:sz w:val="20"/>
                <w:szCs w:val="20"/>
              </w:rPr>
            </w:pPr>
            <w:r w:rsidRPr="00EE0692">
              <w:rPr>
                <w:rFonts w:ascii="Arial" w:hAnsi="Arial" w:cs="Arial"/>
                <w:sz w:val="20"/>
                <w:szCs w:val="20"/>
              </w:rPr>
              <w:t>Infrastructure</w:t>
            </w:r>
          </w:p>
        </w:tc>
        <w:tc>
          <w:tcPr>
            <w:tcW w:w="992" w:type="dxa"/>
          </w:tcPr>
          <w:p w14:paraId="7C976AFD" w14:textId="77777777" w:rsidR="006D7A52" w:rsidRDefault="006D7A52" w:rsidP="006D7A52">
            <w:pPr>
              <w:keepNext/>
              <w:keepLines/>
              <w:jc w:val="both"/>
              <w:outlineLvl w:val="1"/>
              <w:rPr>
                <w:rFonts w:ascii="Arial" w:hAnsi="Arial" w:cs="Arial"/>
                <w:bCs/>
                <w:iCs/>
                <w:sz w:val="20"/>
                <w:szCs w:val="20"/>
                <w:lang w:eastAsia="en-US"/>
              </w:rPr>
            </w:pPr>
          </w:p>
          <w:p w14:paraId="57F07999"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13.2</w:t>
            </w:r>
          </w:p>
        </w:tc>
        <w:tc>
          <w:tcPr>
            <w:tcW w:w="1305" w:type="dxa"/>
          </w:tcPr>
          <w:p w14:paraId="3F75CF01" w14:textId="77777777" w:rsidR="006D7A52" w:rsidRDefault="006D7A52" w:rsidP="006D7A52">
            <w:pPr>
              <w:keepNext/>
              <w:keepLines/>
              <w:jc w:val="both"/>
              <w:outlineLvl w:val="1"/>
              <w:rPr>
                <w:rFonts w:ascii="Arial" w:hAnsi="Arial" w:cs="Arial"/>
                <w:bCs/>
                <w:iCs/>
                <w:sz w:val="20"/>
                <w:szCs w:val="20"/>
                <w:lang w:eastAsia="en-US"/>
              </w:rPr>
            </w:pPr>
          </w:p>
          <w:p w14:paraId="25932CD6"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15.0</w:t>
            </w:r>
          </w:p>
        </w:tc>
        <w:tc>
          <w:tcPr>
            <w:tcW w:w="992" w:type="dxa"/>
          </w:tcPr>
          <w:p w14:paraId="1A2BCE8F" w14:textId="77777777" w:rsidR="006D7A52" w:rsidRDefault="006D7A52" w:rsidP="006D7A52">
            <w:pPr>
              <w:keepNext/>
              <w:keepLines/>
              <w:jc w:val="both"/>
              <w:outlineLvl w:val="1"/>
              <w:rPr>
                <w:rFonts w:ascii="Arial" w:hAnsi="Arial" w:cs="Arial"/>
                <w:bCs/>
                <w:iCs/>
                <w:sz w:val="20"/>
                <w:szCs w:val="20"/>
                <w:lang w:eastAsia="en-US"/>
              </w:rPr>
            </w:pPr>
          </w:p>
          <w:p w14:paraId="1D9FFBFF" w14:textId="77777777" w:rsidR="003524A5" w:rsidRPr="005D0B99"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-1.5</w:t>
            </w:r>
          </w:p>
        </w:tc>
        <w:tc>
          <w:tcPr>
            <w:tcW w:w="992" w:type="dxa"/>
          </w:tcPr>
          <w:p w14:paraId="1D933A62" w14:textId="77777777" w:rsidR="006D7A52" w:rsidRDefault="006D7A52" w:rsidP="006D7A52">
            <w:pPr>
              <w:keepNext/>
              <w:keepLines/>
              <w:jc w:val="both"/>
              <w:outlineLvl w:val="1"/>
              <w:rPr>
                <w:rFonts w:ascii="Arial" w:hAnsi="Arial" w:cs="Arial"/>
                <w:bCs/>
                <w:iCs/>
                <w:sz w:val="20"/>
                <w:szCs w:val="20"/>
                <w:lang w:eastAsia="en-US"/>
              </w:rPr>
            </w:pPr>
          </w:p>
          <w:p w14:paraId="343385CA" w14:textId="77777777" w:rsidR="002E2DA4"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-4.4</w:t>
            </w:r>
          </w:p>
        </w:tc>
        <w:tc>
          <w:tcPr>
            <w:tcW w:w="1276" w:type="dxa"/>
          </w:tcPr>
          <w:p w14:paraId="37A05519" w14:textId="77777777" w:rsidR="006D7A52" w:rsidRDefault="006D7A52" w:rsidP="006D7A52">
            <w:pPr>
              <w:keepNext/>
              <w:keepLines/>
              <w:jc w:val="both"/>
              <w:outlineLvl w:val="1"/>
              <w:rPr>
                <w:rFonts w:ascii="Arial" w:hAnsi="Arial" w:cs="Arial"/>
                <w:bCs/>
                <w:iCs/>
                <w:sz w:val="20"/>
                <w:szCs w:val="20"/>
                <w:lang w:eastAsia="en-US"/>
              </w:rPr>
            </w:pPr>
          </w:p>
          <w:p w14:paraId="1CED7B33" w14:textId="77777777" w:rsidR="002E2DA4"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15.0</w:t>
            </w:r>
          </w:p>
        </w:tc>
        <w:tc>
          <w:tcPr>
            <w:tcW w:w="963" w:type="dxa"/>
          </w:tcPr>
          <w:p w14:paraId="5D9C0235" w14:textId="77777777" w:rsidR="006D7A52" w:rsidRDefault="006D7A52" w:rsidP="006D7A52">
            <w:pPr>
              <w:keepNext/>
              <w:keepLines/>
              <w:jc w:val="both"/>
              <w:outlineLvl w:val="1"/>
              <w:rPr>
                <w:rFonts w:ascii="Arial" w:hAnsi="Arial" w:cs="Arial"/>
                <w:bCs/>
                <w:iCs/>
                <w:sz w:val="20"/>
                <w:szCs w:val="20"/>
                <w:lang w:eastAsia="en-US"/>
              </w:rPr>
            </w:pPr>
          </w:p>
          <w:p w14:paraId="450D8B50" w14:textId="77777777" w:rsidR="002E2DA4" w:rsidRPr="005D0B99" w:rsidRDefault="00761690"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-19.4</w:t>
            </w:r>
          </w:p>
        </w:tc>
      </w:tr>
      <w:tr w:rsidR="001F4E7E" w14:paraId="6519EAB3" w14:textId="77777777" w:rsidTr="006D7A52">
        <w:tc>
          <w:tcPr>
            <w:tcW w:w="1242" w:type="dxa"/>
          </w:tcPr>
          <w:p w14:paraId="0E7119A5" w14:textId="77777777" w:rsidR="002E2DA4" w:rsidRDefault="002E2DA4" w:rsidP="006D7A52">
            <w:pPr>
              <w:jc w:val="both"/>
              <w:rPr>
                <w:rFonts w:ascii="Arial" w:hAnsi="Arial" w:cs="Arial"/>
                <w:sz w:val="20"/>
                <w:szCs w:val="20"/>
              </w:rPr>
            </w:pPr>
          </w:p>
          <w:p w14:paraId="23F195E7" w14:textId="77777777" w:rsidR="001F4E7E" w:rsidRDefault="004C6F7C" w:rsidP="006D7A52">
            <w:pPr>
              <w:jc w:val="both"/>
              <w:rPr>
                <w:rFonts w:ascii="Arial" w:hAnsi="Arial" w:cs="Arial"/>
                <w:sz w:val="20"/>
                <w:szCs w:val="20"/>
              </w:rPr>
            </w:pPr>
            <w:r>
              <w:rPr>
                <w:rFonts w:ascii="Arial" w:hAnsi="Arial" w:cs="Arial"/>
                <w:sz w:val="20"/>
                <w:szCs w:val="20"/>
              </w:rPr>
              <w:t>GIP III</w:t>
            </w:r>
          </w:p>
        </w:tc>
        <w:tc>
          <w:tcPr>
            <w:tcW w:w="1418" w:type="dxa"/>
          </w:tcPr>
          <w:p w14:paraId="061072EC" w14:textId="77777777" w:rsidR="001F4E7E" w:rsidRDefault="001F4E7E" w:rsidP="006D7A52">
            <w:pPr>
              <w:widowControl w:val="0"/>
              <w:jc w:val="both"/>
              <w:rPr>
                <w:rFonts w:ascii="Arial" w:hAnsi="Arial" w:cs="Arial"/>
                <w:sz w:val="20"/>
                <w:szCs w:val="20"/>
              </w:rPr>
            </w:pPr>
          </w:p>
          <w:p w14:paraId="40157D75" w14:textId="77777777" w:rsidR="002E2DA4" w:rsidRDefault="002E2DA4" w:rsidP="006D7A52">
            <w:pPr>
              <w:widowControl w:val="0"/>
              <w:jc w:val="both"/>
              <w:rPr>
                <w:rFonts w:ascii="Arial" w:hAnsi="Arial" w:cs="Arial"/>
                <w:sz w:val="20"/>
                <w:szCs w:val="20"/>
              </w:rPr>
            </w:pPr>
            <w:r>
              <w:rPr>
                <w:rFonts w:ascii="Arial" w:hAnsi="Arial" w:cs="Arial"/>
                <w:sz w:val="20"/>
                <w:szCs w:val="20"/>
              </w:rPr>
              <w:t>Infrastructure</w:t>
            </w:r>
          </w:p>
        </w:tc>
        <w:tc>
          <w:tcPr>
            <w:tcW w:w="992" w:type="dxa"/>
          </w:tcPr>
          <w:p w14:paraId="137AD46A" w14:textId="77777777" w:rsidR="002E2DA4" w:rsidRDefault="002E2DA4" w:rsidP="006D7A52">
            <w:pPr>
              <w:keepNext/>
              <w:keepLines/>
              <w:jc w:val="both"/>
              <w:outlineLvl w:val="1"/>
              <w:rPr>
                <w:rFonts w:ascii="Arial" w:hAnsi="Arial" w:cs="Arial"/>
                <w:bCs/>
                <w:iCs/>
                <w:sz w:val="20"/>
                <w:szCs w:val="20"/>
                <w:lang w:eastAsia="en-US"/>
              </w:rPr>
            </w:pPr>
          </w:p>
          <w:p w14:paraId="6A3390FD" w14:textId="77777777" w:rsidR="003524A5"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43.8</w:t>
            </w:r>
          </w:p>
        </w:tc>
        <w:tc>
          <w:tcPr>
            <w:tcW w:w="1305" w:type="dxa"/>
          </w:tcPr>
          <w:p w14:paraId="574E39BD" w14:textId="77777777" w:rsidR="002E2DA4" w:rsidRDefault="002E2DA4" w:rsidP="006D7A52">
            <w:pPr>
              <w:keepNext/>
              <w:keepLines/>
              <w:jc w:val="both"/>
              <w:outlineLvl w:val="1"/>
              <w:rPr>
                <w:rFonts w:ascii="Arial" w:hAnsi="Arial" w:cs="Arial"/>
                <w:bCs/>
                <w:iCs/>
                <w:sz w:val="20"/>
                <w:szCs w:val="20"/>
                <w:lang w:eastAsia="en-US"/>
              </w:rPr>
            </w:pPr>
          </w:p>
          <w:p w14:paraId="6F09DCDA" w14:textId="77777777" w:rsidR="003524A5" w:rsidRDefault="003524A5"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15.0</w:t>
            </w:r>
          </w:p>
        </w:tc>
        <w:tc>
          <w:tcPr>
            <w:tcW w:w="992" w:type="dxa"/>
          </w:tcPr>
          <w:p w14:paraId="686A8530" w14:textId="77777777" w:rsidR="002E2DA4" w:rsidRDefault="002E2DA4" w:rsidP="006D7A52">
            <w:pPr>
              <w:keepNext/>
              <w:keepLines/>
              <w:jc w:val="both"/>
              <w:outlineLvl w:val="1"/>
              <w:rPr>
                <w:rFonts w:ascii="Arial" w:hAnsi="Arial" w:cs="Arial"/>
                <w:bCs/>
                <w:iCs/>
                <w:sz w:val="20"/>
                <w:szCs w:val="20"/>
                <w:lang w:eastAsia="en-US"/>
              </w:rPr>
            </w:pPr>
          </w:p>
          <w:p w14:paraId="59847527" w14:textId="77777777" w:rsidR="003524A5" w:rsidRDefault="005B146A"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25.1</w:t>
            </w:r>
          </w:p>
        </w:tc>
        <w:tc>
          <w:tcPr>
            <w:tcW w:w="992" w:type="dxa"/>
          </w:tcPr>
          <w:p w14:paraId="498F3687" w14:textId="77777777" w:rsidR="001F4E7E" w:rsidRDefault="001F4E7E" w:rsidP="006D7A52">
            <w:pPr>
              <w:keepNext/>
              <w:keepLines/>
              <w:jc w:val="both"/>
              <w:outlineLvl w:val="1"/>
              <w:rPr>
                <w:rFonts w:ascii="Arial" w:hAnsi="Arial" w:cs="Arial"/>
                <w:bCs/>
                <w:iCs/>
                <w:sz w:val="20"/>
                <w:szCs w:val="20"/>
                <w:lang w:eastAsia="en-US"/>
              </w:rPr>
            </w:pPr>
          </w:p>
          <w:p w14:paraId="162BBF53" w14:textId="77777777" w:rsidR="002E2DA4" w:rsidRPr="005D0B99" w:rsidRDefault="0093559B"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-5.5</w:t>
            </w:r>
          </w:p>
        </w:tc>
        <w:tc>
          <w:tcPr>
            <w:tcW w:w="1276" w:type="dxa"/>
          </w:tcPr>
          <w:p w14:paraId="2757844F" w14:textId="77777777" w:rsidR="001F4E7E" w:rsidRDefault="001F4E7E" w:rsidP="006D7A52">
            <w:pPr>
              <w:keepNext/>
              <w:keepLines/>
              <w:jc w:val="both"/>
              <w:outlineLvl w:val="1"/>
              <w:rPr>
                <w:rFonts w:ascii="Arial" w:hAnsi="Arial" w:cs="Arial"/>
                <w:bCs/>
                <w:iCs/>
                <w:sz w:val="20"/>
                <w:szCs w:val="20"/>
                <w:lang w:eastAsia="en-US"/>
              </w:rPr>
            </w:pPr>
          </w:p>
          <w:p w14:paraId="637B842B" w14:textId="77777777" w:rsidR="002E2DA4" w:rsidRPr="005D0B99" w:rsidRDefault="0093559B"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15.0</w:t>
            </w:r>
          </w:p>
        </w:tc>
        <w:tc>
          <w:tcPr>
            <w:tcW w:w="963" w:type="dxa"/>
          </w:tcPr>
          <w:p w14:paraId="148A4BAD" w14:textId="77777777" w:rsidR="001F4E7E" w:rsidRDefault="001F4E7E" w:rsidP="006D7A52">
            <w:pPr>
              <w:keepNext/>
              <w:keepLines/>
              <w:jc w:val="both"/>
              <w:outlineLvl w:val="1"/>
              <w:rPr>
                <w:rFonts w:ascii="Arial" w:hAnsi="Arial" w:cs="Arial"/>
                <w:bCs/>
                <w:iCs/>
                <w:sz w:val="20"/>
                <w:szCs w:val="20"/>
                <w:lang w:eastAsia="en-US"/>
              </w:rPr>
            </w:pPr>
          </w:p>
          <w:p w14:paraId="1885EE76" w14:textId="77777777" w:rsidR="002E2DA4" w:rsidRPr="005D0B99" w:rsidRDefault="0093559B"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-20.5</w:t>
            </w:r>
          </w:p>
        </w:tc>
      </w:tr>
      <w:tr w:rsidR="006D7A52" w14:paraId="402B1C71" w14:textId="77777777" w:rsidTr="006D7A52">
        <w:trPr>
          <w:trHeight w:val="524"/>
        </w:trPr>
        <w:tc>
          <w:tcPr>
            <w:tcW w:w="1242" w:type="dxa"/>
          </w:tcPr>
          <w:p w14:paraId="2E4DB9F5" w14:textId="77777777" w:rsidR="006D7A52" w:rsidRDefault="006D7A52" w:rsidP="006D7A52">
            <w:pPr>
              <w:jc w:val="both"/>
              <w:rPr>
                <w:rFonts w:ascii="Arial" w:hAnsi="Arial" w:cs="Arial"/>
                <w:sz w:val="20"/>
                <w:szCs w:val="20"/>
              </w:rPr>
            </w:pPr>
          </w:p>
          <w:p w14:paraId="76E3B92D" w14:textId="77777777" w:rsidR="006D7A52" w:rsidRPr="00EE0692" w:rsidRDefault="006D7A52" w:rsidP="006D7A52">
            <w:pPr>
              <w:jc w:val="both"/>
              <w:rPr>
                <w:rFonts w:ascii="Arial" w:hAnsi="Arial" w:cs="Arial"/>
                <w:sz w:val="20"/>
                <w:szCs w:val="20"/>
              </w:rPr>
            </w:pPr>
            <w:r w:rsidRPr="00EE0692">
              <w:rPr>
                <w:rFonts w:ascii="Arial" w:hAnsi="Arial" w:cs="Arial"/>
                <w:sz w:val="20"/>
                <w:szCs w:val="20"/>
              </w:rPr>
              <w:t xml:space="preserve">IVUK </w:t>
            </w:r>
          </w:p>
        </w:tc>
        <w:tc>
          <w:tcPr>
            <w:tcW w:w="1418" w:type="dxa"/>
          </w:tcPr>
          <w:p w14:paraId="1943F700" w14:textId="77777777" w:rsidR="006D7A52" w:rsidRDefault="006D7A52" w:rsidP="006D7A52">
            <w:pPr>
              <w:widowControl w:val="0"/>
              <w:jc w:val="both"/>
              <w:rPr>
                <w:rFonts w:ascii="Arial" w:hAnsi="Arial" w:cs="Arial"/>
                <w:sz w:val="20"/>
                <w:szCs w:val="20"/>
              </w:rPr>
            </w:pPr>
          </w:p>
          <w:p w14:paraId="5F677405" w14:textId="77777777" w:rsidR="006D7A52" w:rsidRPr="00EE0692" w:rsidRDefault="006D7A52" w:rsidP="006D7A52">
            <w:pPr>
              <w:widowControl w:val="0"/>
              <w:jc w:val="both"/>
              <w:rPr>
                <w:rFonts w:ascii="Arial" w:hAnsi="Arial" w:cs="Arial"/>
                <w:sz w:val="20"/>
                <w:szCs w:val="20"/>
              </w:rPr>
            </w:pPr>
            <w:r w:rsidRPr="00EE0692">
              <w:rPr>
                <w:rFonts w:ascii="Arial" w:hAnsi="Arial" w:cs="Arial"/>
                <w:sz w:val="20"/>
                <w:szCs w:val="20"/>
              </w:rPr>
              <w:t>Social Impact</w:t>
            </w:r>
          </w:p>
        </w:tc>
        <w:tc>
          <w:tcPr>
            <w:tcW w:w="992" w:type="dxa"/>
          </w:tcPr>
          <w:p w14:paraId="1EDAC66D" w14:textId="77777777" w:rsidR="006D7A52" w:rsidRDefault="006D7A52" w:rsidP="006D7A52">
            <w:pPr>
              <w:keepNext/>
              <w:keepLines/>
              <w:jc w:val="both"/>
              <w:outlineLvl w:val="1"/>
              <w:rPr>
                <w:rFonts w:ascii="Arial" w:hAnsi="Arial" w:cs="Arial"/>
                <w:bCs/>
                <w:iCs/>
                <w:sz w:val="20"/>
                <w:szCs w:val="20"/>
                <w:lang w:eastAsia="en-US"/>
              </w:rPr>
            </w:pPr>
          </w:p>
          <w:p w14:paraId="49FAF892" w14:textId="77777777" w:rsidR="005B146A" w:rsidRPr="005D0B99" w:rsidRDefault="005B146A"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-8.7</w:t>
            </w:r>
          </w:p>
        </w:tc>
        <w:tc>
          <w:tcPr>
            <w:tcW w:w="1305" w:type="dxa"/>
          </w:tcPr>
          <w:p w14:paraId="3C1EE2FD" w14:textId="77777777" w:rsidR="006D7A52" w:rsidRDefault="006D7A52" w:rsidP="006D7A52">
            <w:pPr>
              <w:keepNext/>
              <w:keepLines/>
              <w:jc w:val="both"/>
              <w:outlineLvl w:val="1"/>
              <w:rPr>
                <w:rFonts w:ascii="Arial" w:hAnsi="Arial" w:cs="Arial"/>
                <w:bCs/>
                <w:iCs/>
                <w:sz w:val="20"/>
                <w:szCs w:val="20"/>
                <w:lang w:eastAsia="en-US"/>
              </w:rPr>
            </w:pPr>
          </w:p>
          <w:p w14:paraId="07F6D79C" w14:textId="77777777" w:rsidR="005B146A" w:rsidRPr="005D0B99" w:rsidRDefault="005B146A"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7.0</w:t>
            </w:r>
          </w:p>
        </w:tc>
        <w:tc>
          <w:tcPr>
            <w:tcW w:w="992" w:type="dxa"/>
          </w:tcPr>
          <w:p w14:paraId="23BA2B07" w14:textId="77777777" w:rsidR="006D7A52" w:rsidRDefault="006D7A52" w:rsidP="006D7A52">
            <w:pPr>
              <w:keepNext/>
              <w:keepLines/>
              <w:jc w:val="both"/>
              <w:outlineLvl w:val="1"/>
              <w:rPr>
                <w:rFonts w:ascii="Arial" w:hAnsi="Arial" w:cs="Arial"/>
                <w:bCs/>
                <w:iCs/>
                <w:sz w:val="20"/>
                <w:szCs w:val="20"/>
                <w:lang w:eastAsia="en-US"/>
              </w:rPr>
            </w:pPr>
          </w:p>
          <w:p w14:paraId="38117D97" w14:textId="77777777" w:rsidR="005B146A" w:rsidRPr="005D0B99" w:rsidRDefault="005B146A"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-14.9</w:t>
            </w:r>
          </w:p>
        </w:tc>
        <w:tc>
          <w:tcPr>
            <w:tcW w:w="992" w:type="dxa"/>
          </w:tcPr>
          <w:p w14:paraId="120BDFBA" w14:textId="77777777" w:rsidR="006D7A52" w:rsidRDefault="006D7A52" w:rsidP="006D7A52">
            <w:pPr>
              <w:keepNext/>
              <w:keepLines/>
              <w:jc w:val="both"/>
              <w:outlineLvl w:val="1"/>
              <w:rPr>
                <w:rFonts w:ascii="Arial" w:hAnsi="Arial" w:cs="Arial"/>
                <w:bCs/>
                <w:iCs/>
                <w:sz w:val="20"/>
                <w:szCs w:val="20"/>
                <w:lang w:eastAsia="en-US"/>
              </w:rPr>
            </w:pPr>
          </w:p>
          <w:p w14:paraId="6C929C30" w14:textId="77777777" w:rsidR="002E2DA4" w:rsidRPr="005D0B99" w:rsidRDefault="0093559B"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-26.1</w:t>
            </w:r>
          </w:p>
        </w:tc>
        <w:tc>
          <w:tcPr>
            <w:tcW w:w="1276" w:type="dxa"/>
          </w:tcPr>
          <w:p w14:paraId="4F7ED16D" w14:textId="77777777" w:rsidR="006D7A52" w:rsidRDefault="006D7A52" w:rsidP="006D7A52">
            <w:pPr>
              <w:keepNext/>
              <w:keepLines/>
              <w:jc w:val="both"/>
              <w:outlineLvl w:val="1"/>
              <w:rPr>
                <w:rFonts w:ascii="Arial" w:hAnsi="Arial" w:cs="Arial"/>
                <w:bCs/>
                <w:iCs/>
                <w:sz w:val="20"/>
                <w:szCs w:val="20"/>
                <w:lang w:eastAsia="en-US"/>
              </w:rPr>
            </w:pPr>
          </w:p>
          <w:p w14:paraId="4F352354" w14:textId="77777777" w:rsidR="002E2DA4" w:rsidRPr="005D0B99" w:rsidRDefault="0093559B"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7.0</w:t>
            </w:r>
          </w:p>
        </w:tc>
        <w:tc>
          <w:tcPr>
            <w:tcW w:w="963" w:type="dxa"/>
          </w:tcPr>
          <w:p w14:paraId="44993A76" w14:textId="77777777" w:rsidR="006D7A52" w:rsidRDefault="006D7A52" w:rsidP="006D7A52">
            <w:pPr>
              <w:keepNext/>
              <w:keepLines/>
              <w:jc w:val="both"/>
              <w:outlineLvl w:val="1"/>
              <w:rPr>
                <w:rFonts w:ascii="Arial" w:hAnsi="Arial" w:cs="Arial"/>
                <w:bCs/>
                <w:iCs/>
                <w:sz w:val="20"/>
                <w:szCs w:val="20"/>
                <w:lang w:eastAsia="en-US"/>
              </w:rPr>
            </w:pPr>
          </w:p>
          <w:p w14:paraId="45649EC1" w14:textId="77777777" w:rsidR="002E2DA4" w:rsidRPr="005D0B99" w:rsidRDefault="0093559B" w:rsidP="006D7A52">
            <w:pPr>
              <w:keepNext/>
              <w:keepLines/>
              <w:jc w:val="both"/>
              <w:outlineLvl w:val="1"/>
              <w:rPr>
                <w:rFonts w:ascii="Arial" w:hAnsi="Arial" w:cs="Arial"/>
                <w:bCs/>
                <w:iCs/>
                <w:sz w:val="20"/>
                <w:szCs w:val="20"/>
                <w:lang w:eastAsia="en-US"/>
              </w:rPr>
            </w:pPr>
            <w:r>
              <w:rPr>
                <w:rFonts w:ascii="Arial" w:hAnsi="Arial" w:cs="Arial"/>
                <w:bCs/>
                <w:iCs/>
                <w:sz w:val="20"/>
                <w:szCs w:val="20"/>
                <w:lang w:eastAsia="en-US"/>
              </w:rPr>
              <w:t>-33.1</w:t>
            </w:r>
          </w:p>
        </w:tc>
      </w:tr>
    </w:tbl>
    <w:p w14:paraId="50EEFC15" w14:textId="77777777" w:rsidR="0093559B" w:rsidRDefault="0093559B" w:rsidP="0093559B">
      <w:pPr>
        <w:autoSpaceDE w:val="0"/>
        <w:autoSpaceDN w:val="0"/>
        <w:adjustRightInd w:val="0"/>
        <w:jc w:val="both"/>
        <w:rPr>
          <w:rFonts w:ascii="Arial" w:hAnsi="Arial" w:cs="Arial"/>
          <w:i/>
          <w:iCs/>
          <w:sz w:val="16"/>
          <w:szCs w:val="16"/>
        </w:rPr>
      </w:pPr>
      <w:r>
        <w:rPr>
          <w:rFonts w:ascii="Arial" w:hAnsi="Arial" w:cs="Arial"/>
          <w:i/>
          <w:iCs/>
          <w:sz w:val="16"/>
          <w:szCs w:val="16"/>
        </w:rPr>
        <w:t xml:space="preserve">Figures shown are net of fees and based on performance provided by Investment Managers, Mercer estimates and Thomson Reuters </w:t>
      </w:r>
      <w:proofErr w:type="spellStart"/>
      <w:r>
        <w:rPr>
          <w:rFonts w:ascii="Arial" w:hAnsi="Arial" w:cs="Arial"/>
          <w:i/>
          <w:iCs/>
          <w:sz w:val="16"/>
          <w:szCs w:val="16"/>
        </w:rPr>
        <w:t>Datastream</w:t>
      </w:r>
      <w:proofErr w:type="spellEnd"/>
      <w:r>
        <w:rPr>
          <w:rFonts w:ascii="Arial" w:hAnsi="Arial" w:cs="Arial"/>
          <w:i/>
          <w:iCs/>
          <w:sz w:val="16"/>
          <w:szCs w:val="16"/>
        </w:rPr>
        <w:t>.</w:t>
      </w:r>
    </w:p>
    <w:p w14:paraId="7B499415" w14:textId="77777777" w:rsidR="0093559B" w:rsidRDefault="0093559B" w:rsidP="0093559B">
      <w:pPr>
        <w:autoSpaceDE w:val="0"/>
        <w:autoSpaceDN w:val="0"/>
        <w:adjustRightInd w:val="0"/>
        <w:jc w:val="both"/>
        <w:rPr>
          <w:rFonts w:ascii="Arial" w:hAnsi="Arial" w:cs="Arial"/>
          <w:i/>
          <w:iCs/>
          <w:sz w:val="16"/>
          <w:szCs w:val="16"/>
        </w:rPr>
      </w:pPr>
      <w:r>
        <w:rPr>
          <w:rFonts w:ascii="Arial" w:hAnsi="Arial" w:cs="Arial"/>
          <w:i/>
          <w:iCs/>
          <w:sz w:val="16"/>
          <w:szCs w:val="16"/>
        </w:rPr>
        <w:t>For periods over one year the figures in the table above have been annualised.</w:t>
      </w:r>
    </w:p>
    <w:p w14:paraId="50C2DD64" w14:textId="77777777" w:rsidR="0093559B" w:rsidRDefault="0093559B" w:rsidP="0093559B">
      <w:pPr>
        <w:autoSpaceDE w:val="0"/>
        <w:autoSpaceDN w:val="0"/>
        <w:adjustRightInd w:val="0"/>
        <w:jc w:val="both"/>
        <w:rPr>
          <w:rFonts w:ascii="Arial" w:hAnsi="Arial" w:cs="Arial"/>
          <w:i/>
          <w:iCs/>
          <w:sz w:val="16"/>
          <w:szCs w:val="16"/>
        </w:rPr>
      </w:pPr>
      <w:r>
        <w:rPr>
          <w:rFonts w:ascii="Arial" w:hAnsi="Arial" w:cs="Arial"/>
          <w:i/>
          <w:iCs/>
          <w:sz w:val="16"/>
          <w:szCs w:val="16"/>
        </w:rPr>
        <w:t xml:space="preserve">Total performance is sourced from State Street prior to </w:t>
      </w:r>
      <w:proofErr w:type="gramStart"/>
      <w:r>
        <w:rPr>
          <w:rFonts w:ascii="Arial" w:hAnsi="Arial" w:cs="Arial"/>
          <w:i/>
          <w:iCs/>
          <w:sz w:val="16"/>
          <w:szCs w:val="16"/>
        </w:rPr>
        <w:t>31 March 2019, and</w:t>
      </w:r>
      <w:proofErr w:type="gramEnd"/>
      <w:r>
        <w:rPr>
          <w:rFonts w:ascii="Arial" w:hAnsi="Arial" w:cs="Arial"/>
          <w:i/>
          <w:iCs/>
          <w:sz w:val="16"/>
          <w:szCs w:val="16"/>
        </w:rPr>
        <w:t xml:space="preserve"> estimated by Mercer thereafter.</w:t>
      </w:r>
    </w:p>
    <w:p w14:paraId="5EB43798" w14:textId="77777777" w:rsidR="0093559B" w:rsidRDefault="0093559B" w:rsidP="0093559B">
      <w:pPr>
        <w:autoSpaceDE w:val="0"/>
        <w:autoSpaceDN w:val="0"/>
        <w:adjustRightInd w:val="0"/>
        <w:jc w:val="both"/>
        <w:rPr>
          <w:rFonts w:ascii="Arial" w:hAnsi="Arial" w:cs="Arial"/>
          <w:i/>
          <w:iCs/>
          <w:sz w:val="16"/>
          <w:szCs w:val="16"/>
        </w:rPr>
      </w:pPr>
      <w:r>
        <w:rPr>
          <w:rFonts w:ascii="Arial" w:hAnsi="Arial" w:cs="Arial"/>
          <w:i/>
          <w:iCs/>
          <w:sz w:val="16"/>
          <w:szCs w:val="16"/>
        </w:rPr>
        <w:t>Total Fund since inception taken as 31 March 1991 as reliable data prior to this date is not available.</w:t>
      </w:r>
    </w:p>
    <w:p w14:paraId="42C59C22" w14:textId="77777777" w:rsidR="0093559B" w:rsidRDefault="0093559B" w:rsidP="0093559B">
      <w:pPr>
        <w:autoSpaceDE w:val="0"/>
        <w:autoSpaceDN w:val="0"/>
        <w:adjustRightInd w:val="0"/>
        <w:jc w:val="both"/>
        <w:rPr>
          <w:rFonts w:ascii="Arial" w:hAnsi="Arial" w:cs="Arial"/>
          <w:i/>
          <w:iCs/>
          <w:sz w:val="16"/>
          <w:szCs w:val="16"/>
        </w:rPr>
      </w:pPr>
      <w:r>
        <w:rPr>
          <w:rFonts w:ascii="Arial" w:hAnsi="Arial" w:cs="Arial"/>
          <w:i/>
          <w:iCs/>
          <w:sz w:val="16"/>
          <w:szCs w:val="16"/>
        </w:rPr>
        <w:t>Invesco UK Property performance is provisional.</w:t>
      </w:r>
    </w:p>
    <w:p w14:paraId="32039CFE" w14:textId="77777777" w:rsidR="0093559B" w:rsidRDefault="0093559B" w:rsidP="0093559B">
      <w:pPr>
        <w:autoSpaceDE w:val="0"/>
        <w:autoSpaceDN w:val="0"/>
        <w:adjustRightInd w:val="0"/>
        <w:jc w:val="both"/>
        <w:rPr>
          <w:rFonts w:ascii="Arial" w:hAnsi="Arial" w:cs="Arial"/>
          <w:i/>
          <w:iCs/>
          <w:sz w:val="16"/>
          <w:szCs w:val="16"/>
        </w:rPr>
      </w:pPr>
      <w:r>
        <w:rPr>
          <w:rFonts w:ascii="Arial" w:hAnsi="Arial" w:cs="Arial"/>
          <w:i/>
          <w:iCs/>
          <w:sz w:val="16"/>
          <w:szCs w:val="16"/>
        </w:rPr>
        <w:t>Capital Dynamics Infrastructure (CEI II) performance is provisional and estimated by Mercer using the quarterly change rate in the USD/GBP exchange rate.</w:t>
      </w:r>
    </w:p>
    <w:p w14:paraId="4FAA918B" w14:textId="77777777" w:rsidR="0093559B" w:rsidRDefault="0093559B" w:rsidP="0093559B">
      <w:pPr>
        <w:jc w:val="both"/>
        <w:rPr>
          <w:rFonts w:ascii="Arial" w:hAnsi="Arial" w:cs="Arial"/>
          <w:iCs/>
          <w:sz w:val="20"/>
          <w:szCs w:val="20"/>
        </w:rPr>
      </w:pPr>
      <w:r>
        <w:rPr>
          <w:rFonts w:ascii="Arial" w:hAnsi="Arial" w:cs="Arial"/>
          <w:i/>
          <w:iCs/>
          <w:sz w:val="16"/>
          <w:szCs w:val="16"/>
        </w:rPr>
        <w:t>The performance for Impact Ventures is based on estimates of the opening and closing NAV, and any movements over the quarter.</w:t>
      </w:r>
    </w:p>
    <w:p w14:paraId="5D9E5018" w14:textId="77777777" w:rsidR="003E720A" w:rsidRDefault="003E720A" w:rsidP="0093559B">
      <w:pPr>
        <w:jc w:val="both"/>
        <w:rPr>
          <w:rFonts w:ascii="Arial" w:hAnsi="Arial" w:cs="Arial"/>
          <w:iCs/>
          <w:sz w:val="20"/>
          <w:szCs w:val="20"/>
        </w:rPr>
      </w:pPr>
    </w:p>
    <w:p w14:paraId="1D739751" w14:textId="77777777" w:rsidR="006D2064" w:rsidRDefault="006D2064" w:rsidP="00E07AEC"/>
    <w:p w14:paraId="7680B5CB" w14:textId="77777777" w:rsidR="006D2064" w:rsidRDefault="006D2064" w:rsidP="00E07AEC"/>
    <w:p w14:paraId="42CB35DD" w14:textId="77777777" w:rsidR="00925F77" w:rsidRDefault="00925F77" w:rsidP="00D263A6">
      <w:pPr>
        <w:pStyle w:val="Heading2"/>
        <w:jc w:val="both"/>
        <w:rPr>
          <w:color w:val="003300"/>
        </w:rPr>
      </w:pPr>
      <w:r>
        <w:rPr>
          <w:color w:val="003300"/>
        </w:rPr>
        <w:t xml:space="preserve">Investment Performance </w:t>
      </w:r>
    </w:p>
    <w:p w14:paraId="08DE48B7" w14:textId="77777777" w:rsidR="00925F77" w:rsidRDefault="00925F77" w:rsidP="00D263A6">
      <w:pPr>
        <w:jc w:val="both"/>
        <w:rPr>
          <w:rFonts w:ascii="Arial" w:hAnsi="Arial" w:cs="Arial"/>
          <w:b/>
          <w:i/>
        </w:rPr>
      </w:pPr>
    </w:p>
    <w:p w14:paraId="52983765" w14:textId="77777777" w:rsidR="00925F77" w:rsidRDefault="00925F77" w:rsidP="00D263A6">
      <w:pPr>
        <w:pStyle w:val="Heading5"/>
        <w:jc w:val="both"/>
        <w:rPr>
          <w:color w:val="336600"/>
        </w:rPr>
      </w:pPr>
      <w:r>
        <w:rPr>
          <w:color w:val="336600"/>
        </w:rPr>
        <w:t>April</w:t>
      </w:r>
      <w:r w:rsidR="00F561E8">
        <w:rPr>
          <w:color w:val="336600"/>
        </w:rPr>
        <w:t xml:space="preserve"> 201</w:t>
      </w:r>
      <w:r w:rsidR="00891970">
        <w:rPr>
          <w:color w:val="336600"/>
        </w:rPr>
        <w:t>9</w:t>
      </w:r>
      <w:r>
        <w:rPr>
          <w:color w:val="336600"/>
        </w:rPr>
        <w:t xml:space="preserve"> to </w:t>
      </w:r>
      <w:r w:rsidR="00F561E8">
        <w:rPr>
          <w:color w:val="336600"/>
        </w:rPr>
        <w:t>March 20</w:t>
      </w:r>
      <w:r w:rsidR="00891970">
        <w:rPr>
          <w:color w:val="336600"/>
        </w:rPr>
        <w:t>20</w:t>
      </w:r>
      <w:r>
        <w:rPr>
          <w:color w:val="336600"/>
        </w:rPr>
        <w:t xml:space="preserve"> </w:t>
      </w:r>
    </w:p>
    <w:p w14:paraId="34921042" w14:textId="77777777" w:rsidR="00925F77" w:rsidRDefault="00925F77" w:rsidP="00D263A6">
      <w:pPr>
        <w:jc w:val="both"/>
        <w:rPr>
          <w:rFonts w:ascii="Arial" w:hAnsi="Arial" w:cs="Arial"/>
          <w:i/>
        </w:rPr>
      </w:pPr>
    </w:p>
    <w:p w14:paraId="62868366" w14:textId="77777777" w:rsidR="00925F77" w:rsidRPr="00BE2D98" w:rsidRDefault="00925F77" w:rsidP="00D263A6">
      <w:pPr>
        <w:pStyle w:val="BodyText"/>
        <w:jc w:val="both"/>
        <w:rPr>
          <w:i/>
          <w:color w:val="auto"/>
        </w:rPr>
      </w:pPr>
      <w:r w:rsidRPr="00BE2D98">
        <w:rPr>
          <w:color w:val="auto"/>
        </w:rPr>
        <w:t xml:space="preserve">The Fund returned </w:t>
      </w:r>
      <w:r w:rsidR="00891970">
        <w:rPr>
          <w:color w:val="auto"/>
        </w:rPr>
        <w:t>-5</w:t>
      </w:r>
      <w:r w:rsidR="00842755" w:rsidRPr="00BE2D98">
        <w:rPr>
          <w:color w:val="auto"/>
        </w:rPr>
        <w:t>.</w:t>
      </w:r>
      <w:r w:rsidR="00891970">
        <w:rPr>
          <w:color w:val="auto"/>
        </w:rPr>
        <w:t>4</w:t>
      </w:r>
      <w:r w:rsidRPr="00BE2D98">
        <w:rPr>
          <w:color w:val="auto"/>
        </w:rPr>
        <w:t xml:space="preserve">% over the year against a benchmark return of </w:t>
      </w:r>
      <w:r w:rsidR="00891970">
        <w:rPr>
          <w:color w:val="auto"/>
        </w:rPr>
        <w:t>-3</w:t>
      </w:r>
      <w:r w:rsidR="00842755" w:rsidRPr="00BE2D98">
        <w:rPr>
          <w:color w:val="auto"/>
        </w:rPr>
        <w:t>.</w:t>
      </w:r>
      <w:r w:rsidR="00C257C6">
        <w:rPr>
          <w:color w:val="auto"/>
        </w:rPr>
        <w:t>9</w:t>
      </w:r>
      <w:r w:rsidRPr="00BE2D98">
        <w:rPr>
          <w:color w:val="auto"/>
        </w:rPr>
        <w:t>%</w:t>
      </w:r>
      <w:r w:rsidR="006724E3" w:rsidRPr="00BE2D98">
        <w:rPr>
          <w:color w:val="auto"/>
        </w:rPr>
        <w:t xml:space="preserve"> with</w:t>
      </w:r>
      <w:r w:rsidRPr="00BE2D98">
        <w:rPr>
          <w:color w:val="auto"/>
        </w:rPr>
        <w:t xml:space="preserve"> </w:t>
      </w:r>
      <w:r w:rsidR="006724E3" w:rsidRPr="00BE2D98">
        <w:rPr>
          <w:color w:val="auto"/>
        </w:rPr>
        <w:t>r</w:t>
      </w:r>
      <w:r w:rsidRPr="00BE2D98">
        <w:rPr>
          <w:color w:val="auto"/>
        </w:rPr>
        <w:t xml:space="preserve">elative return </w:t>
      </w:r>
      <w:r w:rsidR="006724E3" w:rsidRPr="00BE2D98">
        <w:rPr>
          <w:color w:val="auto"/>
        </w:rPr>
        <w:t>of</w:t>
      </w:r>
      <w:r w:rsidRPr="00BE2D98">
        <w:rPr>
          <w:color w:val="auto"/>
        </w:rPr>
        <w:t xml:space="preserve"> </w:t>
      </w:r>
      <w:r w:rsidR="00585043" w:rsidRPr="00BE2D98">
        <w:rPr>
          <w:color w:val="auto"/>
        </w:rPr>
        <w:t>-</w:t>
      </w:r>
      <w:r w:rsidR="00891970">
        <w:rPr>
          <w:color w:val="auto"/>
        </w:rPr>
        <w:t>1</w:t>
      </w:r>
      <w:r w:rsidR="00585043" w:rsidRPr="00BE2D98">
        <w:rPr>
          <w:color w:val="auto"/>
        </w:rPr>
        <w:t>.</w:t>
      </w:r>
      <w:r w:rsidR="00891970">
        <w:rPr>
          <w:color w:val="auto"/>
        </w:rPr>
        <w:t>5</w:t>
      </w:r>
      <w:r w:rsidRPr="00BE2D98">
        <w:rPr>
          <w:color w:val="auto"/>
        </w:rPr>
        <w:t xml:space="preserve">%. The overall </w:t>
      </w:r>
      <w:r w:rsidR="00585043" w:rsidRPr="00BE2D98">
        <w:rPr>
          <w:color w:val="auto"/>
        </w:rPr>
        <w:t>negative</w:t>
      </w:r>
      <w:r w:rsidRPr="00BE2D98">
        <w:rPr>
          <w:color w:val="auto"/>
        </w:rPr>
        <w:t xml:space="preserve"> return </w:t>
      </w:r>
      <w:r w:rsidR="0092349E">
        <w:rPr>
          <w:color w:val="auto"/>
        </w:rPr>
        <w:t xml:space="preserve">against benchmark </w:t>
      </w:r>
      <w:r w:rsidRPr="00BE2D98">
        <w:rPr>
          <w:color w:val="auto"/>
        </w:rPr>
        <w:t xml:space="preserve">for the year was principally due to </w:t>
      </w:r>
      <w:r w:rsidR="00585043" w:rsidRPr="00BE2D98">
        <w:rPr>
          <w:color w:val="auto"/>
        </w:rPr>
        <w:t xml:space="preserve">under </w:t>
      </w:r>
      <w:r w:rsidR="00BE2D98" w:rsidRPr="00BE2D98">
        <w:rPr>
          <w:color w:val="auto"/>
        </w:rPr>
        <w:t>per</w:t>
      </w:r>
      <w:r w:rsidRPr="00BE2D98">
        <w:rPr>
          <w:color w:val="auto"/>
        </w:rPr>
        <w:t xml:space="preserve">formance of </w:t>
      </w:r>
      <w:r w:rsidR="00891970">
        <w:rPr>
          <w:color w:val="auto"/>
        </w:rPr>
        <w:t>some global and emerging Market equities and infrastructure investments</w:t>
      </w:r>
      <w:r w:rsidR="00BE2D98" w:rsidRPr="00BE2D98">
        <w:rPr>
          <w:color w:val="auto"/>
        </w:rPr>
        <w:t>.</w:t>
      </w:r>
    </w:p>
    <w:p w14:paraId="5D6BCE93" w14:textId="77777777" w:rsidR="00925F77" w:rsidRDefault="00925F77" w:rsidP="00D263A6">
      <w:pPr>
        <w:jc w:val="both"/>
        <w:rPr>
          <w:rFonts w:ascii="Arial" w:hAnsi="Arial" w:cs="Arial"/>
          <w:color w:val="FF0000"/>
        </w:rPr>
      </w:pPr>
    </w:p>
    <w:p w14:paraId="0BE0B42C" w14:textId="77777777" w:rsidR="00D91DD4" w:rsidRDefault="00925F77" w:rsidP="00D263A6">
      <w:pPr>
        <w:jc w:val="both"/>
        <w:rPr>
          <w:rFonts w:ascii="Arial" w:hAnsi="Arial" w:cs="Arial"/>
        </w:rPr>
      </w:pPr>
      <w:r w:rsidRPr="009F3807">
        <w:rPr>
          <w:rFonts w:ascii="Arial" w:hAnsi="Arial" w:cs="Arial"/>
        </w:rPr>
        <w:t xml:space="preserve">Results from the </w:t>
      </w:r>
      <w:r w:rsidR="00701866">
        <w:rPr>
          <w:rFonts w:ascii="Arial" w:hAnsi="Arial" w:cs="Arial"/>
        </w:rPr>
        <w:t>Pirc</w:t>
      </w:r>
      <w:r w:rsidRPr="009F3807">
        <w:rPr>
          <w:rFonts w:ascii="Arial" w:hAnsi="Arial" w:cs="Arial"/>
        </w:rPr>
        <w:t xml:space="preserve"> Local Authority Universe showed that the average local authority returned </w:t>
      </w:r>
      <w:r w:rsidR="00A31991">
        <w:rPr>
          <w:rFonts w:ascii="Arial" w:hAnsi="Arial" w:cs="Arial"/>
        </w:rPr>
        <w:t>-4</w:t>
      </w:r>
      <w:r w:rsidR="005514B9">
        <w:rPr>
          <w:rFonts w:ascii="Arial" w:hAnsi="Arial" w:cs="Arial"/>
        </w:rPr>
        <w:t>.</w:t>
      </w:r>
      <w:r w:rsidR="00A31991">
        <w:rPr>
          <w:rFonts w:ascii="Arial" w:hAnsi="Arial" w:cs="Arial"/>
        </w:rPr>
        <w:t>8</w:t>
      </w:r>
      <w:r w:rsidRPr="001D5518">
        <w:rPr>
          <w:rFonts w:ascii="Arial" w:hAnsi="Arial" w:cs="Arial"/>
        </w:rPr>
        <w:t>%</w:t>
      </w:r>
      <w:r w:rsidRPr="001B34D7">
        <w:rPr>
          <w:rFonts w:ascii="Arial" w:hAnsi="Arial" w:cs="Arial"/>
          <w:color w:val="FF0000"/>
        </w:rPr>
        <w:t xml:space="preserve"> </w:t>
      </w:r>
      <w:r w:rsidRPr="009F3807">
        <w:rPr>
          <w:rFonts w:ascii="Arial" w:hAnsi="Arial" w:cs="Arial"/>
        </w:rPr>
        <w:t>in 201</w:t>
      </w:r>
      <w:r w:rsidR="00A31991">
        <w:rPr>
          <w:rFonts w:ascii="Arial" w:hAnsi="Arial" w:cs="Arial"/>
        </w:rPr>
        <w:t>9</w:t>
      </w:r>
      <w:r w:rsidRPr="009F3807">
        <w:rPr>
          <w:rFonts w:ascii="Arial" w:hAnsi="Arial" w:cs="Arial"/>
        </w:rPr>
        <w:t>/</w:t>
      </w:r>
      <w:r w:rsidR="00A31991">
        <w:rPr>
          <w:rFonts w:ascii="Arial" w:hAnsi="Arial" w:cs="Arial"/>
        </w:rPr>
        <w:t>20</w:t>
      </w:r>
      <w:r w:rsidRPr="009F3807">
        <w:rPr>
          <w:rFonts w:ascii="Arial" w:hAnsi="Arial" w:cs="Arial"/>
        </w:rPr>
        <w:t xml:space="preserve">. </w:t>
      </w:r>
      <w:r w:rsidRPr="001D5518">
        <w:rPr>
          <w:rFonts w:ascii="Arial" w:hAnsi="Arial" w:cs="Arial"/>
        </w:rPr>
        <w:t xml:space="preserve">Against the universe the LBWF fund </w:t>
      </w:r>
      <w:r w:rsidR="00A31991">
        <w:rPr>
          <w:rFonts w:ascii="Arial" w:hAnsi="Arial" w:cs="Arial"/>
        </w:rPr>
        <w:t>return was -5.4</w:t>
      </w:r>
      <w:r w:rsidR="003E0197">
        <w:rPr>
          <w:rFonts w:ascii="Arial" w:hAnsi="Arial" w:cs="Arial"/>
        </w:rPr>
        <w:t>%</w:t>
      </w:r>
      <w:r w:rsidRPr="001D5518">
        <w:rPr>
          <w:rFonts w:ascii="Arial" w:hAnsi="Arial" w:cs="Arial"/>
        </w:rPr>
        <w:t xml:space="preserve"> </w:t>
      </w:r>
      <w:r w:rsidR="00A31991">
        <w:rPr>
          <w:rFonts w:ascii="Arial" w:hAnsi="Arial" w:cs="Arial"/>
        </w:rPr>
        <w:t xml:space="preserve">and </w:t>
      </w:r>
      <w:r w:rsidRPr="001D5518">
        <w:rPr>
          <w:rFonts w:ascii="Arial" w:hAnsi="Arial" w:cs="Arial"/>
        </w:rPr>
        <w:t>was ranked</w:t>
      </w:r>
      <w:r w:rsidR="00A31991">
        <w:rPr>
          <w:rFonts w:ascii="Arial" w:hAnsi="Arial" w:cs="Arial"/>
        </w:rPr>
        <w:t xml:space="preserve"> in the</w:t>
      </w:r>
      <w:r w:rsidRPr="001D5518">
        <w:rPr>
          <w:rFonts w:ascii="Arial" w:hAnsi="Arial" w:cs="Arial"/>
        </w:rPr>
        <w:t xml:space="preserve"> </w:t>
      </w:r>
      <w:r w:rsidR="00A31991">
        <w:rPr>
          <w:rFonts w:ascii="Arial" w:hAnsi="Arial" w:cs="Arial"/>
        </w:rPr>
        <w:t>62</w:t>
      </w:r>
      <w:r w:rsidR="00A31991" w:rsidRPr="00A31991">
        <w:rPr>
          <w:rFonts w:ascii="Arial" w:hAnsi="Arial" w:cs="Arial"/>
          <w:vertAlign w:val="superscript"/>
        </w:rPr>
        <w:t>nd</w:t>
      </w:r>
      <w:r w:rsidR="00A31991">
        <w:rPr>
          <w:rFonts w:ascii="Arial" w:hAnsi="Arial" w:cs="Arial"/>
        </w:rPr>
        <w:t xml:space="preserve"> percentile</w:t>
      </w:r>
      <w:r w:rsidRPr="001D5518">
        <w:rPr>
          <w:rFonts w:ascii="Arial" w:hAnsi="Arial" w:cs="Arial"/>
        </w:rPr>
        <w:t xml:space="preserve"> out of </w:t>
      </w:r>
      <w:r w:rsidR="000B4EC0">
        <w:rPr>
          <w:rFonts w:ascii="Arial" w:hAnsi="Arial" w:cs="Arial"/>
        </w:rPr>
        <w:t>6</w:t>
      </w:r>
      <w:r w:rsidR="00AD7BEB">
        <w:rPr>
          <w:rFonts w:ascii="Arial" w:hAnsi="Arial" w:cs="Arial"/>
        </w:rPr>
        <w:t>3</w:t>
      </w:r>
      <w:r w:rsidR="008A5AB5">
        <w:rPr>
          <w:rFonts w:ascii="Arial" w:hAnsi="Arial" w:cs="Arial"/>
        </w:rPr>
        <w:t xml:space="preserve"> funds</w:t>
      </w:r>
      <w:r w:rsidR="00AD7BEB">
        <w:rPr>
          <w:rFonts w:ascii="Arial" w:hAnsi="Arial" w:cs="Arial"/>
        </w:rPr>
        <w:t xml:space="preserve"> valuing £180bn</w:t>
      </w:r>
      <w:r w:rsidRPr="000D6A5D">
        <w:rPr>
          <w:rFonts w:ascii="Arial" w:hAnsi="Arial" w:cs="Arial"/>
          <w:color w:val="000000" w:themeColor="text1"/>
        </w:rPr>
        <w:t>.</w:t>
      </w:r>
      <w:r>
        <w:rPr>
          <w:rFonts w:ascii="Arial" w:hAnsi="Arial" w:cs="Arial"/>
        </w:rPr>
        <w:t xml:space="preserve"> </w:t>
      </w:r>
    </w:p>
    <w:p w14:paraId="466CBC7F" w14:textId="77777777" w:rsidR="0092349E" w:rsidRDefault="0092349E" w:rsidP="00D263A6">
      <w:pPr>
        <w:jc w:val="both"/>
        <w:rPr>
          <w:rFonts w:ascii="Arial" w:hAnsi="Arial" w:cs="Arial"/>
        </w:rPr>
      </w:pPr>
    </w:p>
    <w:p w14:paraId="54883D09" w14:textId="77777777" w:rsidR="0092349E" w:rsidRDefault="00B45BF7" w:rsidP="00D263A6">
      <w:pPr>
        <w:jc w:val="both"/>
        <w:rPr>
          <w:rFonts w:ascii="Arial" w:hAnsi="Arial" w:cs="Arial"/>
        </w:rPr>
      </w:pPr>
      <w:r w:rsidRPr="00B45BF7">
        <w:rPr>
          <w:rFonts w:ascii="Arial" w:hAnsi="Arial" w:cs="Arial"/>
        </w:rPr>
        <w:t>The Strategic performance target of the fund to recover its deficit is CPI + 2.2% (5.2%) set buy the Funding Strategy following the 2016 triennial valuation.</w:t>
      </w:r>
      <w:r w:rsidR="00891970">
        <w:rPr>
          <w:rFonts w:ascii="Arial" w:hAnsi="Arial" w:cs="Arial"/>
        </w:rPr>
        <w:t xml:space="preserve"> </w:t>
      </w:r>
      <w:proofErr w:type="gramStart"/>
      <w:r w:rsidRPr="00B45BF7">
        <w:rPr>
          <w:rFonts w:ascii="Arial" w:hAnsi="Arial" w:cs="Arial"/>
        </w:rPr>
        <w:t>Therefore</w:t>
      </w:r>
      <w:proofErr w:type="gramEnd"/>
      <w:r w:rsidRPr="00B45BF7">
        <w:rPr>
          <w:rFonts w:ascii="Arial" w:hAnsi="Arial" w:cs="Arial"/>
        </w:rPr>
        <w:t xml:space="preserve"> at this present time the fund </w:t>
      </w:r>
      <w:r w:rsidR="003249D8">
        <w:rPr>
          <w:rFonts w:ascii="Arial" w:hAnsi="Arial" w:cs="Arial"/>
        </w:rPr>
        <w:t>has some where to go</w:t>
      </w:r>
      <w:r w:rsidRPr="00B45BF7">
        <w:rPr>
          <w:rFonts w:ascii="Arial" w:hAnsi="Arial" w:cs="Arial"/>
        </w:rPr>
        <w:t xml:space="preserve"> to meet </w:t>
      </w:r>
      <w:r w:rsidR="00891970">
        <w:rPr>
          <w:rFonts w:ascii="Arial" w:hAnsi="Arial" w:cs="Arial"/>
        </w:rPr>
        <w:t>its</w:t>
      </w:r>
      <w:r w:rsidRPr="00B45BF7">
        <w:rPr>
          <w:rFonts w:ascii="Arial" w:hAnsi="Arial" w:cs="Arial"/>
        </w:rPr>
        <w:t xml:space="preserve"> overall strategic aim, given the funds return of </w:t>
      </w:r>
      <w:r w:rsidR="003249D8">
        <w:rPr>
          <w:rFonts w:ascii="Arial" w:hAnsi="Arial" w:cs="Arial"/>
        </w:rPr>
        <w:t>-5.4</w:t>
      </w:r>
      <w:r w:rsidRPr="00B45BF7">
        <w:rPr>
          <w:rFonts w:ascii="Arial" w:hAnsi="Arial" w:cs="Arial"/>
        </w:rPr>
        <w:t xml:space="preserve">% </w:t>
      </w:r>
      <w:r>
        <w:rPr>
          <w:rFonts w:ascii="Arial" w:hAnsi="Arial" w:cs="Arial"/>
        </w:rPr>
        <w:t>for 201</w:t>
      </w:r>
      <w:r w:rsidR="00E07AEC">
        <w:rPr>
          <w:rFonts w:ascii="Arial" w:hAnsi="Arial" w:cs="Arial"/>
        </w:rPr>
        <w:t>8</w:t>
      </w:r>
      <w:r>
        <w:rPr>
          <w:rFonts w:ascii="Arial" w:hAnsi="Arial" w:cs="Arial"/>
        </w:rPr>
        <w:t>/1</w:t>
      </w:r>
      <w:r w:rsidR="00E07AEC">
        <w:rPr>
          <w:rFonts w:ascii="Arial" w:hAnsi="Arial" w:cs="Arial"/>
        </w:rPr>
        <w:t>9</w:t>
      </w:r>
      <w:r>
        <w:rPr>
          <w:rFonts w:ascii="Arial" w:hAnsi="Arial" w:cs="Arial"/>
        </w:rPr>
        <w:t xml:space="preserve"> and </w:t>
      </w:r>
      <w:r w:rsidR="00AD7BEB">
        <w:rPr>
          <w:rFonts w:ascii="Arial" w:hAnsi="Arial" w:cs="Arial"/>
        </w:rPr>
        <w:t>6</w:t>
      </w:r>
      <w:r>
        <w:rPr>
          <w:rFonts w:ascii="Arial" w:hAnsi="Arial" w:cs="Arial"/>
        </w:rPr>
        <w:t>.</w:t>
      </w:r>
      <w:r w:rsidR="00AD7BEB">
        <w:rPr>
          <w:rFonts w:ascii="Arial" w:hAnsi="Arial" w:cs="Arial"/>
        </w:rPr>
        <w:t>9</w:t>
      </w:r>
      <w:r>
        <w:rPr>
          <w:rFonts w:ascii="Arial" w:hAnsi="Arial" w:cs="Arial"/>
        </w:rPr>
        <w:t>% for 201</w:t>
      </w:r>
      <w:r w:rsidR="00AD7BEB">
        <w:rPr>
          <w:rFonts w:ascii="Arial" w:hAnsi="Arial" w:cs="Arial"/>
        </w:rPr>
        <w:t>8</w:t>
      </w:r>
      <w:r>
        <w:rPr>
          <w:rFonts w:ascii="Arial" w:hAnsi="Arial" w:cs="Arial"/>
        </w:rPr>
        <w:t>/1</w:t>
      </w:r>
      <w:r w:rsidR="00AD7BEB">
        <w:rPr>
          <w:rFonts w:ascii="Arial" w:hAnsi="Arial" w:cs="Arial"/>
        </w:rPr>
        <w:t>9</w:t>
      </w:r>
      <w:r>
        <w:rPr>
          <w:rFonts w:ascii="Arial" w:hAnsi="Arial" w:cs="Arial"/>
        </w:rPr>
        <w:t>.</w:t>
      </w:r>
    </w:p>
    <w:p w14:paraId="099A6780" w14:textId="77777777" w:rsidR="00925F77" w:rsidRPr="000077CC" w:rsidRDefault="00925F77" w:rsidP="00D263A6">
      <w:pPr>
        <w:jc w:val="both"/>
        <w:rPr>
          <w:rFonts w:ascii="Arial" w:hAnsi="Arial" w:cs="Arial"/>
          <w:color w:val="FF0000"/>
        </w:rPr>
      </w:pPr>
      <w:r w:rsidRPr="00BE2D98">
        <w:rPr>
          <w:rFonts w:ascii="Arial" w:hAnsi="Arial" w:cs="Arial"/>
        </w:rPr>
        <w:t xml:space="preserve">                                         </w:t>
      </w:r>
    </w:p>
    <w:p w14:paraId="03815C31" w14:textId="77777777" w:rsidR="00925F77" w:rsidRDefault="008A5AB5" w:rsidP="00D263A6">
      <w:pPr>
        <w:jc w:val="both"/>
        <w:rPr>
          <w:rFonts w:ascii="Arial" w:hAnsi="Arial" w:cs="Arial"/>
        </w:rPr>
      </w:pPr>
      <w:bookmarkStart w:id="2" w:name="_Hlk56214553"/>
      <w:r w:rsidRPr="008A5AB5">
        <w:rPr>
          <w:rFonts w:ascii="Arial" w:hAnsi="Arial" w:cs="Arial"/>
        </w:rPr>
        <w:t>LB Waltham Forest Pension Fund returns vs Local Authority Universe</w:t>
      </w:r>
    </w:p>
    <w:tbl>
      <w:tblPr>
        <w:tblpPr w:leftFromText="180" w:rightFromText="180" w:vertAnchor="text" w:horzAnchor="margin" w:tblpXSpec="center" w:tblpY="105"/>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708"/>
        <w:gridCol w:w="709"/>
        <w:gridCol w:w="709"/>
        <w:gridCol w:w="709"/>
        <w:gridCol w:w="708"/>
        <w:gridCol w:w="709"/>
        <w:gridCol w:w="709"/>
        <w:gridCol w:w="709"/>
        <w:gridCol w:w="709"/>
        <w:gridCol w:w="709"/>
        <w:gridCol w:w="709"/>
      </w:tblGrid>
      <w:tr w:rsidR="003249D8" w14:paraId="357D1DDC" w14:textId="77777777" w:rsidTr="003249D8">
        <w:tc>
          <w:tcPr>
            <w:tcW w:w="1273" w:type="dxa"/>
          </w:tcPr>
          <w:p w14:paraId="14BA6A3E" w14:textId="77777777" w:rsidR="003249D8" w:rsidRPr="003249D8" w:rsidRDefault="003249D8" w:rsidP="00D263A6">
            <w:pPr>
              <w:pStyle w:val="Heading2"/>
              <w:keepNext w:val="0"/>
              <w:widowControl w:val="0"/>
              <w:tabs>
                <w:tab w:val="num" w:pos="2007"/>
              </w:tabs>
              <w:jc w:val="both"/>
              <w:rPr>
                <w:b w:val="0"/>
                <w:sz w:val="22"/>
                <w:szCs w:val="22"/>
              </w:rPr>
            </w:pPr>
          </w:p>
        </w:tc>
        <w:tc>
          <w:tcPr>
            <w:tcW w:w="708" w:type="dxa"/>
          </w:tcPr>
          <w:p w14:paraId="4E8A86F8"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2010</w:t>
            </w:r>
          </w:p>
        </w:tc>
        <w:tc>
          <w:tcPr>
            <w:tcW w:w="709" w:type="dxa"/>
          </w:tcPr>
          <w:p w14:paraId="3368A5A5"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2011</w:t>
            </w:r>
          </w:p>
        </w:tc>
        <w:tc>
          <w:tcPr>
            <w:tcW w:w="709" w:type="dxa"/>
          </w:tcPr>
          <w:p w14:paraId="50A784B4"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2012</w:t>
            </w:r>
          </w:p>
        </w:tc>
        <w:tc>
          <w:tcPr>
            <w:tcW w:w="709" w:type="dxa"/>
          </w:tcPr>
          <w:p w14:paraId="459ADE75"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2013</w:t>
            </w:r>
          </w:p>
        </w:tc>
        <w:tc>
          <w:tcPr>
            <w:tcW w:w="708" w:type="dxa"/>
          </w:tcPr>
          <w:p w14:paraId="61550C03"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2014</w:t>
            </w:r>
          </w:p>
        </w:tc>
        <w:tc>
          <w:tcPr>
            <w:tcW w:w="709" w:type="dxa"/>
          </w:tcPr>
          <w:p w14:paraId="16BAC34E"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2015</w:t>
            </w:r>
          </w:p>
        </w:tc>
        <w:tc>
          <w:tcPr>
            <w:tcW w:w="709" w:type="dxa"/>
          </w:tcPr>
          <w:p w14:paraId="15E3569D"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2016</w:t>
            </w:r>
          </w:p>
        </w:tc>
        <w:tc>
          <w:tcPr>
            <w:tcW w:w="709" w:type="dxa"/>
          </w:tcPr>
          <w:p w14:paraId="4D7E7F41"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2017</w:t>
            </w:r>
          </w:p>
        </w:tc>
        <w:tc>
          <w:tcPr>
            <w:tcW w:w="709" w:type="dxa"/>
          </w:tcPr>
          <w:p w14:paraId="08E4BFA0"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2018</w:t>
            </w:r>
          </w:p>
        </w:tc>
        <w:tc>
          <w:tcPr>
            <w:tcW w:w="709" w:type="dxa"/>
          </w:tcPr>
          <w:p w14:paraId="4A981CE3"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2019</w:t>
            </w:r>
          </w:p>
        </w:tc>
        <w:tc>
          <w:tcPr>
            <w:tcW w:w="709" w:type="dxa"/>
          </w:tcPr>
          <w:p w14:paraId="48992068"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2020</w:t>
            </w:r>
          </w:p>
        </w:tc>
      </w:tr>
      <w:tr w:rsidR="003249D8" w14:paraId="19C2614F" w14:textId="77777777" w:rsidTr="003249D8">
        <w:tc>
          <w:tcPr>
            <w:tcW w:w="1273" w:type="dxa"/>
          </w:tcPr>
          <w:p w14:paraId="1BEF3FDD" w14:textId="77777777" w:rsidR="003249D8" w:rsidRPr="003249D8" w:rsidRDefault="003249D8" w:rsidP="00C257C6">
            <w:pPr>
              <w:pStyle w:val="Heading2"/>
              <w:keepNext w:val="0"/>
              <w:widowControl w:val="0"/>
              <w:tabs>
                <w:tab w:val="num" w:pos="2007"/>
              </w:tabs>
              <w:jc w:val="both"/>
              <w:rPr>
                <w:sz w:val="22"/>
                <w:szCs w:val="22"/>
              </w:rPr>
            </w:pPr>
            <w:r w:rsidRPr="003249D8">
              <w:rPr>
                <w:sz w:val="22"/>
                <w:szCs w:val="22"/>
              </w:rPr>
              <w:t>Total Fund Return %</w:t>
            </w:r>
          </w:p>
        </w:tc>
        <w:tc>
          <w:tcPr>
            <w:tcW w:w="708" w:type="dxa"/>
          </w:tcPr>
          <w:p w14:paraId="4471CAF1" w14:textId="77777777" w:rsidR="003249D8" w:rsidRPr="003249D8" w:rsidRDefault="003249D8" w:rsidP="00C257C6">
            <w:pPr>
              <w:pStyle w:val="Heading2"/>
              <w:keepNext w:val="0"/>
              <w:widowControl w:val="0"/>
              <w:tabs>
                <w:tab w:val="num" w:pos="2007"/>
              </w:tabs>
              <w:jc w:val="both"/>
              <w:rPr>
                <w:b w:val="0"/>
                <w:sz w:val="22"/>
                <w:szCs w:val="22"/>
              </w:rPr>
            </w:pPr>
          </w:p>
          <w:p w14:paraId="5C83483B"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43.1</w:t>
            </w:r>
          </w:p>
        </w:tc>
        <w:tc>
          <w:tcPr>
            <w:tcW w:w="709" w:type="dxa"/>
          </w:tcPr>
          <w:p w14:paraId="3376E09E" w14:textId="77777777" w:rsidR="003249D8" w:rsidRPr="003249D8" w:rsidRDefault="003249D8" w:rsidP="00C257C6">
            <w:pPr>
              <w:pStyle w:val="Heading2"/>
              <w:keepNext w:val="0"/>
              <w:widowControl w:val="0"/>
              <w:tabs>
                <w:tab w:val="num" w:pos="2007"/>
              </w:tabs>
              <w:jc w:val="both"/>
              <w:rPr>
                <w:b w:val="0"/>
                <w:sz w:val="22"/>
                <w:szCs w:val="22"/>
              </w:rPr>
            </w:pPr>
          </w:p>
          <w:p w14:paraId="7293D76D"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10.4</w:t>
            </w:r>
          </w:p>
        </w:tc>
        <w:tc>
          <w:tcPr>
            <w:tcW w:w="709" w:type="dxa"/>
          </w:tcPr>
          <w:p w14:paraId="2CBC5C1F" w14:textId="77777777" w:rsidR="003249D8" w:rsidRPr="003249D8" w:rsidRDefault="003249D8" w:rsidP="00C257C6">
            <w:pPr>
              <w:pStyle w:val="Heading2"/>
              <w:keepNext w:val="0"/>
              <w:widowControl w:val="0"/>
              <w:tabs>
                <w:tab w:val="num" w:pos="2007"/>
              </w:tabs>
              <w:jc w:val="both"/>
              <w:rPr>
                <w:b w:val="0"/>
                <w:sz w:val="22"/>
                <w:szCs w:val="22"/>
              </w:rPr>
            </w:pPr>
          </w:p>
          <w:p w14:paraId="5126DDEA"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t>4.3</w:t>
            </w:r>
          </w:p>
        </w:tc>
        <w:tc>
          <w:tcPr>
            <w:tcW w:w="709" w:type="dxa"/>
          </w:tcPr>
          <w:p w14:paraId="5B1C2CE1" w14:textId="77777777" w:rsidR="003249D8" w:rsidRPr="003249D8" w:rsidRDefault="003249D8" w:rsidP="00C257C6">
            <w:pPr>
              <w:pStyle w:val="Heading2"/>
              <w:keepNext w:val="0"/>
              <w:widowControl w:val="0"/>
              <w:tabs>
                <w:tab w:val="num" w:pos="2007"/>
              </w:tabs>
              <w:jc w:val="both"/>
              <w:rPr>
                <w:sz w:val="22"/>
                <w:szCs w:val="22"/>
              </w:rPr>
            </w:pPr>
          </w:p>
          <w:p w14:paraId="62F28988" w14:textId="77777777" w:rsidR="003249D8" w:rsidRPr="003249D8" w:rsidRDefault="003249D8" w:rsidP="00C257C6">
            <w:pPr>
              <w:jc w:val="both"/>
              <w:rPr>
                <w:rFonts w:ascii="Arial" w:hAnsi="Arial" w:cs="Arial"/>
                <w:sz w:val="22"/>
                <w:szCs w:val="22"/>
              </w:rPr>
            </w:pPr>
            <w:r w:rsidRPr="003249D8">
              <w:rPr>
                <w:rFonts w:ascii="Arial" w:hAnsi="Arial" w:cs="Arial"/>
                <w:sz w:val="22"/>
                <w:szCs w:val="22"/>
              </w:rPr>
              <w:t>11.8</w:t>
            </w:r>
          </w:p>
        </w:tc>
        <w:tc>
          <w:tcPr>
            <w:tcW w:w="708" w:type="dxa"/>
          </w:tcPr>
          <w:p w14:paraId="0D92FF6D" w14:textId="77777777" w:rsidR="003249D8" w:rsidRPr="003249D8" w:rsidRDefault="003249D8" w:rsidP="00C257C6">
            <w:pPr>
              <w:pStyle w:val="Heading2"/>
              <w:keepNext w:val="0"/>
              <w:widowControl w:val="0"/>
              <w:tabs>
                <w:tab w:val="num" w:pos="2007"/>
              </w:tabs>
              <w:jc w:val="both"/>
              <w:rPr>
                <w:sz w:val="22"/>
                <w:szCs w:val="22"/>
              </w:rPr>
            </w:pPr>
          </w:p>
          <w:p w14:paraId="5B5DA3FB" w14:textId="77777777" w:rsidR="003249D8" w:rsidRPr="003249D8" w:rsidRDefault="003249D8" w:rsidP="00C257C6">
            <w:pPr>
              <w:jc w:val="both"/>
              <w:rPr>
                <w:rFonts w:ascii="Arial" w:hAnsi="Arial" w:cs="Arial"/>
                <w:sz w:val="22"/>
                <w:szCs w:val="22"/>
              </w:rPr>
            </w:pPr>
            <w:r w:rsidRPr="003249D8">
              <w:rPr>
                <w:rFonts w:ascii="Arial" w:hAnsi="Arial" w:cs="Arial"/>
                <w:sz w:val="22"/>
                <w:szCs w:val="22"/>
              </w:rPr>
              <w:t>11.4</w:t>
            </w:r>
          </w:p>
        </w:tc>
        <w:tc>
          <w:tcPr>
            <w:tcW w:w="709" w:type="dxa"/>
          </w:tcPr>
          <w:p w14:paraId="3268B48B" w14:textId="77777777" w:rsidR="003249D8" w:rsidRPr="003249D8" w:rsidRDefault="003249D8" w:rsidP="00C257C6">
            <w:pPr>
              <w:pStyle w:val="Heading2"/>
              <w:keepNext w:val="0"/>
              <w:widowControl w:val="0"/>
              <w:tabs>
                <w:tab w:val="num" w:pos="2007"/>
              </w:tabs>
              <w:jc w:val="both"/>
              <w:rPr>
                <w:sz w:val="22"/>
                <w:szCs w:val="22"/>
              </w:rPr>
            </w:pPr>
          </w:p>
          <w:p w14:paraId="75E30299" w14:textId="77777777" w:rsidR="003249D8" w:rsidRPr="003249D8" w:rsidRDefault="003249D8" w:rsidP="00C257C6">
            <w:pPr>
              <w:jc w:val="both"/>
              <w:rPr>
                <w:rFonts w:ascii="Arial" w:hAnsi="Arial" w:cs="Arial"/>
                <w:sz w:val="22"/>
                <w:szCs w:val="22"/>
              </w:rPr>
            </w:pPr>
            <w:r w:rsidRPr="003249D8">
              <w:rPr>
                <w:rFonts w:ascii="Arial" w:hAnsi="Arial" w:cs="Arial"/>
                <w:sz w:val="22"/>
                <w:szCs w:val="22"/>
              </w:rPr>
              <w:t>12.5</w:t>
            </w:r>
          </w:p>
        </w:tc>
        <w:tc>
          <w:tcPr>
            <w:tcW w:w="709" w:type="dxa"/>
          </w:tcPr>
          <w:p w14:paraId="20E79A13" w14:textId="77777777" w:rsidR="003249D8" w:rsidRPr="003249D8" w:rsidRDefault="003249D8" w:rsidP="00C257C6">
            <w:pPr>
              <w:pStyle w:val="Heading2"/>
              <w:keepNext w:val="0"/>
              <w:widowControl w:val="0"/>
              <w:tabs>
                <w:tab w:val="num" w:pos="2007"/>
              </w:tabs>
              <w:jc w:val="both"/>
              <w:rPr>
                <w:sz w:val="22"/>
                <w:szCs w:val="22"/>
              </w:rPr>
            </w:pPr>
          </w:p>
          <w:p w14:paraId="700E935B" w14:textId="77777777" w:rsidR="003249D8" w:rsidRPr="003249D8" w:rsidRDefault="003249D8" w:rsidP="00C257C6">
            <w:pPr>
              <w:jc w:val="both"/>
              <w:rPr>
                <w:rFonts w:ascii="Arial" w:hAnsi="Arial" w:cs="Arial"/>
                <w:sz w:val="22"/>
                <w:szCs w:val="22"/>
              </w:rPr>
            </w:pPr>
            <w:r w:rsidRPr="003249D8">
              <w:rPr>
                <w:rFonts w:ascii="Arial" w:hAnsi="Arial" w:cs="Arial"/>
                <w:sz w:val="22"/>
                <w:szCs w:val="22"/>
              </w:rPr>
              <w:t>-3.6</w:t>
            </w:r>
          </w:p>
        </w:tc>
        <w:tc>
          <w:tcPr>
            <w:tcW w:w="709" w:type="dxa"/>
          </w:tcPr>
          <w:p w14:paraId="7A37FCB2" w14:textId="77777777" w:rsidR="003249D8" w:rsidRPr="003249D8" w:rsidRDefault="003249D8" w:rsidP="00C257C6">
            <w:pPr>
              <w:pStyle w:val="Heading2"/>
              <w:keepNext w:val="0"/>
              <w:widowControl w:val="0"/>
              <w:tabs>
                <w:tab w:val="num" w:pos="2007"/>
              </w:tabs>
              <w:jc w:val="both"/>
              <w:rPr>
                <w:sz w:val="22"/>
                <w:szCs w:val="22"/>
              </w:rPr>
            </w:pPr>
          </w:p>
          <w:p w14:paraId="50E63592" w14:textId="77777777" w:rsidR="003249D8" w:rsidRPr="003249D8" w:rsidRDefault="003249D8" w:rsidP="00C257C6">
            <w:pPr>
              <w:rPr>
                <w:rFonts w:ascii="Arial" w:hAnsi="Arial" w:cs="Arial"/>
                <w:sz w:val="22"/>
                <w:szCs w:val="22"/>
              </w:rPr>
            </w:pPr>
            <w:r w:rsidRPr="003249D8">
              <w:rPr>
                <w:rFonts w:ascii="Arial" w:hAnsi="Arial" w:cs="Arial"/>
                <w:sz w:val="22"/>
                <w:szCs w:val="22"/>
              </w:rPr>
              <w:t>13.9</w:t>
            </w:r>
          </w:p>
        </w:tc>
        <w:tc>
          <w:tcPr>
            <w:tcW w:w="709" w:type="dxa"/>
          </w:tcPr>
          <w:p w14:paraId="2AA1F416" w14:textId="77777777" w:rsidR="003249D8" w:rsidRPr="003249D8" w:rsidRDefault="003249D8" w:rsidP="00C257C6">
            <w:pPr>
              <w:pStyle w:val="Heading2"/>
              <w:keepNext w:val="0"/>
              <w:widowControl w:val="0"/>
              <w:tabs>
                <w:tab w:val="num" w:pos="2007"/>
              </w:tabs>
              <w:jc w:val="both"/>
              <w:rPr>
                <w:sz w:val="22"/>
                <w:szCs w:val="22"/>
              </w:rPr>
            </w:pPr>
          </w:p>
          <w:p w14:paraId="221DC5DD" w14:textId="77777777" w:rsidR="003249D8" w:rsidRPr="003249D8" w:rsidRDefault="003249D8" w:rsidP="00C257C6">
            <w:pPr>
              <w:rPr>
                <w:rFonts w:ascii="Arial" w:hAnsi="Arial" w:cs="Arial"/>
                <w:sz w:val="22"/>
                <w:szCs w:val="22"/>
              </w:rPr>
            </w:pPr>
            <w:r w:rsidRPr="003249D8">
              <w:rPr>
                <w:rFonts w:ascii="Arial" w:hAnsi="Arial" w:cs="Arial"/>
                <w:sz w:val="22"/>
                <w:szCs w:val="22"/>
              </w:rPr>
              <w:t>3.8</w:t>
            </w:r>
          </w:p>
        </w:tc>
        <w:tc>
          <w:tcPr>
            <w:tcW w:w="709" w:type="dxa"/>
          </w:tcPr>
          <w:p w14:paraId="6B3C68E7" w14:textId="77777777" w:rsidR="003249D8" w:rsidRPr="003249D8" w:rsidRDefault="003249D8" w:rsidP="00C257C6">
            <w:pPr>
              <w:pStyle w:val="Heading2"/>
              <w:keepNext w:val="0"/>
              <w:widowControl w:val="0"/>
              <w:tabs>
                <w:tab w:val="num" w:pos="2007"/>
              </w:tabs>
              <w:jc w:val="both"/>
              <w:rPr>
                <w:sz w:val="22"/>
                <w:szCs w:val="22"/>
              </w:rPr>
            </w:pPr>
          </w:p>
          <w:p w14:paraId="079159E9" w14:textId="77777777" w:rsidR="003249D8" w:rsidRPr="003249D8" w:rsidRDefault="003249D8" w:rsidP="005514B9">
            <w:pPr>
              <w:rPr>
                <w:rFonts w:ascii="Arial" w:hAnsi="Arial" w:cs="Arial"/>
                <w:sz w:val="22"/>
                <w:szCs w:val="22"/>
              </w:rPr>
            </w:pPr>
            <w:r w:rsidRPr="003249D8">
              <w:rPr>
                <w:rFonts w:ascii="Arial" w:hAnsi="Arial" w:cs="Arial"/>
                <w:sz w:val="22"/>
                <w:szCs w:val="22"/>
              </w:rPr>
              <w:t>6.9</w:t>
            </w:r>
          </w:p>
        </w:tc>
        <w:tc>
          <w:tcPr>
            <w:tcW w:w="709" w:type="dxa"/>
          </w:tcPr>
          <w:p w14:paraId="6E32FA03" w14:textId="77777777" w:rsidR="003249D8" w:rsidRPr="003249D8" w:rsidRDefault="003249D8" w:rsidP="00C257C6">
            <w:pPr>
              <w:pStyle w:val="Heading2"/>
              <w:keepNext w:val="0"/>
              <w:widowControl w:val="0"/>
              <w:tabs>
                <w:tab w:val="num" w:pos="2007"/>
              </w:tabs>
              <w:jc w:val="both"/>
              <w:rPr>
                <w:sz w:val="22"/>
                <w:szCs w:val="22"/>
              </w:rPr>
            </w:pPr>
          </w:p>
          <w:p w14:paraId="34AE3209" w14:textId="77777777" w:rsidR="003249D8" w:rsidRPr="003249D8" w:rsidRDefault="003249D8" w:rsidP="003249D8">
            <w:pPr>
              <w:rPr>
                <w:rFonts w:ascii="Arial" w:hAnsi="Arial" w:cs="Arial"/>
                <w:sz w:val="22"/>
                <w:szCs w:val="22"/>
              </w:rPr>
            </w:pPr>
            <w:r w:rsidRPr="003249D8">
              <w:rPr>
                <w:rFonts w:ascii="Arial" w:hAnsi="Arial" w:cs="Arial"/>
                <w:sz w:val="22"/>
                <w:szCs w:val="22"/>
              </w:rPr>
              <w:t>-5.4</w:t>
            </w:r>
          </w:p>
        </w:tc>
      </w:tr>
      <w:tr w:rsidR="003249D8" w14:paraId="7209D959" w14:textId="77777777" w:rsidTr="003249D8">
        <w:tc>
          <w:tcPr>
            <w:tcW w:w="1273" w:type="dxa"/>
          </w:tcPr>
          <w:p w14:paraId="511BC59A" w14:textId="77777777" w:rsidR="003249D8" w:rsidRPr="003249D8" w:rsidRDefault="003249D8" w:rsidP="00C257C6">
            <w:pPr>
              <w:pStyle w:val="Heading2"/>
              <w:keepNext w:val="0"/>
              <w:widowControl w:val="0"/>
              <w:tabs>
                <w:tab w:val="num" w:pos="2007"/>
              </w:tabs>
              <w:jc w:val="both"/>
              <w:rPr>
                <w:sz w:val="22"/>
                <w:szCs w:val="22"/>
              </w:rPr>
            </w:pPr>
            <w:r w:rsidRPr="003249D8">
              <w:rPr>
                <w:sz w:val="22"/>
                <w:szCs w:val="22"/>
              </w:rPr>
              <w:t xml:space="preserve">Ranking </w:t>
            </w:r>
            <w:r w:rsidRPr="003249D8">
              <w:rPr>
                <w:sz w:val="22"/>
                <w:szCs w:val="22"/>
              </w:rPr>
              <w:lastRenderedPageBreak/>
              <w:t>in Local Authority Universe</w:t>
            </w:r>
          </w:p>
        </w:tc>
        <w:tc>
          <w:tcPr>
            <w:tcW w:w="708" w:type="dxa"/>
          </w:tcPr>
          <w:p w14:paraId="31787DBD" w14:textId="77777777" w:rsidR="003249D8" w:rsidRPr="003249D8" w:rsidRDefault="003249D8" w:rsidP="00C257C6">
            <w:pPr>
              <w:pStyle w:val="Heading2"/>
              <w:keepNext w:val="0"/>
              <w:widowControl w:val="0"/>
              <w:tabs>
                <w:tab w:val="num" w:pos="2007"/>
              </w:tabs>
              <w:jc w:val="both"/>
              <w:rPr>
                <w:b w:val="0"/>
                <w:sz w:val="22"/>
                <w:szCs w:val="22"/>
              </w:rPr>
            </w:pPr>
          </w:p>
          <w:p w14:paraId="767C7880"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lastRenderedPageBreak/>
              <w:t>6</w:t>
            </w:r>
          </w:p>
        </w:tc>
        <w:tc>
          <w:tcPr>
            <w:tcW w:w="709" w:type="dxa"/>
          </w:tcPr>
          <w:p w14:paraId="2027B339" w14:textId="77777777" w:rsidR="003249D8" w:rsidRPr="003249D8" w:rsidRDefault="003249D8" w:rsidP="00C257C6">
            <w:pPr>
              <w:pStyle w:val="Heading2"/>
              <w:keepNext w:val="0"/>
              <w:widowControl w:val="0"/>
              <w:tabs>
                <w:tab w:val="num" w:pos="2007"/>
              </w:tabs>
              <w:jc w:val="both"/>
              <w:rPr>
                <w:b w:val="0"/>
                <w:sz w:val="22"/>
                <w:szCs w:val="22"/>
              </w:rPr>
            </w:pPr>
          </w:p>
          <w:p w14:paraId="2E135AC3" w14:textId="77777777" w:rsidR="003249D8" w:rsidRPr="003249D8" w:rsidRDefault="003249D8" w:rsidP="00C257C6">
            <w:pPr>
              <w:pStyle w:val="Heading2"/>
              <w:keepNext w:val="0"/>
              <w:widowControl w:val="0"/>
              <w:tabs>
                <w:tab w:val="num" w:pos="2007"/>
              </w:tabs>
              <w:jc w:val="both"/>
              <w:rPr>
                <w:b w:val="0"/>
                <w:sz w:val="22"/>
                <w:szCs w:val="22"/>
              </w:rPr>
            </w:pPr>
            <w:r w:rsidRPr="003249D8">
              <w:rPr>
                <w:b w:val="0"/>
                <w:sz w:val="22"/>
                <w:szCs w:val="22"/>
              </w:rPr>
              <w:lastRenderedPageBreak/>
              <w:t>3</w:t>
            </w:r>
          </w:p>
        </w:tc>
        <w:tc>
          <w:tcPr>
            <w:tcW w:w="709" w:type="dxa"/>
          </w:tcPr>
          <w:p w14:paraId="378DC880" w14:textId="77777777" w:rsidR="003249D8" w:rsidRPr="003249D8" w:rsidRDefault="003249D8" w:rsidP="00C257C6">
            <w:pPr>
              <w:pStyle w:val="Heading2"/>
              <w:keepNext w:val="0"/>
              <w:widowControl w:val="0"/>
              <w:tabs>
                <w:tab w:val="num" w:pos="2007"/>
              </w:tabs>
              <w:jc w:val="both"/>
              <w:rPr>
                <w:b w:val="0"/>
                <w:sz w:val="22"/>
                <w:szCs w:val="22"/>
              </w:rPr>
            </w:pPr>
          </w:p>
          <w:p w14:paraId="5551B249" w14:textId="77777777" w:rsidR="003249D8" w:rsidRPr="003249D8" w:rsidRDefault="003249D8" w:rsidP="00C257C6">
            <w:pPr>
              <w:jc w:val="both"/>
              <w:rPr>
                <w:rFonts w:ascii="Arial" w:hAnsi="Arial" w:cs="Arial"/>
                <w:color w:val="4F6228" w:themeColor="accent3" w:themeShade="80"/>
                <w:sz w:val="22"/>
                <w:szCs w:val="22"/>
              </w:rPr>
            </w:pPr>
            <w:r w:rsidRPr="003249D8">
              <w:rPr>
                <w:rFonts w:ascii="Arial" w:hAnsi="Arial" w:cs="Arial"/>
                <w:sz w:val="22"/>
                <w:szCs w:val="22"/>
              </w:rPr>
              <w:lastRenderedPageBreak/>
              <w:t>24</w:t>
            </w:r>
          </w:p>
        </w:tc>
        <w:tc>
          <w:tcPr>
            <w:tcW w:w="709" w:type="dxa"/>
          </w:tcPr>
          <w:p w14:paraId="3A3187EA" w14:textId="77777777" w:rsidR="003249D8" w:rsidRPr="003249D8" w:rsidRDefault="003249D8" w:rsidP="00C257C6">
            <w:pPr>
              <w:pStyle w:val="Heading2"/>
              <w:keepNext w:val="0"/>
              <w:widowControl w:val="0"/>
              <w:tabs>
                <w:tab w:val="num" w:pos="2007"/>
              </w:tabs>
              <w:jc w:val="both"/>
              <w:rPr>
                <w:sz w:val="22"/>
                <w:szCs w:val="22"/>
              </w:rPr>
            </w:pPr>
          </w:p>
          <w:p w14:paraId="1937FD58" w14:textId="77777777" w:rsidR="003249D8" w:rsidRPr="003249D8" w:rsidRDefault="003249D8" w:rsidP="00C257C6">
            <w:pPr>
              <w:jc w:val="both"/>
              <w:rPr>
                <w:rFonts w:ascii="Arial" w:hAnsi="Arial" w:cs="Arial"/>
                <w:sz w:val="22"/>
                <w:szCs w:val="22"/>
              </w:rPr>
            </w:pPr>
            <w:r w:rsidRPr="003249D8">
              <w:rPr>
                <w:rFonts w:ascii="Arial" w:hAnsi="Arial" w:cs="Arial"/>
                <w:sz w:val="22"/>
                <w:szCs w:val="22"/>
              </w:rPr>
              <w:lastRenderedPageBreak/>
              <w:t>86</w:t>
            </w:r>
          </w:p>
        </w:tc>
        <w:tc>
          <w:tcPr>
            <w:tcW w:w="708" w:type="dxa"/>
          </w:tcPr>
          <w:p w14:paraId="13FECA93" w14:textId="77777777" w:rsidR="003249D8" w:rsidRPr="003249D8" w:rsidRDefault="003249D8" w:rsidP="00C257C6">
            <w:pPr>
              <w:pStyle w:val="Heading2"/>
              <w:keepNext w:val="0"/>
              <w:widowControl w:val="0"/>
              <w:tabs>
                <w:tab w:val="num" w:pos="2007"/>
              </w:tabs>
              <w:jc w:val="both"/>
              <w:rPr>
                <w:sz w:val="22"/>
                <w:szCs w:val="22"/>
              </w:rPr>
            </w:pPr>
          </w:p>
          <w:p w14:paraId="30AE2652" w14:textId="77777777" w:rsidR="003249D8" w:rsidRPr="003249D8" w:rsidRDefault="003249D8" w:rsidP="00C257C6">
            <w:pPr>
              <w:jc w:val="both"/>
              <w:rPr>
                <w:rFonts w:ascii="Arial" w:hAnsi="Arial" w:cs="Arial"/>
                <w:sz w:val="22"/>
                <w:szCs w:val="22"/>
              </w:rPr>
            </w:pPr>
            <w:r w:rsidRPr="003249D8">
              <w:rPr>
                <w:rFonts w:ascii="Arial" w:hAnsi="Arial" w:cs="Arial"/>
                <w:sz w:val="22"/>
                <w:szCs w:val="22"/>
              </w:rPr>
              <w:lastRenderedPageBreak/>
              <w:t>3</w:t>
            </w:r>
          </w:p>
        </w:tc>
        <w:tc>
          <w:tcPr>
            <w:tcW w:w="709" w:type="dxa"/>
          </w:tcPr>
          <w:p w14:paraId="2400E51E" w14:textId="77777777" w:rsidR="003249D8" w:rsidRPr="003249D8" w:rsidRDefault="003249D8" w:rsidP="00C257C6">
            <w:pPr>
              <w:pStyle w:val="Heading2"/>
              <w:keepNext w:val="0"/>
              <w:widowControl w:val="0"/>
              <w:tabs>
                <w:tab w:val="num" w:pos="2007"/>
              </w:tabs>
              <w:jc w:val="both"/>
              <w:rPr>
                <w:sz w:val="22"/>
                <w:szCs w:val="22"/>
              </w:rPr>
            </w:pPr>
          </w:p>
          <w:p w14:paraId="516274C2" w14:textId="77777777" w:rsidR="003249D8" w:rsidRPr="003249D8" w:rsidRDefault="003249D8" w:rsidP="00C257C6">
            <w:pPr>
              <w:jc w:val="both"/>
              <w:rPr>
                <w:rFonts w:ascii="Arial" w:hAnsi="Arial" w:cs="Arial"/>
                <w:sz w:val="22"/>
                <w:szCs w:val="22"/>
              </w:rPr>
            </w:pPr>
            <w:r w:rsidRPr="003249D8">
              <w:rPr>
                <w:rFonts w:ascii="Arial" w:hAnsi="Arial" w:cs="Arial"/>
                <w:sz w:val="22"/>
                <w:szCs w:val="22"/>
              </w:rPr>
              <w:lastRenderedPageBreak/>
              <w:t>63</w:t>
            </w:r>
          </w:p>
        </w:tc>
        <w:tc>
          <w:tcPr>
            <w:tcW w:w="709" w:type="dxa"/>
          </w:tcPr>
          <w:p w14:paraId="49260D8B" w14:textId="77777777" w:rsidR="003249D8" w:rsidRPr="003249D8" w:rsidRDefault="003249D8" w:rsidP="00C257C6">
            <w:pPr>
              <w:pStyle w:val="Heading2"/>
              <w:keepNext w:val="0"/>
              <w:widowControl w:val="0"/>
              <w:tabs>
                <w:tab w:val="num" w:pos="2007"/>
              </w:tabs>
              <w:jc w:val="both"/>
              <w:rPr>
                <w:sz w:val="22"/>
                <w:szCs w:val="22"/>
              </w:rPr>
            </w:pPr>
          </w:p>
          <w:p w14:paraId="53E269E2" w14:textId="77777777" w:rsidR="003249D8" w:rsidRPr="003249D8" w:rsidRDefault="003249D8" w:rsidP="00C257C6">
            <w:pPr>
              <w:jc w:val="both"/>
              <w:rPr>
                <w:rFonts w:ascii="Arial" w:hAnsi="Arial" w:cs="Arial"/>
                <w:sz w:val="22"/>
                <w:szCs w:val="22"/>
              </w:rPr>
            </w:pPr>
            <w:r w:rsidRPr="003249D8">
              <w:rPr>
                <w:rFonts w:ascii="Arial" w:hAnsi="Arial" w:cs="Arial"/>
                <w:sz w:val="22"/>
                <w:szCs w:val="22"/>
              </w:rPr>
              <w:lastRenderedPageBreak/>
              <w:t>98</w:t>
            </w:r>
          </w:p>
        </w:tc>
        <w:tc>
          <w:tcPr>
            <w:tcW w:w="709" w:type="dxa"/>
          </w:tcPr>
          <w:p w14:paraId="3004DB85" w14:textId="77777777" w:rsidR="003249D8" w:rsidRPr="003249D8" w:rsidRDefault="003249D8" w:rsidP="00C257C6">
            <w:pPr>
              <w:pStyle w:val="Heading2"/>
              <w:keepNext w:val="0"/>
              <w:widowControl w:val="0"/>
              <w:tabs>
                <w:tab w:val="num" w:pos="2007"/>
              </w:tabs>
              <w:jc w:val="both"/>
              <w:rPr>
                <w:sz w:val="22"/>
                <w:szCs w:val="22"/>
              </w:rPr>
            </w:pPr>
          </w:p>
          <w:p w14:paraId="45663DAE" w14:textId="77777777" w:rsidR="003249D8" w:rsidRPr="003249D8" w:rsidRDefault="003249D8" w:rsidP="00C257C6">
            <w:pPr>
              <w:rPr>
                <w:rFonts w:ascii="Arial" w:hAnsi="Arial" w:cs="Arial"/>
                <w:sz w:val="22"/>
                <w:szCs w:val="22"/>
              </w:rPr>
            </w:pPr>
            <w:r w:rsidRPr="003249D8">
              <w:rPr>
                <w:rFonts w:ascii="Arial" w:hAnsi="Arial" w:cs="Arial"/>
                <w:sz w:val="22"/>
                <w:szCs w:val="22"/>
              </w:rPr>
              <w:lastRenderedPageBreak/>
              <w:t>98</w:t>
            </w:r>
          </w:p>
        </w:tc>
        <w:tc>
          <w:tcPr>
            <w:tcW w:w="709" w:type="dxa"/>
          </w:tcPr>
          <w:p w14:paraId="7E59172C" w14:textId="77777777" w:rsidR="003249D8" w:rsidRPr="003249D8" w:rsidRDefault="003249D8" w:rsidP="00C257C6">
            <w:pPr>
              <w:pStyle w:val="Heading2"/>
              <w:keepNext w:val="0"/>
              <w:widowControl w:val="0"/>
              <w:tabs>
                <w:tab w:val="num" w:pos="2007"/>
              </w:tabs>
              <w:jc w:val="both"/>
              <w:rPr>
                <w:sz w:val="22"/>
                <w:szCs w:val="22"/>
              </w:rPr>
            </w:pPr>
          </w:p>
          <w:p w14:paraId="3ADAE075" w14:textId="77777777" w:rsidR="003249D8" w:rsidRPr="003249D8" w:rsidRDefault="003249D8" w:rsidP="00C257C6">
            <w:pPr>
              <w:rPr>
                <w:rFonts w:ascii="Arial" w:hAnsi="Arial" w:cs="Arial"/>
                <w:sz w:val="22"/>
                <w:szCs w:val="22"/>
              </w:rPr>
            </w:pPr>
            <w:r w:rsidRPr="003249D8">
              <w:rPr>
                <w:rFonts w:ascii="Arial" w:hAnsi="Arial" w:cs="Arial"/>
                <w:sz w:val="22"/>
                <w:szCs w:val="22"/>
              </w:rPr>
              <w:lastRenderedPageBreak/>
              <w:t>55</w:t>
            </w:r>
          </w:p>
        </w:tc>
        <w:tc>
          <w:tcPr>
            <w:tcW w:w="709" w:type="dxa"/>
          </w:tcPr>
          <w:p w14:paraId="79E1AA83" w14:textId="77777777" w:rsidR="003249D8" w:rsidRPr="003249D8" w:rsidRDefault="003249D8" w:rsidP="00C257C6">
            <w:pPr>
              <w:pStyle w:val="Heading2"/>
              <w:keepNext w:val="0"/>
              <w:widowControl w:val="0"/>
              <w:tabs>
                <w:tab w:val="num" w:pos="2007"/>
              </w:tabs>
              <w:jc w:val="both"/>
              <w:rPr>
                <w:sz w:val="22"/>
                <w:szCs w:val="22"/>
              </w:rPr>
            </w:pPr>
          </w:p>
          <w:p w14:paraId="615764C4" w14:textId="77777777" w:rsidR="003249D8" w:rsidRPr="003249D8" w:rsidRDefault="003249D8" w:rsidP="005514B9">
            <w:pPr>
              <w:rPr>
                <w:rFonts w:ascii="Arial" w:hAnsi="Arial" w:cs="Arial"/>
                <w:sz w:val="22"/>
                <w:szCs w:val="22"/>
              </w:rPr>
            </w:pPr>
            <w:r w:rsidRPr="003249D8">
              <w:rPr>
                <w:rFonts w:ascii="Arial" w:hAnsi="Arial" w:cs="Arial"/>
                <w:sz w:val="22"/>
                <w:szCs w:val="22"/>
              </w:rPr>
              <w:lastRenderedPageBreak/>
              <w:t>36</w:t>
            </w:r>
          </w:p>
        </w:tc>
        <w:tc>
          <w:tcPr>
            <w:tcW w:w="709" w:type="dxa"/>
          </w:tcPr>
          <w:p w14:paraId="70C192BC" w14:textId="77777777" w:rsidR="003249D8" w:rsidRPr="003249D8" w:rsidRDefault="003249D8" w:rsidP="00C257C6">
            <w:pPr>
              <w:pStyle w:val="Heading2"/>
              <w:keepNext w:val="0"/>
              <w:widowControl w:val="0"/>
              <w:tabs>
                <w:tab w:val="num" w:pos="2007"/>
              </w:tabs>
              <w:jc w:val="both"/>
              <w:rPr>
                <w:sz w:val="22"/>
                <w:szCs w:val="22"/>
              </w:rPr>
            </w:pPr>
          </w:p>
          <w:p w14:paraId="4D2726D7" w14:textId="77777777" w:rsidR="003249D8" w:rsidRPr="003249D8" w:rsidRDefault="003249D8" w:rsidP="003249D8">
            <w:pPr>
              <w:rPr>
                <w:rFonts w:ascii="Arial" w:hAnsi="Arial" w:cs="Arial"/>
                <w:sz w:val="22"/>
                <w:szCs w:val="22"/>
              </w:rPr>
            </w:pPr>
            <w:r w:rsidRPr="003249D8">
              <w:rPr>
                <w:rFonts w:ascii="Arial" w:hAnsi="Arial" w:cs="Arial"/>
                <w:sz w:val="22"/>
                <w:szCs w:val="22"/>
              </w:rPr>
              <w:lastRenderedPageBreak/>
              <w:t>63</w:t>
            </w:r>
          </w:p>
        </w:tc>
      </w:tr>
    </w:tbl>
    <w:p w14:paraId="7EE423F7" w14:textId="77777777" w:rsidR="00A544A3" w:rsidRDefault="008A5AB5" w:rsidP="008A5AB5">
      <w:pPr>
        <w:pStyle w:val="Heading2"/>
        <w:keepNext w:val="0"/>
        <w:widowControl w:val="0"/>
        <w:tabs>
          <w:tab w:val="num" w:pos="2007"/>
        </w:tabs>
        <w:ind w:left="1260" w:hanging="1827"/>
        <w:rPr>
          <w:b w:val="0"/>
          <w:sz w:val="20"/>
          <w:szCs w:val="20"/>
        </w:rPr>
      </w:pPr>
      <w:r>
        <w:rPr>
          <w:b w:val="0"/>
          <w:sz w:val="20"/>
          <w:szCs w:val="20"/>
        </w:rPr>
        <w:lastRenderedPageBreak/>
        <w:t>Figures provided by Pirc Local Authority Pension Performance analytics</w:t>
      </w:r>
    </w:p>
    <w:bookmarkEnd w:id="2"/>
    <w:p w14:paraId="1144A5A8" w14:textId="77777777" w:rsidR="00C257C6" w:rsidRPr="00C257C6" w:rsidRDefault="00C257C6" w:rsidP="008A5AB5">
      <w:pPr>
        <w:jc w:val="center"/>
      </w:pPr>
    </w:p>
    <w:p w14:paraId="1193D94D" w14:textId="77777777" w:rsidR="008C4C3F" w:rsidRDefault="000A130F" w:rsidP="00D263A6">
      <w:pPr>
        <w:pStyle w:val="Header"/>
        <w:tabs>
          <w:tab w:val="clear" w:pos="4153"/>
          <w:tab w:val="clear" w:pos="8306"/>
        </w:tabs>
        <w:jc w:val="both"/>
        <w:rPr>
          <w:rFonts w:ascii="Arial" w:hAnsi="Arial" w:cs="Arial"/>
          <w:b/>
        </w:rPr>
      </w:pPr>
      <w:r w:rsidRPr="000A130F">
        <w:rPr>
          <w:rFonts w:ascii="Arial" w:hAnsi="Arial" w:cs="Arial"/>
          <w:b/>
        </w:rPr>
        <w:t>Longer Term Performance</w:t>
      </w:r>
    </w:p>
    <w:p w14:paraId="70042C72" w14:textId="77777777" w:rsidR="00925F77" w:rsidRDefault="008C4C3F" w:rsidP="00D263A6">
      <w:pPr>
        <w:pStyle w:val="Header"/>
        <w:tabs>
          <w:tab w:val="clear" w:pos="4153"/>
          <w:tab w:val="clear" w:pos="8306"/>
        </w:tabs>
        <w:jc w:val="both"/>
        <w:rPr>
          <w:rFonts w:ascii="Arial" w:hAnsi="Arial" w:cs="Arial"/>
          <w:b/>
        </w:rPr>
      </w:pPr>
      <w:r>
        <w:rPr>
          <w:rFonts w:ascii="Arial" w:hAnsi="Arial" w:cs="Arial"/>
          <w:b/>
        </w:rPr>
        <w:t>(fund returns against the fund benchmark and local authority universe)</w:t>
      </w:r>
    </w:p>
    <w:p w14:paraId="6B2A0A92" w14:textId="77777777" w:rsidR="000A130F" w:rsidRDefault="000A130F" w:rsidP="00D263A6">
      <w:pPr>
        <w:pStyle w:val="Header"/>
        <w:tabs>
          <w:tab w:val="clear" w:pos="4153"/>
          <w:tab w:val="clear" w:pos="8306"/>
        </w:tabs>
        <w:jc w:val="both"/>
        <w:rPr>
          <w:rFonts w:ascii="Arial" w:hAnsi="Arial" w:cs="Arial"/>
          <w:b/>
        </w:rPr>
      </w:pPr>
    </w:p>
    <w:p w14:paraId="46E4784D" w14:textId="77777777" w:rsidR="000A130F" w:rsidRDefault="000A130F" w:rsidP="00D263A6">
      <w:pPr>
        <w:pStyle w:val="Header"/>
        <w:tabs>
          <w:tab w:val="clear" w:pos="4153"/>
          <w:tab w:val="clear" w:pos="8306"/>
        </w:tabs>
        <w:jc w:val="both"/>
        <w:rPr>
          <w:rFonts w:ascii="Arial" w:hAnsi="Arial" w:cs="Arial"/>
          <w:b/>
        </w:rPr>
      </w:pPr>
      <w:r>
        <w:rPr>
          <w:rFonts w:ascii="Arial" w:hAnsi="Arial" w:cs="Arial"/>
          <w:b/>
        </w:rPr>
        <w:t>Over 3, 5 and 10 years</w:t>
      </w:r>
    </w:p>
    <w:p w14:paraId="45E80627" w14:textId="77777777" w:rsidR="000A130F" w:rsidRDefault="000A130F" w:rsidP="00D263A6">
      <w:pPr>
        <w:pStyle w:val="Header"/>
        <w:tabs>
          <w:tab w:val="clear" w:pos="4153"/>
          <w:tab w:val="clear" w:pos="8306"/>
        </w:tabs>
        <w:jc w:val="both"/>
        <w:rPr>
          <w:rFonts w:ascii="Arial" w:hAnsi="Arial" w:cs="Arial"/>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067"/>
        <w:gridCol w:w="1243"/>
        <w:gridCol w:w="1243"/>
        <w:gridCol w:w="1099"/>
      </w:tblGrid>
      <w:tr w:rsidR="00FC140C" w:rsidRPr="00E753AB" w14:paraId="5EB51333" w14:textId="77777777" w:rsidTr="00FC140C">
        <w:tc>
          <w:tcPr>
            <w:tcW w:w="2050" w:type="dxa"/>
          </w:tcPr>
          <w:p w14:paraId="7140DA62" w14:textId="77777777" w:rsidR="00FC140C" w:rsidRPr="00341074" w:rsidRDefault="00FC140C" w:rsidP="00D263A6">
            <w:pPr>
              <w:pStyle w:val="Header"/>
              <w:tabs>
                <w:tab w:val="clear" w:pos="4153"/>
                <w:tab w:val="clear" w:pos="8306"/>
              </w:tabs>
              <w:jc w:val="both"/>
              <w:rPr>
                <w:rFonts w:ascii="Arial" w:hAnsi="Arial" w:cs="Arial"/>
                <w:b/>
              </w:rPr>
            </w:pPr>
          </w:p>
        </w:tc>
        <w:tc>
          <w:tcPr>
            <w:tcW w:w="1067" w:type="dxa"/>
          </w:tcPr>
          <w:p w14:paraId="6006E819" w14:textId="77777777" w:rsidR="00FC140C" w:rsidRPr="00341074" w:rsidRDefault="00FC140C" w:rsidP="00D263A6">
            <w:pPr>
              <w:pStyle w:val="Header"/>
              <w:tabs>
                <w:tab w:val="clear" w:pos="4153"/>
                <w:tab w:val="clear" w:pos="8306"/>
              </w:tabs>
              <w:jc w:val="both"/>
              <w:rPr>
                <w:rFonts w:ascii="Arial" w:hAnsi="Arial" w:cs="Arial"/>
                <w:b/>
              </w:rPr>
            </w:pPr>
            <w:r w:rsidRPr="00341074">
              <w:rPr>
                <w:rFonts w:ascii="Arial" w:hAnsi="Arial" w:cs="Arial"/>
                <w:b/>
              </w:rPr>
              <w:t>3 years</w:t>
            </w:r>
          </w:p>
          <w:p w14:paraId="0402E2B9" w14:textId="77777777" w:rsidR="00FC140C" w:rsidRPr="00341074" w:rsidRDefault="00FC140C" w:rsidP="00D263A6">
            <w:pPr>
              <w:pStyle w:val="Header"/>
              <w:tabs>
                <w:tab w:val="clear" w:pos="4153"/>
                <w:tab w:val="clear" w:pos="8306"/>
              </w:tabs>
              <w:jc w:val="both"/>
              <w:rPr>
                <w:rFonts w:ascii="Arial" w:hAnsi="Arial" w:cs="Arial"/>
                <w:b/>
              </w:rPr>
            </w:pPr>
            <w:r w:rsidRPr="00341074">
              <w:rPr>
                <w:rFonts w:ascii="Arial" w:hAnsi="Arial" w:cs="Arial"/>
                <w:b/>
              </w:rPr>
              <w:t>%</w:t>
            </w:r>
          </w:p>
        </w:tc>
        <w:tc>
          <w:tcPr>
            <w:tcW w:w="1243" w:type="dxa"/>
          </w:tcPr>
          <w:p w14:paraId="7DC08C4D" w14:textId="77777777" w:rsidR="00FC140C" w:rsidRPr="00341074" w:rsidRDefault="00FC140C" w:rsidP="00D263A6">
            <w:pPr>
              <w:pStyle w:val="Header"/>
              <w:tabs>
                <w:tab w:val="clear" w:pos="4153"/>
                <w:tab w:val="clear" w:pos="8306"/>
              </w:tabs>
              <w:jc w:val="both"/>
              <w:rPr>
                <w:rFonts w:ascii="Arial" w:hAnsi="Arial" w:cs="Arial"/>
                <w:b/>
              </w:rPr>
            </w:pPr>
            <w:r w:rsidRPr="00341074">
              <w:rPr>
                <w:rFonts w:ascii="Arial" w:hAnsi="Arial" w:cs="Arial"/>
                <w:b/>
              </w:rPr>
              <w:t>5 years</w:t>
            </w:r>
          </w:p>
          <w:p w14:paraId="5ED34F8C" w14:textId="77777777" w:rsidR="00FC140C" w:rsidRPr="00341074" w:rsidRDefault="00FC140C" w:rsidP="00D263A6">
            <w:pPr>
              <w:pStyle w:val="Header"/>
              <w:tabs>
                <w:tab w:val="clear" w:pos="4153"/>
                <w:tab w:val="clear" w:pos="8306"/>
              </w:tabs>
              <w:jc w:val="both"/>
              <w:rPr>
                <w:rFonts w:ascii="Arial" w:hAnsi="Arial" w:cs="Arial"/>
                <w:b/>
              </w:rPr>
            </w:pPr>
            <w:r w:rsidRPr="00341074">
              <w:rPr>
                <w:rFonts w:ascii="Arial" w:hAnsi="Arial" w:cs="Arial"/>
                <w:b/>
              </w:rPr>
              <w:t>%</w:t>
            </w:r>
          </w:p>
        </w:tc>
        <w:tc>
          <w:tcPr>
            <w:tcW w:w="1243" w:type="dxa"/>
          </w:tcPr>
          <w:p w14:paraId="6B9F8526" w14:textId="77777777" w:rsidR="00FC140C" w:rsidRPr="00341074" w:rsidRDefault="00FC140C" w:rsidP="00D263A6">
            <w:pPr>
              <w:pStyle w:val="Header"/>
              <w:tabs>
                <w:tab w:val="clear" w:pos="4153"/>
                <w:tab w:val="clear" w:pos="8306"/>
              </w:tabs>
              <w:jc w:val="both"/>
              <w:rPr>
                <w:rFonts w:ascii="Arial" w:hAnsi="Arial" w:cs="Arial"/>
                <w:b/>
              </w:rPr>
            </w:pPr>
            <w:r w:rsidRPr="00341074">
              <w:rPr>
                <w:rFonts w:ascii="Arial" w:hAnsi="Arial" w:cs="Arial"/>
                <w:b/>
              </w:rPr>
              <w:t>10 years</w:t>
            </w:r>
          </w:p>
          <w:p w14:paraId="61C3F418" w14:textId="77777777" w:rsidR="00FC140C" w:rsidRPr="00341074" w:rsidRDefault="00FC140C" w:rsidP="00D263A6">
            <w:pPr>
              <w:pStyle w:val="Header"/>
              <w:tabs>
                <w:tab w:val="clear" w:pos="4153"/>
                <w:tab w:val="clear" w:pos="8306"/>
              </w:tabs>
              <w:jc w:val="both"/>
              <w:rPr>
                <w:rFonts w:ascii="Arial" w:hAnsi="Arial" w:cs="Arial"/>
                <w:b/>
              </w:rPr>
            </w:pPr>
            <w:r w:rsidRPr="00341074">
              <w:rPr>
                <w:rFonts w:ascii="Arial" w:hAnsi="Arial" w:cs="Arial"/>
                <w:b/>
              </w:rPr>
              <w:t>%</w:t>
            </w:r>
          </w:p>
        </w:tc>
        <w:tc>
          <w:tcPr>
            <w:tcW w:w="1099" w:type="dxa"/>
          </w:tcPr>
          <w:p w14:paraId="35782F23" w14:textId="77777777" w:rsidR="00FC140C" w:rsidRPr="00341074" w:rsidRDefault="00FC140C" w:rsidP="00D263A6">
            <w:pPr>
              <w:pStyle w:val="Header"/>
              <w:tabs>
                <w:tab w:val="clear" w:pos="4153"/>
                <w:tab w:val="clear" w:pos="8306"/>
              </w:tabs>
              <w:jc w:val="both"/>
              <w:rPr>
                <w:rFonts w:ascii="Arial" w:hAnsi="Arial" w:cs="Arial"/>
                <w:b/>
              </w:rPr>
            </w:pPr>
            <w:r>
              <w:rPr>
                <w:rFonts w:ascii="Arial" w:hAnsi="Arial" w:cs="Arial"/>
                <w:b/>
              </w:rPr>
              <w:t>20 years</w:t>
            </w:r>
          </w:p>
        </w:tc>
      </w:tr>
      <w:tr w:rsidR="00FC140C" w:rsidRPr="00E753AB" w14:paraId="2655B6FE" w14:textId="77777777" w:rsidTr="00FC140C">
        <w:tc>
          <w:tcPr>
            <w:tcW w:w="2050" w:type="dxa"/>
          </w:tcPr>
          <w:p w14:paraId="63AE8249" w14:textId="77777777" w:rsidR="00FC140C" w:rsidRPr="00341074" w:rsidRDefault="00FC140C" w:rsidP="00D263A6">
            <w:pPr>
              <w:pStyle w:val="Header"/>
              <w:tabs>
                <w:tab w:val="clear" w:pos="4153"/>
                <w:tab w:val="clear" w:pos="8306"/>
              </w:tabs>
              <w:jc w:val="both"/>
              <w:rPr>
                <w:rFonts w:ascii="Arial" w:hAnsi="Arial" w:cs="Arial"/>
                <w:b/>
              </w:rPr>
            </w:pPr>
            <w:r w:rsidRPr="00341074">
              <w:rPr>
                <w:rFonts w:ascii="Arial" w:hAnsi="Arial" w:cs="Arial"/>
                <w:b/>
              </w:rPr>
              <w:t>Fund</w:t>
            </w:r>
          </w:p>
        </w:tc>
        <w:tc>
          <w:tcPr>
            <w:tcW w:w="1067" w:type="dxa"/>
          </w:tcPr>
          <w:p w14:paraId="38C926E7" w14:textId="77777777" w:rsidR="00FC140C" w:rsidRPr="00341074" w:rsidRDefault="00FC140C" w:rsidP="002E6CD1">
            <w:pPr>
              <w:pStyle w:val="Header"/>
              <w:tabs>
                <w:tab w:val="clear" w:pos="4153"/>
                <w:tab w:val="clear" w:pos="8306"/>
              </w:tabs>
              <w:jc w:val="both"/>
              <w:rPr>
                <w:rFonts w:ascii="Arial" w:hAnsi="Arial" w:cs="Arial"/>
              </w:rPr>
            </w:pPr>
            <w:r>
              <w:rPr>
                <w:rFonts w:ascii="Arial" w:hAnsi="Arial" w:cs="Arial"/>
              </w:rPr>
              <w:t>1.6</w:t>
            </w:r>
          </w:p>
        </w:tc>
        <w:tc>
          <w:tcPr>
            <w:tcW w:w="1243" w:type="dxa"/>
          </w:tcPr>
          <w:p w14:paraId="17E6337A" w14:textId="77777777" w:rsidR="00FC140C" w:rsidRPr="00341074" w:rsidRDefault="00FC140C" w:rsidP="002E6CD1">
            <w:pPr>
              <w:pStyle w:val="Header"/>
              <w:tabs>
                <w:tab w:val="clear" w:pos="4153"/>
                <w:tab w:val="clear" w:pos="8306"/>
              </w:tabs>
              <w:jc w:val="both"/>
              <w:rPr>
                <w:rFonts w:ascii="Arial" w:hAnsi="Arial" w:cs="Arial"/>
              </w:rPr>
            </w:pPr>
            <w:r>
              <w:rPr>
                <w:rFonts w:ascii="Arial" w:hAnsi="Arial" w:cs="Arial"/>
              </w:rPr>
              <w:t>2.9</w:t>
            </w:r>
          </w:p>
        </w:tc>
        <w:tc>
          <w:tcPr>
            <w:tcW w:w="1243" w:type="dxa"/>
          </w:tcPr>
          <w:p w14:paraId="755194B3" w14:textId="77777777" w:rsidR="00FC140C" w:rsidRPr="00341074" w:rsidRDefault="00FC140C" w:rsidP="002E6CD1">
            <w:pPr>
              <w:pStyle w:val="Header"/>
              <w:tabs>
                <w:tab w:val="clear" w:pos="4153"/>
                <w:tab w:val="clear" w:pos="8306"/>
              </w:tabs>
              <w:jc w:val="both"/>
              <w:rPr>
                <w:rFonts w:ascii="Arial" w:hAnsi="Arial" w:cs="Arial"/>
              </w:rPr>
            </w:pPr>
            <w:r>
              <w:rPr>
                <w:rFonts w:ascii="Arial" w:hAnsi="Arial" w:cs="Arial"/>
              </w:rPr>
              <w:t>6.4</w:t>
            </w:r>
          </w:p>
        </w:tc>
        <w:tc>
          <w:tcPr>
            <w:tcW w:w="1099" w:type="dxa"/>
          </w:tcPr>
          <w:p w14:paraId="55C29EDF" w14:textId="77777777" w:rsidR="00FC140C" w:rsidRDefault="00FC140C" w:rsidP="00D263A6">
            <w:pPr>
              <w:pStyle w:val="Header"/>
              <w:tabs>
                <w:tab w:val="clear" w:pos="4153"/>
                <w:tab w:val="clear" w:pos="8306"/>
              </w:tabs>
              <w:jc w:val="both"/>
              <w:rPr>
                <w:rFonts w:ascii="Arial" w:hAnsi="Arial" w:cs="Arial"/>
              </w:rPr>
            </w:pPr>
            <w:r>
              <w:rPr>
                <w:rFonts w:ascii="Arial" w:hAnsi="Arial" w:cs="Arial"/>
              </w:rPr>
              <w:t>5.0</w:t>
            </w:r>
          </w:p>
        </w:tc>
      </w:tr>
      <w:tr w:rsidR="00FC140C" w:rsidRPr="00E753AB" w14:paraId="7CE19F3E" w14:textId="77777777" w:rsidTr="00FC140C">
        <w:tc>
          <w:tcPr>
            <w:tcW w:w="2050" w:type="dxa"/>
          </w:tcPr>
          <w:p w14:paraId="4159E9EB" w14:textId="77777777" w:rsidR="00FC140C" w:rsidRPr="00341074" w:rsidRDefault="00FC140C" w:rsidP="00D263A6">
            <w:pPr>
              <w:pStyle w:val="Header"/>
              <w:tabs>
                <w:tab w:val="clear" w:pos="4153"/>
                <w:tab w:val="clear" w:pos="8306"/>
              </w:tabs>
              <w:jc w:val="both"/>
              <w:rPr>
                <w:rFonts w:ascii="Arial" w:hAnsi="Arial" w:cs="Arial"/>
                <w:b/>
              </w:rPr>
            </w:pPr>
            <w:r w:rsidRPr="00341074">
              <w:rPr>
                <w:rFonts w:ascii="Arial" w:hAnsi="Arial" w:cs="Arial"/>
                <w:b/>
              </w:rPr>
              <w:t>Fund Benchmark</w:t>
            </w:r>
          </w:p>
        </w:tc>
        <w:tc>
          <w:tcPr>
            <w:tcW w:w="1067" w:type="dxa"/>
          </w:tcPr>
          <w:p w14:paraId="316FA654" w14:textId="77777777" w:rsidR="00FC140C" w:rsidRDefault="00FC140C" w:rsidP="00D263A6">
            <w:pPr>
              <w:pStyle w:val="Header"/>
              <w:tabs>
                <w:tab w:val="clear" w:pos="4153"/>
                <w:tab w:val="clear" w:pos="8306"/>
              </w:tabs>
              <w:jc w:val="both"/>
              <w:rPr>
                <w:rFonts w:ascii="Arial" w:hAnsi="Arial" w:cs="Arial"/>
              </w:rPr>
            </w:pPr>
          </w:p>
          <w:p w14:paraId="234CA2B5" w14:textId="77777777" w:rsidR="00FC140C" w:rsidRPr="00341074" w:rsidRDefault="00FC140C" w:rsidP="008A5AB5">
            <w:pPr>
              <w:pStyle w:val="Header"/>
              <w:tabs>
                <w:tab w:val="clear" w:pos="4153"/>
                <w:tab w:val="clear" w:pos="8306"/>
              </w:tabs>
              <w:jc w:val="both"/>
              <w:rPr>
                <w:rFonts w:ascii="Arial" w:hAnsi="Arial" w:cs="Arial"/>
              </w:rPr>
            </w:pPr>
            <w:r>
              <w:rPr>
                <w:rFonts w:ascii="Arial" w:hAnsi="Arial" w:cs="Arial"/>
              </w:rPr>
              <w:t>2.5</w:t>
            </w:r>
          </w:p>
        </w:tc>
        <w:tc>
          <w:tcPr>
            <w:tcW w:w="1243" w:type="dxa"/>
          </w:tcPr>
          <w:p w14:paraId="4E0ACA73" w14:textId="77777777" w:rsidR="00FC140C" w:rsidRDefault="00FC140C" w:rsidP="00D263A6">
            <w:pPr>
              <w:pStyle w:val="Header"/>
              <w:tabs>
                <w:tab w:val="clear" w:pos="4153"/>
                <w:tab w:val="clear" w:pos="8306"/>
              </w:tabs>
              <w:jc w:val="both"/>
              <w:rPr>
                <w:rFonts w:ascii="Arial" w:hAnsi="Arial" w:cs="Arial"/>
              </w:rPr>
            </w:pPr>
          </w:p>
          <w:p w14:paraId="0F058FAC" w14:textId="77777777" w:rsidR="00FC140C" w:rsidRPr="00341074" w:rsidRDefault="00FC140C" w:rsidP="008A5AB5">
            <w:pPr>
              <w:pStyle w:val="Header"/>
              <w:tabs>
                <w:tab w:val="clear" w:pos="4153"/>
                <w:tab w:val="clear" w:pos="8306"/>
              </w:tabs>
              <w:jc w:val="both"/>
              <w:rPr>
                <w:rFonts w:ascii="Arial" w:hAnsi="Arial" w:cs="Arial"/>
              </w:rPr>
            </w:pPr>
            <w:r>
              <w:rPr>
                <w:rFonts w:ascii="Arial" w:hAnsi="Arial" w:cs="Arial"/>
              </w:rPr>
              <w:t>5.1</w:t>
            </w:r>
          </w:p>
        </w:tc>
        <w:tc>
          <w:tcPr>
            <w:tcW w:w="1243" w:type="dxa"/>
          </w:tcPr>
          <w:p w14:paraId="6365708E" w14:textId="77777777" w:rsidR="00FC140C" w:rsidRDefault="00FC140C" w:rsidP="001D3D07">
            <w:pPr>
              <w:pStyle w:val="Header"/>
              <w:tabs>
                <w:tab w:val="clear" w:pos="4153"/>
                <w:tab w:val="clear" w:pos="8306"/>
              </w:tabs>
              <w:jc w:val="both"/>
              <w:rPr>
                <w:rFonts w:ascii="Arial" w:hAnsi="Arial" w:cs="Arial"/>
              </w:rPr>
            </w:pPr>
          </w:p>
          <w:p w14:paraId="459BE4D5" w14:textId="77777777" w:rsidR="00FC140C" w:rsidRPr="00341074" w:rsidRDefault="00FC140C" w:rsidP="008A5AB5">
            <w:pPr>
              <w:pStyle w:val="Header"/>
              <w:tabs>
                <w:tab w:val="clear" w:pos="4153"/>
                <w:tab w:val="clear" w:pos="8306"/>
              </w:tabs>
              <w:jc w:val="both"/>
              <w:rPr>
                <w:rFonts w:ascii="Arial" w:hAnsi="Arial" w:cs="Arial"/>
              </w:rPr>
            </w:pPr>
            <w:r>
              <w:rPr>
                <w:rFonts w:ascii="Arial" w:hAnsi="Arial" w:cs="Arial"/>
              </w:rPr>
              <w:t>n/a</w:t>
            </w:r>
          </w:p>
        </w:tc>
        <w:tc>
          <w:tcPr>
            <w:tcW w:w="1099" w:type="dxa"/>
          </w:tcPr>
          <w:p w14:paraId="08A692C7" w14:textId="77777777" w:rsidR="00FC140C" w:rsidRDefault="00FC140C" w:rsidP="001D3D07">
            <w:pPr>
              <w:pStyle w:val="Header"/>
              <w:tabs>
                <w:tab w:val="clear" w:pos="4153"/>
                <w:tab w:val="clear" w:pos="8306"/>
              </w:tabs>
              <w:jc w:val="both"/>
              <w:rPr>
                <w:rFonts w:ascii="Arial" w:hAnsi="Arial" w:cs="Arial"/>
              </w:rPr>
            </w:pPr>
          </w:p>
          <w:p w14:paraId="79599622" w14:textId="77777777" w:rsidR="00FC140C" w:rsidRDefault="00FC140C" w:rsidP="001D3D07">
            <w:pPr>
              <w:pStyle w:val="Header"/>
              <w:tabs>
                <w:tab w:val="clear" w:pos="4153"/>
                <w:tab w:val="clear" w:pos="8306"/>
              </w:tabs>
              <w:jc w:val="both"/>
              <w:rPr>
                <w:rFonts w:ascii="Arial" w:hAnsi="Arial" w:cs="Arial"/>
              </w:rPr>
            </w:pPr>
            <w:r>
              <w:rPr>
                <w:rFonts w:ascii="Arial" w:hAnsi="Arial" w:cs="Arial"/>
              </w:rPr>
              <w:t>n/a</w:t>
            </w:r>
          </w:p>
        </w:tc>
      </w:tr>
      <w:tr w:rsidR="00FC140C" w:rsidRPr="00E753AB" w14:paraId="2167D4A9" w14:textId="77777777" w:rsidTr="00FC140C">
        <w:tc>
          <w:tcPr>
            <w:tcW w:w="2050" w:type="dxa"/>
          </w:tcPr>
          <w:p w14:paraId="76A70854" w14:textId="77777777" w:rsidR="00FC140C" w:rsidRPr="00341074" w:rsidRDefault="00FC140C" w:rsidP="00D263A6">
            <w:pPr>
              <w:pStyle w:val="Header"/>
              <w:tabs>
                <w:tab w:val="clear" w:pos="4153"/>
                <w:tab w:val="clear" w:pos="8306"/>
              </w:tabs>
              <w:jc w:val="both"/>
              <w:rPr>
                <w:rFonts w:ascii="Arial" w:hAnsi="Arial" w:cs="Arial"/>
                <w:b/>
              </w:rPr>
            </w:pPr>
            <w:r w:rsidRPr="00341074">
              <w:rPr>
                <w:rFonts w:ascii="Arial" w:hAnsi="Arial" w:cs="Arial"/>
                <w:b/>
              </w:rPr>
              <w:t>Relative return</w:t>
            </w:r>
          </w:p>
        </w:tc>
        <w:tc>
          <w:tcPr>
            <w:tcW w:w="1067" w:type="dxa"/>
          </w:tcPr>
          <w:p w14:paraId="00F773A2" w14:textId="77777777" w:rsidR="00FC140C" w:rsidRPr="00341074" w:rsidRDefault="00FC140C" w:rsidP="008A5AB5">
            <w:pPr>
              <w:pStyle w:val="Header"/>
              <w:tabs>
                <w:tab w:val="clear" w:pos="4153"/>
                <w:tab w:val="clear" w:pos="8306"/>
              </w:tabs>
              <w:jc w:val="both"/>
              <w:rPr>
                <w:rFonts w:ascii="Arial" w:hAnsi="Arial" w:cs="Arial"/>
              </w:rPr>
            </w:pPr>
            <w:r>
              <w:rPr>
                <w:rFonts w:ascii="Arial" w:hAnsi="Arial" w:cs="Arial"/>
              </w:rPr>
              <w:t>-0</w:t>
            </w:r>
            <w:r w:rsidRPr="00341074">
              <w:rPr>
                <w:rFonts w:ascii="Arial" w:hAnsi="Arial" w:cs="Arial"/>
              </w:rPr>
              <w:t>.</w:t>
            </w:r>
            <w:r>
              <w:rPr>
                <w:rFonts w:ascii="Arial" w:hAnsi="Arial" w:cs="Arial"/>
              </w:rPr>
              <w:t>9</w:t>
            </w:r>
          </w:p>
        </w:tc>
        <w:tc>
          <w:tcPr>
            <w:tcW w:w="1243" w:type="dxa"/>
          </w:tcPr>
          <w:p w14:paraId="301BBDBB" w14:textId="77777777" w:rsidR="00FC140C" w:rsidRPr="00341074" w:rsidRDefault="00FC140C" w:rsidP="008A5AB5">
            <w:pPr>
              <w:pStyle w:val="Header"/>
              <w:tabs>
                <w:tab w:val="clear" w:pos="4153"/>
                <w:tab w:val="clear" w:pos="8306"/>
              </w:tabs>
              <w:jc w:val="both"/>
              <w:rPr>
                <w:rFonts w:ascii="Arial" w:hAnsi="Arial" w:cs="Arial"/>
              </w:rPr>
            </w:pPr>
            <w:r>
              <w:rPr>
                <w:rFonts w:ascii="Arial" w:hAnsi="Arial" w:cs="Arial"/>
              </w:rPr>
              <w:t>-2</w:t>
            </w:r>
            <w:r w:rsidRPr="00341074">
              <w:rPr>
                <w:rFonts w:ascii="Arial" w:hAnsi="Arial" w:cs="Arial"/>
              </w:rPr>
              <w:t>.</w:t>
            </w:r>
            <w:r>
              <w:rPr>
                <w:rFonts w:ascii="Arial" w:hAnsi="Arial" w:cs="Arial"/>
              </w:rPr>
              <w:t>2</w:t>
            </w:r>
          </w:p>
        </w:tc>
        <w:tc>
          <w:tcPr>
            <w:tcW w:w="1243" w:type="dxa"/>
          </w:tcPr>
          <w:p w14:paraId="334A8B66" w14:textId="77777777" w:rsidR="00FC140C" w:rsidRPr="00341074" w:rsidRDefault="00FC140C" w:rsidP="008A5AB5">
            <w:pPr>
              <w:pStyle w:val="Header"/>
              <w:tabs>
                <w:tab w:val="clear" w:pos="4153"/>
                <w:tab w:val="clear" w:pos="8306"/>
              </w:tabs>
              <w:jc w:val="both"/>
              <w:rPr>
                <w:rFonts w:ascii="Arial" w:hAnsi="Arial" w:cs="Arial"/>
              </w:rPr>
            </w:pPr>
            <w:r>
              <w:rPr>
                <w:rFonts w:ascii="Arial" w:hAnsi="Arial" w:cs="Arial"/>
              </w:rPr>
              <w:t>-</w:t>
            </w:r>
          </w:p>
        </w:tc>
        <w:tc>
          <w:tcPr>
            <w:tcW w:w="1099" w:type="dxa"/>
          </w:tcPr>
          <w:p w14:paraId="4DD28C93" w14:textId="77777777" w:rsidR="00FC140C" w:rsidRDefault="00FC140C" w:rsidP="001D3D07">
            <w:pPr>
              <w:pStyle w:val="Header"/>
              <w:tabs>
                <w:tab w:val="clear" w:pos="4153"/>
                <w:tab w:val="clear" w:pos="8306"/>
              </w:tabs>
              <w:jc w:val="both"/>
              <w:rPr>
                <w:rFonts w:ascii="Arial" w:hAnsi="Arial" w:cs="Arial"/>
              </w:rPr>
            </w:pPr>
            <w:r>
              <w:rPr>
                <w:rFonts w:ascii="Arial" w:hAnsi="Arial" w:cs="Arial"/>
              </w:rPr>
              <w:t>-</w:t>
            </w:r>
          </w:p>
        </w:tc>
      </w:tr>
      <w:tr w:rsidR="00FC140C" w:rsidRPr="00E753AB" w14:paraId="0C9131FD" w14:textId="77777777" w:rsidTr="00FC140C">
        <w:tc>
          <w:tcPr>
            <w:tcW w:w="2050" w:type="dxa"/>
          </w:tcPr>
          <w:p w14:paraId="27560CBF" w14:textId="77777777" w:rsidR="00FC140C" w:rsidRPr="00341074" w:rsidRDefault="00FC140C" w:rsidP="00D263A6">
            <w:pPr>
              <w:pStyle w:val="Header"/>
              <w:tabs>
                <w:tab w:val="clear" w:pos="4153"/>
                <w:tab w:val="clear" w:pos="8306"/>
              </w:tabs>
              <w:jc w:val="both"/>
              <w:rPr>
                <w:rFonts w:ascii="Arial" w:hAnsi="Arial" w:cs="Arial"/>
                <w:b/>
              </w:rPr>
            </w:pPr>
            <w:r w:rsidRPr="00341074">
              <w:rPr>
                <w:rFonts w:ascii="Arial" w:hAnsi="Arial" w:cs="Arial"/>
                <w:b/>
              </w:rPr>
              <w:t>LA Universe</w:t>
            </w:r>
            <w:r>
              <w:rPr>
                <w:rFonts w:ascii="Arial" w:hAnsi="Arial" w:cs="Arial"/>
                <w:b/>
              </w:rPr>
              <w:t xml:space="preserve"> Average</w:t>
            </w:r>
          </w:p>
        </w:tc>
        <w:tc>
          <w:tcPr>
            <w:tcW w:w="1067" w:type="dxa"/>
          </w:tcPr>
          <w:p w14:paraId="2B33BB74" w14:textId="77777777" w:rsidR="00FC140C" w:rsidRPr="00341074" w:rsidRDefault="00FC140C" w:rsidP="00D263A6">
            <w:pPr>
              <w:pStyle w:val="Header"/>
              <w:tabs>
                <w:tab w:val="clear" w:pos="4153"/>
                <w:tab w:val="clear" w:pos="8306"/>
              </w:tabs>
              <w:jc w:val="both"/>
              <w:rPr>
                <w:rFonts w:ascii="Arial" w:hAnsi="Arial" w:cs="Arial"/>
              </w:rPr>
            </w:pPr>
            <w:r>
              <w:rPr>
                <w:rFonts w:ascii="Arial" w:hAnsi="Arial" w:cs="Arial"/>
              </w:rPr>
              <w:t>1.9</w:t>
            </w:r>
          </w:p>
        </w:tc>
        <w:tc>
          <w:tcPr>
            <w:tcW w:w="1243" w:type="dxa"/>
          </w:tcPr>
          <w:p w14:paraId="7AAB103A" w14:textId="77777777" w:rsidR="00FC140C" w:rsidRPr="00341074" w:rsidRDefault="00FC140C" w:rsidP="002E6CD1">
            <w:pPr>
              <w:pStyle w:val="Header"/>
              <w:tabs>
                <w:tab w:val="clear" w:pos="4153"/>
                <w:tab w:val="clear" w:pos="8306"/>
              </w:tabs>
              <w:jc w:val="both"/>
              <w:rPr>
                <w:rFonts w:ascii="Arial" w:hAnsi="Arial" w:cs="Arial"/>
              </w:rPr>
            </w:pPr>
            <w:r>
              <w:rPr>
                <w:rFonts w:ascii="Arial" w:hAnsi="Arial" w:cs="Arial"/>
              </w:rPr>
              <w:t>5</w:t>
            </w:r>
            <w:r w:rsidRPr="00341074">
              <w:rPr>
                <w:rFonts w:ascii="Arial" w:hAnsi="Arial" w:cs="Arial"/>
              </w:rPr>
              <w:t>.</w:t>
            </w:r>
            <w:r>
              <w:rPr>
                <w:rFonts w:ascii="Arial" w:hAnsi="Arial" w:cs="Arial"/>
              </w:rPr>
              <w:t>2</w:t>
            </w:r>
          </w:p>
        </w:tc>
        <w:tc>
          <w:tcPr>
            <w:tcW w:w="1243" w:type="dxa"/>
          </w:tcPr>
          <w:p w14:paraId="0F9A7F07" w14:textId="77777777" w:rsidR="00FC140C" w:rsidRPr="00341074" w:rsidRDefault="00FC140C" w:rsidP="002E6CD1">
            <w:pPr>
              <w:pStyle w:val="Header"/>
              <w:tabs>
                <w:tab w:val="clear" w:pos="4153"/>
                <w:tab w:val="clear" w:pos="8306"/>
              </w:tabs>
              <w:jc w:val="both"/>
              <w:rPr>
                <w:rFonts w:ascii="Arial" w:hAnsi="Arial" w:cs="Arial"/>
              </w:rPr>
            </w:pPr>
            <w:r>
              <w:rPr>
                <w:rFonts w:ascii="Arial" w:hAnsi="Arial" w:cs="Arial"/>
              </w:rPr>
              <w:t>6.9</w:t>
            </w:r>
          </w:p>
        </w:tc>
        <w:tc>
          <w:tcPr>
            <w:tcW w:w="1099" w:type="dxa"/>
          </w:tcPr>
          <w:p w14:paraId="3507F00F" w14:textId="77777777" w:rsidR="00FC140C" w:rsidRDefault="00FC140C" w:rsidP="00D263A6">
            <w:pPr>
              <w:pStyle w:val="Header"/>
              <w:tabs>
                <w:tab w:val="clear" w:pos="4153"/>
                <w:tab w:val="clear" w:pos="8306"/>
              </w:tabs>
              <w:jc w:val="both"/>
              <w:rPr>
                <w:rFonts w:ascii="Arial" w:hAnsi="Arial" w:cs="Arial"/>
              </w:rPr>
            </w:pPr>
            <w:r>
              <w:rPr>
                <w:rFonts w:ascii="Arial" w:hAnsi="Arial" w:cs="Arial"/>
              </w:rPr>
              <w:t>5.5</w:t>
            </w:r>
          </w:p>
        </w:tc>
      </w:tr>
      <w:tr w:rsidR="00FC140C" w:rsidRPr="00E753AB" w14:paraId="76CBE06F" w14:textId="77777777" w:rsidTr="00FC140C">
        <w:tc>
          <w:tcPr>
            <w:tcW w:w="2050" w:type="dxa"/>
          </w:tcPr>
          <w:p w14:paraId="393775C7" w14:textId="77777777" w:rsidR="00FC140C" w:rsidRPr="00341074" w:rsidRDefault="00FC140C" w:rsidP="00D263A6">
            <w:pPr>
              <w:pStyle w:val="Header"/>
              <w:tabs>
                <w:tab w:val="clear" w:pos="4153"/>
                <w:tab w:val="clear" w:pos="8306"/>
              </w:tabs>
              <w:jc w:val="both"/>
              <w:rPr>
                <w:rFonts w:ascii="Arial" w:hAnsi="Arial" w:cs="Arial"/>
                <w:b/>
              </w:rPr>
            </w:pPr>
            <w:r w:rsidRPr="00341074">
              <w:rPr>
                <w:rFonts w:ascii="Arial" w:hAnsi="Arial" w:cs="Arial"/>
                <w:b/>
              </w:rPr>
              <w:t xml:space="preserve">Relative return </w:t>
            </w:r>
          </w:p>
        </w:tc>
        <w:tc>
          <w:tcPr>
            <w:tcW w:w="1067" w:type="dxa"/>
          </w:tcPr>
          <w:p w14:paraId="1FAE15FB" w14:textId="77777777" w:rsidR="00FC140C" w:rsidRPr="00341074" w:rsidRDefault="00FC140C" w:rsidP="00D263A6">
            <w:pPr>
              <w:pStyle w:val="Header"/>
              <w:tabs>
                <w:tab w:val="clear" w:pos="4153"/>
                <w:tab w:val="clear" w:pos="8306"/>
              </w:tabs>
              <w:jc w:val="both"/>
              <w:rPr>
                <w:rFonts w:ascii="Arial" w:hAnsi="Arial" w:cs="Arial"/>
              </w:rPr>
            </w:pPr>
            <w:r>
              <w:rPr>
                <w:rFonts w:ascii="Arial" w:hAnsi="Arial" w:cs="Arial"/>
              </w:rPr>
              <w:t>-0.3</w:t>
            </w:r>
          </w:p>
        </w:tc>
        <w:tc>
          <w:tcPr>
            <w:tcW w:w="1243" w:type="dxa"/>
          </w:tcPr>
          <w:p w14:paraId="748E0AFB" w14:textId="77777777" w:rsidR="00FC140C" w:rsidRPr="00341074" w:rsidRDefault="00FC140C" w:rsidP="008A5AB5">
            <w:pPr>
              <w:pStyle w:val="Header"/>
              <w:tabs>
                <w:tab w:val="clear" w:pos="4153"/>
                <w:tab w:val="clear" w:pos="8306"/>
              </w:tabs>
              <w:jc w:val="both"/>
              <w:rPr>
                <w:rFonts w:ascii="Arial" w:hAnsi="Arial" w:cs="Arial"/>
              </w:rPr>
            </w:pPr>
            <w:r>
              <w:rPr>
                <w:rFonts w:ascii="Arial" w:hAnsi="Arial" w:cs="Arial"/>
              </w:rPr>
              <w:t>-2.3</w:t>
            </w:r>
          </w:p>
        </w:tc>
        <w:tc>
          <w:tcPr>
            <w:tcW w:w="1243" w:type="dxa"/>
          </w:tcPr>
          <w:p w14:paraId="0848465C" w14:textId="77777777" w:rsidR="00FC140C" w:rsidRPr="00341074" w:rsidRDefault="00FC140C" w:rsidP="008A5AB5">
            <w:pPr>
              <w:pStyle w:val="Header"/>
              <w:tabs>
                <w:tab w:val="clear" w:pos="4153"/>
                <w:tab w:val="clear" w:pos="8306"/>
              </w:tabs>
              <w:jc w:val="both"/>
              <w:rPr>
                <w:rFonts w:ascii="Arial" w:hAnsi="Arial" w:cs="Arial"/>
              </w:rPr>
            </w:pPr>
            <w:r>
              <w:rPr>
                <w:rFonts w:ascii="Arial" w:hAnsi="Arial" w:cs="Arial"/>
              </w:rPr>
              <w:t>-</w:t>
            </w:r>
            <w:r w:rsidRPr="00341074">
              <w:rPr>
                <w:rFonts w:ascii="Arial" w:hAnsi="Arial" w:cs="Arial"/>
              </w:rPr>
              <w:t>0.</w:t>
            </w:r>
            <w:r>
              <w:rPr>
                <w:rFonts w:ascii="Arial" w:hAnsi="Arial" w:cs="Arial"/>
              </w:rPr>
              <w:t>5</w:t>
            </w:r>
          </w:p>
        </w:tc>
        <w:tc>
          <w:tcPr>
            <w:tcW w:w="1099" w:type="dxa"/>
          </w:tcPr>
          <w:p w14:paraId="57BFDE9C" w14:textId="77777777" w:rsidR="00FC140C" w:rsidRPr="00341074" w:rsidRDefault="00FC140C" w:rsidP="001D3D07">
            <w:pPr>
              <w:pStyle w:val="Header"/>
              <w:tabs>
                <w:tab w:val="clear" w:pos="4153"/>
                <w:tab w:val="clear" w:pos="8306"/>
              </w:tabs>
              <w:jc w:val="both"/>
              <w:rPr>
                <w:rFonts w:ascii="Arial" w:hAnsi="Arial" w:cs="Arial"/>
              </w:rPr>
            </w:pPr>
            <w:r>
              <w:rPr>
                <w:rFonts w:ascii="Arial" w:hAnsi="Arial" w:cs="Arial"/>
              </w:rPr>
              <w:t>-0.5</w:t>
            </w:r>
          </w:p>
        </w:tc>
      </w:tr>
      <w:tr w:rsidR="00FC140C" w:rsidRPr="00E753AB" w14:paraId="7FC17C40" w14:textId="77777777" w:rsidTr="00FC140C">
        <w:tc>
          <w:tcPr>
            <w:tcW w:w="2050" w:type="dxa"/>
          </w:tcPr>
          <w:p w14:paraId="066DF365" w14:textId="77777777" w:rsidR="00FC140C" w:rsidRPr="00341074" w:rsidRDefault="00FC140C" w:rsidP="00E63740">
            <w:pPr>
              <w:pStyle w:val="Header"/>
              <w:tabs>
                <w:tab w:val="clear" w:pos="4153"/>
                <w:tab w:val="clear" w:pos="8306"/>
              </w:tabs>
              <w:jc w:val="both"/>
              <w:rPr>
                <w:rFonts w:ascii="Arial" w:hAnsi="Arial" w:cs="Arial"/>
                <w:b/>
              </w:rPr>
            </w:pPr>
            <w:r>
              <w:rPr>
                <w:rFonts w:ascii="Arial" w:hAnsi="Arial" w:cs="Arial"/>
                <w:b/>
              </w:rPr>
              <w:t>R</w:t>
            </w:r>
            <w:r w:rsidRPr="00341074">
              <w:rPr>
                <w:rFonts w:ascii="Arial" w:hAnsi="Arial" w:cs="Arial"/>
                <w:b/>
              </w:rPr>
              <w:t>anking</w:t>
            </w:r>
          </w:p>
        </w:tc>
        <w:tc>
          <w:tcPr>
            <w:tcW w:w="1067" w:type="dxa"/>
          </w:tcPr>
          <w:p w14:paraId="431F20EA" w14:textId="77777777" w:rsidR="00FC140C" w:rsidRPr="00341074" w:rsidRDefault="00FC140C" w:rsidP="00D263A6">
            <w:pPr>
              <w:pStyle w:val="Header"/>
              <w:tabs>
                <w:tab w:val="clear" w:pos="4153"/>
                <w:tab w:val="clear" w:pos="8306"/>
              </w:tabs>
              <w:jc w:val="both"/>
              <w:rPr>
                <w:rFonts w:ascii="Arial" w:hAnsi="Arial" w:cs="Arial"/>
              </w:rPr>
            </w:pPr>
            <w:r>
              <w:rPr>
                <w:rFonts w:ascii="Arial" w:hAnsi="Arial" w:cs="Arial"/>
              </w:rPr>
              <w:t>53</w:t>
            </w:r>
          </w:p>
        </w:tc>
        <w:tc>
          <w:tcPr>
            <w:tcW w:w="1243" w:type="dxa"/>
          </w:tcPr>
          <w:p w14:paraId="1C3E85D4" w14:textId="77777777" w:rsidR="00FC140C" w:rsidRPr="00341074" w:rsidRDefault="00FC140C" w:rsidP="002E6CD1">
            <w:pPr>
              <w:pStyle w:val="Header"/>
              <w:tabs>
                <w:tab w:val="clear" w:pos="4153"/>
                <w:tab w:val="clear" w:pos="8306"/>
              </w:tabs>
              <w:jc w:val="both"/>
              <w:rPr>
                <w:rFonts w:ascii="Arial" w:hAnsi="Arial" w:cs="Arial"/>
              </w:rPr>
            </w:pPr>
            <w:r>
              <w:rPr>
                <w:rFonts w:ascii="Arial" w:hAnsi="Arial" w:cs="Arial"/>
              </w:rPr>
              <w:t>100</w:t>
            </w:r>
          </w:p>
        </w:tc>
        <w:tc>
          <w:tcPr>
            <w:tcW w:w="1243" w:type="dxa"/>
          </w:tcPr>
          <w:p w14:paraId="25A0E12C" w14:textId="77777777" w:rsidR="00FC140C" w:rsidRPr="00341074" w:rsidRDefault="00FC140C" w:rsidP="002E6CD1">
            <w:pPr>
              <w:pStyle w:val="Header"/>
              <w:tabs>
                <w:tab w:val="clear" w:pos="4153"/>
                <w:tab w:val="clear" w:pos="8306"/>
              </w:tabs>
              <w:jc w:val="both"/>
              <w:rPr>
                <w:rFonts w:ascii="Arial" w:hAnsi="Arial" w:cs="Arial"/>
              </w:rPr>
            </w:pPr>
            <w:r>
              <w:rPr>
                <w:rFonts w:ascii="Arial" w:hAnsi="Arial" w:cs="Arial"/>
              </w:rPr>
              <w:t>73</w:t>
            </w:r>
          </w:p>
        </w:tc>
        <w:tc>
          <w:tcPr>
            <w:tcW w:w="1099" w:type="dxa"/>
          </w:tcPr>
          <w:p w14:paraId="27EB0F95" w14:textId="77777777" w:rsidR="00FC140C" w:rsidRDefault="00FC140C" w:rsidP="00D263A6">
            <w:pPr>
              <w:pStyle w:val="Header"/>
              <w:tabs>
                <w:tab w:val="clear" w:pos="4153"/>
                <w:tab w:val="clear" w:pos="8306"/>
              </w:tabs>
              <w:jc w:val="both"/>
              <w:rPr>
                <w:rFonts w:ascii="Arial" w:hAnsi="Arial" w:cs="Arial"/>
              </w:rPr>
            </w:pPr>
            <w:r>
              <w:rPr>
                <w:rFonts w:ascii="Arial" w:hAnsi="Arial" w:cs="Arial"/>
              </w:rPr>
              <w:t>63</w:t>
            </w:r>
          </w:p>
        </w:tc>
      </w:tr>
    </w:tbl>
    <w:p w14:paraId="3CC89B23" w14:textId="77777777" w:rsidR="006D2064" w:rsidRDefault="006D2064" w:rsidP="008A5AB5">
      <w:pPr>
        <w:keepNext/>
        <w:numPr>
          <w:ilvl w:val="2"/>
          <w:numId w:val="0"/>
        </w:numPr>
        <w:tabs>
          <w:tab w:val="num" w:pos="0"/>
        </w:tabs>
        <w:spacing w:before="60" w:after="60" w:line="300" w:lineRule="atLeast"/>
        <w:outlineLvl w:val="2"/>
        <w:rPr>
          <w:rFonts w:ascii="Arial" w:hAnsi="Arial" w:cs="Arial"/>
          <w:b/>
          <w:color w:val="4BACC6"/>
          <w:szCs w:val="20"/>
          <w:lang w:eastAsia="en-US"/>
        </w:rPr>
      </w:pPr>
    </w:p>
    <w:p w14:paraId="76F4592A" w14:textId="77777777" w:rsidR="00B520B9" w:rsidRDefault="00B520B9" w:rsidP="006D2064">
      <w:pPr>
        <w:keepNext/>
        <w:numPr>
          <w:ilvl w:val="2"/>
          <w:numId w:val="0"/>
        </w:numPr>
        <w:tabs>
          <w:tab w:val="num" w:pos="0"/>
        </w:tabs>
        <w:spacing w:before="60" w:after="60" w:line="300" w:lineRule="atLeast"/>
        <w:outlineLvl w:val="2"/>
        <w:rPr>
          <w:rFonts w:ascii="Arial" w:hAnsi="Arial" w:cs="Arial"/>
          <w:b/>
          <w:color w:val="4BACC6"/>
          <w:szCs w:val="20"/>
          <w:lang w:eastAsia="en-US"/>
        </w:rPr>
      </w:pPr>
    </w:p>
    <w:p w14:paraId="170D9D17" w14:textId="77777777" w:rsidR="006D2064" w:rsidRPr="006D2064" w:rsidRDefault="006D2064" w:rsidP="006D2064">
      <w:pPr>
        <w:spacing w:after="240" w:line="260" w:lineRule="atLeast"/>
        <w:rPr>
          <w:rFonts w:ascii="Arial" w:hAnsi="Arial" w:cs="Arial"/>
          <w:sz w:val="22"/>
          <w:szCs w:val="20"/>
          <w:lang w:eastAsia="en-US"/>
        </w:rPr>
      </w:pPr>
    </w:p>
    <w:p w14:paraId="00504683" w14:textId="77777777" w:rsidR="006D2064" w:rsidRPr="006D2064" w:rsidRDefault="006D2064" w:rsidP="006D2064">
      <w:pPr>
        <w:spacing w:line="260" w:lineRule="atLeast"/>
        <w:rPr>
          <w:rFonts w:ascii="Arial" w:hAnsi="Arial" w:cs="Arial"/>
          <w:b/>
          <w:sz w:val="22"/>
          <w:szCs w:val="20"/>
          <w:lang w:eastAsia="en-US"/>
        </w:rPr>
      </w:pPr>
    </w:p>
    <w:p w14:paraId="22ADCA30" w14:textId="77777777" w:rsidR="006D2064" w:rsidRPr="006D2064" w:rsidRDefault="006D2064" w:rsidP="00FC140C">
      <w:pPr>
        <w:spacing w:line="260" w:lineRule="atLeast"/>
        <w:rPr>
          <w:rFonts w:ascii="Arial" w:hAnsi="Arial" w:cs="Arial"/>
          <w:b/>
          <w:sz w:val="22"/>
          <w:szCs w:val="20"/>
          <w:lang w:eastAsia="en-US"/>
        </w:rPr>
      </w:pPr>
      <w:r w:rsidRPr="006D2064">
        <w:rPr>
          <w:rFonts w:ascii="Arial" w:hAnsi="Arial" w:cs="Arial"/>
          <w:b/>
          <w:color w:val="4BACC6"/>
          <w:sz w:val="22"/>
          <w:szCs w:val="20"/>
          <w:lang w:eastAsia="en-US"/>
        </w:rPr>
        <w:br w:type="page"/>
      </w:r>
      <w:r w:rsidR="00FC140C" w:rsidRPr="006D2064">
        <w:rPr>
          <w:rFonts w:ascii="Arial" w:hAnsi="Arial" w:cs="Arial"/>
          <w:b/>
          <w:sz w:val="22"/>
          <w:szCs w:val="20"/>
          <w:lang w:eastAsia="en-US"/>
        </w:rPr>
        <w:lastRenderedPageBreak/>
        <w:t xml:space="preserve"> </w:t>
      </w:r>
    </w:p>
    <w:p w14:paraId="00324891" w14:textId="77777777" w:rsidR="00C91E2B" w:rsidRDefault="00C91E2B" w:rsidP="008A5AB5">
      <w:pPr>
        <w:keepNext/>
        <w:numPr>
          <w:ilvl w:val="2"/>
          <w:numId w:val="0"/>
        </w:numPr>
        <w:tabs>
          <w:tab w:val="num" w:pos="0"/>
        </w:tabs>
        <w:spacing w:before="60" w:after="60" w:line="300" w:lineRule="atLeast"/>
        <w:outlineLvl w:val="2"/>
        <w:rPr>
          <w:rFonts w:ascii="Arial" w:hAnsi="Arial" w:cs="Arial"/>
          <w:b/>
          <w:color w:val="4BACC6"/>
          <w:szCs w:val="20"/>
          <w:lang w:eastAsia="en-US"/>
        </w:rPr>
      </w:pPr>
    </w:p>
    <w:p w14:paraId="24169C39" w14:textId="77777777" w:rsidR="00E66494" w:rsidRDefault="00E66494" w:rsidP="00D263A6">
      <w:pPr>
        <w:ind w:left="360" w:hanging="360"/>
        <w:jc w:val="both"/>
        <w:rPr>
          <w:rFonts w:ascii="Arial" w:hAnsi="Arial" w:cs="Arial"/>
          <w:b/>
        </w:rPr>
      </w:pPr>
      <w:r w:rsidRPr="00E66494">
        <w:rPr>
          <w:rFonts w:ascii="Arial" w:hAnsi="Arial" w:cs="Arial"/>
          <w:b/>
        </w:rPr>
        <w:t xml:space="preserve">Administration and Benefits </w:t>
      </w:r>
    </w:p>
    <w:p w14:paraId="1273FD5E" w14:textId="77777777" w:rsidR="003C6473" w:rsidRDefault="003C6473" w:rsidP="00D263A6">
      <w:pPr>
        <w:ind w:left="360" w:hanging="360"/>
        <w:jc w:val="both"/>
        <w:rPr>
          <w:rFonts w:ascii="Arial" w:hAnsi="Arial" w:cs="Arial"/>
          <w:b/>
        </w:rPr>
      </w:pPr>
    </w:p>
    <w:p w14:paraId="06CBCC07" w14:textId="77777777" w:rsidR="0069126A" w:rsidRDefault="00650EF5" w:rsidP="00D263A6">
      <w:pPr>
        <w:jc w:val="both"/>
        <w:rPr>
          <w:rFonts w:ascii="Arial" w:hAnsi="Arial" w:cs="Arial"/>
        </w:rPr>
      </w:pPr>
      <w:r>
        <w:rPr>
          <w:rFonts w:ascii="Arial" w:hAnsi="Arial" w:cs="Arial"/>
        </w:rPr>
        <w:t>T</w:t>
      </w:r>
      <w:r w:rsidR="0069126A">
        <w:rPr>
          <w:rFonts w:ascii="Arial" w:hAnsi="Arial" w:cs="Arial"/>
        </w:rPr>
        <w:t>he Council</w:t>
      </w:r>
      <w:r>
        <w:rPr>
          <w:rFonts w:ascii="Arial" w:hAnsi="Arial" w:cs="Arial"/>
        </w:rPr>
        <w:t>’s</w:t>
      </w:r>
      <w:r w:rsidR="0069126A">
        <w:rPr>
          <w:rFonts w:ascii="Arial" w:hAnsi="Arial" w:cs="Arial"/>
        </w:rPr>
        <w:t xml:space="preserve"> pension benefits administrator </w:t>
      </w:r>
      <w:r>
        <w:rPr>
          <w:rFonts w:ascii="Arial" w:hAnsi="Arial" w:cs="Arial"/>
        </w:rPr>
        <w:t>is</w:t>
      </w:r>
      <w:r w:rsidR="0069126A">
        <w:rPr>
          <w:rFonts w:ascii="Arial" w:hAnsi="Arial" w:cs="Arial"/>
        </w:rPr>
        <w:t xml:space="preserve"> </w:t>
      </w:r>
      <w:r w:rsidR="004E4996">
        <w:rPr>
          <w:rFonts w:ascii="Arial" w:hAnsi="Arial" w:cs="Arial"/>
        </w:rPr>
        <w:t xml:space="preserve">the </w:t>
      </w:r>
      <w:r w:rsidR="0069126A">
        <w:rPr>
          <w:rFonts w:ascii="Arial" w:hAnsi="Arial" w:cs="Arial"/>
        </w:rPr>
        <w:t>Pension Shared Service (hosted by the London Borough of Wandsworth) this is a shared service partnership between f</w:t>
      </w:r>
      <w:r w:rsidR="00A86E2D">
        <w:rPr>
          <w:rFonts w:ascii="Arial" w:hAnsi="Arial" w:cs="Arial"/>
        </w:rPr>
        <w:t>our</w:t>
      </w:r>
      <w:r w:rsidR="0069126A">
        <w:rPr>
          <w:rFonts w:ascii="Arial" w:hAnsi="Arial" w:cs="Arial"/>
        </w:rPr>
        <w:t xml:space="preserve"> London Boroughs, Wandsworth</w:t>
      </w:r>
      <w:r w:rsidR="00A86E2D">
        <w:rPr>
          <w:rFonts w:ascii="Arial" w:hAnsi="Arial" w:cs="Arial"/>
        </w:rPr>
        <w:t xml:space="preserve"> (</w:t>
      </w:r>
      <w:r w:rsidR="0069126A">
        <w:rPr>
          <w:rFonts w:ascii="Arial" w:hAnsi="Arial" w:cs="Arial"/>
        </w:rPr>
        <w:t>Richmond</w:t>
      </w:r>
      <w:r w:rsidR="00A86E2D">
        <w:rPr>
          <w:rFonts w:ascii="Arial" w:hAnsi="Arial" w:cs="Arial"/>
        </w:rPr>
        <w:t xml:space="preserve"> is now merged with Wandsworth)</w:t>
      </w:r>
      <w:r w:rsidR="0069126A">
        <w:rPr>
          <w:rFonts w:ascii="Arial" w:hAnsi="Arial" w:cs="Arial"/>
        </w:rPr>
        <w:t>, Camden, Merton and Waltham Forest.</w:t>
      </w:r>
    </w:p>
    <w:p w14:paraId="535EE9F4" w14:textId="77777777" w:rsidR="00B520B9" w:rsidRDefault="00B520B9" w:rsidP="00D263A6">
      <w:pPr>
        <w:jc w:val="both"/>
        <w:rPr>
          <w:rFonts w:ascii="Arial" w:hAnsi="Arial" w:cs="Arial"/>
          <w:b/>
        </w:rPr>
      </w:pPr>
    </w:p>
    <w:p w14:paraId="7B42256E" w14:textId="77777777" w:rsidR="007E20E8" w:rsidRPr="007E20E8" w:rsidRDefault="007E20E8" w:rsidP="00D263A6">
      <w:pPr>
        <w:jc w:val="both"/>
        <w:rPr>
          <w:rFonts w:ascii="Arial" w:hAnsi="Arial" w:cs="Arial"/>
          <w:b/>
        </w:rPr>
      </w:pPr>
      <w:r w:rsidRPr="007E20E8">
        <w:rPr>
          <w:rFonts w:ascii="Arial" w:hAnsi="Arial" w:cs="Arial"/>
          <w:b/>
        </w:rPr>
        <w:t>Administration</w:t>
      </w:r>
      <w:r w:rsidR="007E4288">
        <w:rPr>
          <w:rFonts w:ascii="Arial" w:hAnsi="Arial" w:cs="Arial"/>
          <w:b/>
        </w:rPr>
        <w:t xml:space="preserve"> Service</w:t>
      </w:r>
      <w:r w:rsidRPr="007E20E8">
        <w:rPr>
          <w:rFonts w:ascii="Arial" w:hAnsi="Arial" w:cs="Arial"/>
          <w:b/>
        </w:rPr>
        <w:t xml:space="preserve"> Performance</w:t>
      </w:r>
      <w:r w:rsidR="007E4288">
        <w:rPr>
          <w:rFonts w:ascii="Arial" w:hAnsi="Arial" w:cs="Arial"/>
          <w:b/>
        </w:rPr>
        <w:t xml:space="preserve"> Statistics</w:t>
      </w:r>
      <w:r w:rsidR="00A86E2D">
        <w:rPr>
          <w:rFonts w:ascii="Arial" w:hAnsi="Arial" w:cs="Arial"/>
          <w:b/>
        </w:rPr>
        <w:t xml:space="preserve"> for 201</w:t>
      </w:r>
      <w:r w:rsidR="00816D92">
        <w:rPr>
          <w:rFonts w:ascii="Arial" w:hAnsi="Arial" w:cs="Arial"/>
          <w:b/>
        </w:rPr>
        <w:t>9</w:t>
      </w:r>
      <w:r w:rsidR="00A86E2D">
        <w:rPr>
          <w:rFonts w:ascii="Arial" w:hAnsi="Arial" w:cs="Arial"/>
          <w:b/>
        </w:rPr>
        <w:t>/</w:t>
      </w:r>
      <w:r w:rsidR="00816D92">
        <w:rPr>
          <w:rFonts w:ascii="Arial" w:hAnsi="Arial" w:cs="Arial"/>
          <w:b/>
        </w:rPr>
        <w:t>20</w:t>
      </w:r>
    </w:p>
    <w:p w14:paraId="33A2ED77" w14:textId="77777777" w:rsidR="007E20E8" w:rsidRDefault="007E4288" w:rsidP="00D263A6">
      <w:pPr>
        <w:jc w:val="both"/>
        <w:rPr>
          <w:rFonts w:ascii="Arial" w:hAnsi="Arial" w:cs="Arial"/>
          <w:b/>
        </w:rPr>
      </w:pPr>
      <w:r w:rsidRPr="007E4288">
        <w:rPr>
          <w:rFonts w:ascii="Arial" w:hAnsi="Arial" w:cs="Arial"/>
          <w:b/>
        </w:rPr>
        <w:t>Benefits</w:t>
      </w:r>
    </w:p>
    <w:p w14:paraId="0C7CB57E" w14:textId="77777777" w:rsidR="00816D92" w:rsidRDefault="00816D92" w:rsidP="00D263A6">
      <w:pPr>
        <w:jc w:val="both"/>
        <w:rPr>
          <w:rFonts w:ascii="Arial" w:hAnsi="Arial" w:cs="Arial"/>
          <w:b/>
        </w:rPr>
      </w:pPr>
    </w:p>
    <w:tbl>
      <w:tblPr>
        <w:tblW w:w="8720" w:type="dxa"/>
        <w:tblLook w:val="04A0" w:firstRow="1" w:lastRow="0" w:firstColumn="1" w:lastColumn="0" w:noHBand="0" w:noVBand="1"/>
      </w:tblPr>
      <w:tblGrid>
        <w:gridCol w:w="3740"/>
        <w:gridCol w:w="764"/>
        <w:gridCol w:w="1116"/>
        <w:gridCol w:w="940"/>
        <w:gridCol w:w="1180"/>
        <w:gridCol w:w="1030"/>
      </w:tblGrid>
      <w:tr w:rsidR="00816D92" w14:paraId="53D10BB2" w14:textId="77777777" w:rsidTr="00816D92">
        <w:trPr>
          <w:trHeight w:val="885"/>
        </w:trPr>
        <w:tc>
          <w:tcPr>
            <w:tcW w:w="37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74B4C49" w14:textId="77777777" w:rsidR="00816D92" w:rsidRDefault="00816D92">
            <w:pPr>
              <w:rPr>
                <w:rFonts w:ascii="Arial" w:hAnsi="Arial" w:cs="Arial"/>
                <w:b/>
                <w:bCs/>
              </w:rPr>
            </w:pPr>
            <w:r>
              <w:rPr>
                <w:rFonts w:ascii="Arial" w:hAnsi="Arial" w:cs="Arial"/>
                <w:b/>
                <w:bCs/>
              </w:rPr>
              <w:t>Period April to March</w:t>
            </w:r>
          </w:p>
        </w:tc>
        <w:tc>
          <w:tcPr>
            <w:tcW w:w="1880" w:type="dxa"/>
            <w:gridSpan w:val="2"/>
            <w:tcBorders>
              <w:top w:val="single" w:sz="8" w:space="0" w:color="auto"/>
              <w:left w:val="nil"/>
              <w:bottom w:val="single" w:sz="4" w:space="0" w:color="auto"/>
              <w:right w:val="single" w:sz="4" w:space="0" w:color="000000"/>
            </w:tcBorders>
            <w:shd w:val="clear" w:color="auto" w:fill="auto"/>
            <w:vAlign w:val="center"/>
            <w:hideMark/>
          </w:tcPr>
          <w:p w14:paraId="0EBA5820" w14:textId="77777777" w:rsidR="00816D92" w:rsidRDefault="00816D92">
            <w:pPr>
              <w:jc w:val="center"/>
              <w:rPr>
                <w:rFonts w:ascii="Arial" w:hAnsi="Arial" w:cs="Arial"/>
                <w:b/>
                <w:bCs/>
              </w:rPr>
            </w:pPr>
            <w:r>
              <w:rPr>
                <w:rFonts w:ascii="Arial" w:hAnsi="Arial" w:cs="Arial"/>
                <w:b/>
                <w:bCs/>
              </w:rPr>
              <w:t>Charter Standard</w:t>
            </w:r>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14:paraId="1DD381AB" w14:textId="77777777" w:rsidR="00816D92" w:rsidRDefault="00816D92">
            <w:pPr>
              <w:jc w:val="center"/>
              <w:rPr>
                <w:rFonts w:ascii="Arial" w:hAnsi="Arial" w:cs="Arial"/>
                <w:b/>
                <w:bCs/>
              </w:rPr>
            </w:pPr>
            <w:r>
              <w:rPr>
                <w:rFonts w:ascii="Arial" w:hAnsi="Arial" w:cs="Arial"/>
                <w:b/>
                <w:bCs/>
              </w:rPr>
              <w:t>Total</w:t>
            </w:r>
          </w:p>
        </w:tc>
        <w:tc>
          <w:tcPr>
            <w:tcW w:w="1180" w:type="dxa"/>
            <w:tcBorders>
              <w:top w:val="single" w:sz="8" w:space="0" w:color="auto"/>
              <w:left w:val="nil"/>
              <w:bottom w:val="nil"/>
              <w:right w:val="single" w:sz="4" w:space="0" w:color="auto"/>
            </w:tcBorders>
            <w:shd w:val="clear" w:color="auto" w:fill="auto"/>
            <w:vAlign w:val="center"/>
            <w:hideMark/>
          </w:tcPr>
          <w:p w14:paraId="56223FE2" w14:textId="77777777" w:rsidR="00816D92" w:rsidRPr="00816D92" w:rsidRDefault="00816D92">
            <w:pPr>
              <w:rPr>
                <w:rFonts w:ascii="Arial" w:hAnsi="Arial" w:cs="Arial"/>
                <w:b/>
                <w:bCs/>
              </w:rPr>
            </w:pPr>
            <w:r w:rsidRPr="00816D92">
              <w:rPr>
                <w:rFonts w:ascii="Arial" w:hAnsi="Arial" w:cs="Arial"/>
                <w:b/>
                <w:bCs/>
              </w:rPr>
              <w:t>Apr to Mar 19/20</w:t>
            </w:r>
          </w:p>
        </w:tc>
        <w:tc>
          <w:tcPr>
            <w:tcW w:w="980" w:type="dxa"/>
            <w:tcBorders>
              <w:top w:val="single" w:sz="8" w:space="0" w:color="auto"/>
              <w:left w:val="nil"/>
              <w:bottom w:val="single" w:sz="4" w:space="0" w:color="auto"/>
              <w:right w:val="single" w:sz="8" w:space="0" w:color="auto"/>
            </w:tcBorders>
            <w:shd w:val="clear" w:color="auto" w:fill="auto"/>
            <w:noWrap/>
            <w:vAlign w:val="center"/>
            <w:hideMark/>
          </w:tcPr>
          <w:p w14:paraId="7AF994DE" w14:textId="77777777" w:rsidR="00816D92" w:rsidRDefault="00816D92">
            <w:pPr>
              <w:jc w:val="center"/>
              <w:rPr>
                <w:rFonts w:ascii="Arial" w:hAnsi="Arial" w:cs="Arial"/>
                <w:b/>
                <w:bCs/>
              </w:rPr>
            </w:pPr>
            <w:r>
              <w:rPr>
                <w:rFonts w:ascii="Arial" w:hAnsi="Arial" w:cs="Arial"/>
                <w:b/>
                <w:bCs/>
              </w:rPr>
              <w:t>Target</w:t>
            </w:r>
          </w:p>
        </w:tc>
      </w:tr>
      <w:tr w:rsidR="00816D92" w14:paraId="32399886"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15BAA008" w14:textId="77777777" w:rsidR="00816D92" w:rsidRDefault="00816D92">
            <w:pPr>
              <w:rPr>
                <w:rFonts w:ascii="Arial" w:hAnsi="Arial" w:cs="Arial"/>
                <w:b/>
                <w:bCs/>
              </w:rPr>
            </w:pPr>
            <w:r>
              <w:rPr>
                <w:rFonts w:ascii="Arial" w:hAnsi="Arial" w:cs="Arial"/>
                <w:b/>
                <w:bCs/>
              </w:rPr>
              <w:t>Area of Work</w:t>
            </w:r>
          </w:p>
        </w:tc>
        <w:tc>
          <w:tcPr>
            <w:tcW w:w="764" w:type="dxa"/>
            <w:tcBorders>
              <w:top w:val="nil"/>
              <w:left w:val="nil"/>
              <w:bottom w:val="single" w:sz="4" w:space="0" w:color="auto"/>
              <w:right w:val="single" w:sz="4" w:space="0" w:color="auto"/>
            </w:tcBorders>
            <w:shd w:val="clear" w:color="auto" w:fill="auto"/>
            <w:noWrap/>
            <w:vAlign w:val="bottom"/>
            <w:hideMark/>
          </w:tcPr>
          <w:p w14:paraId="339A09C1" w14:textId="77777777" w:rsidR="00816D92" w:rsidRDefault="00816D92">
            <w:pPr>
              <w:jc w:val="center"/>
              <w:rPr>
                <w:rFonts w:ascii="Arial" w:hAnsi="Arial" w:cs="Arial"/>
                <w:b/>
                <w:bCs/>
              </w:rPr>
            </w:pPr>
            <w:r>
              <w:rPr>
                <w:rFonts w:ascii="Arial" w:hAnsi="Arial" w:cs="Arial"/>
                <w:b/>
                <w:bCs/>
              </w:rPr>
              <w:t>NO</w:t>
            </w:r>
          </w:p>
        </w:tc>
        <w:tc>
          <w:tcPr>
            <w:tcW w:w="1116" w:type="dxa"/>
            <w:tcBorders>
              <w:top w:val="nil"/>
              <w:left w:val="nil"/>
              <w:bottom w:val="single" w:sz="4" w:space="0" w:color="auto"/>
              <w:right w:val="single" w:sz="4" w:space="0" w:color="auto"/>
            </w:tcBorders>
            <w:shd w:val="clear" w:color="auto" w:fill="auto"/>
            <w:noWrap/>
            <w:vAlign w:val="bottom"/>
            <w:hideMark/>
          </w:tcPr>
          <w:p w14:paraId="37750974" w14:textId="77777777" w:rsidR="00816D92" w:rsidRDefault="00816D92">
            <w:pPr>
              <w:jc w:val="center"/>
              <w:rPr>
                <w:rFonts w:ascii="Arial" w:hAnsi="Arial" w:cs="Arial"/>
                <w:b/>
                <w:bCs/>
              </w:rPr>
            </w:pPr>
            <w:r>
              <w:rPr>
                <w:rFonts w:ascii="Arial" w:hAnsi="Arial" w:cs="Arial"/>
                <w:b/>
                <w:bCs/>
              </w:rPr>
              <w:t>YES</w:t>
            </w:r>
          </w:p>
        </w:tc>
        <w:tc>
          <w:tcPr>
            <w:tcW w:w="940" w:type="dxa"/>
            <w:tcBorders>
              <w:top w:val="nil"/>
              <w:left w:val="nil"/>
              <w:bottom w:val="single" w:sz="4" w:space="0" w:color="auto"/>
              <w:right w:val="single" w:sz="4" w:space="0" w:color="auto"/>
            </w:tcBorders>
            <w:shd w:val="clear" w:color="auto" w:fill="auto"/>
            <w:noWrap/>
            <w:vAlign w:val="bottom"/>
            <w:hideMark/>
          </w:tcPr>
          <w:p w14:paraId="1FF886E7" w14:textId="77777777" w:rsidR="00816D92" w:rsidRDefault="00816D92">
            <w:pPr>
              <w:jc w:val="center"/>
              <w:rPr>
                <w:rFonts w:ascii="Arial" w:hAnsi="Arial" w:cs="Arial"/>
                <w:b/>
                <w:bCs/>
              </w:rPr>
            </w:pPr>
            <w:r>
              <w:rPr>
                <w:rFonts w:ascii="Arial" w:hAnsi="Arial" w:cs="Arial"/>
                <w:b/>
                <w:bCs/>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C5C04A4" w14:textId="77777777" w:rsidR="00816D92" w:rsidRPr="00816D92" w:rsidRDefault="00816D92">
            <w:pPr>
              <w:jc w:val="center"/>
              <w:rPr>
                <w:rFonts w:ascii="Arial" w:hAnsi="Arial" w:cs="Arial"/>
                <w:b/>
                <w:bCs/>
              </w:rPr>
            </w:pPr>
            <w:r w:rsidRPr="00816D92">
              <w:rPr>
                <w:rFonts w:ascii="Arial" w:hAnsi="Arial" w:cs="Arial"/>
                <w:b/>
                <w:bCs/>
              </w:rPr>
              <w:t> </w:t>
            </w:r>
          </w:p>
        </w:tc>
        <w:tc>
          <w:tcPr>
            <w:tcW w:w="980" w:type="dxa"/>
            <w:tcBorders>
              <w:top w:val="nil"/>
              <w:left w:val="nil"/>
              <w:bottom w:val="single" w:sz="4" w:space="0" w:color="auto"/>
              <w:right w:val="single" w:sz="8" w:space="0" w:color="auto"/>
            </w:tcBorders>
            <w:shd w:val="clear" w:color="auto" w:fill="auto"/>
            <w:noWrap/>
            <w:vAlign w:val="bottom"/>
            <w:hideMark/>
          </w:tcPr>
          <w:p w14:paraId="112ACE50" w14:textId="77777777" w:rsidR="00816D92" w:rsidRDefault="00816D92">
            <w:pPr>
              <w:jc w:val="center"/>
              <w:rPr>
                <w:rFonts w:ascii="Arial" w:hAnsi="Arial" w:cs="Arial"/>
              </w:rPr>
            </w:pPr>
            <w:r>
              <w:rPr>
                <w:rFonts w:ascii="Arial" w:hAnsi="Arial" w:cs="Arial"/>
              </w:rPr>
              <w:t> </w:t>
            </w:r>
          </w:p>
        </w:tc>
      </w:tr>
      <w:tr w:rsidR="00816D92" w14:paraId="76DEEA58"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669D0EC4" w14:textId="77777777" w:rsidR="00816D92" w:rsidRDefault="00816D92">
            <w:pPr>
              <w:rPr>
                <w:rFonts w:ascii="Arial" w:hAnsi="Arial" w:cs="Arial"/>
              </w:rPr>
            </w:pPr>
            <w:r>
              <w:rPr>
                <w:rFonts w:ascii="Arial" w:hAnsi="Arial" w:cs="Arial"/>
              </w:rPr>
              <w:t> </w:t>
            </w:r>
          </w:p>
        </w:tc>
        <w:tc>
          <w:tcPr>
            <w:tcW w:w="764" w:type="dxa"/>
            <w:tcBorders>
              <w:top w:val="nil"/>
              <w:left w:val="nil"/>
              <w:bottom w:val="single" w:sz="4" w:space="0" w:color="auto"/>
              <w:right w:val="single" w:sz="4" w:space="0" w:color="auto"/>
            </w:tcBorders>
            <w:shd w:val="clear" w:color="auto" w:fill="auto"/>
            <w:noWrap/>
            <w:vAlign w:val="bottom"/>
            <w:hideMark/>
          </w:tcPr>
          <w:p w14:paraId="324C56FC" w14:textId="77777777" w:rsidR="00816D92" w:rsidRDefault="00816D92">
            <w:pPr>
              <w:rPr>
                <w:rFonts w:ascii="Arial" w:hAnsi="Arial" w:cs="Arial"/>
              </w:rPr>
            </w:pPr>
            <w:r>
              <w:rPr>
                <w:rFonts w:ascii="Arial" w:hAnsi="Arial" w:cs="Arial"/>
              </w:rPr>
              <w:t> </w:t>
            </w:r>
          </w:p>
        </w:tc>
        <w:tc>
          <w:tcPr>
            <w:tcW w:w="1116" w:type="dxa"/>
            <w:tcBorders>
              <w:top w:val="nil"/>
              <w:left w:val="nil"/>
              <w:bottom w:val="single" w:sz="4" w:space="0" w:color="auto"/>
              <w:right w:val="single" w:sz="4" w:space="0" w:color="auto"/>
            </w:tcBorders>
            <w:shd w:val="clear" w:color="auto" w:fill="auto"/>
            <w:noWrap/>
            <w:vAlign w:val="bottom"/>
            <w:hideMark/>
          </w:tcPr>
          <w:p w14:paraId="35B1DCF6" w14:textId="77777777" w:rsidR="00816D92" w:rsidRDefault="00816D92">
            <w:pPr>
              <w:rPr>
                <w:rFonts w:ascii="Arial" w:hAnsi="Arial" w:cs="Arial"/>
              </w:rPr>
            </w:pPr>
            <w:r>
              <w:rPr>
                <w:rFonts w:ascii="Arial" w:hAnsi="Arial" w:cs="Arial"/>
              </w:rPr>
              <w:t> </w:t>
            </w:r>
          </w:p>
        </w:tc>
        <w:tc>
          <w:tcPr>
            <w:tcW w:w="940" w:type="dxa"/>
            <w:tcBorders>
              <w:top w:val="nil"/>
              <w:left w:val="nil"/>
              <w:bottom w:val="single" w:sz="4" w:space="0" w:color="auto"/>
              <w:right w:val="single" w:sz="4" w:space="0" w:color="auto"/>
            </w:tcBorders>
            <w:shd w:val="clear" w:color="auto" w:fill="auto"/>
            <w:noWrap/>
            <w:vAlign w:val="bottom"/>
            <w:hideMark/>
          </w:tcPr>
          <w:p w14:paraId="037693ED" w14:textId="77777777" w:rsidR="00816D92" w:rsidRDefault="00816D92">
            <w:pPr>
              <w:rPr>
                <w:rFonts w:ascii="Arial" w:hAnsi="Arial" w:cs="Arial"/>
              </w:rPr>
            </w:pPr>
            <w:r>
              <w:rPr>
                <w:rFonts w:ascii="Arial" w:hAnsi="Arial" w:cs="Arial"/>
              </w:rPr>
              <w:t> </w:t>
            </w:r>
          </w:p>
        </w:tc>
        <w:tc>
          <w:tcPr>
            <w:tcW w:w="1180" w:type="dxa"/>
            <w:tcBorders>
              <w:top w:val="nil"/>
              <w:left w:val="nil"/>
              <w:bottom w:val="single" w:sz="4" w:space="0" w:color="auto"/>
              <w:right w:val="single" w:sz="4" w:space="0" w:color="auto"/>
            </w:tcBorders>
            <w:shd w:val="clear" w:color="auto" w:fill="auto"/>
            <w:noWrap/>
            <w:vAlign w:val="bottom"/>
            <w:hideMark/>
          </w:tcPr>
          <w:p w14:paraId="7715944E" w14:textId="77777777" w:rsidR="00816D92" w:rsidRPr="00816D92" w:rsidRDefault="00816D92">
            <w:pPr>
              <w:rPr>
                <w:rFonts w:ascii="Arial" w:hAnsi="Arial" w:cs="Arial"/>
              </w:rPr>
            </w:pPr>
            <w:r w:rsidRPr="00816D92">
              <w:rPr>
                <w:rFonts w:ascii="Arial" w:hAnsi="Arial" w:cs="Arial"/>
              </w:rPr>
              <w:t> </w:t>
            </w:r>
          </w:p>
        </w:tc>
        <w:tc>
          <w:tcPr>
            <w:tcW w:w="980" w:type="dxa"/>
            <w:tcBorders>
              <w:top w:val="nil"/>
              <w:left w:val="nil"/>
              <w:bottom w:val="single" w:sz="4" w:space="0" w:color="auto"/>
              <w:right w:val="single" w:sz="8" w:space="0" w:color="auto"/>
            </w:tcBorders>
            <w:shd w:val="clear" w:color="auto" w:fill="auto"/>
            <w:noWrap/>
            <w:vAlign w:val="bottom"/>
            <w:hideMark/>
          </w:tcPr>
          <w:p w14:paraId="11E770CC" w14:textId="77777777" w:rsidR="00816D92" w:rsidRDefault="00816D92">
            <w:pPr>
              <w:rPr>
                <w:rFonts w:ascii="Arial" w:hAnsi="Arial" w:cs="Arial"/>
              </w:rPr>
            </w:pPr>
            <w:r>
              <w:rPr>
                <w:rFonts w:ascii="Arial" w:hAnsi="Arial" w:cs="Arial"/>
              </w:rPr>
              <w:t> </w:t>
            </w:r>
          </w:p>
        </w:tc>
      </w:tr>
      <w:tr w:rsidR="00816D92" w14:paraId="3DD44A3F"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60D12090" w14:textId="77777777" w:rsidR="00816D92" w:rsidRDefault="00816D92">
            <w:pPr>
              <w:rPr>
                <w:rFonts w:ascii="Arial" w:hAnsi="Arial" w:cs="Arial"/>
              </w:rPr>
            </w:pPr>
            <w:r>
              <w:rPr>
                <w:rFonts w:ascii="Arial" w:hAnsi="Arial" w:cs="Arial"/>
              </w:rPr>
              <w:t>New Scheme Member</w:t>
            </w:r>
          </w:p>
        </w:tc>
        <w:tc>
          <w:tcPr>
            <w:tcW w:w="764" w:type="dxa"/>
            <w:tcBorders>
              <w:top w:val="nil"/>
              <w:left w:val="nil"/>
              <w:bottom w:val="single" w:sz="4" w:space="0" w:color="auto"/>
              <w:right w:val="single" w:sz="4" w:space="0" w:color="auto"/>
            </w:tcBorders>
            <w:shd w:val="clear" w:color="auto" w:fill="auto"/>
            <w:noWrap/>
            <w:vAlign w:val="bottom"/>
            <w:hideMark/>
          </w:tcPr>
          <w:p w14:paraId="51DB120C" w14:textId="77777777" w:rsidR="00816D92" w:rsidRDefault="00816D92">
            <w:pPr>
              <w:jc w:val="right"/>
              <w:rPr>
                <w:rFonts w:ascii="Arial" w:hAnsi="Arial" w:cs="Arial"/>
              </w:rPr>
            </w:pPr>
            <w:r>
              <w:rPr>
                <w:rFonts w:ascii="Arial" w:hAnsi="Arial" w:cs="Arial"/>
              </w:rPr>
              <w:t>15</w:t>
            </w:r>
          </w:p>
        </w:tc>
        <w:tc>
          <w:tcPr>
            <w:tcW w:w="1116" w:type="dxa"/>
            <w:tcBorders>
              <w:top w:val="nil"/>
              <w:left w:val="nil"/>
              <w:bottom w:val="single" w:sz="4" w:space="0" w:color="auto"/>
              <w:right w:val="single" w:sz="4" w:space="0" w:color="auto"/>
            </w:tcBorders>
            <w:shd w:val="clear" w:color="auto" w:fill="auto"/>
            <w:noWrap/>
            <w:vAlign w:val="bottom"/>
            <w:hideMark/>
          </w:tcPr>
          <w:p w14:paraId="5C50391D" w14:textId="77777777" w:rsidR="00816D92" w:rsidRDefault="00816D92">
            <w:pPr>
              <w:jc w:val="right"/>
              <w:rPr>
                <w:rFonts w:ascii="Arial" w:hAnsi="Arial" w:cs="Arial"/>
              </w:rPr>
            </w:pPr>
            <w:r>
              <w:rPr>
                <w:rFonts w:ascii="Arial" w:hAnsi="Arial" w:cs="Arial"/>
              </w:rPr>
              <w:t>2,173</w:t>
            </w:r>
          </w:p>
        </w:tc>
        <w:tc>
          <w:tcPr>
            <w:tcW w:w="940" w:type="dxa"/>
            <w:tcBorders>
              <w:top w:val="nil"/>
              <w:left w:val="nil"/>
              <w:bottom w:val="single" w:sz="4" w:space="0" w:color="auto"/>
              <w:right w:val="single" w:sz="4" w:space="0" w:color="auto"/>
            </w:tcBorders>
            <w:shd w:val="clear" w:color="auto" w:fill="auto"/>
            <w:noWrap/>
            <w:vAlign w:val="bottom"/>
            <w:hideMark/>
          </w:tcPr>
          <w:p w14:paraId="0CABF6D0" w14:textId="77777777" w:rsidR="00816D92" w:rsidRDefault="00816D92">
            <w:pPr>
              <w:jc w:val="right"/>
              <w:rPr>
                <w:rFonts w:ascii="Arial" w:hAnsi="Arial" w:cs="Arial"/>
              </w:rPr>
            </w:pPr>
            <w:r>
              <w:rPr>
                <w:rFonts w:ascii="Arial" w:hAnsi="Arial" w:cs="Arial"/>
              </w:rPr>
              <w:t>2,188</w:t>
            </w:r>
          </w:p>
        </w:tc>
        <w:tc>
          <w:tcPr>
            <w:tcW w:w="1180" w:type="dxa"/>
            <w:tcBorders>
              <w:top w:val="nil"/>
              <w:left w:val="nil"/>
              <w:bottom w:val="single" w:sz="4" w:space="0" w:color="auto"/>
              <w:right w:val="single" w:sz="4" w:space="0" w:color="auto"/>
            </w:tcBorders>
            <w:shd w:val="clear" w:color="auto" w:fill="auto"/>
            <w:noWrap/>
            <w:vAlign w:val="bottom"/>
            <w:hideMark/>
          </w:tcPr>
          <w:p w14:paraId="3C2844E8" w14:textId="77777777" w:rsidR="00816D92" w:rsidRPr="00816D92" w:rsidRDefault="00816D92">
            <w:pPr>
              <w:jc w:val="right"/>
              <w:rPr>
                <w:rFonts w:ascii="Arial" w:hAnsi="Arial" w:cs="Arial"/>
              </w:rPr>
            </w:pPr>
            <w:r w:rsidRPr="00816D92">
              <w:rPr>
                <w:rFonts w:ascii="Arial" w:hAnsi="Arial" w:cs="Arial"/>
              </w:rPr>
              <w:t>99.31%</w:t>
            </w:r>
          </w:p>
        </w:tc>
        <w:tc>
          <w:tcPr>
            <w:tcW w:w="980" w:type="dxa"/>
            <w:tcBorders>
              <w:top w:val="nil"/>
              <w:left w:val="nil"/>
              <w:bottom w:val="single" w:sz="4" w:space="0" w:color="auto"/>
              <w:right w:val="single" w:sz="8" w:space="0" w:color="auto"/>
            </w:tcBorders>
            <w:shd w:val="clear" w:color="auto" w:fill="auto"/>
            <w:noWrap/>
            <w:vAlign w:val="bottom"/>
            <w:hideMark/>
          </w:tcPr>
          <w:p w14:paraId="6FE84CB9" w14:textId="77777777" w:rsidR="00816D92" w:rsidRDefault="00816D92">
            <w:pPr>
              <w:jc w:val="right"/>
              <w:rPr>
                <w:rFonts w:ascii="Arial" w:hAnsi="Arial" w:cs="Arial"/>
              </w:rPr>
            </w:pPr>
            <w:r>
              <w:rPr>
                <w:rFonts w:ascii="Arial" w:hAnsi="Arial" w:cs="Arial"/>
              </w:rPr>
              <w:t>95.00%</w:t>
            </w:r>
          </w:p>
        </w:tc>
      </w:tr>
      <w:tr w:rsidR="00816D92" w14:paraId="3E4350A8"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1431223D" w14:textId="77777777" w:rsidR="00816D92" w:rsidRDefault="00816D92">
            <w:pPr>
              <w:rPr>
                <w:rFonts w:ascii="Arial" w:hAnsi="Arial" w:cs="Arial"/>
              </w:rPr>
            </w:pPr>
            <w:r>
              <w:rPr>
                <w:rFonts w:ascii="Arial" w:hAnsi="Arial" w:cs="Arial"/>
              </w:rPr>
              <w:t>Transfers In</w:t>
            </w:r>
          </w:p>
        </w:tc>
        <w:tc>
          <w:tcPr>
            <w:tcW w:w="764" w:type="dxa"/>
            <w:tcBorders>
              <w:top w:val="nil"/>
              <w:left w:val="nil"/>
              <w:bottom w:val="single" w:sz="4" w:space="0" w:color="auto"/>
              <w:right w:val="single" w:sz="4" w:space="0" w:color="auto"/>
            </w:tcBorders>
            <w:shd w:val="clear" w:color="auto" w:fill="auto"/>
            <w:noWrap/>
            <w:vAlign w:val="bottom"/>
            <w:hideMark/>
          </w:tcPr>
          <w:p w14:paraId="3BFB3F59" w14:textId="77777777" w:rsidR="00816D92" w:rsidRDefault="00816D92">
            <w:pPr>
              <w:jc w:val="right"/>
              <w:rPr>
                <w:rFonts w:ascii="Arial" w:hAnsi="Arial" w:cs="Arial"/>
              </w:rPr>
            </w:pPr>
            <w:r>
              <w:rPr>
                <w:rFonts w:ascii="Arial" w:hAnsi="Arial" w:cs="Arial"/>
              </w:rPr>
              <w:t>10</w:t>
            </w:r>
          </w:p>
        </w:tc>
        <w:tc>
          <w:tcPr>
            <w:tcW w:w="1116" w:type="dxa"/>
            <w:tcBorders>
              <w:top w:val="nil"/>
              <w:left w:val="nil"/>
              <w:bottom w:val="single" w:sz="4" w:space="0" w:color="auto"/>
              <w:right w:val="single" w:sz="4" w:space="0" w:color="auto"/>
            </w:tcBorders>
            <w:shd w:val="clear" w:color="auto" w:fill="auto"/>
            <w:noWrap/>
            <w:vAlign w:val="bottom"/>
            <w:hideMark/>
          </w:tcPr>
          <w:p w14:paraId="30BA1439" w14:textId="77777777" w:rsidR="00816D92" w:rsidRDefault="00816D92">
            <w:pPr>
              <w:jc w:val="right"/>
              <w:rPr>
                <w:rFonts w:ascii="Arial" w:hAnsi="Arial" w:cs="Arial"/>
              </w:rPr>
            </w:pPr>
            <w:r>
              <w:rPr>
                <w:rFonts w:ascii="Arial" w:hAnsi="Arial" w:cs="Arial"/>
              </w:rPr>
              <w:t>238</w:t>
            </w:r>
          </w:p>
        </w:tc>
        <w:tc>
          <w:tcPr>
            <w:tcW w:w="940" w:type="dxa"/>
            <w:tcBorders>
              <w:top w:val="nil"/>
              <w:left w:val="nil"/>
              <w:bottom w:val="single" w:sz="4" w:space="0" w:color="auto"/>
              <w:right w:val="single" w:sz="4" w:space="0" w:color="auto"/>
            </w:tcBorders>
            <w:shd w:val="clear" w:color="auto" w:fill="auto"/>
            <w:noWrap/>
            <w:vAlign w:val="bottom"/>
            <w:hideMark/>
          </w:tcPr>
          <w:p w14:paraId="6DA68ED8" w14:textId="77777777" w:rsidR="00816D92" w:rsidRDefault="00816D92">
            <w:pPr>
              <w:jc w:val="right"/>
              <w:rPr>
                <w:rFonts w:ascii="Arial" w:hAnsi="Arial" w:cs="Arial"/>
              </w:rPr>
            </w:pPr>
            <w:r>
              <w:rPr>
                <w:rFonts w:ascii="Arial" w:hAnsi="Arial" w:cs="Arial"/>
              </w:rPr>
              <w:t>248</w:t>
            </w:r>
          </w:p>
        </w:tc>
        <w:tc>
          <w:tcPr>
            <w:tcW w:w="1180" w:type="dxa"/>
            <w:tcBorders>
              <w:top w:val="nil"/>
              <w:left w:val="nil"/>
              <w:bottom w:val="single" w:sz="4" w:space="0" w:color="auto"/>
              <w:right w:val="single" w:sz="4" w:space="0" w:color="auto"/>
            </w:tcBorders>
            <w:shd w:val="clear" w:color="auto" w:fill="auto"/>
            <w:noWrap/>
            <w:vAlign w:val="bottom"/>
            <w:hideMark/>
          </w:tcPr>
          <w:p w14:paraId="29C2E0E4" w14:textId="77777777" w:rsidR="00816D92" w:rsidRPr="00816D92" w:rsidRDefault="00816D92">
            <w:pPr>
              <w:jc w:val="right"/>
              <w:rPr>
                <w:rFonts w:ascii="Arial" w:hAnsi="Arial" w:cs="Arial"/>
              </w:rPr>
            </w:pPr>
            <w:r w:rsidRPr="00816D92">
              <w:rPr>
                <w:rFonts w:ascii="Arial" w:hAnsi="Arial" w:cs="Arial"/>
              </w:rPr>
              <w:t>95.97%</w:t>
            </w:r>
          </w:p>
        </w:tc>
        <w:tc>
          <w:tcPr>
            <w:tcW w:w="980" w:type="dxa"/>
            <w:tcBorders>
              <w:top w:val="nil"/>
              <w:left w:val="nil"/>
              <w:bottom w:val="single" w:sz="4" w:space="0" w:color="auto"/>
              <w:right w:val="single" w:sz="8" w:space="0" w:color="auto"/>
            </w:tcBorders>
            <w:shd w:val="clear" w:color="auto" w:fill="auto"/>
            <w:noWrap/>
            <w:vAlign w:val="bottom"/>
            <w:hideMark/>
          </w:tcPr>
          <w:p w14:paraId="343A5E60" w14:textId="77777777" w:rsidR="00816D92" w:rsidRDefault="00816D92">
            <w:pPr>
              <w:jc w:val="right"/>
              <w:rPr>
                <w:rFonts w:ascii="Arial" w:hAnsi="Arial" w:cs="Arial"/>
              </w:rPr>
            </w:pPr>
            <w:r>
              <w:rPr>
                <w:rFonts w:ascii="Arial" w:hAnsi="Arial" w:cs="Arial"/>
              </w:rPr>
              <w:t>95.00%</w:t>
            </w:r>
          </w:p>
        </w:tc>
      </w:tr>
      <w:tr w:rsidR="00816D92" w14:paraId="41ABF4F3"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377A1752" w14:textId="77777777" w:rsidR="00816D92" w:rsidRDefault="00816D92">
            <w:pPr>
              <w:rPr>
                <w:rFonts w:ascii="Arial" w:hAnsi="Arial" w:cs="Arial"/>
              </w:rPr>
            </w:pPr>
            <w:r>
              <w:rPr>
                <w:rFonts w:ascii="Arial" w:hAnsi="Arial" w:cs="Arial"/>
              </w:rPr>
              <w:t>Early Leavers</w:t>
            </w:r>
          </w:p>
        </w:tc>
        <w:tc>
          <w:tcPr>
            <w:tcW w:w="764" w:type="dxa"/>
            <w:tcBorders>
              <w:top w:val="nil"/>
              <w:left w:val="nil"/>
              <w:bottom w:val="single" w:sz="4" w:space="0" w:color="auto"/>
              <w:right w:val="single" w:sz="4" w:space="0" w:color="auto"/>
            </w:tcBorders>
            <w:shd w:val="clear" w:color="auto" w:fill="auto"/>
            <w:noWrap/>
            <w:vAlign w:val="bottom"/>
            <w:hideMark/>
          </w:tcPr>
          <w:p w14:paraId="61DD79E8" w14:textId="77777777" w:rsidR="00816D92" w:rsidRDefault="00816D92">
            <w:pPr>
              <w:jc w:val="right"/>
              <w:rPr>
                <w:rFonts w:ascii="Arial" w:hAnsi="Arial" w:cs="Arial"/>
              </w:rPr>
            </w:pPr>
            <w:r>
              <w:rPr>
                <w:rFonts w:ascii="Arial" w:hAnsi="Arial" w:cs="Arial"/>
              </w:rPr>
              <w:t>1</w:t>
            </w:r>
          </w:p>
        </w:tc>
        <w:tc>
          <w:tcPr>
            <w:tcW w:w="1116" w:type="dxa"/>
            <w:tcBorders>
              <w:top w:val="nil"/>
              <w:left w:val="nil"/>
              <w:bottom w:val="single" w:sz="4" w:space="0" w:color="auto"/>
              <w:right w:val="single" w:sz="4" w:space="0" w:color="auto"/>
            </w:tcBorders>
            <w:shd w:val="clear" w:color="auto" w:fill="auto"/>
            <w:noWrap/>
            <w:vAlign w:val="bottom"/>
            <w:hideMark/>
          </w:tcPr>
          <w:p w14:paraId="089AA050" w14:textId="77777777" w:rsidR="00816D92" w:rsidRDefault="00816D92">
            <w:pPr>
              <w:jc w:val="right"/>
              <w:rPr>
                <w:rFonts w:ascii="Arial" w:hAnsi="Arial" w:cs="Arial"/>
              </w:rPr>
            </w:pPr>
            <w:r>
              <w:rPr>
                <w:rFonts w:ascii="Arial" w:hAnsi="Arial" w:cs="Arial"/>
              </w:rPr>
              <w:t>1,326</w:t>
            </w:r>
          </w:p>
        </w:tc>
        <w:tc>
          <w:tcPr>
            <w:tcW w:w="940" w:type="dxa"/>
            <w:tcBorders>
              <w:top w:val="nil"/>
              <w:left w:val="nil"/>
              <w:bottom w:val="single" w:sz="4" w:space="0" w:color="auto"/>
              <w:right w:val="single" w:sz="4" w:space="0" w:color="auto"/>
            </w:tcBorders>
            <w:shd w:val="clear" w:color="auto" w:fill="auto"/>
            <w:noWrap/>
            <w:vAlign w:val="bottom"/>
            <w:hideMark/>
          </w:tcPr>
          <w:p w14:paraId="2F04C72C" w14:textId="77777777" w:rsidR="00816D92" w:rsidRDefault="00816D92">
            <w:pPr>
              <w:jc w:val="right"/>
              <w:rPr>
                <w:rFonts w:ascii="Arial" w:hAnsi="Arial" w:cs="Arial"/>
              </w:rPr>
            </w:pPr>
            <w:r>
              <w:rPr>
                <w:rFonts w:ascii="Arial" w:hAnsi="Arial" w:cs="Arial"/>
              </w:rPr>
              <w:t>1,327</w:t>
            </w:r>
          </w:p>
        </w:tc>
        <w:tc>
          <w:tcPr>
            <w:tcW w:w="1180" w:type="dxa"/>
            <w:tcBorders>
              <w:top w:val="nil"/>
              <w:left w:val="nil"/>
              <w:bottom w:val="single" w:sz="4" w:space="0" w:color="auto"/>
              <w:right w:val="single" w:sz="4" w:space="0" w:color="auto"/>
            </w:tcBorders>
            <w:shd w:val="clear" w:color="auto" w:fill="auto"/>
            <w:noWrap/>
            <w:vAlign w:val="bottom"/>
            <w:hideMark/>
          </w:tcPr>
          <w:p w14:paraId="6559BFF8" w14:textId="77777777" w:rsidR="00816D92" w:rsidRPr="00816D92" w:rsidRDefault="00816D92">
            <w:pPr>
              <w:jc w:val="right"/>
              <w:rPr>
                <w:rFonts w:ascii="Arial" w:hAnsi="Arial" w:cs="Arial"/>
              </w:rPr>
            </w:pPr>
            <w:r w:rsidRPr="00816D92">
              <w:rPr>
                <w:rFonts w:ascii="Arial" w:hAnsi="Arial" w:cs="Arial"/>
              </w:rPr>
              <w:t>99.92%</w:t>
            </w:r>
          </w:p>
        </w:tc>
        <w:tc>
          <w:tcPr>
            <w:tcW w:w="980" w:type="dxa"/>
            <w:tcBorders>
              <w:top w:val="nil"/>
              <w:left w:val="nil"/>
              <w:bottom w:val="single" w:sz="4" w:space="0" w:color="auto"/>
              <w:right w:val="single" w:sz="8" w:space="0" w:color="auto"/>
            </w:tcBorders>
            <w:shd w:val="clear" w:color="auto" w:fill="auto"/>
            <w:noWrap/>
            <w:vAlign w:val="bottom"/>
            <w:hideMark/>
          </w:tcPr>
          <w:p w14:paraId="3F2676E5" w14:textId="77777777" w:rsidR="00816D92" w:rsidRDefault="00816D92">
            <w:pPr>
              <w:jc w:val="right"/>
              <w:rPr>
                <w:rFonts w:ascii="Arial" w:hAnsi="Arial" w:cs="Arial"/>
              </w:rPr>
            </w:pPr>
            <w:r>
              <w:rPr>
                <w:rFonts w:ascii="Arial" w:hAnsi="Arial" w:cs="Arial"/>
              </w:rPr>
              <w:t>95.00%</w:t>
            </w:r>
          </w:p>
        </w:tc>
      </w:tr>
      <w:tr w:rsidR="00816D92" w14:paraId="120E330B"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7CE0EC3C" w14:textId="77777777" w:rsidR="00816D92" w:rsidRDefault="00816D92">
            <w:pPr>
              <w:rPr>
                <w:rFonts w:ascii="Arial" w:hAnsi="Arial" w:cs="Arial"/>
              </w:rPr>
            </w:pPr>
            <w:r>
              <w:rPr>
                <w:rFonts w:ascii="Arial" w:hAnsi="Arial" w:cs="Arial"/>
              </w:rPr>
              <w:t>Redundancy</w:t>
            </w:r>
          </w:p>
        </w:tc>
        <w:tc>
          <w:tcPr>
            <w:tcW w:w="764" w:type="dxa"/>
            <w:tcBorders>
              <w:top w:val="nil"/>
              <w:left w:val="nil"/>
              <w:bottom w:val="single" w:sz="4" w:space="0" w:color="auto"/>
              <w:right w:val="single" w:sz="4" w:space="0" w:color="auto"/>
            </w:tcBorders>
            <w:shd w:val="clear" w:color="auto" w:fill="auto"/>
            <w:noWrap/>
            <w:vAlign w:val="bottom"/>
            <w:hideMark/>
          </w:tcPr>
          <w:p w14:paraId="5BD3B175" w14:textId="77777777" w:rsidR="00816D92" w:rsidRDefault="00816D92">
            <w:pPr>
              <w:jc w:val="right"/>
              <w:rPr>
                <w:rFonts w:ascii="Arial" w:hAnsi="Arial" w:cs="Arial"/>
              </w:rPr>
            </w:pPr>
            <w:r>
              <w:rPr>
                <w:rFonts w:ascii="Arial" w:hAnsi="Arial" w:cs="Arial"/>
              </w:rPr>
              <w:t>0</w:t>
            </w:r>
          </w:p>
        </w:tc>
        <w:tc>
          <w:tcPr>
            <w:tcW w:w="1116" w:type="dxa"/>
            <w:tcBorders>
              <w:top w:val="nil"/>
              <w:left w:val="nil"/>
              <w:bottom w:val="single" w:sz="4" w:space="0" w:color="auto"/>
              <w:right w:val="single" w:sz="4" w:space="0" w:color="auto"/>
            </w:tcBorders>
            <w:shd w:val="clear" w:color="auto" w:fill="auto"/>
            <w:noWrap/>
            <w:vAlign w:val="bottom"/>
            <w:hideMark/>
          </w:tcPr>
          <w:p w14:paraId="634BB27D" w14:textId="77777777" w:rsidR="00816D92" w:rsidRDefault="00816D92">
            <w:pPr>
              <w:jc w:val="right"/>
              <w:rPr>
                <w:rFonts w:ascii="Arial" w:hAnsi="Arial" w:cs="Arial"/>
              </w:rPr>
            </w:pPr>
            <w:r>
              <w:rPr>
                <w:rFonts w:ascii="Arial" w:hAnsi="Arial" w:cs="Arial"/>
              </w:rPr>
              <w:t>45</w:t>
            </w:r>
          </w:p>
        </w:tc>
        <w:tc>
          <w:tcPr>
            <w:tcW w:w="940" w:type="dxa"/>
            <w:tcBorders>
              <w:top w:val="nil"/>
              <w:left w:val="nil"/>
              <w:bottom w:val="single" w:sz="4" w:space="0" w:color="auto"/>
              <w:right w:val="single" w:sz="4" w:space="0" w:color="auto"/>
            </w:tcBorders>
            <w:shd w:val="clear" w:color="auto" w:fill="auto"/>
            <w:noWrap/>
            <w:vAlign w:val="bottom"/>
            <w:hideMark/>
          </w:tcPr>
          <w:p w14:paraId="6A0B4F35" w14:textId="77777777" w:rsidR="00816D92" w:rsidRDefault="00816D92">
            <w:pPr>
              <w:jc w:val="right"/>
              <w:rPr>
                <w:rFonts w:ascii="Arial" w:hAnsi="Arial" w:cs="Arial"/>
              </w:rPr>
            </w:pPr>
            <w:r>
              <w:rPr>
                <w:rFonts w:ascii="Arial" w:hAnsi="Arial" w:cs="Aria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4EEA9060" w14:textId="77777777" w:rsidR="00816D92" w:rsidRPr="00816D92" w:rsidRDefault="00816D92">
            <w:pPr>
              <w:jc w:val="right"/>
              <w:rPr>
                <w:rFonts w:ascii="Arial" w:hAnsi="Arial" w:cs="Arial"/>
              </w:rPr>
            </w:pPr>
            <w:r w:rsidRPr="00816D92">
              <w:rPr>
                <w:rFonts w:ascii="Arial" w:hAnsi="Arial" w:cs="Arial"/>
              </w:rPr>
              <w:t>100.00%</w:t>
            </w:r>
          </w:p>
        </w:tc>
        <w:tc>
          <w:tcPr>
            <w:tcW w:w="980" w:type="dxa"/>
            <w:tcBorders>
              <w:top w:val="nil"/>
              <w:left w:val="nil"/>
              <w:bottom w:val="single" w:sz="4" w:space="0" w:color="auto"/>
              <w:right w:val="single" w:sz="8" w:space="0" w:color="auto"/>
            </w:tcBorders>
            <w:shd w:val="clear" w:color="auto" w:fill="auto"/>
            <w:noWrap/>
            <w:vAlign w:val="bottom"/>
            <w:hideMark/>
          </w:tcPr>
          <w:p w14:paraId="17B190D6" w14:textId="77777777" w:rsidR="00816D92" w:rsidRDefault="00816D92">
            <w:pPr>
              <w:jc w:val="right"/>
              <w:rPr>
                <w:rFonts w:ascii="Arial" w:hAnsi="Arial" w:cs="Arial"/>
              </w:rPr>
            </w:pPr>
            <w:r>
              <w:rPr>
                <w:rFonts w:ascii="Arial" w:hAnsi="Arial" w:cs="Arial"/>
              </w:rPr>
              <w:t>95.00%</w:t>
            </w:r>
          </w:p>
        </w:tc>
      </w:tr>
      <w:tr w:rsidR="00816D92" w14:paraId="62497449"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45C8E38B" w14:textId="77777777" w:rsidR="00816D92" w:rsidRDefault="00816D92">
            <w:pPr>
              <w:rPr>
                <w:rFonts w:ascii="Arial" w:hAnsi="Arial" w:cs="Arial"/>
              </w:rPr>
            </w:pPr>
            <w:r>
              <w:rPr>
                <w:rFonts w:ascii="Arial" w:hAnsi="Arial" w:cs="Arial"/>
              </w:rPr>
              <w:t>Transfers Out</w:t>
            </w:r>
          </w:p>
        </w:tc>
        <w:tc>
          <w:tcPr>
            <w:tcW w:w="764" w:type="dxa"/>
            <w:tcBorders>
              <w:top w:val="nil"/>
              <w:left w:val="nil"/>
              <w:bottom w:val="single" w:sz="4" w:space="0" w:color="auto"/>
              <w:right w:val="single" w:sz="4" w:space="0" w:color="auto"/>
            </w:tcBorders>
            <w:shd w:val="clear" w:color="auto" w:fill="auto"/>
            <w:noWrap/>
            <w:vAlign w:val="bottom"/>
            <w:hideMark/>
          </w:tcPr>
          <w:p w14:paraId="46CE2E54" w14:textId="77777777" w:rsidR="00816D92" w:rsidRDefault="00816D92">
            <w:pPr>
              <w:jc w:val="right"/>
              <w:rPr>
                <w:rFonts w:ascii="Arial" w:hAnsi="Arial" w:cs="Arial"/>
              </w:rPr>
            </w:pPr>
            <w:r>
              <w:rPr>
                <w:rFonts w:ascii="Arial" w:hAnsi="Arial" w:cs="Arial"/>
              </w:rPr>
              <w:t>36</w:t>
            </w:r>
          </w:p>
        </w:tc>
        <w:tc>
          <w:tcPr>
            <w:tcW w:w="1116" w:type="dxa"/>
            <w:tcBorders>
              <w:top w:val="nil"/>
              <w:left w:val="nil"/>
              <w:bottom w:val="single" w:sz="4" w:space="0" w:color="auto"/>
              <w:right w:val="single" w:sz="4" w:space="0" w:color="auto"/>
            </w:tcBorders>
            <w:shd w:val="clear" w:color="auto" w:fill="auto"/>
            <w:noWrap/>
            <w:vAlign w:val="bottom"/>
            <w:hideMark/>
          </w:tcPr>
          <w:p w14:paraId="6ED41664" w14:textId="77777777" w:rsidR="00816D92" w:rsidRDefault="00816D92">
            <w:pPr>
              <w:jc w:val="right"/>
              <w:rPr>
                <w:rFonts w:ascii="Arial" w:hAnsi="Arial" w:cs="Arial"/>
              </w:rPr>
            </w:pPr>
            <w:r>
              <w:rPr>
                <w:rFonts w:ascii="Arial" w:hAnsi="Arial" w:cs="Arial"/>
              </w:rPr>
              <w:t>329</w:t>
            </w:r>
          </w:p>
        </w:tc>
        <w:tc>
          <w:tcPr>
            <w:tcW w:w="940" w:type="dxa"/>
            <w:tcBorders>
              <w:top w:val="nil"/>
              <w:left w:val="nil"/>
              <w:bottom w:val="single" w:sz="4" w:space="0" w:color="auto"/>
              <w:right w:val="single" w:sz="4" w:space="0" w:color="auto"/>
            </w:tcBorders>
            <w:shd w:val="clear" w:color="auto" w:fill="auto"/>
            <w:noWrap/>
            <w:vAlign w:val="bottom"/>
            <w:hideMark/>
          </w:tcPr>
          <w:p w14:paraId="596BFE47" w14:textId="77777777" w:rsidR="00816D92" w:rsidRDefault="00816D92">
            <w:pPr>
              <w:jc w:val="right"/>
              <w:rPr>
                <w:rFonts w:ascii="Arial" w:hAnsi="Arial" w:cs="Arial"/>
              </w:rPr>
            </w:pPr>
            <w:r>
              <w:rPr>
                <w:rFonts w:ascii="Arial" w:hAnsi="Arial" w:cs="Arial"/>
              </w:rPr>
              <w:t>365</w:t>
            </w:r>
          </w:p>
        </w:tc>
        <w:tc>
          <w:tcPr>
            <w:tcW w:w="1180" w:type="dxa"/>
            <w:tcBorders>
              <w:top w:val="nil"/>
              <w:left w:val="nil"/>
              <w:bottom w:val="single" w:sz="4" w:space="0" w:color="auto"/>
              <w:right w:val="single" w:sz="4" w:space="0" w:color="auto"/>
            </w:tcBorders>
            <w:shd w:val="clear" w:color="auto" w:fill="auto"/>
            <w:noWrap/>
            <w:vAlign w:val="bottom"/>
            <w:hideMark/>
          </w:tcPr>
          <w:p w14:paraId="1F06BEB0" w14:textId="77777777" w:rsidR="00816D92" w:rsidRPr="00816D92" w:rsidRDefault="00816D92">
            <w:pPr>
              <w:jc w:val="right"/>
              <w:rPr>
                <w:rFonts w:ascii="Arial" w:hAnsi="Arial" w:cs="Arial"/>
              </w:rPr>
            </w:pPr>
            <w:r w:rsidRPr="00816D92">
              <w:rPr>
                <w:rFonts w:ascii="Arial" w:hAnsi="Arial" w:cs="Arial"/>
              </w:rPr>
              <w:t>90.14%</w:t>
            </w:r>
          </w:p>
        </w:tc>
        <w:tc>
          <w:tcPr>
            <w:tcW w:w="980" w:type="dxa"/>
            <w:tcBorders>
              <w:top w:val="nil"/>
              <w:left w:val="nil"/>
              <w:bottom w:val="single" w:sz="4" w:space="0" w:color="auto"/>
              <w:right w:val="single" w:sz="8" w:space="0" w:color="auto"/>
            </w:tcBorders>
            <w:shd w:val="clear" w:color="auto" w:fill="auto"/>
            <w:noWrap/>
            <w:vAlign w:val="bottom"/>
            <w:hideMark/>
          </w:tcPr>
          <w:p w14:paraId="60CE380F" w14:textId="77777777" w:rsidR="00816D92" w:rsidRDefault="00816D92">
            <w:pPr>
              <w:jc w:val="right"/>
              <w:rPr>
                <w:rFonts w:ascii="Arial" w:hAnsi="Arial" w:cs="Arial"/>
              </w:rPr>
            </w:pPr>
            <w:r>
              <w:rPr>
                <w:rFonts w:ascii="Arial" w:hAnsi="Arial" w:cs="Arial"/>
              </w:rPr>
              <w:t>95.00%</w:t>
            </w:r>
          </w:p>
        </w:tc>
      </w:tr>
      <w:tr w:rsidR="00816D92" w14:paraId="3BA5BD4B"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36FEF062" w14:textId="77777777" w:rsidR="00816D92" w:rsidRDefault="00816D92">
            <w:pPr>
              <w:rPr>
                <w:rFonts w:ascii="Arial" w:hAnsi="Arial" w:cs="Arial"/>
              </w:rPr>
            </w:pPr>
            <w:r>
              <w:rPr>
                <w:rFonts w:ascii="Arial" w:hAnsi="Arial" w:cs="Arial"/>
              </w:rPr>
              <w:t>Refunds</w:t>
            </w:r>
          </w:p>
        </w:tc>
        <w:tc>
          <w:tcPr>
            <w:tcW w:w="764" w:type="dxa"/>
            <w:tcBorders>
              <w:top w:val="nil"/>
              <w:left w:val="nil"/>
              <w:bottom w:val="single" w:sz="4" w:space="0" w:color="auto"/>
              <w:right w:val="single" w:sz="4" w:space="0" w:color="auto"/>
            </w:tcBorders>
            <w:shd w:val="clear" w:color="auto" w:fill="auto"/>
            <w:noWrap/>
            <w:vAlign w:val="bottom"/>
            <w:hideMark/>
          </w:tcPr>
          <w:p w14:paraId="6D58AD99" w14:textId="77777777" w:rsidR="00816D92" w:rsidRDefault="00816D92">
            <w:pPr>
              <w:jc w:val="right"/>
              <w:rPr>
                <w:rFonts w:ascii="Arial" w:hAnsi="Arial" w:cs="Arial"/>
              </w:rPr>
            </w:pPr>
            <w:r>
              <w:rPr>
                <w:rFonts w:ascii="Arial" w:hAnsi="Arial" w:cs="Arial"/>
              </w:rPr>
              <w:t>0</w:t>
            </w:r>
          </w:p>
        </w:tc>
        <w:tc>
          <w:tcPr>
            <w:tcW w:w="1116" w:type="dxa"/>
            <w:tcBorders>
              <w:top w:val="nil"/>
              <w:left w:val="nil"/>
              <w:bottom w:val="single" w:sz="4" w:space="0" w:color="auto"/>
              <w:right w:val="single" w:sz="4" w:space="0" w:color="auto"/>
            </w:tcBorders>
            <w:shd w:val="clear" w:color="auto" w:fill="auto"/>
            <w:noWrap/>
            <w:vAlign w:val="bottom"/>
            <w:hideMark/>
          </w:tcPr>
          <w:p w14:paraId="7E08CA27" w14:textId="77777777" w:rsidR="00816D92" w:rsidRDefault="00816D92">
            <w:pPr>
              <w:jc w:val="right"/>
              <w:rPr>
                <w:rFonts w:ascii="Arial" w:hAnsi="Arial" w:cs="Arial"/>
              </w:rPr>
            </w:pPr>
            <w:r>
              <w:rPr>
                <w:rFonts w:ascii="Arial" w:hAnsi="Arial" w:cs="Arial"/>
              </w:rPr>
              <w:t>227</w:t>
            </w:r>
          </w:p>
        </w:tc>
        <w:tc>
          <w:tcPr>
            <w:tcW w:w="940" w:type="dxa"/>
            <w:tcBorders>
              <w:top w:val="nil"/>
              <w:left w:val="nil"/>
              <w:bottom w:val="single" w:sz="4" w:space="0" w:color="auto"/>
              <w:right w:val="single" w:sz="4" w:space="0" w:color="auto"/>
            </w:tcBorders>
            <w:shd w:val="clear" w:color="auto" w:fill="auto"/>
            <w:noWrap/>
            <w:vAlign w:val="bottom"/>
            <w:hideMark/>
          </w:tcPr>
          <w:p w14:paraId="324038DF" w14:textId="77777777" w:rsidR="00816D92" w:rsidRDefault="00816D92">
            <w:pPr>
              <w:jc w:val="right"/>
              <w:rPr>
                <w:rFonts w:ascii="Arial" w:hAnsi="Arial" w:cs="Arial"/>
              </w:rPr>
            </w:pPr>
            <w:r>
              <w:rPr>
                <w:rFonts w:ascii="Arial" w:hAnsi="Arial" w:cs="Arial"/>
              </w:rPr>
              <w:t>227</w:t>
            </w:r>
          </w:p>
        </w:tc>
        <w:tc>
          <w:tcPr>
            <w:tcW w:w="1180" w:type="dxa"/>
            <w:tcBorders>
              <w:top w:val="nil"/>
              <w:left w:val="nil"/>
              <w:bottom w:val="single" w:sz="4" w:space="0" w:color="auto"/>
              <w:right w:val="single" w:sz="4" w:space="0" w:color="auto"/>
            </w:tcBorders>
            <w:shd w:val="clear" w:color="auto" w:fill="auto"/>
            <w:noWrap/>
            <w:vAlign w:val="bottom"/>
            <w:hideMark/>
          </w:tcPr>
          <w:p w14:paraId="64D2A2D8" w14:textId="77777777" w:rsidR="00816D92" w:rsidRPr="00816D92" w:rsidRDefault="00816D92">
            <w:pPr>
              <w:jc w:val="right"/>
              <w:rPr>
                <w:rFonts w:ascii="Arial" w:hAnsi="Arial" w:cs="Arial"/>
              </w:rPr>
            </w:pPr>
            <w:r w:rsidRPr="00816D92">
              <w:rPr>
                <w:rFonts w:ascii="Arial" w:hAnsi="Arial" w:cs="Arial"/>
              </w:rPr>
              <w:t>100.00%</w:t>
            </w:r>
          </w:p>
        </w:tc>
        <w:tc>
          <w:tcPr>
            <w:tcW w:w="980" w:type="dxa"/>
            <w:tcBorders>
              <w:top w:val="nil"/>
              <w:left w:val="nil"/>
              <w:bottom w:val="single" w:sz="4" w:space="0" w:color="auto"/>
              <w:right w:val="single" w:sz="8" w:space="0" w:color="auto"/>
            </w:tcBorders>
            <w:shd w:val="clear" w:color="auto" w:fill="auto"/>
            <w:noWrap/>
            <w:vAlign w:val="bottom"/>
            <w:hideMark/>
          </w:tcPr>
          <w:p w14:paraId="7FBE1E84" w14:textId="77777777" w:rsidR="00816D92" w:rsidRDefault="00816D92">
            <w:pPr>
              <w:jc w:val="right"/>
              <w:rPr>
                <w:rFonts w:ascii="Arial" w:hAnsi="Arial" w:cs="Arial"/>
              </w:rPr>
            </w:pPr>
            <w:r>
              <w:rPr>
                <w:rFonts w:ascii="Arial" w:hAnsi="Arial" w:cs="Arial"/>
              </w:rPr>
              <w:t>98.00%</w:t>
            </w:r>
          </w:p>
        </w:tc>
      </w:tr>
      <w:tr w:rsidR="00816D92" w14:paraId="10B90150"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605BAC27" w14:textId="77777777" w:rsidR="00816D92" w:rsidRDefault="00816D92">
            <w:pPr>
              <w:rPr>
                <w:rFonts w:ascii="Arial" w:hAnsi="Arial" w:cs="Arial"/>
              </w:rPr>
            </w:pPr>
            <w:r>
              <w:rPr>
                <w:rFonts w:ascii="Arial" w:hAnsi="Arial" w:cs="Arial"/>
              </w:rPr>
              <w:t>Pension Sharing on Divorce</w:t>
            </w:r>
          </w:p>
        </w:tc>
        <w:tc>
          <w:tcPr>
            <w:tcW w:w="764" w:type="dxa"/>
            <w:tcBorders>
              <w:top w:val="nil"/>
              <w:left w:val="nil"/>
              <w:bottom w:val="single" w:sz="4" w:space="0" w:color="auto"/>
              <w:right w:val="single" w:sz="4" w:space="0" w:color="auto"/>
            </w:tcBorders>
            <w:shd w:val="clear" w:color="auto" w:fill="auto"/>
            <w:noWrap/>
            <w:vAlign w:val="bottom"/>
            <w:hideMark/>
          </w:tcPr>
          <w:p w14:paraId="37E84011" w14:textId="77777777" w:rsidR="00816D92" w:rsidRDefault="00816D92">
            <w:pPr>
              <w:jc w:val="right"/>
              <w:rPr>
                <w:rFonts w:ascii="Arial" w:hAnsi="Arial" w:cs="Arial"/>
              </w:rPr>
            </w:pPr>
            <w:r>
              <w:rPr>
                <w:rFonts w:ascii="Arial" w:hAnsi="Arial" w:cs="Arial"/>
              </w:rPr>
              <w:t>1</w:t>
            </w:r>
          </w:p>
        </w:tc>
        <w:tc>
          <w:tcPr>
            <w:tcW w:w="1116" w:type="dxa"/>
            <w:tcBorders>
              <w:top w:val="nil"/>
              <w:left w:val="nil"/>
              <w:bottom w:val="single" w:sz="4" w:space="0" w:color="auto"/>
              <w:right w:val="single" w:sz="4" w:space="0" w:color="auto"/>
            </w:tcBorders>
            <w:shd w:val="clear" w:color="auto" w:fill="auto"/>
            <w:noWrap/>
            <w:vAlign w:val="bottom"/>
            <w:hideMark/>
          </w:tcPr>
          <w:p w14:paraId="63EE953B" w14:textId="77777777" w:rsidR="00816D92" w:rsidRDefault="00816D92">
            <w:pPr>
              <w:jc w:val="right"/>
              <w:rPr>
                <w:rFonts w:ascii="Arial" w:hAnsi="Arial" w:cs="Arial"/>
              </w:rPr>
            </w:pPr>
            <w:r>
              <w:rPr>
                <w:rFonts w:ascii="Arial" w:hAnsi="Arial" w:cs="Arial"/>
              </w:rPr>
              <w:t>20</w:t>
            </w:r>
          </w:p>
        </w:tc>
        <w:tc>
          <w:tcPr>
            <w:tcW w:w="940" w:type="dxa"/>
            <w:tcBorders>
              <w:top w:val="nil"/>
              <w:left w:val="nil"/>
              <w:bottom w:val="single" w:sz="4" w:space="0" w:color="auto"/>
              <w:right w:val="single" w:sz="4" w:space="0" w:color="auto"/>
            </w:tcBorders>
            <w:shd w:val="clear" w:color="auto" w:fill="auto"/>
            <w:noWrap/>
            <w:vAlign w:val="bottom"/>
            <w:hideMark/>
          </w:tcPr>
          <w:p w14:paraId="52DFD618" w14:textId="77777777" w:rsidR="00816D92" w:rsidRDefault="00816D92">
            <w:pPr>
              <w:jc w:val="right"/>
              <w:rPr>
                <w:rFonts w:ascii="Arial" w:hAnsi="Arial" w:cs="Arial"/>
              </w:rPr>
            </w:pPr>
            <w:r>
              <w:rPr>
                <w:rFonts w:ascii="Arial" w:hAnsi="Arial" w:cs="Arial"/>
              </w:rPr>
              <w:t>21</w:t>
            </w:r>
          </w:p>
        </w:tc>
        <w:tc>
          <w:tcPr>
            <w:tcW w:w="1180" w:type="dxa"/>
            <w:tcBorders>
              <w:top w:val="nil"/>
              <w:left w:val="nil"/>
              <w:bottom w:val="single" w:sz="4" w:space="0" w:color="auto"/>
              <w:right w:val="single" w:sz="4" w:space="0" w:color="auto"/>
            </w:tcBorders>
            <w:shd w:val="clear" w:color="auto" w:fill="auto"/>
            <w:noWrap/>
            <w:vAlign w:val="bottom"/>
            <w:hideMark/>
          </w:tcPr>
          <w:p w14:paraId="70253281" w14:textId="77777777" w:rsidR="00816D92" w:rsidRPr="00816D92" w:rsidRDefault="00816D92">
            <w:pPr>
              <w:jc w:val="right"/>
              <w:rPr>
                <w:rFonts w:ascii="Arial" w:hAnsi="Arial" w:cs="Arial"/>
              </w:rPr>
            </w:pPr>
            <w:r w:rsidRPr="00816D92">
              <w:rPr>
                <w:rFonts w:ascii="Arial" w:hAnsi="Arial" w:cs="Arial"/>
              </w:rPr>
              <w:t>95.24%</w:t>
            </w:r>
          </w:p>
        </w:tc>
        <w:tc>
          <w:tcPr>
            <w:tcW w:w="980" w:type="dxa"/>
            <w:tcBorders>
              <w:top w:val="nil"/>
              <w:left w:val="nil"/>
              <w:bottom w:val="single" w:sz="4" w:space="0" w:color="auto"/>
              <w:right w:val="single" w:sz="8" w:space="0" w:color="auto"/>
            </w:tcBorders>
            <w:shd w:val="clear" w:color="auto" w:fill="auto"/>
            <w:noWrap/>
            <w:vAlign w:val="bottom"/>
            <w:hideMark/>
          </w:tcPr>
          <w:p w14:paraId="5E0F6C42" w14:textId="77777777" w:rsidR="00816D92" w:rsidRDefault="00816D92">
            <w:pPr>
              <w:jc w:val="right"/>
              <w:rPr>
                <w:rFonts w:ascii="Arial" w:hAnsi="Arial" w:cs="Arial"/>
              </w:rPr>
            </w:pPr>
            <w:r>
              <w:rPr>
                <w:rFonts w:ascii="Arial" w:hAnsi="Arial" w:cs="Arial"/>
              </w:rPr>
              <w:t>98.00%</w:t>
            </w:r>
          </w:p>
        </w:tc>
      </w:tr>
      <w:tr w:rsidR="00816D92" w14:paraId="01D3B6DD"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24740BAB" w14:textId="77777777" w:rsidR="00816D92" w:rsidRDefault="00816D92">
            <w:pPr>
              <w:rPr>
                <w:rFonts w:ascii="Arial" w:hAnsi="Arial" w:cs="Arial"/>
              </w:rPr>
            </w:pPr>
            <w:r>
              <w:rPr>
                <w:rFonts w:ascii="Arial" w:hAnsi="Arial" w:cs="Arial"/>
              </w:rPr>
              <w:t>Correspondence</w:t>
            </w:r>
          </w:p>
        </w:tc>
        <w:tc>
          <w:tcPr>
            <w:tcW w:w="764" w:type="dxa"/>
            <w:tcBorders>
              <w:top w:val="nil"/>
              <w:left w:val="nil"/>
              <w:bottom w:val="single" w:sz="4" w:space="0" w:color="auto"/>
              <w:right w:val="single" w:sz="4" w:space="0" w:color="auto"/>
            </w:tcBorders>
            <w:shd w:val="clear" w:color="auto" w:fill="auto"/>
            <w:noWrap/>
            <w:vAlign w:val="bottom"/>
            <w:hideMark/>
          </w:tcPr>
          <w:p w14:paraId="12F05C0A" w14:textId="77777777" w:rsidR="00816D92" w:rsidRDefault="00816D92">
            <w:pPr>
              <w:jc w:val="right"/>
              <w:rPr>
                <w:rFonts w:ascii="Arial" w:hAnsi="Arial" w:cs="Arial"/>
              </w:rPr>
            </w:pPr>
            <w:r>
              <w:rPr>
                <w:rFonts w:ascii="Arial" w:hAnsi="Arial" w:cs="Arial"/>
              </w:rPr>
              <w:t>1</w:t>
            </w:r>
          </w:p>
        </w:tc>
        <w:tc>
          <w:tcPr>
            <w:tcW w:w="1116" w:type="dxa"/>
            <w:tcBorders>
              <w:top w:val="nil"/>
              <w:left w:val="nil"/>
              <w:bottom w:val="single" w:sz="4" w:space="0" w:color="auto"/>
              <w:right w:val="single" w:sz="4" w:space="0" w:color="auto"/>
            </w:tcBorders>
            <w:shd w:val="clear" w:color="auto" w:fill="auto"/>
            <w:noWrap/>
            <w:vAlign w:val="bottom"/>
            <w:hideMark/>
          </w:tcPr>
          <w:p w14:paraId="2A07B8F6" w14:textId="77777777" w:rsidR="00816D92" w:rsidRDefault="00816D92">
            <w:pPr>
              <w:jc w:val="right"/>
              <w:rPr>
                <w:rFonts w:ascii="Arial" w:hAnsi="Arial" w:cs="Arial"/>
              </w:rPr>
            </w:pPr>
            <w:r>
              <w:rPr>
                <w:rFonts w:ascii="Arial" w:hAnsi="Arial" w:cs="Arial"/>
              </w:rPr>
              <w:t>98</w:t>
            </w:r>
          </w:p>
        </w:tc>
        <w:tc>
          <w:tcPr>
            <w:tcW w:w="940" w:type="dxa"/>
            <w:tcBorders>
              <w:top w:val="nil"/>
              <w:left w:val="nil"/>
              <w:bottom w:val="single" w:sz="4" w:space="0" w:color="auto"/>
              <w:right w:val="single" w:sz="4" w:space="0" w:color="auto"/>
            </w:tcBorders>
            <w:shd w:val="clear" w:color="auto" w:fill="auto"/>
            <w:noWrap/>
            <w:vAlign w:val="bottom"/>
            <w:hideMark/>
          </w:tcPr>
          <w:p w14:paraId="054F7A3B" w14:textId="77777777" w:rsidR="00816D92" w:rsidRDefault="00816D92">
            <w:pPr>
              <w:jc w:val="right"/>
              <w:rPr>
                <w:rFonts w:ascii="Arial" w:hAnsi="Arial" w:cs="Arial"/>
              </w:rPr>
            </w:pPr>
            <w:r>
              <w:rPr>
                <w:rFonts w:ascii="Arial" w:hAnsi="Arial" w:cs="Arial"/>
              </w:rPr>
              <w:t>99</w:t>
            </w:r>
          </w:p>
        </w:tc>
        <w:tc>
          <w:tcPr>
            <w:tcW w:w="1180" w:type="dxa"/>
            <w:tcBorders>
              <w:top w:val="nil"/>
              <w:left w:val="nil"/>
              <w:bottom w:val="single" w:sz="4" w:space="0" w:color="auto"/>
              <w:right w:val="single" w:sz="4" w:space="0" w:color="auto"/>
            </w:tcBorders>
            <w:shd w:val="clear" w:color="auto" w:fill="auto"/>
            <w:noWrap/>
            <w:vAlign w:val="bottom"/>
            <w:hideMark/>
          </w:tcPr>
          <w:p w14:paraId="5510DA23" w14:textId="77777777" w:rsidR="00816D92" w:rsidRPr="00816D92" w:rsidRDefault="00816D92">
            <w:pPr>
              <w:jc w:val="right"/>
              <w:rPr>
                <w:rFonts w:ascii="Arial" w:hAnsi="Arial" w:cs="Arial"/>
              </w:rPr>
            </w:pPr>
            <w:r w:rsidRPr="00816D92">
              <w:rPr>
                <w:rFonts w:ascii="Arial" w:hAnsi="Arial" w:cs="Arial"/>
              </w:rPr>
              <w:t>98.99%</w:t>
            </w:r>
          </w:p>
        </w:tc>
        <w:tc>
          <w:tcPr>
            <w:tcW w:w="980" w:type="dxa"/>
            <w:tcBorders>
              <w:top w:val="nil"/>
              <w:left w:val="nil"/>
              <w:bottom w:val="single" w:sz="4" w:space="0" w:color="auto"/>
              <w:right w:val="single" w:sz="8" w:space="0" w:color="auto"/>
            </w:tcBorders>
            <w:shd w:val="clear" w:color="auto" w:fill="auto"/>
            <w:noWrap/>
            <w:vAlign w:val="bottom"/>
            <w:hideMark/>
          </w:tcPr>
          <w:p w14:paraId="028D4D1B" w14:textId="77777777" w:rsidR="00816D92" w:rsidRDefault="00816D92">
            <w:pPr>
              <w:jc w:val="right"/>
              <w:rPr>
                <w:rFonts w:ascii="Arial" w:hAnsi="Arial" w:cs="Arial"/>
              </w:rPr>
            </w:pPr>
            <w:r>
              <w:rPr>
                <w:rFonts w:ascii="Arial" w:hAnsi="Arial" w:cs="Arial"/>
              </w:rPr>
              <w:t>98.00%</w:t>
            </w:r>
          </w:p>
        </w:tc>
      </w:tr>
      <w:tr w:rsidR="00816D92" w14:paraId="0660ACA6"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321AFCA7" w14:textId="77777777" w:rsidR="00816D92" w:rsidRDefault="00816D92">
            <w:pPr>
              <w:rPr>
                <w:rFonts w:ascii="Arial" w:hAnsi="Arial" w:cs="Arial"/>
              </w:rPr>
            </w:pPr>
            <w:r>
              <w:rPr>
                <w:rFonts w:ascii="Arial" w:hAnsi="Arial" w:cs="Arial"/>
              </w:rPr>
              <w:t>Retirements</w:t>
            </w:r>
          </w:p>
        </w:tc>
        <w:tc>
          <w:tcPr>
            <w:tcW w:w="764" w:type="dxa"/>
            <w:tcBorders>
              <w:top w:val="nil"/>
              <w:left w:val="nil"/>
              <w:bottom w:val="single" w:sz="4" w:space="0" w:color="auto"/>
              <w:right w:val="single" w:sz="4" w:space="0" w:color="auto"/>
            </w:tcBorders>
            <w:shd w:val="clear" w:color="auto" w:fill="auto"/>
            <w:noWrap/>
            <w:vAlign w:val="bottom"/>
            <w:hideMark/>
          </w:tcPr>
          <w:p w14:paraId="505B5E44" w14:textId="77777777" w:rsidR="00816D92" w:rsidRDefault="00816D92">
            <w:pPr>
              <w:jc w:val="right"/>
              <w:rPr>
                <w:rFonts w:ascii="Arial" w:hAnsi="Arial" w:cs="Arial"/>
              </w:rPr>
            </w:pPr>
            <w:r>
              <w:rPr>
                <w:rFonts w:ascii="Arial" w:hAnsi="Arial" w:cs="Arial"/>
              </w:rPr>
              <w:t>49</w:t>
            </w:r>
          </w:p>
        </w:tc>
        <w:tc>
          <w:tcPr>
            <w:tcW w:w="1116" w:type="dxa"/>
            <w:tcBorders>
              <w:top w:val="nil"/>
              <w:left w:val="nil"/>
              <w:bottom w:val="single" w:sz="4" w:space="0" w:color="auto"/>
              <w:right w:val="single" w:sz="4" w:space="0" w:color="auto"/>
            </w:tcBorders>
            <w:shd w:val="clear" w:color="auto" w:fill="auto"/>
            <w:noWrap/>
            <w:vAlign w:val="bottom"/>
            <w:hideMark/>
          </w:tcPr>
          <w:p w14:paraId="5C3C3377" w14:textId="77777777" w:rsidR="00816D92" w:rsidRDefault="00816D92">
            <w:pPr>
              <w:jc w:val="right"/>
              <w:rPr>
                <w:rFonts w:ascii="Arial" w:hAnsi="Arial" w:cs="Arial"/>
              </w:rPr>
            </w:pPr>
            <w:r>
              <w:rPr>
                <w:rFonts w:ascii="Arial" w:hAnsi="Arial" w:cs="Arial"/>
              </w:rPr>
              <w:t>1,968</w:t>
            </w:r>
          </w:p>
        </w:tc>
        <w:tc>
          <w:tcPr>
            <w:tcW w:w="940" w:type="dxa"/>
            <w:tcBorders>
              <w:top w:val="nil"/>
              <w:left w:val="nil"/>
              <w:bottom w:val="single" w:sz="4" w:space="0" w:color="auto"/>
              <w:right w:val="single" w:sz="4" w:space="0" w:color="auto"/>
            </w:tcBorders>
            <w:shd w:val="clear" w:color="auto" w:fill="auto"/>
            <w:noWrap/>
            <w:vAlign w:val="bottom"/>
            <w:hideMark/>
          </w:tcPr>
          <w:p w14:paraId="0C8F3121" w14:textId="77777777" w:rsidR="00816D92" w:rsidRDefault="00816D92">
            <w:pPr>
              <w:jc w:val="right"/>
              <w:rPr>
                <w:rFonts w:ascii="Arial" w:hAnsi="Arial" w:cs="Arial"/>
              </w:rPr>
            </w:pPr>
            <w:r>
              <w:rPr>
                <w:rFonts w:ascii="Arial" w:hAnsi="Arial" w:cs="Arial"/>
              </w:rPr>
              <w:t>2,017</w:t>
            </w:r>
          </w:p>
        </w:tc>
        <w:tc>
          <w:tcPr>
            <w:tcW w:w="1180" w:type="dxa"/>
            <w:tcBorders>
              <w:top w:val="nil"/>
              <w:left w:val="nil"/>
              <w:bottom w:val="single" w:sz="4" w:space="0" w:color="auto"/>
              <w:right w:val="single" w:sz="4" w:space="0" w:color="auto"/>
            </w:tcBorders>
            <w:shd w:val="clear" w:color="auto" w:fill="auto"/>
            <w:noWrap/>
            <w:vAlign w:val="bottom"/>
            <w:hideMark/>
          </w:tcPr>
          <w:p w14:paraId="6C5C6ABE" w14:textId="77777777" w:rsidR="00816D92" w:rsidRPr="00816D92" w:rsidRDefault="00816D92">
            <w:pPr>
              <w:jc w:val="right"/>
              <w:rPr>
                <w:rFonts w:ascii="Arial" w:hAnsi="Arial" w:cs="Arial"/>
              </w:rPr>
            </w:pPr>
            <w:r w:rsidRPr="00816D92">
              <w:rPr>
                <w:rFonts w:ascii="Arial" w:hAnsi="Arial" w:cs="Arial"/>
              </w:rPr>
              <w:t>97.57%</w:t>
            </w:r>
          </w:p>
        </w:tc>
        <w:tc>
          <w:tcPr>
            <w:tcW w:w="980" w:type="dxa"/>
            <w:tcBorders>
              <w:top w:val="nil"/>
              <w:left w:val="nil"/>
              <w:bottom w:val="single" w:sz="4" w:space="0" w:color="auto"/>
              <w:right w:val="single" w:sz="8" w:space="0" w:color="auto"/>
            </w:tcBorders>
            <w:shd w:val="clear" w:color="auto" w:fill="auto"/>
            <w:noWrap/>
            <w:vAlign w:val="bottom"/>
            <w:hideMark/>
          </w:tcPr>
          <w:p w14:paraId="3077FE39" w14:textId="77777777" w:rsidR="00816D92" w:rsidRDefault="00816D92">
            <w:pPr>
              <w:jc w:val="right"/>
              <w:rPr>
                <w:rFonts w:ascii="Arial" w:hAnsi="Arial" w:cs="Arial"/>
              </w:rPr>
            </w:pPr>
            <w:r>
              <w:rPr>
                <w:rFonts w:ascii="Arial" w:hAnsi="Arial" w:cs="Arial"/>
              </w:rPr>
              <w:t>98.00%</w:t>
            </w:r>
          </w:p>
        </w:tc>
      </w:tr>
      <w:tr w:rsidR="00816D92" w14:paraId="0A7CB2A2"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45CC0AE9" w14:textId="77777777" w:rsidR="00816D92" w:rsidRDefault="00816D92">
            <w:pPr>
              <w:rPr>
                <w:rFonts w:ascii="Arial" w:hAnsi="Arial" w:cs="Arial"/>
              </w:rPr>
            </w:pPr>
            <w:r>
              <w:rPr>
                <w:rFonts w:ascii="Arial" w:hAnsi="Arial" w:cs="Arial"/>
              </w:rPr>
              <w:t>Deaths</w:t>
            </w:r>
          </w:p>
        </w:tc>
        <w:tc>
          <w:tcPr>
            <w:tcW w:w="764" w:type="dxa"/>
            <w:tcBorders>
              <w:top w:val="nil"/>
              <w:left w:val="nil"/>
              <w:bottom w:val="single" w:sz="4" w:space="0" w:color="auto"/>
              <w:right w:val="single" w:sz="4" w:space="0" w:color="auto"/>
            </w:tcBorders>
            <w:shd w:val="clear" w:color="auto" w:fill="auto"/>
            <w:noWrap/>
            <w:vAlign w:val="bottom"/>
            <w:hideMark/>
          </w:tcPr>
          <w:p w14:paraId="3FCB65BC" w14:textId="77777777" w:rsidR="00816D92" w:rsidRDefault="00816D92">
            <w:pPr>
              <w:jc w:val="right"/>
              <w:rPr>
                <w:rFonts w:ascii="Arial" w:hAnsi="Arial" w:cs="Arial"/>
              </w:rPr>
            </w:pPr>
            <w:r>
              <w:rPr>
                <w:rFonts w:ascii="Arial" w:hAnsi="Arial" w:cs="Arial"/>
              </w:rPr>
              <w:t>30</w:t>
            </w:r>
          </w:p>
        </w:tc>
        <w:tc>
          <w:tcPr>
            <w:tcW w:w="1116" w:type="dxa"/>
            <w:tcBorders>
              <w:top w:val="nil"/>
              <w:left w:val="nil"/>
              <w:bottom w:val="single" w:sz="4" w:space="0" w:color="auto"/>
              <w:right w:val="single" w:sz="4" w:space="0" w:color="auto"/>
            </w:tcBorders>
            <w:shd w:val="clear" w:color="auto" w:fill="auto"/>
            <w:noWrap/>
            <w:vAlign w:val="bottom"/>
            <w:hideMark/>
          </w:tcPr>
          <w:p w14:paraId="790AB602" w14:textId="77777777" w:rsidR="00816D92" w:rsidRDefault="00816D92">
            <w:pPr>
              <w:jc w:val="right"/>
              <w:rPr>
                <w:rFonts w:ascii="Arial" w:hAnsi="Arial" w:cs="Arial"/>
              </w:rPr>
            </w:pPr>
            <w:r>
              <w:rPr>
                <w:rFonts w:ascii="Arial" w:hAnsi="Arial" w:cs="Arial"/>
              </w:rPr>
              <w:t>317</w:t>
            </w:r>
          </w:p>
        </w:tc>
        <w:tc>
          <w:tcPr>
            <w:tcW w:w="940" w:type="dxa"/>
            <w:tcBorders>
              <w:top w:val="nil"/>
              <w:left w:val="nil"/>
              <w:bottom w:val="single" w:sz="4" w:space="0" w:color="auto"/>
              <w:right w:val="single" w:sz="4" w:space="0" w:color="auto"/>
            </w:tcBorders>
            <w:shd w:val="clear" w:color="auto" w:fill="auto"/>
            <w:noWrap/>
            <w:vAlign w:val="bottom"/>
            <w:hideMark/>
          </w:tcPr>
          <w:p w14:paraId="2AF56D54" w14:textId="77777777" w:rsidR="00816D92" w:rsidRDefault="00816D92">
            <w:pPr>
              <w:jc w:val="right"/>
              <w:rPr>
                <w:rFonts w:ascii="Arial" w:hAnsi="Arial" w:cs="Arial"/>
              </w:rPr>
            </w:pPr>
            <w:r>
              <w:rPr>
                <w:rFonts w:ascii="Arial" w:hAnsi="Arial" w:cs="Arial"/>
              </w:rPr>
              <w:t>347</w:t>
            </w:r>
          </w:p>
        </w:tc>
        <w:tc>
          <w:tcPr>
            <w:tcW w:w="1180" w:type="dxa"/>
            <w:tcBorders>
              <w:top w:val="nil"/>
              <w:left w:val="nil"/>
              <w:bottom w:val="single" w:sz="4" w:space="0" w:color="auto"/>
              <w:right w:val="single" w:sz="4" w:space="0" w:color="auto"/>
            </w:tcBorders>
            <w:shd w:val="clear" w:color="auto" w:fill="auto"/>
            <w:noWrap/>
            <w:vAlign w:val="bottom"/>
            <w:hideMark/>
          </w:tcPr>
          <w:p w14:paraId="246FFA12" w14:textId="77777777" w:rsidR="00816D92" w:rsidRPr="00816D92" w:rsidRDefault="00816D92">
            <w:pPr>
              <w:jc w:val="right"/>
              <w:rPr>
                <w:rFonts w:ascii="Arial" w:hAnsi="Arial" w:cs="Arial"/>
              </w:rPr>
            </w:pPr>
            <w:r w:rsidRPr="00816D92">
              <w:rPr>
                <w:rFonts w:ascii="Arial" w:hAnsi="Arial" w:cs="Arial"/>
              </w:rPr>
              <w:t>91.35%</w:t>
            </w:r>
          </w:p>
        </w:tc>
        <w:tc>
          <w:tcPr>
            <w:tcW w:w="980" w:type="dxa"/>
            <w:tcBorders>
              <w:top w:val="nil"/>
              <w:left w:val="nil"/>
              <w:bottom w:val="single" w:sz="4" w:space="0" w:color="auto"/>
              <w:right w:val="single" w:sz="8" w:space="0" w:color="auto"/>
            </w:tcBorders>
            <w:shd w:val="clear" w:color="auto" w:fill="auto"/>
            <w:noWrap/>
            <w:vAlign w:val="bottom"/>
            <w:hideMark/>
          </w:tcPr>
          <w:p w14:paraId="76D9541C" w14:textId="77777777" w:rsidR="00816D92" w:rsidRDefault="00816D92">
            <w:pPr>
              <w:jc w:val="right"/>
              <w:rPr>
                <w:rFonts w:ascii="Arial" w:hAnsi="Arial" w:cs="Arial"/>
              </w:rPr>
            </w:pPr>
            <w:r>
              <w:rPr>
                <w:rFonts w:ascii="Arial" w:hAnsi="Arial" w:cs="Arial"/>
              </w:rPr>
              <w:t>98.00%</w:t>
            </w:r>
          </w:p>
        </w:tc>
      </w:tr>
      <w:tr w:rsidR="00816D92" w14:paraId="1477BD48" w14:textId="77777777" w:rsidTr="00816D92">
        <w:trPr>
          <w:trHeight w:val="315"/>
        </w:trPr>
        <w:tc>
          <w:tcPr>
            <w:tcW w:w="3740" w:type="dxa"/>
            <w:tcBorders>
              <w:top w:val="nil"/>
              <w:left w:val="single" w:sz="8" w:space="0" w:color="auto"/>
              <w:bottom w:val="single" w:sz="4" w:space="0" w:color="auto"/>
              <w:right w:val="single" w:sz="4" w:space="0" w:color="auto"/>
            </w:tcBorders>
            <w:shd w:val="clear" w:color="auto" w:fill="auto"/>
            <w:noWrap/>
            <w:vAlign w:val="bottom"/>
            <w:hideMark/>
          </w:tcPr>
          <w:p w14:paraId="6CDD9916" w14:textId="77777777" w:rsidR="00816D92" w:rsidRDefault="00816D92">
            <w:pPr>
              <w:rPr>
                <w:rFonts w:ascii="Arial" w:hAnsi="Arial" w:cs="Arial"/>
              </w:rPr>
            </w:pPr>
            <w:r>
              <w:rPr>
                <w:rFonts w:ascii="Arial" w:hAnsi="Arial" w:cs="Arial"/>
              </w:rPr>
              <w:t> </w:t>
            </w:r>
          </w:p>
        </w:tc>
        <w:tc>
          <w:tcPr>
            <w:tcW w:w="764" w:type="dxa"/>
            <w:tcBorders>
              <w:top w:val="nil"/>
              <w:left w:val="nil"/>
              <w:bottom w:val="single" w:sz="4" w:space="0" w:color="auto"/>
              <w:right w:val="single" w:sz="4" w:space="0" w:color="auto"/>
            </w:tcBorders>
            <w:shd w:val="clear" w:color="auto" w:fill="auto"/>
            <w:noWrap/>
            <w:vAlign w:val="bottom"/>
            <w:hideMark/>
          </w:tcPr>
          <w:p w14:paraId="0C46CF97" w14:textId="77777777" w:rsidR="00816D92" w:rsidRDefault="00816D92">
            <w:pPr>
              <w:rPr>
                <w:rFonts w:ascii="Arial" w:hAnsi="Arial" w:cs="Arial"/>
              </w:rPr>
            </w:pPr>
            <w:r>
              <w:rPr>
                <w:rFonts w:ascii="Arial" w:hAnsi="Arial" w:cs="Arial"/>
              </w:rPr>
              <w:t> </w:t>
            </w:r>
          </w:p>
        </w:tc>
        <w:tc>
          <w:tcPr>
            <w:tcW w:w="1116" w:type="dxa"/>
            <w:tcBorders>
              <w:top w:val="nil"/>
              <w:left w:val="nil"/>
              <w:bottom w:val="single" w:sz="4" w:space="0" w:color="auto"/>
              <w:right w:val="single" w:sz="4" w:space="0" w:color="auto"/>
            </w:tcBorders>
            <w:shd w:val="clear" w:color="auto" w:fill="auto"/>
            <w:noWrap/>
            <w:vAlign w:val="bottom"/>
            <w:hideMark/>
          </w:tcPr>
          <w:p w14:paraId="13968B3B" w14:textId="77777777" w:rsidR="00816D92" w:rsidRDefault="00816D92">
            <w:pPr>
              <w:rPr>
                <w:rFonts w:ascii="Arial" w:hAnsi="Arial" w:cs="Arial"/>
              </w:rPr>
            </w:pPr>
            <w:r>
              <w:rPr>
                <w:rFonts w:ascii="Arial" w:hAnsi="Arial" w:cs="Arial"/>
              </w:rPr>
              <w:t> </w:t>
            </w:r>
          </w:p>
        </w:tc>
        <w:tc>
          <w:tcPr>
            <w:tcW w:w="940" w:type="dxa"/>
            <w:tcBorders>
              <w:top w:val="nil"/>
              <w:left w:val="nil"/>
              <w:bottom w:val="single" w:sz="4" w:space="0" w:color="auto"/>
              <w:right w:val="single" w:sz="4" w:space="0" w:color="auto"/>
            </w:tcBorders>
            <w:shd w:val="clear" w:color="auto" w:fill="auto"/>
            <w:noWrap/>
            <w:vAlign w:val="bottom"/>
            <w:hideMark/>
          </w:tcPr>
          <w:p w14:paraId="116812D4" w14:textId="77777777" w:rsidR="00816D92" w:rsidRDefault="00816D92">
            <w:pPr>
              <w:rPr>
                <w:rFonts w:ascii="Arial" w:hAnsi="Arial" w:cs="Arial"/>
              </w:rPr>
            </w:pPr>
            <w:r>
              <w:rPr>
                <w:rFonts w:ascii="Arial" w:hAnsi="Arial" w:cs="Arial"/>
              </w:rPr>
              <w:t> </w:t>
            </w:r>
          </w:p>
        </w:tc>
        <w:tc>
          <w:tcPr>
            <w:tcW w:w="1180" w:type="dxa"/>
            <w:tcBorders>
              <w:top w:val="nil"/>
              <w:left w:val="nil"/>
              <w:bottom w:val="single" w:sz="4" w:space="0" w:color="auto"/>
              <w:right w:val="single" w:sz="4" w:space="0" w:color="auto"/>
            </w:tcBorders>
            <w:shd w:val="clear" w:color="auto" w:fill="auto"/>
            <w:noWrap/>
            <w:vAlign w:val="bottom"/>
            <w:hideMark/>
          </w:tcPr>
          <w:p w14:paraId="60A711ED" w14:textId="77777777" w:rsidR="00816D92" w:rsidRPr="00816D92" w:rsidRDefault="00816D92">
            <w:pPr>
              <w:rPr>
                <w:rFonts w:ascii="Arial" w:hAnsi="Arial" w:cs="Arial"/>
              </w:rPr>
            </w:pPr>
            <w:r w:rsidRPr="00816D92">
              <w:rPr>
                <w:rFonts w:ascii="Arial" w:hAnsi="Arial" w:cs="Arial"/>
              </w:rPr>
              <w:t> </w:t>
            </w:r>
          </w:p>
        </w:tc>
        <w:tc>
          <w:tcPr>
            <w:tcW w:w="980" w:type="dxa"/>
            <w:tcBorders>
              <w:top w:val="nil"/>
              <w:left w:val="nil"/>
              <w:bottom w:val="single" w:sz="4" w:space="0" w:color="auto"/>
              <w:right w:val="single" w:sz="8" w:space="0" w:color="auto"/>
            </w:tcBorders>
            <w:shd w:val="clear" w:color="auto" w:fill="auto"/>
            <w:noWrap/>
            <w:vAlign w:val="bottom"/>
            <w:hideMark/>
          </w:tcPr>
          <w:p w14:paraId="046792CF" w14:textId="77777777" w:rsidR="00816D92" w:rsidRDefault="00816D92">
            <w:pPr>
              <w:rPr>
                <w:rFonts w:ascii="Arial" w:hAnsi="Arial" w:cs="Arial"/>
              </w:rPr>
            </w:pPr>
            <w:r>
              <w:rPr>
                <w:rFonts w:ascii="Arial" w:hAnsi="Arial" w:cs="Arial"/>
              </w:rPr>
              <w:t> </w:t>
            </w:r>
          </w:p>
        </w:tc>
      </w:tr>
      <w:tr w:rsidR="00816D92" w14:paraId="5A345006" w14:textId="77777777" w:rsidTr="00816D92">
        <w:trPr>
          <w:trHeight w:val="330"/>
        </w:trPr>
        <w:tc>
          <w:tcPr>
            <w:tcW w:w="3740" w:type="dxa"/>
            <w:tcBorders>
              <w:top w:val="nil"/>
              <w:left w:val="single" w:sz="8" w:space="0" w:color="auto"/>
              <w:bottom w:val="single" w:sz="8" w:space="0" w:color="auto"/>
              <w:right w:val="single" w:sz="4" w:space="0" w:color="auto"/>
            </w:tcBorders>
            <w:shd w:val="clear" w:color="auto" w:fill="auto"/>
            <w:noWrap/>
            <w:vAlign w:val="bottom"/>
            <w:hideMark/>
          </w:tcPr>
          <w:p w14:paraId="50A541D5" w14:textId="77777777" w:rsidR="00816D92" w:rsidRDefault="00816D92">
            <w:pPr>
              <w:rPr>
                <w:rFonts w:ascii="Arial" w:hAnsi="Arial" w:cs="Arial"/>
                <w:b/>
                <w:bCs/>
              </w:rPr>
            </w:pPr>
            <w:r>
              <w:rPr>
                <w:rFonts w:ascii="Arial" w:hAnsi="Arial" w:cs="Arial"/>
                <w:b/>
                <w:bCs/>
              </w:rPr>
              <w:t>Total</w:t>
            </w:r>
          </w:p>
        </w:tc>
        <w:tc>
          <w:tcPr>
            <w:tcW w:w="764" w:type="dxa"/>
            <w:tcBorders>
              <w:top w:val="nil"/>
              <w:left w:val="nil"/>
              <w:bottom w:val="single" w:sz="8" w:space="0" w:color="auto"/>
              <w:right w:val="single" w:sz="4" w:space="0" w:color="auto"/>
            </w:tcBorders>
            <w:shd w:val="clear" w:color="auto" w:fill="auto"/>
            <w:noWrap/>
            <w:vAlign w:val="bottom"/>
            <w:hideMark/>
          </w:tcPr>
          <w:p w14:paraId="6EDB5793" w14:textId="77777777" w:rsidR="00816D92" w:rsidRDefault="00816D92">
            <w:pPr>
              <w:jc w:val="right"/>
              <w:rPr>
                <w:rFonts w:ascii="Arial" w:hAnsi="Arial" w:cs="Arial"/>
                <w:b/>
                <w:bCs/>
              </w:rPr>
            </w:pPr>
            <w:r>
              <w:rPr>
                <w:rFonts w:ascii="Arial" w:hAnsi="Arial" w:cs="Arial"/>
                <w:b/>
                <w:bCs/>
              </w:rPr>
              <w:t>143</w:t>
            </w:r>
          </w:p>
        </w:tc>
        <w:tc>
          <w:tcPr>
            <w:tcW w:w="1116" w:type="dxa"/>
            <w:tcBorders>
              <w:top w:val="nil"/>
              <w:left w:val="nil"/>
              <w:bottom w:val="single" w:sz="8" w:space="0" w:color="auto"/>
              <w:right w:val="single" w:sz="4" w:space="0" w:color="auto"/>
            </w:tcBorders>
            <w:shd w:val="clear" w:color="auto" w:fill="auto"/>
            <w:noWrap/>
            <w:vAlign w:val="bottom"/>
            <w:hideMark/>
          </w:tcPr>
          <w:p w14:paraId="6FBBA261" w14:textId="77777777" w:rsidR="00816D92" w:rsidRDefault="00816D92">
            <w:pPr>
              <w:jc w:val="right"/>
              <w:rPr>
                <w:rFonts w:ascii="Arial" w:hAnsi="Arial" w:cs="Arial"/>
                <w:b/>
                <w:bCs/>
              </w:rPr>
            </w:pPr>
            <w:r>
              <w:rPr>
                <w:rFonts w:ascii="Arial" w:hAnsi="Arial" w:cs="Arial"/>
                <w:b/>
                <w:bCs/>
              </w:rPr>
              <w:t>6,741</w:t>
            </w:r>
          </w:p>
        </w:tc>
        <w:tc>
          <w:tcPr>
            <w:tcW w:w="940" w:type="dxa"/>
            <w:tcBorders>
              <w:top w:val="nil"/>
              <w:left w:val="nil"/>
              <w:bottom w:val="single" w:sz="8" w:space="0" w:color="auto"/>
              <w:right w:val="single" w:sz="4" w:space="0" w:color="auto"/>
            </w:tcBorders>
            <w:shd w:val="clear" w:color="auto" w:fill="auto"/>
            <w:noWrap/>
            <w:vAlign w:val="bottom"/>
            <w:hideMark/>
          </w:tcPr>
          <w:p w14:paraId="0C51465F" w14:textId="77777777" w:rsidR="00816D92" w:rsidRDefault="00816D92">
            <w:pPr>
              <w:jc w:val="right"/>
              <w:rPr>
                <w:rFonts w:ascii="Arial" w:hAnsi="Arial" w:cs="Arial"/>
                <w:b/>
                <w:bCs/>
              </w:rPr>
            </w:pPr>
            <w:r>
              <w:rPr>
                <w:rFonts w:ascii="Arial" w:hAnsi="Arial" w:cs="Arial"/>
                <w:b/>
                <w:bCs/>
              </w:rPr>
              <w:t>6,884</w:t>
            </w:r>
          </w:p>
        </w:tc>
        <w:tc>
          <w:tcPr>
            <w:tcW w:w="1180" w:type="dxa"/>
            <w:tcBorders>
              <w:top w:val="nil"/>
              <w:left w:val="nil"/>
              <w:bottom w:val="single" w:sz="8" w:space="0" w:color="auto"/>
              <w:right w:val="single" w:sz="4" w:space="0" w:color="auto"/>
            </w:tcBorders>
            <w:shd w:val="clear" w:color="auto" w:fill="auto"/>
            <w:noWrap/>
            <w:vAlign w:val="bottom"/>
            <w:hideMark/>
          </w:tcPr>
          <w:p w14:paraId="250569FA" w14:textId="77777777" w:rsidR="00816D92" w:rsidRPr="00816D92" w:rsidRDefault="00816D92">
            <w:pPr>
              <w:jc w:val="right"/>
              <w:rPr>
                <w:rFonts w:ascii="Arial" w:hAnsi="Arial" w:cs="Arial"/>
                <w:b/>
                <w:bCs/>
              </w:rPr>
            </w:pPr>
            <w:r w:rsidRPr="00816D92">
              <w:rPr>
                <w:rFonts w:ascii="Arial" w:hAnsi="Arial" w:cs="Arial"/>
                <w:b/>
                <w:bCs/>
              </w:rPr>
              <w:t>97.92%</w:t>
            </w:r>
          </w:p>
        </w:tc>
        <w:tc>
          <w:tcPr>
            <w:tcW w:w="980" w:type="dxa"/>
            <w:tcBorders>
              <w:top w:val="nil"/>
              <w:left w:val="nil"/>
              <w:bottom w:val="single" w:sz="8" w:space="0" w:color="auto"/>
              <w:right w:val="single" w:sz="8" w:space="0" w:color="auto"/>
            </w:tcBorders>
            <w:shd w:val="clear" w:color="auto" w:fill="auto"/>
            <w:noWrap/>
            <w:vAlign w:val="bottom"/>
            <w:hideMark/>
          </w:tcPr>
          <w:p w14:paraId="5BBF6FE3" w14:textId="77777777" w:rsidR="00816D92" w:rsidRDefault="00816D92">
            <w:pPr>
              <w:jc w:val="right"/>
              <w:rPr>
                <w:rFonts w:ascii="Arial" w:hAnsi="Arial" w:cs="Arial"/>
                <w:b/>
                <w:bCs/>
              </w:rPr>
            </w:pPr>
            <w:r>
              <w:rPr>
                <w:rFonts w:ascii="Arial" w:hAnsi="Arial" w:cs="Arial"/>
                <w:b/>
                <w:bCs/>
              </w:rPr>
              <w:t>96.70%</w:t>
            </w:r>
          </w:p>
        </w:tc>
      </w:tr>
    </w:tbl>
    <w:p w14:paraId="23EED9FC" w14:textId="77777777" w:rsidR="00816D92" w:rsidRPr="007E4288" w:rsidRDefault="00816D92" w:rsidP="00D263A6">
      <w:pPr>
        <w:jc w:val="both"/>
        <w:rPr>
          <w:rFonts w:ascii="Arial" w:hAnsi="Arial" w:cs="Arial"/>
          <w:b/>
        </w:rPr>
      </w:pPr>
    </w:p>
    <w:p w14:paraId="1D2D704A" w14:textId="77777777" w:rsidR="004E4996" w:rsidRDefault="004E4996" w:rsidP="00D263A6">
      <w:pPr>
        <w:jc w:val="both"/>
        <w:rPr>
          <w:rFonts w:ascii="Arial" w:hAnsi="Arial" w:cs="Arial"/>
        </w:rPr>
      </w:pPr>
      <w:r w:rsidRPr="004E4996">
        <w:rPr>
          <w:rFonts w:ascii="Arial" w:hAnsi="Arial" w:cs="Arial"/>
        </w:rPr>
        <w:t>All employees of the London Borough of Waltham Forest are eligible for membership of the LGPS. Full and part-time employees, whether permanent or temporary (Contract must be for 3 months or longer), become members automatically with the right to opt out (back-dated to the start of membership if made within two years).</w:t>
      </w:r>
    </w:p>
    <w:p w14:paraId="73399541" w14:textId="77777777" w:rsidR="0089312B" w:rsidRPr="004E4996" w:rsidRDefault="0089312B" w:rsidP="00D263A6">
      <w:pPr>
        <w:jc w:val="both"/>
        <w:rPr>
          <w:rFonts w:ascii="Arial" w:hAnsi="Arial" w:cs="Arial"/>
        </w:rPr>
      </w:pPr>
    </w:p>
    <w:p w14:paraId="031FDEAB" w14:textId="77777777" w:rsidR="00B156A7" w:rsidRPr="00366DB0" w:rsidRDefault="00B156A7" w:rsidP="00D263A6">
      <w:pPr>
        <w:jc w:val="both"/>
        <w:rPr>
          <w:rFonts w:ascii="Arial" w:hAnsi="Arial" w:cs="Arial"/>
          <w:b/>
        </w:rPr>
      </w:pPr>
      <w:r w:rsidRPr="00366DB0">
        <w:rPr>
          <w:rFonts w:ascii="Arial" w:hAnsi="Arial" w:cs="Arial"/>
          <w:b/>
        </w:rPr>
        <w:t>From April 2014 a new LGPS scheme was introduced please see below summary of the main changes to the scheme:</w:t>
      </w:r>
    </w:p>
    <w:p w14:paraId="78AE09EE" w14:textId="77777777" w:rsidR="00B156A7" w:rsidRPr="00B156A7" w:rsidRDefault="00B156A7" w:rsidP="00D263A6">
      <w:pPr>
        <w:ind w:left="360" w:hanging="360"/>
        <w:jc w:val="both"/>
        <w:rPr>
          <w:rFonts w:ascii="Arial" w:hAnsi="Arial" w:cs="Arial"/>
        </w:rPr>
      </w:pPr>
    </w:p>
    <w:p w14:paraId="47BFD810" w14:textId="77777777" w:rsidR="00B156A7" w:rsidRPr="00B156A7" w:rsidRDefault="00B156A7" w:rsidP="00D263A6">
      <w:pPr>
        <w:ind w:left="142" w:hanging="142"/>
        <w:jc w:val="both"/>
        <w:rPr>
          <w:rFonts w:ascii="Arial" w:hAnsi="Arial" w:cs="Arial"/>
        </w:rPr>
      </w:pPr>
      <w:r w:rsidRPr="00B156A7">
        <w:rPr>
          <w:rFonts w:ascii="Arial" w:hAnsi="Arial" w:cs="Arial"/>
        </w:rPr>
        <w:t>• A change from a pension based on final pay to one based on average pay throughout your career.</w:t>
      </w:r>
    </w:p>
    <w:p w14:paraId="25D0BE3F" w14:textId="77777777" w:rsidR="00B156A7" w:rsidRPr="00B156A7" w:rsidRDefault="00B156A7" w:rsidP="00D263A6">
      <w:pPr>
        <w:ind w:left="142" w:hanging="142"/>
        <w:jc w:val="both"/>
        <w:rPr>
          <w:rFonts w:ascii="Arial" w:hAnsi="Arial" w:cs="Arial"/>
        </w:rPr>
      </w:pPr>
      <w:r w:rsidRPr="00B156A7">
        <w:rPr>
          <w:rFonts w:ascii="Arial" w:hAnsi="Arial" w:cs="Arial"/>
        </w:rPr>
        <w:t>• A higher accrual rate of 1/49th per year of service rather than the 1/60th per year of service.</w:t>
      </w:r>
    </w:p>
    <w:p w14:paraId="541F47F5" w14:textId="77777777" w:rsidR="00B156A7" w:rsidRPr="00B156A7" w:rsidRDefault="00B156A7" w:rsidP="00D263A6">
      <w:pPr>
        <w:ind w:left="142" w:hanging="142"/>
        <w:jc w:val="both"/>
        <w:rPr>
          <w:rFonts w:ascii="Arial" w:hAnsi="Arial" w:cs="Arial"/>
        </w:rPr>
      </w:pPr>
      <w:r w:rsidRPr="00B156A7">
        <w:rPr>
          <w:rFonts w:ascii="Arial" w:hAnsi="Arial" w:cs="Arial"/>
        </w:rPr>
        <w:t>• Benefits are calculated on pensionable earnings each year rather than final salary.</w:t>
      </w:r>
    </w:p>
    <w:p w14:paraId="4F18705F" w14:textId="77777777" w:rsidR="00B156A7" w:rsidRDefault="00B156A7" w:rsidP="00D263A6">
      <w:pPr>
        <w:ind w:left="142" w:hanging="142"/>
        <w:jc w:val="both"/>
        <w:rPr>
          <w:rFonts w:ascii="Arial" w:hAnsi="Arial" w:cs="Arial"/>
        </w:rPr>
      </w:pPr>
      <w:r w:rsidRPr="00B156A7">
        <w:rPr>
          <w:rFonts w:ascii="Arial" w:hAnsi="Arial" w:cs="Arial"/>
        </w:rPr>
        <w:t>• Benefits are held in a pension account and revalued each year in line with inflation.</w:t>
      </w:r>
    </w:p>
    <w:p w14:paraId="779BDBB4" w14:textId="77777777" w:rsidR="00816D92" w:rsidRDefault="00816D92" w:rsidP="00D263A6">
      <w:pPr>
        <w:ind w:left="142" w:hanging="142"/>
        <w:jc w:val="both"/>
        <w:rPr>
          <w:rFonts w:ascii="Arial" w:hAnsi="Arial" w:cs="Arial"/>
        </w:rPr>
      </w:pPr>
    </w:p>
    <w:p w14:paraId="31487783" w14:textId="77777777" w:rsidR="00816D92" w:rsidRPr="00B156A7" w:rsidRDefault="00816D92" w:rsidP="00D263A6">
      <w:pPr>
        <w:ind w:left="142" w:hanging="142"/>
        <w:jc w:val="both"/>
        <w:rPr>
          <w:rFonts w:ascii="Arial" w:hAnsi="Arial" w:cs="Arial"/>
        </w:rPr>
      </w:pPr>
    </w:p>
    <w:p w14:paraId="441D9E74" w14:textId="77777777" w:rsidR="00B156A7" w:rsidRPr="00B156A7" w:rsidRDefault="00B156A7" w:rsidP="00D263A6">
      <w:pPr>
        <w:ind w:left="360" w:hanging="360"/>
        <w:jc w:val="both"/>
        <w:rPr>
          <w:rFonts w:ascii="Arial" w:hAnsi="Arial" w:cs="Arial"/>
        </w:rPr>
      </w:pPr>
    </w:p>
    <w:p w14:paraId="3F549504" w14:textId="77777777" w:rsidR="00B156A7" w:rsidRPr="00366DB0" w:rsidRDefault="00B156A7" w:rsidP="00D263A6">
      <w:pPr>
        <w:ind w:left="360" w:hanging="360"/>
        <w:jc w:val="both"/>
        <w:rPr>
          <w:rFonts w:ascii="Arial" w:hAnsi="Arial" w:cs="Arial"/>
          <w:b/>
        </w:rPr>
      </w:pPr>
      <w:r w:rsidRPr="00366DB0">
        <w:rPr>
          <w:rFonts w:ascii="Arial" w:hAnsi="Arial" w:cs="Arial"/>
          <w:b/>
        </w:rPr>
        <w:lastRenderedPageBreak/>
        <w:t>Other important changes that have happened to the LGPS</w:t>
      </w:r>
    </w:p>
    <w:p w14:paraId="2AE5A23B" w14:textId="77777777" w:rsidR="00B156A7" w:rsidRPr="00366DB0" w:rsidRDefault="00366DB0" w:rsidP="00D263A6">
      <w:pPr>
        <w:tabs>
          <w:tab w:val="left" w:pos="1275"/>
        </w:tabs>
        <w:ind w:left="360" w:hanging="360"/>
        <w:jc w:val="both"/>
        <w:rPr>
          <w:rFonts w:ascii="Arial" w:hAnsi="Arial" w:cs="Arial"/>
          <w:b/>
        </w:rPr>
      </w:pPr>
      <w:r w:rsidRPr="00366DB0">
        <w:rPr>
          <w:rFonts w:ascii="Arial" w:hAnsi="Arial" w:cs="Arial"/>
          <w:b/>
        </w:rPr>
        <w:tab/>
      </w:r>
      <w:r w:rsidRPr="00366DB0">
        <w:rPr>
          <w:rFonts w:ascii="Arial" w:hAnsi="Arial" w:cs="Arial"/>
          <w:b/>
        </w:rPr>
        <w:tab/>
      </w:r>
    </w:p>
    <w:p w14:paraId="468D7ADD" w14:textId="77777777" w:rsidR="006058C6" w:rsidRPr="006058C6" w:rsidRDefault="00B156A7" w:rsidP="00D263A6">
      <w:pPr>
        <w:ind w:left="360" w:hanging="360"/>
        <w:jc w:val="both"/>
        <w:rPr>
          <w:rFonts w:ascii="Arial" w:hAnsi="Arial" w:cs="Arial"/>
          <w:b/>
        </w:rPr>
      </w:pPr>
      <w:r w:rsidRPr="00B156A7">
        <w:rPr>
          <w:rFonts w:ascii="Arial" w:hAnsi="Arial" w:cs="Arial"/>
        </w:rPr>
        <w:t xml:space="preserve"> </w:t>
      </w:r>
      <w:r w:rsidR="006058C6">
        <w:rPr>
          <w:rFonts w:ascii="Arial" w:hAnsi="Arial" w:cs="Arial"/>
        </w:rPr>
        <w:tab/>
      </w:r>
      <w:r w:rsidRPr="006058C6">
        <w:rPr>
          <w:rFonts w:ascii="Arial" w:hAnsi="Arial" w:cs="Arial"/>
          <w:b/>
        </w:rPr>
        <w:t>The Scheme’s normal pension age</w:t>
      </w:r>
    </w:p>
    <w:p w14:paraId="3CAF4A6D" w14:textId="77777777" w:rsidR="00DD7274" w:rsidRDefault="00DD7274" w:rsidP="00DD7274">
      <w:pPr>
        <w:ind w:left="360"/>
        <w:jc w:val="both"/>
        <w:rPr>
          <w:rFonts w:ascii="Arial" w:hAnsi="Arial" w:cs="Arial"/>
        </w:rPr>
      </w:pPr>
    </w:p>
    <w:p w14:paraId="2BC6FEC8" w14:textId="77777777" w:rsidR="00DD7274" w:rsidRPr="00DD7274" w:rsidRDefault="00DD7274" w:rsidP="00DD7274">
      <w:pPr>
        <w:ind w:left="360"/>
        <w:jc w:val="both"/>
        <w:rPr>
          <w:rFonts w:ascii="Arial" w:hAnsi="Arial" w:cs="Arial"/>
        </w:rPr>
      </w:pPr>
      <w:r w:rsidRPr="00DD7274">
        <w:rPr>
          <w:rFonts w:ascii="Arial" w:hAnsi="Arial" w:cs="Arial"/>
        </w:rPr>
        <w:t>Your LGPS pension is payable in full</w:t>
      </w:r>
      <w:r w:rsidR="00C3355E">
        <w:rPr>
          <w:rFonts w:ascii="Arial" w:hAnsi="Arial" w:cs="Arial"/>
        </w:rPr>
        <w:t>,</w:t>
      </w:r>
      <w:r w:rsidRPr="00DD7274">
        <w:rPr>
          <w:rFonts w:ascii="Arial" w:hAnsi="Arial" w:cs="Arial"/>
        </w:rPr>
        <w:t xml:space="preserve"> from your Normal Pension Age which is linked to your State Pension Age (but with a minimum of age 65). However, you can choose to retire and draw your pension from the LGPS at any time from age 55 to 75, provided you have met the 2 years vesting period in the scheme. If you choose to take your pension before your Normal Pension Age it will normally be reduced, as it's being paid earlier. If you take it later than your </w:t>
      </w:r>
      <w:r w:rsidR="00C3355E">
        <w:rPr>
          <w:rFonts w:ascii="Arial" w:hAnsi="Arial" w:cs="Arial"/>
        </w:rPr>
        <w:t>n</w:t>
      </w:r>
      <w:r w:rsidRPr="00DD7274">
        <w:rPr>
          <w:rFonts w:ascii="Arial" w:hAnsi="Arial" w:cs="Arial"/>
        </w:rPr>
        <w:t xml:space="preserve">ormal </w:t>
      </w:r>
      <w:r w:rsidR="00C3355E">
        <w:rPr>
          <w:rFonts w:ascii="Arial" w:hAnsi="Arial" w:cs="Arial"/>
        </w:rPr>
        <w:t>p</w:t>
      </w:r>
      <w:r w:rsidRPr="00DD7274">
        <w:rPr>
          <w:rFonts w:ascii="Arial" w:hAnsi="Arial" w:cs="Arial"/>
        </w:rPr>
        <w:t xml:space="preserve">ension </w:t>
      </w:r>
      <w:r w:rsidR="00C3355E">
        <w:rPr>
          <w:rFonts w:ascii="Arial" w:hAnsi="Arial" w:cs="Arial"/>
        </w:rPr>
        <w:t>a</w:t>
      </w:r>
      <w:r w:rsidRPr="00DD7274">
        <w:rPr>
          <w:rFonts w:ascii="Arial" w:hAnsi="Arial" w:cs="Arial"/>
        </w:rPr>
        <w:t>ge it's increased because it's being paid later. You must draw your benefits in the LGPS before your 75th birthday.</w:t>
      </w:r>
    </w:p>
    <w:p w14:paraId="0C290791" w14:textId="77777777" w:rsidR="00DD7274" w:rsidRDefault="00DD7274" w:rsidP="00DD7274">
      <w:pPr>
        <w:ind w:left="360" w:hanging="360"/>
        <w:jc w:val="both"/>
        <w:rPr>
          <w:rFonts w:ascii="Arial" w:hAnsi="Arial" w:cs="Arial"/>
          <w:b/>
        </w:rPr>
      </w:pPr>
      <w:r>
        <w:rPr>
          <w:rFonts w:ascii="Arial" w:hAnsi="Arial" w:cs="Arial"/>
          <w:b/>
        </w:rPr>
        <w:tab/>
      </w:r>
    </w:p>
    <w:p w14:paraId="1D13EF0A" w14:textId="77777777" w:rsidR="00DD7274" w:rsidRPr="00027740" w:rsidRDefault="00DD7274" w:rsidP="00DD7274">
      <w:pPr>
        <w:ind w:left="360" w:hanging="360"/>
        <w:jc w:val="both"/>
        <w:rPr>
          <w:rFonts w:ascii="Arial" w:hAnsi="Arial" w:cs="Arial"/>
        </w:rPr>
      </w:pPr>
      <w:r>
        <w:rPr>
          <w:rFonts w:ascii="Arial" w:hAnsi="Arial" w:cs="Arial"/>
          <w:b/>
        </w:rPr>
        <w:tab/>
      </w:r>
      <w:r w:rsidRPr="00027740">
        <w:rPr>
          <w:rFonts w:ascii="Arial" w:hAnsi="Arial" w:cs="Arial"/>
        </w:rPr>
        <w:t>Find out about SPA at www.gov.uk/calculate-state-pension.</w:t>
      </w:r>
    </w:p>
    <w:p w14:paraId="20C6104D" w14:textId="77777777" w:rsidR="00DD7274" w:rsidRPr="00DD7274" w:rsidRDefault="00DD7274" w:rsidP="00DD7274">
      <w:pPr>
        <w:ind w:left="360" w:hanging="360"/>
        <w:jc w:val="both"/>
        <w:rPr>
          <w:rFonts w:ascii="Arial" w:hAnsi="Arial" w:cs="Arial"/>
          <w:b/>
        </w:rPr>
      </w:pPr>
    </w:p>
    <w:p w14:paraId="696C2041" w14:textId="77777777" w:rsidR="006058C6" w:rsidRPr="006058C6" w:rsidRDefault="006058C6" w:rsidP="00D263A6">
      <w:pPr>
        <w:ind w:left="284"/>
        <w:jc w:val="both"/>
        <w:rPr>
          <w:rFonts w:ascii="Arial" w:hAnsi="Arial" w:cs="Arial"/>
          <w:b/>
        </w:rPr>
      </w:pPr>
      <w:r w:rsidRPr="006058C6">
        <w:rPr>
          <w:rFonts w:ascii="Arial" w:hAnsi="Arial" w:cs="Arial"/>
          <w:b/>
        </w:rPr>
        <w:t>Employees Contribution Bandings</w:t>
      </w:r>
    </w:p>
    <w:p w14:paraId="741E45FC" w14:textId="77777777" w:rsidR="006058C6" w:rsidRPr="006058C6" w:rsidRDefault="006058C6" w:rsidP="00D263A6">
      <w:pPr>
        <w:ind w:left="284"/>
        <w:jc w:val="both"/>
        <w:rPr>
          <w:rFonts w:ascii="Arial" w:hAnsi="Arial" w:cs="Arial"/>
          <w:b/>
        </w:rPr>
      </w:pPr>
    </w:p>
    <w:p w14:paraId="486FD5B9" w14:textId="77777777" w:rsidR="00366DB0" w:rsidRDefault="00366DB0" w:rsidP="00D263A6">
      <w:pPr>
        <w:ind w:left="284"/>
        <w:jc w:val="both"/>
        <w:rPr>
          <w:rFonts w:ascii="Arial" w:hAnsi="Arial" w:cs="Arial"/>
        </w:rPr>
      </w:pPr>
      <w:r w:rsidRPr="00751BFF">
        <w:rPr>
          <w:rFonts w:ascii="Arial" w:hAnsi="Arial" w:cs="Arial"/>
        </w:rPr>
        <w:t>Please see below the bandings that were applied for 201</w:t>
      </w:r>
      <w:r w:rsidR="00C3355E">
        <w:rPr>
          <w:rFonts w:ascii="Arial" w:hAnsi="Arial" w:cs="Arial"/>
        </w:rPr>
        <w:t>9</w:t>
      </w:r>
      <w:r w:rsidRPr="00751BFF">
        <w:rPr>
          <w:rFonts w:ascii="Arial" w:hAnsi="Arial" w:cs="Arial"/>
        </w:rPr>
        <w:t>-</w:t>
      </w:r>
      <w:r w:rsidR="00C3355E">
        <w:rPr>
          <w:rFonts w:ascii="Arial" w:hAnsi="Arial" w:cs="Arial"/>
        </w:rPr>
        <w:t>20</w:t>
      </w:r>
      <w:r w:rsidRPr="00751BFF">
        <w:rPr>
          <w:rFonts w:ascii="Arial" w:hAnsi="Arial" w:cs="Arial"/>
        </w:rPr>
        <w:t xml:space="preserve"> period.</w:t>
      </w:r>
    </w:p>
    <w:p w14:paraId="0566F9BF" w14:textId="77777777" w:rsidR="005C6DD4" w:rsidRDefault="005C6DD4" w:rsidP="00D263A6">
      <w:pPr>
        <w:ind w:left="284"/>
        <w:jc w:val="both"/>
        <w:rPr>
          <w:rFonts w:ascii="Arial" w:hAnsi="Arial" w:cs="Arial"/>
        </w:rPr>
      </w:pPr>
    </w:p>
    <w:p w14:paraId="5A87B833" w14:textId="77777777" w:rsidR="005C6DD4" w:rsidRPr="005C6DD4" w:rsidRDefault="005C6DD4" w:rsidP="005C6DD4">
      <w:pPr>
        <w:rPr>
          <w:rFonts w:eastAsia="Calibri"/>
        </w:rPr>
      </w:pPr>
      <w:r w:rsidRPr="005C6DD4">
        <w:rPr>
          <w:rFonts w:ascii="Calibri" w:eastAsia="Calibri" w:hAnsi="Calibri" w:cs="Calibri"/>
          <w:color w:val="0D0D0D"/>
          <w:sz w:val="26"/>
          <w:szCs w:val="26"/>
        </w:rP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751"/>
        <w:gridCol w:w="4023"/>
        <w:gridCol w:w="1805"/>
        <w:gridCol w:w="1887"/>
      </w:tblGrid>
      <w:tr w:rsidR="005C6DD4" w:rsidRPr="009E6E7F" w14:paraId="63689100" w14:textId="77777777" w:rsidTr="005C6DD4">
        <w:tc>
          <w:tcPr>
            <w:tcW w:w="0" w:type="auto"/>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23B275FD" w14:textId="77777777" w:rsidR="005C6DD4" w:rsidRPr="000826E9" w:rsidRDefault="005C6DD4" w:rsidP="005C6DD4">
            <w:pPr>
              <w:spacing w:line="270" w:lineRule="atLeast"/>
              <w:rPr>
                <w:rFonts w:eastAsia="Calibri"/>
              </w:rPr>
            </w:pPr>
            <w:r w:rsidRPr="000826E9">
              <w:rPr>
                <w:rFonts w:ascii="Arial" w:eastAsia="Calibri" w:hAnsi="Arial" w:cs="Arial"/>
                <w:b/>
                <w:bCs/>
              </w:rPr>
              <w:t>Band</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10652F3F" w14:textId="77777777" w:rsidR="005C6DD4" w:rsidRPr="000826E9" w:rsidRDefault="005C6DD4" w:rsidP="005C6DD4">
            <w:pPr>
              <w:spacing w:line="270" w:lineRule="atLeast"/>
              <w:rPr>
                <w:rFonts w:eastAsia="Calibri"/>
              </w:rPr>
            </w:pPr>
            <w:r w:rsidRPr="000826E9">
              <w:rPr>
                <w:rFonts w:ascii="Arial" w:eastAsia="Calibri" w:hAnsi="Arial" w:cs="Arial"/>
                <w:b/>
                <w:bCs/>
              </w:rPr>
              <w:t>Actual pensionable pay for an employment</w:t>
            </w:r>
          </w:p>
        </w:tc>
        <w:tc>
          <w:tcPr>
            <w:tcW w:w="0" w:type="auto"/>
            <w:gridSpan w:val="2"/>
            <w:tcBorders>
              <w:top w:val="nil"/>
              <w:left w:val="nil"/>
              <w:bottom w:val="single" w:sz="8" w:space="0" w:color="auto"/>
              <w:right w:val="single" w:sz="8" w:space="0" w:color="auto"/>
            </w:tcBorders>
            <w:tcMar>
              <w:top w:w="75" w:type="dxa"/>
              <w:left w:w="75" w:type="dxa"/>
              <w:bottom w:w="75" w:type="dxa"/>
              <w:right w:w="75" w:type="dxa"/>
            </w:tcMar>
            <w:hideMark/>
          </w:tcPr>
          <w:p w14:paraId="14D2508B" w14:textId="77777777" w:rsidR="005C6DD4" w:rsidRPr="000826E9" w:rsidRDefault="005C6DD4" w:rsidP="005C6DD4">
            <w:pPr>
              <w:spacing w:line="270" w:lineRule="atLeast"/>
              <w:rPr>
                <w:rFonts w:eastAsia="Calibri"/>
              </w:rPr>
            </w:pPr>
            <w:r w:rsidRPr="000826E9">
              <w:rPr>
                <w:rFonts w:ascii="Arial" w:eastAsia="Calibri" w:hAnsi="Arial" w:cs="Arial"/>
                <w:b/>
                <w:bCs/>
              </w:rPr>
              <w:t>Contribution rate for that employment</w:t>
            </w:r>
          </w:p>
        </w:tc>
      </w:tr>
      <w:tr w:rsidR="005C6DD4" w:rsidRPr="009E6E7F" w14:paraId="6BE33439" w14:textId="77777777" w:rsidTr="005C6DD4">
        <w:tc>
          <w:tcPr>
            <w:tcW w:w="0" w:type="auto"/>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3D8FA928" w14:textId="77777777" w:rsidR="005C6DD4" w:rsidRPr="000826E9" w:rsidRDefault="005C6DD4" w:rsidP="005C6DD4">
            <w:pPr>
              <w:spacing w:line="270" w:lineRule="atLeast"/>
              <w:rPr>
                <w:rFonts w:eastAsia="Calibri"/>
              </w:rPr>
            </w:pPr>
            <w:r w:rsidRPr="000826E9">
              <w:rPr>
                <w:rFonts w:ascii="Arial" w:eastAsia="Calibri" w:hAnsi="Arial" w:cs="Arial"/>
              </w:rPr>
              <w:t> </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4B593C8C" w14:textId="77777777" w:rsidR="005C6DD4" w:rsidRPr="000826E9" w:rsidRDefault="005C6DD4" w:rsidP="005C6DD4">
            <w:pPr>
              <w:spacing w:line="270" w:lineRule="atLeast"/>
              <w:rPr>
                <w:rFonts w:eastAsia="Calibri"/>
              </w:rPr>
            </w:pPr>
            <w:r w:rsidRPr="000826E9">
              <w:rPr>
                <w:rFonts w:ascii="Arial" w:eastAsia="Calibri" w:hAnsi="Arial" w:cs="Arial"/>
              </w:rPr>
              <w:t> </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3974989B" w14:textId="77777777" w:rsidR="005C6DD4" w:rsidRPr="000826E9" w:rsidRDefault="005C6DD4" w:rsidP="005C6DD4">
            <w:pPr>
              <w:spacing w:line="270" w:lineRule="atLeast"/>
              <w:rPr>
                <w:rFonts w:eastAsia="Calibri"/>
              </w:rPr>
            </w:pPr>
            <w:r w:rsidRPr="000826E9">
              <w:rPr>
                <w:rFonts w:ascii="Arial" w:eastAsia="Calibri" w:hAnsi="Arial" w:cs="Arial"/>
              </w:rPr>
              <w:t>Main section</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490F52AB" w14:textId="77777777" w:rsidR="005C6DD4" w:rsidRPr="000826E9" w:rsidRDefault="005C6DD4" w:rsidP="005C6DD4">
            <w:pPr>
              <w:spacing w:line="270" w:lineRule="atLeast"/>
              <w:rPr>
                <w:rFonts w:eastAsia="Calibri"/>
              </w:rPr>
            </w:pPr>
            <w:r w:rsidRPr="000826E9">
              <w:rPr>
                <w:rFonts w:ascii="Arial" w:eastAsia="Calibri" w:hAnsi="Arial" w:cs="Arial"/>
              </w:rPr>
              <w:t>50/50 section</w:t>
            </w:r>
          </w:p>
        </w:tc>
      </w:tr>
      <w:tr w:rsidR="005C6DD4" w:rsidRPr="009E6E7F" w14:paraId="67FBA564" w14:textId="77777777" w:rsidTr="005C6DD4">
        <w:tc>
          <w:tcPr>
            <w:tcW w:w="0" w:type="auto"/>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06576134" w14:textId="77777777" w:rsidR="005C6DD4" w:rsidRPr="000826E9" w:rsidRDefault="005C6DD4" w:rsidP="005C6DD4">
            <w:pPr>
              <w:spacing w:line="270" w:lineRule="atLeast"/>
              <w:rPr>
                <w:rFonts w:eastAsia="Calibri"/>
              </w:rPr>
            </w:pPr>
            <w:r w:rsidRPr="000826E9">
              <w:rPr>
                <w:rFonts w:ascii="Arial" w:eastAsia="Calibri" w:hAnsi="Arial" w:cs="Arial"/>
              </w:rPr>
              <w:t>1</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6138A9FB" w14:textId="77777777" w:rsidR="005C6DD4" w:rsidRPr="000826E9" w:rsidRDefault="005C6DD4" w:rsidP="005C6DD4">
            <w:pPr>
              <w:spacing w:line="270" w:lineRule="atLeast"/>
              <w:rPr>
                <w:rFonts w:eastAsia="Calibri"/>
              </w:rPr>
            </w:pPr>
            <w:r w:rsidRPr="000826E9">
              <w:rPr>
                <w:rFonts w:ascii="Arial" w:eastAsia="Calibri" w:hAnsi="Arial" w:cs="Arial"/>
              </w:rPr>
              <w:t>Up to £14,100</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55DDF4D3" w14:textId="77777777" w:rsidR="005C6DD4" w:rsidRPr="000826E9" w:rsidRDefault="005C6DD4" w:rsidP="005C6DD4">
            <w:pPr>
              <w:spacing w:line="270" w:lineRule="atLeast"/>
              <w:rPr>
                <w:rFonts w:eastAsia="Calibri"/>
              </w:rPr>
            </w:pPr>
            <w:r w:rsidRPr="000826E9">
              <w:rPr>
                <w:rFonts w:ascii="Arial" w:eastAsia="Calibri" w:hAnsi="Arial" w:cs="Arial"/>
              </w:rPr>
              <w:t>5.5%</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3F06190C" w14:textId="77777777" w:rsidR="005C6DD4" w:rsidRPr="000826E9" w:rsidRDefault="005C6DD4" w:rsidP="005C6DD4">
            <w:pPr>
              <w:spacing w:line="270" w:lineRule="atLeast"/>
              <w:rPr>
                <w:rFonts w:eastAsia="Calibri"/>
              </w:rPr>
            </w:pPr>
            <w:r w:rsidRPr="000826E9">
              <w:rPr>
                <w:rFonts w:ascii="Arial" w:eastAsia="Calibri" w:hAnsi="Arial" w:cs="Arial"/>
              </w:rPr>
              <w:t>2.75%</w:t>
            </w:r>
          </w:p>
        </w:tc>
      </w:tr>
      <w:tr w:rsidR="005C6DD4" w:rsidRPr="009E6E7F" w14:paraId="624DA972" w14:textId="77777777" w:rsidTr="005C6DD4">
        <w:tc>
          <w:tcPr>
            <w:tcW w:w="0" w:type="auto"/>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3C04EAD5" w14:textId="77777777" w:rsidR="005C6DD4" w:rsidRPr="000826E9" w:rsidRDefault="005C6DD4" w:rsidP="005C6DD4">
            <w:pPr>
              <w:spacing w:line="270" w:lineRule="atLeast"/>
              <w:rPr>
                <w:rFonts w:eastAsia="Calibri"/>
              </w:rPr>
            </w:pPr>
            <w:r w:rsidRPr="000826E9">
              <w:rPr>
                <w:rFonts w:ascii="Arial" w:eastAsia="Calibri" w:hAnsi="Arial" w:cs="Arial"/>
              </w:rPr>
              <w:t>2</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23B1D0BC" w14:textId="77777777" w:rsidR="005C6DD4" w:rsidRPr="000826E9" w:rsidRDefault="005C6DD4" w:rsidP="005C6DD4">
            <w:pPr>
              <w:spacing w:line="270" w:lineRule="atLeast"/>
              <w:rPr>
                <w:rFonts w:eastAsia="Calibri"/>
              </w:rPr>
            </w:pPr>
            <w:r w:rsidRPr="000826E9">
              <w:rPr>
                <w:rFonts w:ascii="Arial" w:eastAsia="Calibri" w:hAnsi="Arial" w:cs="Arial"/>
              </w:rPr>
              <w:t>£14,101 to £22,000</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77A19097" w14:textId="77777777" w:rsidR="005C6DD4" w:rsidRPr="000826E9" w:rsidRDefault="005C6DD4" w:rsidP="005C6DD4">
            <w:pPr>
              <w:spacing w:line="270" w:lineRule="atLeast"/>
              <w:rPr>
                <w:rFonts w:eastAsia="Calibri"/>
              </w:rPr>
            </w:pPr>
            <w:r w:rsidRPr="000826E9">
              <w:rPr>
                <w:rFonts w:ascii="Arial" w:eastAsia="Calibri" w:hAnsi="Arial" w:cs="Arial"/>
              </w:rPr>
              <w:t>5.8%</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0C34D7F6" w14:textId="77777777" w:rsidR="005C6DD4" w:rsidRPr="000826E9" w:rsidRDefault="005C6DD4" w:rsidP="005C6DD4">
            <w:pPr>
              <w:spacing w:line="270" w:lineRule="atLeast"/>
              <w:rPr>
                <w:rFonts w:eastAsia="Calibri"/>
              </w:rPr>
            </w:pPr>
            <w:r w:rsidRPr="000826E9">
              <w:rPr>
                <w:rFonts w:ascii="Arial" w:eastAsia="Calibri" w:hAnsi="Arial" w:cs="Arial"/>
              </w:rPr>
              <w:t>2.9%</w:t>
            </w:r>
          </w:p>
        </w:tc>
      </w:tr>
      <w:tr w:rsidR="005C6DD4" w:rsidRPr="009E6E7F" w14:paraId="017E65F9" w14:textId="77777777" w:rsidTr="005C6DD4">
        <w:tc>
          <w:tcPr>
            <w:tcW w:w="0" w:type="auto"/>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586A5347" w14:textId="77777777" w:rsidR="005C6DD4" w:rsidRPr="000826E9" w:rsidRDefault="005C6DD4" w:rsidP="005C6DD4">
            <w:pPr>
              <w:spacing w:line="270" w:lineRule="atLeast"/>
              <w:rPr>
                <w:rFonts w:eastAsia="Calibri"/>
              </w:rPr>
            </w:pPr>
            <w:r w:rsidRPr="000826E9">
              <w:rPr>
                <w:rFonts w:ascii="Arial" w:eastAsia="Calibri" w:hAnsi="Arial" w:cs="Arial"/>
              </w:rPr>
              <w:t>3</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0209B4F8" w14:textId="77777777" w:rsidR="005C6DD4" w:rsidRPr="000826E9" w:rsidRDefault="005C6DD4" w:rsidP="005C6DD4">
            <w:pPr>
              <w:spacing w:line="270" w:lineRule="atLeast"/>
              <w:rPr>
                <w:rFonts w:eastAsia="Calibri"/>
              </w:rPr>
            </w:pPr>
            <w:r w:rsidRPr="000826E9">
              <w:rPr>
                <w:rFonts w:ascii="Arial" w:eastAsia="Calibri" w:hAnsi="Arial" w:cs="Arial"/>
              </w:rPr>
              <w:t>£22,001 to £35,700</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49705055" w14:textId="77777777" w:rsidR="005C6DD4" w:rsidRPr="000826E9" w:rsidRDefault="005C6DD4" w:rsidP="005C6DD4">
            <w:pPr>
              <w:spacing w:line="270" w:lineRule="atLeast"/>
              <w:rPr>
                <w:rFonts w:eastAsia="Calibri"/>
              </w:rPr>
            </w:pPr>
            <w:r w:rsidRPr="000826E9">
              <w:rPr>
                <w:rFonts w:ascii="Arial" w:eastAsia="Calibri" w:hAnsi="Arial" w:cs="Arial"/>
              </w:rPr>
              <w:t>6.5%</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74C6963C" w14:textId="77777777" w:rsidR="005C6DD4" w:rsidRPr="000826E9" w:rsidRDefault="005C6DD4" w:rsidP="005C6DD4">
            <w:pPr>
              <w:spacing w:line="270" w:lineRule="atLeast"/>
              <w:rPr>
                <w:rFonts w:eastAsia="Calibri"/>
              </w:rPr>
            </w:pPr>
            <w:r w:rsidRPr="000826E9">
              <w:rPr>
                <w:rFonts w:ascii="Arial" w:eastAsia="Calibri" w:hAnsi="Arial" w:cs="Arial"/>
              </w:rPr>
              <w:t>3.25%</w:t>
            </w:r>
          </w:p>
        </w:tc>
      </w:tr>
      <w:tr w:rsidR="005C6DD4" w:rsidRPr="009E6E7F" w14:paraId="33CA0B27" w14:textId="77777777" w:rsidTr="005C6DD4">
        <w:tc>
          <w:tcPr>
            <w:tcW w:w="0" w:type="auto"/>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691AC3C4" w14:textId="77777777" w:rsidR="005C6DD4" w:rsidRPr="000826E9" w:rsidRDefault="005C6DD4" w:rsidP="005C6DD4">
            <w:pPr>
              <w:spacing w:line="270" w:lineRule="atLeast"/>
              <w:rPr>
                <w:rFonts w:eastAsia="Calibri"/>
              </w:rPr>
            </w:pPr>
            <w:r w:rsidRPr="000826E9">
              <w:rPr>
                <w:rFonts w:ascii="Arial" w:eastAsia="Calibri" w:hAnsi="Arial" w:cs="Arial"/>
              </w:rPr>
              <w:t>4</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42D52CE4" w14:textId="77777777" w:rsidR="005C6DD4" w:rsidRPr="000826E9" w:rsidRDefault="005C6DD4" w:rsidP="005C6DD4">
            <w:pPr>
              <w:spacing w:line="270" w:lineRule="atLeast"/>
              <w:rPr>
                <w:rFonts w:eastAsia="Calibri"/>
              </w:rPr>
            </w:pPr>
            <w:r w:rsidRPr="000826E9">
              <w:rPr>
                <w:rFonts w:ascii="Arial" w:eastAsia="Calibri" w:hAnsi="Arial" w:cs="Arial"/>
              </w:rPr>
              <w:t>£35,701 to £45,200</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07280158" w14:textId="77777777" w:rsidR="005C6DD4" w:rsidRPr="000826E9" w:rsidRDefault="005C6DD4" w:rsidP="005C6DD4">
            <w:pPr>
              <w:spacing w:line="270" w:lineRule="atLeast"/>
              <w:rPr>
                <w:rFonts w:eastAsia="Calibri"/>
              </w:rPr>
            </w:pPr>
            <w:r w:rsidRPr="000826E9">
              <w:rPr>
                <w:rFonts w:ascii="Arial" w:eastAsia="Calibri" w:hAnsi="Arial" w:cs="Arial"/>
              </w:rPr>
              <w:t>6.8%</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24C850A2" w14:textId="77777777" w:rsidR="005C6DD4" w:rsidRPr="000826E9" w:rsidRDefault="005C6DD4" w:rsidP="005C6DD4">
            <w:pPr>
              <w:spacing w:line="270" w:lineRule="atLeast"/>
              <w:rPr>
                <w:rFonts w:eastAsia="Calibri"/>
              </w:rPr>
            </w:pPr>
            <w:r w:rsidRPr="000826E9">
              <w:rPr>
                <w:rFonts w:ascii="Arial" w:eastAsia="Calibri" w:hAnsi="Arial" w:cs="Arial"/>
              </w:rPr>
              <w:t>3.4%</w:t>
            </w:r>
          </w:p>
        </w:tc>
      </w:tr>
      <w:tr w:rsidR="005C6DD4" w:rsidRPr="009E6E7F" w14:paraId="247A14BE" w14:textId="77777777" w:rsidTr="005C6DD4">
        <w:tc>
          <w:tcPr>
            <w:tcW w:w="0" w:type="auto"/>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691AA8C3" w14:textId="77777777" w:rsidR="005C6DD4" w:rsidRPr="000826E9" w:rsidRDefault="005C6DD4" w:rsidP="005C6DD4">
            <w:pPr>
              <w:spacing w:line="270" w:lineRule="atLeast"/>
              <w:rPr>
                <w:rFonts w:eastAsia="Calibri"/>
              </w:rPr>
            </w:pPr>
            <w:r w:rsidRPr="000826E9">
              <w:rPr>
                <w:rFonts w:ascii="Arial" w:eastAsia="Calibri" w:hAnsi="Arial" w:cs="Arial"/>
              </w:rPr>
              <w:t>5</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3EC939A0" w14:textId="77777777" w:rsidR="005C6DD4" w:rsidRPr="000826E9" w:rsidRDefault="005C6DD4" w:rsidP="005C6DD4">
            <w:pPr>
              <w:spacing w:line="270" w:lineRule="atLeast"/>
              <w:rPr>
                <w:rFonts w:eastAsia="Calibri"/>
              </w:rPr>
            </w:pPr>
            <w:r w:rsidRPr="000826E9">
              <w:rPr>
                <w:rFonts w:ascii="Arial" w:eastAsia="Calibri" w:hAnsi="Arial" w:cs="Arial"/>
              </w:rPr>
              <w:t>£45,201 to £63,100</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48B48179" w14:textId="77777777" w:rsidR="005C6DD4" w:rsidRPr="000826E9" w:rsidRDefault="005C6DD4" w:rsidP="005C6DD4">
            <w:pPr>
              <w:spacing w:line="270" w:lineRule="atLeast"/>
              <w:rPr>
                <w:rFonts w:eastAsia="Calibri"/>
              </w:rPr>
            </w:pPr>
            <w:r w:rsidRPr="000826E9">
              <w:rPr>
                <w:rFonts w:ascii="Arial" w:eastAsia="Calibri" w:hAnsi="Arial" w:cs="Arial"/>
              </w:rPr>
              <w:t>8.5%</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4FD7CA56" w14:textId="77777777" w:rsidR="005C6DD4" w:rsidRPr="000826E9" w:rsidRDefault="005C6DD4" w:rsidP="005C6DD4">
            <w:pPr>
              <w:spacing w:line="270" w:lineRule="atLeast"/>
              <w:rPr>
                <w:rFonts w:eastAsia="Calibri"/>
              </w:rPr>
            </w:pPr>
            <w:r w:rsidRPr="000826E9">
              <w:rPr>
                <w:rFonts w:ascii="Arial" w:eastAsia="Calibri" w:hAnsi="Arial" w:cs="Arial"/>
              </w:rPr>
              <w:t>4.25%</w:t>
            </w:r>
          </w:p>
        </w:tc>
      </w:tr>
      <w:tr w:rsidR="005C6DD4" w:rsidRPr="009E6E7F" w14:paraId="2DAA8040" w14:textId="77777777" w:rsidTr="005C6DD4">
        <w:tc>
          <w:tcPr>
            <w:tcW w:w="0" w:type="auto"/>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7A7A8C25" w14:textId="77777777" w:rsidR="005C6DD4" w:rsidRPr="000826E9" w:rsidRDefault="005C6DD4" w:rsidP="005C6DD4">
            <w:pPr>
              <w:spacing w:line="270" w:lineRule="atLeast"/>
              <w:rPr>
                <w:rFonts w:eastAsia="Calibri"/>
              </w:rPr>
            </w:pPr>
            <w:r w:rsidRPr="000826E9">
              <w:rPr>
                <w:rFonts w:ascii="Arial" w:eastAsia="Calibri" w:hAnsi="Arial" w:cs="Arial"/>
              </w:rPr>
              <w:t>6</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4A5F6073" w14:textId="77777777" w:rsidR="005C6DD4" w:rsidRPr="000826E9" w:rsidRDefault="005C6DD4" w:rsidP="005C6DD4">
            <w:pPr>
              <w:spacing w:line="270" w:lineRule="atLeast"/>
              <w:rPr>
                <w:rFonts w:eastAsia="Calibri"/>
              </w:rPr>
            </w:pPr>
            <w:r w:rsidRPr="000826E9">
              <w:rPr>
                <w:rFonts w:ascii="Arial" w:eastAsia="Calibri" w:hAnsi="Arial" w:cs="Arial"/>
              </w:rPr>
              <w:t>£63,101 to £89,400</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4804031A" w14:textId="77777777" w:rsidR="005C6DD4" w:rsidRPr="000826E9" w:rsidRDefault="005C6DD4" w:rsidP="005C6DD4">
            <w:pPr>
              <w:spacing w:line="270" w:lineRule="atLeast"/>
              <w:rPr>
                <w:rFonts w:eastAsia="Calibri"/>
              </w:rPr>
            </w:pPr>
            <w:r w:rsidRPr="000826E9">
              <w:rPr>
                <w:rFonts w:ascii="Arial" w:eastAsia="Calibri" w:hAnsi="Arial" w:cs="Arial"/>
              </w:rPr>
              <w:t>9.9%</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5CF7E8CA" w14:textId="77777777" w:rsidR="005C6DD4" w:rsidRPr="000826E9" w:rsidRDefault="005C6DD4" w:rsidP="005C6DD4">
            <w:pPr>
              <w:spacing w:line="270" w:lineRule="atLeast"/>
              <w:rPr>
                <w:rFonts w:eastAsia="Calibri"/>
              </w:rPr>
            </w:pPr>
            <w:r w:rsidRPr="000826E9">
              <w:rPr>
                <w:rFonts w:ascii="Arial" w:eastAsia="Calibri" w:hAnsi="Arial" w:cs="Arial"/>
              </w:rPr>
              <w:t>4.95%</w:t>
            </w:r>
          </w:p>
        </w:tc>
      </w:tr>
      <w:tr w:rsidR="005C6DD4" w:rsidRPr="009E6E7F" w14:paraId="60CF579C" w14:textId="77777777" w:rsidTr="005C6DD4">
        <w:tc>
          <w:tcPr>
            <w:tcW w:w="0" w:type="auto"/>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0106DC30" w14:textId="77777777" w:rsidR="005C6DD4" w:rsidRPr="000826E9" w:rsidRDefault="005C6DD4" w:rsidP="005C6DD4">
            <w:pPr>
              <w:spacing w:line="270" w:lineRule="atLeast"/>
              <w:rPr>
                <w:rFonts w:eastAsia="Calibri"/>
              </w:rPr>
            </w:pPr>
            <w:r w:rsidRPr="000826E9">
              <w:rPr>
                <w:rFonts w:ascii="Arial" w:eastAsia="Calibri" w:hAnsi="Arial" w:cs="Arial"/>
              </w:rPr>
              <w:t>7</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7F39D51B" w14:textId="77777777" w:rsidR="005C6DD4" w:rsidRPr="000826E9" w:rsidRDefault="005C6DD4" w:rsidP="005C6DD4">
            <w:pPr>
              <w:spacing w:line="270" w:lineRule="atLeast"/>
              <w:rPr>
                <w:rFonts w:eastAsia="Calibri"/>
              </w:rPr>
            </w:pPr>
            <w:r w:rsidRPr="000826E9">
              <w:rPr>
                <w:rFonts w:ascii="Arial" w:eastAsia="Calibri" w:hAnsi="Arial" w:cs="Arial"/>
              </w:rPr>
              <w:t>£89,401 to £105,200</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68B16B70" w14:textId="77777777" w:rsidR="005C6DD4" w:rsidRPr="000826E9" w:rsidRDefault="005C6DD4" w:rsidP="005C6DD4">
            <w:pPr>
              <w:spacing w:line="270" w:lineRule="atLeast"/>
              <w:rPr>
                <w:rFonts w:eastAsia="Calibri"/>
              </w:rPr>
            </w:pPr>
            <w:r w:rsidRPr="000826E9">
              <w:rPr>
                <w:rFonts w:ascii="Arial" w:eastAsia="Calibri" w:hAnsi="Arial" w:cs="Arial"/>
              </w:rPr>
              <w:t>10.5%</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79738C03" w14:textId="77777777" w:rsidR="005C6DD4" w:rsidRPr="000826E9" w:rsidRDefault="005C6DD4" w:rsidP="005C6DD4">
            <w:pPr>
              <w:spacing w:line="270" w:lineRule="atLeast"/>
              <w:rPr>
                <w:rFonts w:eastAsia="Calibri"/>
              </w:rPr>
            </w:pPr>
            <w:r w:rsidRPr="000826E9">
              <w:rPr>
                <w:rFonts w:ascii="Arial" w:eastAsia="Calibri" w:hAnsi="Arial" w:cs="Arial"/>
              </w:rPr>
              <w:t>5.25%</w:t>
            </w:r>
          </w:p>
        </w:tc>
      </w:tr>
      <w:tr w:rsidR="005C6DD4" w:rsidRPr="009E6E7F" w14:paraId="1D1622CB" w14:textId="77777777" w:rsidTr="005C6DD4">
        <w:tc>
          <w:tcPr>
            <w:tcW w:w="0" w:type="auto"/>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0D60D3B7" w14:textId="77777777" w:rsidR="005C6DD4" w:rsidRPr="000826E9" w:rsidRDefault="005C6DD4" w:rsidP="005C6DD4">
            <w:pPr>
              <w:spacing w:line="270" w:lineRule="atLeast"/>
              <w:rPr>
                <w:rFonts w:eastAsia="Calibri"/>
              </w:rPr>
            </w:pPr>
            <w:r w:rsidRPr="000826E9">
              <w:rPr>
                <w:rFonts w:ascii="Arial" w:eastAsia="Calibri" w:hAnsi="Arial" w:cs="Arial"/>
              </w:rPr>
              <w:t>8</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56A6D75D" w14:textId="77777777" w:rsidR="005C6DD4" w:rsidRPr="000826E9" w:rsidRDefault="005C6DD4" w:rsidP="005C6DD4">
            <w:pPr>
              <w:spacing w:line="270" w:lineRule="atLeast"/>
              <w:rPr>
                <w:rFonts w:eastAsia="Calibri"/>
              </w:rPr>
            </w:pPr>
            <w:r w:rsidRPr="000826E9">
              <w:rPr>
                <w:rFonts w:ascii="Arial" w:eastAsia="Calibri" w:hAnsi="Arial" w:cs="Arial"/>
              </w:rPr>
              <w:t>£105,201 to £157,800</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59A0FA5A" w14:textId="77777777" w:rsidR="005C6DD4" w:rsidRPr="000826E9" w:rsidRDefault="005C6DD4" w:rsidP="005C6DD4">
            <w:pPr>
              <w:spacing w:line="270" w:lineRule="atLeast"/>
              <w:rPr>
                <w:rFonts w:eastAsia="Calibri"/>
              </w:rPr>
            </w:pPr>
            <w:r w:rsidRPr="000826E9">
              <w:rPr>
                <w:rFonts w:ascii="Arial" w:eastAsia="Calibri" w:hAnsi="Arial" w:cs="Arial"/>
              </w:rPr>
              <w:t>11.4%</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0FB13A4C" w14:textId="77777777" w:rsidR="005C6DD4" w:rsidRPr="000826E9" w:rsidRDefault="005C6DD4" w:rsidP="005C6DD4">
            <w:pPr>
              <w:spacing w:line="270" w:lineRule="atLeast"/>
              <w:rPr>
                <w:rFonts w:eastAsia="Calibri"/>
              </w:rPr>
            </w:pPr>
            <w:r w:rsidRPr="000826E9">
              <w:rPr>
                <w:rFonts w:ascii="Arial" w:eastAsia="Calibri" w:hAnsi="Arial" w:cs="Arial"/>
              </w:rPr>
              <w:t>5.7%</w:t>
            </w:r>
          </w:p>
        </w:tc>
      </w:tr>
      <w:tr w:rsidR="005C6DD4" w:rsidRPr="009E6E7F" w14:paraId="40BB7BFE" w14:textId="77777777" w:rsidTr="005C6DD4">
        <w:tc>
          <w:tcPr>
            <w:tcW w:w="0" w:type="auto"/>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75418D86" w14:textId="77777777" w:rsidR="005C6DD4" w:rsidRPr="000826E9" w:rsidRDefault="005C6DD4" w:rsidP="005C6DD4">
            <w:pPr>
              <w:spacing w:line="270" w:lineRule="atLeast"/>
              <w:rPr>
                <w:rFonts w:eastAsia="Calibri"/>
              </w:rPr>
            </w:pPr>
            <w:r w:rsidRPr="000826E9">
              <w:rPr>
                <w:rFonts w:ascii="Arial" w:eastAsia="Calibri" w:hAnsi="Arial" w:cs="Arial"/>
              </w:rPr>
              <w:t>9</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6EDF4E54" w14:textId="77777777" w:rsidR="005C6DD4" w:rsidRPr="000826E9" w:rsidRDefault="005C6DD4" w:rsidP="005C6DD4">
            <w:pPr>
              <w:spacing w:line="270" w:lineRule="atLeast"/>
              <w:rPr>
                <w:rFonts w:eastAsia="Calibri"/>
              </w:rPr>
            </w:pPr>
            <w:r w:rsidRPr="000826E9">
              <w:rPr>
                <w:rFonts w:ascii="Arial" w:eastAsia="Calibri" w:hAnsi="Arial" w:cs="Arial"/>
              </w:rPr>
              <w:t>£157,801 or more</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07CCE813" w14:textId="77777777" w:rsidR="005C6DD4" w:rsidRPr="000826E9" w:rsidRDefault="005C6DD4" w:rsidP="005C6DD4">
            <w:pPr>
              <w:spacing w:line="270" w:lineRule="atLeast"/>
              <w:rPr>
                <w:rFonts w:eastAsia="Calibri"/>
              </w:rPr>
            </w:pPr>
            <w:r w:rsidRPr="000826E9">
              <w:rPr>
                <w:rFonts w:ascii="Arial" w:eastAsia="Calibri" w:hAnsi="Arial" w:cs="Arial"/>
              </w:rPr>
              <w:t>12.5%</w:t>
            </w:r>
          </w:p>
        </w:tc>
        <w:tc>
          <w:tcPr>
            <w:tcW w:w="0" w:type="auto"/>
            <w:tcBorders>
              <w:top w:val="nil"/>
              <w:left w:val="nil"/>
              <w:bottom w:val="single" w:sz="8" w:space="0" w:color="auto"/>
              <w:right w:val="single" w:sz="8" w:space="0" w:color="auto"/>
            </w:tcBorders>
            <w:tcMar>
              <w:top w:w="75" w:type="dxa"/>
              <w:left w:w="75" w:type="dxa"/>
              <w:bottom w:w="75" w:type="dxa"/>
              <w:right w:w="75" w:type="dxa"/>
            </w:tcMar>
            <w:hideMark/>
          </w:tcPr>
          <w:p w14:paraId="5AEFE89B" w14:textId="77777777" w:rsidR="005C6DD4" w:rsidRPr="000826E9" w:rsidRDefault="005C6DD4" w:rsidP="005C6DD4">
            <w:pPr>
              <w:spacing w:line="270" w:lineRule="atLeast"/>
              <w:rPr>
                <w:rFonts w:eastAsia="Calibri"/>
              </w:rPr>
            </w:pPr>
            <w:r w:rsidRPr="000826E9">
              <w:rPr>
                <w:rFonts w:ascii="Arial" w:eastAsia="Calibri" w:hAnsi="Arial" w:cs="Arial"/>
              </w:rPr>
              <w:t>6.25%</w:t>
            </w:r>
          </w:p>
        </w:tc>
      </w:tr>
    </w:tbl>
    <w:p w14:paraId="73909883" w14:textId="77777777" w:rsidR="005C6DD4" w:rsidRPr="005C6DD4" w:rsidRDefault="005C6DD4" w:rsidP="005C6DD4">
      <w:pPr>
        <w:rPr>
          <w:rFonts w:eastAsia="Calibri"/>
        </w:rPr>
      </w:pPr>
      <w:r w:rsidRPr="005C6DD4">
        <w:rPr>
          <w:rFonts w:ascii="Calibri" w:eastAsia="Calibri" w:hAnsi="Calibri" w:cs="Calibri"/>
          <w:color w:val="1F497D"/>
          <w:sz w:val="22"/>
          <w:szCs w:val="22"/>
        </w:rPr>
        <w:t> </w:t>
      </w:r>
    </w:p>
    <w:p w14:paraId="0D37C03F" w14:textId="77777777" w:rsidR="0089312B" w:rsidRDefault="0089312B" w:rsidP="00D263A6">
      <w:pPr>
        <w:ind w:left="284"/>
        <w:jc w:val="both"/>
        <w:rPr>
          <w:rFonts w:ascii="Arial" w:hAnsi="Arial" w:cs="Arial"/>
          <w:b/>
        </w:rPr>
      </w:pPr>
    </w:p>
    <w:p w14:paraId="2ED6DEAB" w14:textId="77777777" w:rsidR="006058C6" w:rsidRPr="006058C6" w:rsidRDefault="006058C6" w:rsidP="00D263A6">
      <w:pPr>
        <w:ind w:left="284"/>
        <w:jc w:val="both"/>
        <w:rPr>
          <w:rFonts w:ascii="Arial" w:hAnsi="Arial" w:cs="Arial"/>
          <w:b/>
        </w:rPr>
      </w:pPr>
      <w:r w:rsidRPr="006058C6">
        <w:rPr>
          <w:rFonts w:ascii="Arial" w:hAnsi="Arial" w:cs="Arial"/>
          <w:b/>
        </w:rPr>
        <w:t>Low Cost Option</w:t>
      </w:r>
    </w:p>
    <w:p w14:paraId="04291F4A" w14:textId="77777777" w:rsidR="006058C6" w:rsidRDefault="006058C6" w:rsidP="00D263A6">
      <w:pPr>
        <w:ind w:left="284"/>
        <w:jc w:val="both"/>
        <w:rPr>
          <w:rFonts w:ascii="Arial" w:hAnsi="Arial" w:cs="Arial"/>
        </w:rPr>
      </w:pPr>
    </w:p>
    <w:p w14:paraId="38A21334" w14:textId="77777777" w:rsidR="00B156A7" w:rsidRPr="00B156A7" w:rsidRDefault="00B156A7" w:rsidP="00D263A6">
      <w:pPr>
        <w:ind w:left="284"/>
        <w:jc w:val="both"/>
        <w:rPr>
          <w:rFonts w:ascii="Arial" w:hAnsi="Arial" w:cs="Arial"/>
        </w:rPr>
      </w:pPr>
      <w:r w:rsidRPr="00B156A7">
        <w:rPr>
          <w:rFonts w:ascii="Arial" w:hAnsi="Arial" w:cs="Arial"/>
        </w:rPr>
        <w:t xml:space="preserve"> A </w:t>
      </w:r>
      <w:proofErr w:type="gramStart"/>
      <w:r w:rsidRPr="00B156A7">
        <w:rPr>
          <w:rFonts w:ascii="Arial" w:hAnsi="Arial" w:cs="Arial"/>
        </w:rPr>
        <w:t>low</w:t>
      </w:r>
      <w:r w:rsidR="00C3355E">
        <w:rPr>
          <w:rFonts w:ascii="Arial" w:hAnsi="Arial" w:cs="Arial"/>
        </w:rPr>
        <w:t xml:space="preserve"> </w:t>
      </w:r>
      <w:r w:rsidRPr="00B156A7">
        <w:rPr>
          <w:rFonts w:ascii="Arial" w:hAnsi="Arial" w:cs="Arial"/>
        </w:rPr>
        <w:t>cost</w:t>
      </w:r>
      <w:proofErr w:type="gramEnd"/>
      <w:r w:rsidRPr="00B156A7">
        <w:rPr>
          <w:rFonts w:ascii="Arial" w:hAnsi="Arial" w:cs="Arial"/>
        </w:rPr>
        <w:t xml:space="preserve"> option allows members to pay 50% contributions to build up 50% of benefits.</w:t>
      </w:r>
    </w:p>
    <w:p w14:paraId="3CC78A02" w14:textId="77777777" w:rsidR="00B156A7" w:rsidRPr="00B156A7" w:rsidRDefault="00B156A7" w:rsidP="00D263A6">
      <w:pPr>
        <w:ind w:left="360" w:hanging="360"/>
        <w:jc w:val="both"/>
        <w:rPr>
          <w:rFonts w:ascii="Arial" w:hAnsi="Arial" w:cs="Arial"/>
        </w:rPr>
      </w:pPr>
    </w:p>
    <w:p w14:paraId="4E063994" w14:textId="77777777" w:rsidR="00B156A7" w:rsidRDefault="00B156A7" w:rsidP="00D263A6">
      <w:pPr>
        <w:ind w:left="360"/>
        <w:jc w:val="both"/>
        <w:rPr>
          <w:rFonts w:ascii="Arial" w:hAnsi="Arial" w:cs="Arial"/>
        </w:rPr>
      </w:pPr>
      <w:r w:rsidRPr="00B156A7">
        <w:rPr>
          <w:rFonts w:ascii="Arial" w:hAnsi="Arial" w:cs="Arial"/>
        </w:rPr>
        <w:t>The 50/50 option is intended to allow members to continue to save for their retirement during periods of financial hardship. If a member cho</w:t>
      </w:r>
      <w:r w:rsidR="005C6DD4">
        <w:rPr>
          <w:rFonts w:ascii="Arial" w:hAnsi="Arial" w:cs="Arial"/>
        </w:rPr>
        <w:t>o</w:t>
      </w:r>
      <w:r w:rsidRPr="00B156A7">
        <w:rPr>
          <w:rFonts w:ascii="Arial" w:hAnsi="Arial" w:cs="Arial"/>
        </w:rPr>
        <w:t xml:space="preserve">ses to pay the lower </w:t>
      </w:r>
      <w:proofErr w:type="gramStart"/>
      <w:r w:rsidRPr="00B156A7">
        <w:rPr>
          <w:rFonts w:ascii="Arial" w:hAnsi="Arial" w:cs="Arial"/>
        </w:rPr>
        <w:t>contributions</w:t>
      </w:r>
      <w:proofErr w:type="gramEnd"/>
      <w:r w:rsidRPr="00B156A7">
        <w:rPr>
          <w:rFonts w:ascii="Arial" w:hAnsi="Arial" w:cs="Arial"/>
        </w:rPr>
        <w:t xml:space="preserve"> they would build up pension based on a 1/98th accrual rate but death and ill health benefits would not be affected should you need them.</w:t>
      </w:r>
    </w:p>
    <w:p w14:paraId="5FDBCE36" w14:textId="77777777" w:rsidR="009C4CDF" w:rsidRDefault="009C4CDF" w:rsidP="00D263A6">
      <w:pPr>
        <w:ind w:left="360"/>
        <w:jc w:val="both"/>
        <w:rPr>
          <w:rFonts w:ascii="Arial" w:hAnsi="Arial" w:cs="Arial"/>
        </w:rPr>
      </w:pPr>
    </w:p>
    <w:p w14:paraId="0E82D998" w14:textId="77777777" w:rsidR="009C4CDF" w:rsidRPr="00B156A7" w:rsidRDefault="009C4CDF" w:rsidP="00D263A6">
      <w:pPr>
        <w:ind w:left="360"/>
        <w:jc w:val="both"/>
        <w:rPr>
          <w:rFonts w:ascii="Arial" w:hAnsi="Arial" w:cs="Arial"/>
        </w:rPr>
      </w:pPr>
    </w:p>
    <w:p w14:paraId="4CE245E1" w14:textId="77777777" w:rsidR="00027740" w:rsidRDefault="00027740" w:rsidP="00D263A6">
      <w:pPr>
        <w:ind w:left="284"/>
        <w:jc w:val="both"/>
        <w:rPr>
          <w:rFonts w:ascii="Arial" w:hAnsi="Arial" w:cs="Arial"/>
          <w:b/>
        </w:rPr>
      </w:pPr>
    </w:p>
    <w:p w14:paraId="1F9FA248" w14:textId="77777777" w:rsidR="006058C6" w:rsidRPr="006058C6" w:rsidRDefault="006058C6" w:rsidP="00D263A6">
      <w:pPr>
        <w:ind w:left="284"/>
        <w:jc w:val="both"/>
        <w:rPr>
          <w:rFonts w:ascii="Arial" w:hAnsi="Arial" w:cs="Arial"/>
          <w:b/>
        </w:rPr>
      </w:pPr>
      <w:r w:rsidRPr="006058C6">
        <w:rPr>
          <w:rFonts w:ascii="Arial" w:hAnsi="Arial" w:cs="Arial"/>
          <w:b/>
        </w:rPr>
        <w:lastRenderedPageBreak/>
        <w:t>Death Benefits</w:t>
      </w:r>
    </w:p>
    <w:p w14:paraId="4A2159F4" w14:textId="77777777" w:rsidR="006058C6" w:rsidRDefault="006058C6" w:rsidP="00D263A6">
      <w:pPr>
        <w:ind w:left="284"/>
        <w:jc w:val="both"/>
        <w:rPr>
          <w:rFonts w:ascii="Arial" w:hAnsi="Arial" w:cs="Arial"/>
        </w:rPr>
      </w:pPr>
    </w:p>
    <w:p w14:paraId="7C84CF83" w14:textId="77777777" w:rsidR="00B156A7" w:rsidRPr="00B156A7" w:rsidRDefault="00B156A7" w:rsidP="00D263A6">
      <w:pPr>
        <w:ind w:left="284"/>
        <w:jc w:val="both"/>
        <w:rPr>
          <w:rFonts w:ascii="Arial" w:hAnsi="Arial" w:cs="Arial"/>
        </w:rPr>
      </w:pPr>
      <w:r w:rsidRPr="00B156A7">
        <w:rPr>
          <w:rFonts w:ascii="Arial" w:hAnsi="Arial" w:cs="Arial"/>
        </w:rPr>
        <w:t>Death benefits are unchanged in the new scheme with spouse and partners’ pensions based on an accrual rate of 1/160 and three times death in service benefit.</w:t>
      </w:r>
    </w:p>
    <w:p w14:paraId="0E19C7AF" w14:textId="77777777" w:rsidR="00B156A7" w:rsidRPr="00B156A7" w:rsidRDefault="00B156A7" w:rsidP="00D263A6">
      <w:pPr>
        <w:ind w:left="360" w:hanging="360"/>
        <w:jc w:val="both"/>
        <w:rPr>
          <w:rFonts w:ascii="Arial" w:hAnsi="Arial" w:cs="Arial"/>
        </w:rPr>
      </w:pPr>
    </w:p>
    <w:p w14:paraId="0E0E380E" w14:textId="77777777" w:rsidR="006058C6" w:rsidRPr="006058C6" w:rsidRDefault="006058C6" w:rsidP="00D263A6">
      <w:pPr>
        <w:ind w:firstLine="284"/>
        <w:jc w:val="both"/>
        <w:rPr>
          <w:rFonts w:ascii="Arial" w:hAnsi="Arial" w:cs="Arial"/>
          <w:b/>
        </w:rPr>
      </w:pPr>
      <w:r w:rsidRPr="006058C6">
        <w:rPr>
          <w:rFonts w:ascii="Arial" w:hAnsi="Arial" w:cs="Arial"/>
          <w:b/>
        </w:rPr>
        <w:t>Additional Contributions</w:t>
      </w:r>
    </w:p>
    <w:p w14:paraId="52891C65" w14:textId="77777777" w:rsidR="006058C6" w:rsidRPr="006058C6" w:rsidRDefault="006058C6" w:rsidP="00D263A6">
      <w:pPr>
        <w:ind w:firstLine="284"/>
        <w:jc w:val="both"/>
        <w:rPr>
          <w:rFonts w:ascii="Arial" w:hAnsi="Arial" w:cs="Arial"/>
        </w:rPr>
      </w:pPr>
    </w:p>
    <w:p w14:paraId="71132814" w14:textId="77777777" w:rsidR="00B156A7" w:rsidRPr="009E5BCE" w:rsidRDefault="006058C6" w:rsidP="00D263A6">
      <w:pPr>
        <w:pStyle w:val="ListParagraph"/>
        <w:ind w:left="284"/>
        <w:jc w:val="both"/>
        <w:rPr>
          <w:rFonts w:ascii="Arial" w:hAnsi="Arial" w:cs="Arial"/>
        </w:rPr>
      </w:pPr>
      <w:r>
        <w:rPr>
          <w:rFonts w:ascii="Arial" w:hAnsi="Arial" w:cs="Arial"/>
        </w:rPr>
        <w:t>There are o</w:t>
      </w:r>
      <w:r w:rsidR="00B156A7" w:rsidRPr="009E5BCE">
        <w:rPr>
          <w:rFonts w:ascii="Arial" w:hAnsi="Arial" w:cs="Arial"/>
        </w:rPr>
        <w:t>ptions to pay additional regular contributions (ARCs) to purchase additional pension or contribute to an in</w:t>
      </w:r>
      <w:r>
        <w:rPr>
          <w:rFonts w:ascii="Arial" w:hAnsi="Arial" w:cs="Arial"/>
        </w:rPr>
        <w:t>-</w:t>
      </w:r>
      <w:r w:rsidR="00B156A7" w:rsidRPr="009E5BCE">
        <w:rPr>
          <w:rFonts w:ascii="Arial" w:hAnsi="Arial" w:cs="Arial"/>
        </w:rPr>
        <w:t>house additional voluntary contribution (AVC) scheme</w:t>
      </w:r>
      <w:r w:rsidR="00353D24">
        <w:rPr>
          <w:rFonts w:ascii="Arial" w:hAnsi="Arial" w:cs="Arial"/>
        </w:rPr>
        <w:t>.</w:t>
      </w:r>
    </w:p>
    <w:p w14:paraId="06F57BDC" w14:textId="77777777" w:rsidR="009E5BCE" w:rsidRDefault="009E5BCE" w:rsidP="00D263A6">
      <w:pPr>
        <w:pStyle w:val="ListParagraph"/>
        <w:jc w:val="both"/>
        <w:rPr>
          <w:rFonts w:ascii="Arial" w:hAnsi="Arial" w:cs="Arial"/>
        </w:rPr>
      </w:pPr>
    </w:p>
    <w:p w14:paraId="129D4C50" w14:textId="77777777" w:rsidR="009E5BCE" w:rsidRPr="009E5BCE" w:rsidRDefault="009E5BCE" w:rsidP="00D263A6">
      <w:pPr>
        <w:pStyle w:val="ListParagraph"/>
        <w:ind w:hanging="436"/>
        <w:jc w:val="both"/>
        <w:rPr>
          <w:rFonts w:ascii="Arial" w:hAnsi="Arial" w:cs="Arial"/>
          <w:b/>
        </w:rPr>
      </w:pPr>
      <w:r w:rsidRPr="009E5BCE">
        <w:rPr>
          <w:rFonts w:ascii="Arial" w:hAnsi="Arial" w:cs="Arial"/>
          <w:b/>
        </w:rPr>
        <w:t>Life Cover</w:t>
      </w:r>
    </w:p>
    <w:p w14:paraId="3785650A" w14:textId="77777777" w:rsidR="009E5BCE" w:rsidRPr="009E5BCE" w:rsidRDefault="009E5BCE" w:rsidP="00D263A6">
      <w:pPr>
        <w:pStyle w:val="ListParagraph"/>
        <w:jc w:val="both"/>
        <w:rPr>
          <w:rFonts w:ascii="Arial" w:hAnsi="Arial" w:cs="Arial"/>
          <w:b/>
        </w:rPr>
      </w:pPr>
    </w:p>
    <w:p w14:paraId="13821185" w14:textId="77777777" w:rsidR="009E5BCE" w:rsidRPr="009E5BCE" w:rsidRDefault="009E5BCE" w:rsidP="00D263A6">
      <w:pPr>
        <w:pStyle w:val="ListParagraph"/>
        <w:ind w:left="284"/>
        <w:jc w:val="both"/>
        <w:rPr>
          <w:rFonts w:ascii="Arial" w:hAnsi="Arial" w:cs="Arial"/>
        </w:rPr>
      </w:pPr>
      <w:r w:rsidRPr="009E5BCE">
        <w:rPr>
          <w:rFonts w:ascii="Arial" w:hAnsi="Arial" w:cs="Arial"/>
        </w:rPr>
        <w:t>Life cover in the scheme doesn’t change from April 2014. If you die in service whilst an active member of the scheme the scheme will still provide a lump sum payment of three times your annual pensionable pay. The only difference from April 2014 is that pay from non-contractual overtime is included in your annual pensionable pay figure.</w:t>
      </w:r>
    </w:p>
    <w:p w14:paraId="7FE6C978" w14:textId="77777777" w:rsidR="009E5BCE" w:rsidRPr="009E5BCE" w:rsidRDefault="009E5BCE" w:rsidP="00D263A6">
      <w:pPr>
        <w:pStyle w:val="ListParagraph"/>
        <w:jc w:val="both"/>
        <w:rPr>
          <w:rFonts w:ascii="Arial" w:hAnsi="Arial" w:cs="Arial"/>
        </w:rPr>
      </w:pPr>
      <w:r w:rsidRPr="009E5BCE">
        <w:rPr>
          <w:rFonts w:ascii="Arial" w:hAnsi="Arial" w:cs="Arial"/>
        </w:rPr>
        <w:t xml:space="preserve"> </w:t>
      </w:r>
    </w:p>
    <w:p w14:paraId="53CBFC99" w14:textId="77777777" w:rsidR="009E5BCE" w:rsidRPr="006058C6" w:rsidRDefault="009E5BCE" w:rsidP="00D263A6">
      <w:pPr>
        <w:ind w:left="284"/>
        <w:jc w:val="both"/>
        <w:rPr>
          <w:rFonts w:ascii="Arial" w:hAnsi="Arial" w:cs="Arial"/>
        </w:rPr>
      </w:pPr>
      <w:r w:rsidRPr="006058C6">
        <w:rPr>
          <w:rFonts w:ascii="Arial" w:hAnsi="Arial" w:cs="Arial"/>
        </w:rPr>
        <w:t>You can also continue to express your wish as to who you would like any death grant to be paid to by completing and returning an expression of wish form. You may also wish to update or change your expression of wish form this can be done in the same way.</w:t>
      </w:r>
      <w:r w:rsidR="000D6A5D">
        <w:rPr>
          <w:rFonts w:ascii="Arial" w:hAnsi="Arial" w:cs="Arial"/>
        </w:rPr>
        <w:t xml:space="preserve"> </w:t>
      </w:r>
      <w:r w:rsidRPr="006058C6">
        <w:rPr>
          <w:rFonts w:ascii="Arial" w:hAnsi="Arial" w:cs="Arial"/>
        </w:rPr>
        <w:t xml:space="preserve">Expression of wish forms are available from </w:t>
      </w:r>
      <w:r w:rsidR="00D86693">
        <w:rPr>
          <w:rFonts w:ascii="Arial" w:hAnsi="Arial" w:cs="Arial"/>
        </w:rPr>
        <w:t>our</w:t>
      </w:r>
      <w:r w:rsidRPr="006058C6">
        <w:rPr>
          <w:rFonts w:ascii="Arial" w:hAnsi="Arial" w:cs="Arial"/>
        </w:rPr>
        <w:t xml:space="preserve"> pension fund administrator </w:t>
      </w:r>
      <w:r w:rsidR="00D86693">
        <w:rPr>
          <w:rFonts w:ascii="Arial" w:hAnsi="Arial" w:cs="Arial"/>
        </w:rPr>
        <w:t>Pension Shared Service (contact details on page 17)</w:t>
      </w:r>
      <w:r w:rsidRPr="006058C6">
        <w:rPr>
          <w:rFonts w:ascii="Arial" w:hAnsi="Arial" w:cs="Arial"/>
        </w:rPr>
        <w:t>.</w:t>
      </w:r>
    </w:p>
    <w:p w14:paraId="53A66B19" w14:textId="77777777" w:rsidR="009E5BCE" w:rsidRDefault="009E5BCE" w:rsidP="00D263A6">
      <w:pPr>
        <w:pStyle w:val="ListParagraph"/>
        <w:jc w:val="both"/>
        <w:rPr>
          <w:rFonts w:ascii="Arial" w:hAnsi="Arial" w:cs="Arial"/>
        </w:rPr>
      </w:pPr>
    </w:p>
    <w:p w14:paraId="32677F0A" w14:textId="77777777" w:rsidR="009E5BCE" w:rsidRPr="009E5BCE" w:rsidRDefault="009E5BCE" w:rsidP="00D263A6">
      <w:pPr>
        <w:pStyle w:val="ListParagraph"/>
        <w:ind w:hanging="436"/>
        <w:jc w:val="both"/>
        <w:rPr>
          <w:rFonts w:ascii="Arial" w:hAnsi="Arial" w:cs="Arial"/>
          <w:b/>
        </w:rPr>
      </w:pPr>
      <w:r w:rsidRPr="009E5BCE">
        <w:rPr>
          <w:rFonts w:ascii="Arial" w:hAnsi="Arial" w:cs="Arial"/>
          <w:b/>
        </w:rPr>
        <w:t>Survivors' Pensions</w:t>
      </w:r>
    </w:p>
    <w:p w14:paraId="47817E1F" w14:textId="77777777" w:rsidR="009E5BCE" w:rsidRPr="009E5BCE" w:rsidRDefault="009E5BCE" w:rsidP="00D263A6">
      <w:pPr>
        <w:pStyle w:val="ListParagraph"/>
        <w:jc w:val="both"/>
        <w:rPr>
          <w:rFonts w:ascii="Arial" w:hAnsi="Arial" w:cs="Arial"/>
        </w:rPr>
      </w:pPr>
    </w:p>
    <w:p w14:paraId="4DD03CC8" w14:textId="77777777" w:rsidR="009E5BCE" w:rsidRPr="009E5BCE" w:rsidRDefault="009E5BCE" w:rsidP="00D263A6">
      <w:pPr>
        <w:pStyle w:val="ListParagraph"/>
        <w:ind w:left="284"/>
        <w:jc w:val="both"/>
        <w:rPr>
          <w:rFonts w:ascii="Arial" w:hAnsi="Arial" w:cs="Arial"/>
        </w:rPr>
      </w:pPr>
      <w:r w:rsidRPr="009E5BCE">
        <w:rPr>
          <w:rFonts w:ascii="Arial" w:hAnsi="Arial" w:cs="Arial"/>
        </w:rPr>
        <w:t>The scheme continues to provide cover for your family in the event of your death, with pensions for your dependants including spouses, civil partners, eligible cohabiting partners, and eligible children. This is an on-going pension for the rest of your spouse's, civil partner's or eligible cohabiting partner's life and is payable immediately after your death.</w:t>
      </w:r>
    </w:p>
    <w:p w14:paraId="48B8B679" w14:textId="77777777" w:rsidR="009E5BCE" w:rsidRPr="009E5BCE" w:rsidRDefault="009E5BCE" w:rsidP="00D263A6">
      <w:pPr>
        <w:pStyle w:val="ListParagraph"/>
        <w:jc w:val="both"/>
        <w:rPr>
          <w:rFonts w:ascii="Arial" w:hAnsi="Arial" w:cs="Arial"/>
        </w:rPr>
      </w:pPr>
      <w:r w:rsidRPr="009E5BCE">
        <w:rPr>
          <w:rFonts w:ascii="Arial" w:hAnsi="Arial" w:cs="Arial"/>
        </w:rPr>
        <w:t xml:space="preserve"> </w:t>
      </w:r>
    </w:p>
    <w:p w14:paraId="713D166C" w14:textId="77777777" w:rsidR="009E5BCE" w:rsidRPr="009E5BCE" w:rsidRDefault="009E5BCE" w:rsidP="00D263A6">
      <w:pPr>
        <w:pStyle w:val="ListParagraph"/>
        <w:ind w:left="284"/>
        <w:jc w:val="both"/>
        <w:rPr>
          <w:rFonts w:ascii="Arial" w:hAnsi="Arial" w:cs="Arial"/>
        </w:rPr>
      </w:pPr>
      <w:r w:rsidRPr="009E5BCE">
        <w:rPr>
          <w:rFonts w:ascii="Arial" w:hAnsi="Arial" w:cs="Arial"/>
        </w:rPr>
        <w:t>For your spouse or civil partner, the survivor's pension is 1/160th of your pensionable pay multiplied by the total membership you would have built up to your Normal Pension Age.</w:t>
      </w:r>
    </w:p>
    <w:p w14:paraId="4F921E9A" w14:textId="77777777" w:rsidR="009E5BCE" w:rsidRPr="009E5BCE" w:rsidRDefault="009E5BCE" w:rsidP="00D263A6">
      <w:pPr>
        <w:pStyle w:val="ListParagraph"/>
        <w:jc w:val="both"/>
        <w:rPr>
          <w:rFonts w:ascii="Arial" w:hAnsi="Arial" w:cs="Arial"/>
        </w:rPr>
      </w:pPr>
      <w:r w:rsidRPr="009E5BCE">
        <w:rPr>
          <w:rFonts w:ascii="Arial" w:hAnsi="Arial" w:cs="Arial"/>
        </w:rPr>
        <w:t xml:space="preserve"> </w:t>
      </w:r>
    </w:p>
    <w:p w14:paraId="33ACCD0B" w14:textId="77777777" w:rsidR="009E5BCE" w:rsidRPr="009E5BCE" w:rsidRDefault="009E5BCE" w:rsidP="00D263A6">
      <w:pPr>
        <w:pStyle w:val="ListParagraph"/>
        <w:ind w:left="284"/>
        <w:jc w:val="both"/>
        <w:rPr>
          <w:rFonts w:ascii="Arial" w:hAnsi="Arial" w:cs="Arial"/>
        </w:rPr>
      </w:pPr>
      <w:r w:rsidRPr="009E5BCE">
        <w:rPr>
          <w:rFonts w:ascii="Arial" w:hAnsi="Arial" w:cs="Arial"/>
        </w:rPr>
        <w:t>For your eligible cohabiting partner, the survivor's pension is calculated in the same way, although only your membership from 6 April 1988 is used in the calculation plus any of your membership before 6 April 1988 for which you have opted to pay additional contributions so that it counts towards a cohabiting partner's pension.</w:t>
      </w:r>
    </w:p>
    <w:p w14:paraId="0742E356" w14:textId="77777777" w:rsidR="009E5BCE" w:rsidRPr="009E5BCE" w:rsidRDefault="009E5BCE" w:rsidP="00D263A6">
      <w:pPr>
        <w:pStyle w:val="ListParagraph"/>
        <w:jc w:val="both"/>
        <w:rPr>
          <w:rFonts w:ascii="Arial" w:hAnsi="Arial" w:cs="Arial"/>
        </w:rPr>
      </w:pPr>
      <w:r w:rsidRPr="009E5BCE">
        <w:rPr>
          <w:rFonts w:ascii="Arial" w:hAnsi="Arial" w:cs="Arial"/>
        </w:rPr>
        <w:t xml:space="preserve"> </w:t>
      </w:r>
    </w:p>
    <w:p w14:paraId="2C180088" w14:textId="77777777" w:rsidR="009E5BCE" w:rsidRPr="009E5BCE" w:rsidRDefault="009E5BCE" w:rsidP="00D263A6">
      <w:pPr>
        <w:pStyle w:val="ListParagraph"/>
        <w:ind w:left="284"/>
        <w:jc w:val="both"/>
        <w:rPr>
          <w:rFonts w:ascii="Arial" w:hAnsi="Arial" w:cs="Arial"/>
        </w:rPr>
      </w:pPr>
      <w:r w:rsidRPr="009E5BCE">
        <w:rPr>
          <w:rFonts w:ascii="Arial" w:hAnsi="Arial" w:cs="Arial"/>
        </w:rPr>
        <w:t>From April 2014, a survivor’s pension will automatically be payable to an eligible cohabiting partner without the need for the scheme member to have completed a form nominating them to receive a survivor’s pension.</w:t>
      </w:r>
    </w:p>
    <w:p w14:paraId="2FD93447" w14:textId="77777777" w:rsidR="009563C8" w:rsidRPr="00E66494" w:rsidRDefault="009563C8" w:rsidP="00D263A6">
      <w:pPr>
        <w:jc w:val="both"/>
        <w:rPr>
          <w:rFonts w:ascii="Arial" w:hAnsi="Arial" w:cs="Arial"/>
        </w:rPr>
      </w:pPr>
    </w:p>
    <w:p w14:paraId="3AB75D96" w14:textId="77777777" w:rsidR="00E66494" w:rsidRPr="00E66494" w:rsidRDefault="00E66494" w:rsidP="00D263A6">
      <w:pPr>
        <w:autoSpaceDE w:val="0"/>
        <w:autoSpaceDN w:val="0"/>
        <w:adjustRightInd w:val="0"/>
        <w:jc w:val="both"/>
        <w:rPr>
          <w:rFonts w:ascii="Arial" w:hAnsi="Arial" w:cs="Arial"/>
          <w:b/>
          <w:bCs/>
          <w:i/>
        </w:rPr>
      </w:pPr>
      <w:r w:rsidRPr="00E66494">
        <w:rPr>
          <w:rFonts w:ascii="Arial" w:hAnsi="Arial" w:cs="Arial"/>
          <w:b/>
          <w:bCs/>
          <w:i/>
        </w:rPr>
        <w:t>Scheme rules and benefits pre 1</w:t>
      </w:r>
      <w:r w:rsidRPr="00E66494">
        <w:rPr>
          <w:rFonts w:ascii="Arial" w:hAnsi="Arial" w:cs="Arial"/>
          <w:b/>
          <w:bCs/>
          <w:i/>
          <w:vertAlign w:val="superscript"/>
        </w:rPr>
        <w:t>st</w:t>
      </w:r>
      <w:r w:rsidRPr="00E66494">
        <w:rPr>
          <w:rFonts w:ascii="Arial" w:hAnsi="Arial" w:cs="Arial"/>
          <w:b/>
          <w:bCs/>
          <w:i/>
        </w:rPr>
        <w:t xml:space="preserve"> April 2014</w:t>
      </w:r>
    </w:p>
    <w:p w14:paraId="278E1C82" w14:textId="77777777" w:rsidR="00E66494" w:rsidRPr="00E66494" w:rsidRDefault="00E66494" w:rsidP="00D263A6">
      <w:pPr>
        <w:autoSpaceDE w:val="0"/>
        <w:autoSpaceDN w:val="0"/>
        <w:adjustRightInd w:val="0"/>
        <w:jc w:val="both"/>
        <w:rPr>
          <w:rFonts w:ascii="Arial" w:hAnsi="Arial" w:cs="Arial"/>
        </w:rPr>
      </w:pPr>
    </w:p>
    <w:p w14:paraId="11E878FA" w14:textId="77777777" w:rsidR="00E66494" w:rsidRPr="00E66494" w:rsidRDefault="003C6473" w:rsidP="00D263A6">
      <w:pPr>
        <w:tabs>
          <w:tab w:val="left" w:pos="1980"/>
        </w:tabs>
        <w:ind w:left="284"/>
        <w:jc w:val="both"/>
        <w:outlineLvl w:val="0"/>
        <w:rPr>
          <w:rFonts w:ascii="Arial" w:hAnsi="Arial" w:cs="Arial"/>
          <w:color w:val="000000"/>
        </w:rPr>
      </w:pPr>
      <w:proofErr w:type="gramStart"/>
      <w:r w:rsidRPr="003C6473">
        <w:rPr>
          <w:rFonts w:ascii="Arial" w:hAnsi="Arial" w:cs="Arial"/>
          <w:color w:val="000000"/>
        </w:rPr>
        <w:t>All of</w:t>
      </w:r>
      <w:proofErr w:type="gramEnd"/>
      <w:r w:rsidRPr="003C6473">
        <w:rPr>
          <w:rFonts w:ascii="Arial" w:hAnsi="Arial" w:cs="Arial"/>
          <w:color w:val="000000"/>
        </w:rPr>
        <w:t xml:space="preserve"> the membership you build up in the Scheme before April 2014 will be used to calculate your benefits in the final salary scheme. Only the </w:t>
      </w:r>
      <w:r w:rsidRPr="003C6473">
        <w:rPr>
          <w:rFonts w:ascii="Arial" w:hAnsi="Arial" w:cs="Arial"/>
          <w:color w:val="000000"/>
        </w:rPr>
        <w:lastRenderedPageBreak/>
        <w:t>membership you build up from April 2014 onwards is calculated under the rules of the new career average scheme.</w:t>
      </w:r>
      <w:r>
        <w:rPr>
          <w:rFonts w:ascii="Arial" w:hAnsi="Arial" w:cs="Arial"/>
          <w:color w:val="000000"/>
        </w:rPr>
        <w:tab/>
      </w:r>
    </w:p>
    <w:p w14:paraId="1E75C8D1" w14:textId="77777777" w:rsidR="00E66494" w:rsidRPr="00E66494" w:rsidRDefault="00E66494" w:rsidP="00D263A6">
      <w:pPr>
        <w:jc w:val="both"/>
        <w:outlineLvl w:val="0"/>
        <w:rPr>
          <w:rFonts w:ascii="Arial" w:hAnsi="Arial" w:cs="Arial"/>
          <w:color w:val="000000"/>
          <w:highlight w:val="green"/>
        </w:rPr>
      </w:pPr>
    </w:p>
    <w:p w14:paraId="27A5C408" w14:textId="77777777" w:rsidR="00E66494" w:rsidRDefault="00E66494" w:rsidP="0089312B">
      <w:pPr>
        <w:autoSpaceDE w:val="0"/>
        <w:autoSpaceDN w:val="0"/>
        <w:adjustRightInd w:val="0"/>
        <w:ind w:left="284"/>
        <w:jc w:val="both"/>
        <w:rPr>
          <w:rFonts w:ascii="Arial" w:hAnsi="Arial" w:cs="Arial"/>
        </w:rPr>
      </w:pPr>
      <w:r w:rsidRPr="00E66494">
        <w:rPr>
          <w:rFonts w:ascii="Arial" w:hAnsi="Arial" w:cs="Arial"/>
        </w:rPr>
        <w:t>Membership accrual for service up to 31 March 2008, the pension is based on 1/80</w:t>
      </w:r>
      <w:r w:rsidRPr="00E66494">
        <w:rPr>
          <w:rFonts w:ascii="Arial" w:hAnsi="Arial" w:cs="Arial"/>
          <w:vertAlign w:val="superscript"/>
        </w:rPr>
        <w:t>th</w:t>
      </w:r>
      <w:r w:rsidRPr="00E66494">
        <w:rPr>
          <w:rFonts w:ascii="Arial" w:hAnsi="Arial" w:cs="Arial"/>
        </w:rPr>
        <w:t xml:space="preserve"> of the member’s final year’s pensionable pay. For service after 1 April 2008</w:t>
      </w:r>
      <w:r w:rsidR="003C6473">
        <w:rPr>
          <w:rFonts w:ascii="Arial" w:hAnsi="Arial" w:cs="Arial"/>
        </w:rPr>
        <w:t xml:space="preserve"> and to 31</w:t>
      </w:r>
      <w:r w:rsidR="003C6473">
        <w:rPr>
          <w:rFonts w:ascii="Arial" w:hAnsi="Arial" w:cs="Arial"/>
          <w:vertAlign w:val="superscript"/>
        </w:rPr>
        <w:t xml:space="preserve"> </w:t>
      </w:r>
      <w:r w:rsidR="003C6473">
        <w:rPr>
          <w:rFonts w:ascii="Arial" w:hAnsi="Arial" w:cs="Arial"/>
        </w:rPr>
        <w:t>March 2014</w:t>
      </w:r>
      <w:r w:rsidRPr="00E66494">
        <w:rPr>
          <w:rFonts w:ascii="Arial" w:hAnsi="Arial" w:cs="Arial"/>
        </w:rPr>
        <w:t>, the pension is based on 1/60</w:t>
      </w:r>
      <w:r w:rsidRPr="00E66494">
        <w:rPr>
          <w:rFonts w:ascii="Arial" w:hAnsi="Arial" w:cs="Arial"/>
          <w:vertAlign w:val="superscript"/>
        </w:rPr>
        <w:t>th</w:t>
      </w:r>
      <w:r w:rsidRPr="00E66494">
        <w:rPr>
          <w:rFonts w:ascii="Arial" w:hAnsi="Arial" w:cs="Arial"/>
        </w:rPr>
        <w:t xml:space="preserve"> of the member’s final year’s pensionable pay.  </w:t>
      </w:r>
    </w:p>
    <w:p w14:paraId="1D5E3309" w14:textId="77777777" w:rsidR="0089312B" w:rsidRPr="00E66494" w:rsidRDefault="0089312B" w:rsidP="0089312B">
      <w:pPr>
        <w:autoSpaceDE w:val="0"/>
        <w:autoSpaceDN w:val="0"/>
        <w:adjustRightInd w:val="0"/>
        <w:ind w:left="284"/>
        <w:jc w:val="both"/>
        <w:rPr>
          <w:rFonts w:ascii="Arial" w:hAnsi="Arial" w:cs="Arial"/>
        </w:rPr>
      </w:pPr>
    </w:p>
    <w:p w14:paraId="41D8A8BA" w14:textId="77777777" w:rsidR="00E66494" w:rsidRPr="00E66494" w:rsidRDefault="009E7C88" w:rsidP="00D263A6">
      <w:pPr>
        <w:autoSpaceDE w:val="0"/>
        <w:autoSpaceDN w:val="0"/>
        <w:adjustRightInd w:val="0"/>
        <w:jc w:val="both"/>
        <w:rPr>
          <w:rFonts w:ascii="Arial" w:hAnsi="Arial" w:cs="Arial"/>
        </w:rPr>
      </w:pPr>
      <w:r>
        <w:rPr>
          <w:rFonts w:ascii="Arial" w:hAnsi="Arial" w:cs="Arial"/>
        </w:rPr>
        <w:t>Further information can be obtained from</w:t>
      </w:r>
      <w:r w:rsidR="00E66494" w:rsidRPr="00E66494">
        <w:rPr>
          <w:rFonts w:ascii="Arial" w:hAnsi="Arial" w:cs="Arial"/>
        </w:rPr>
        <w:t xml:space="preserve"> </w:t>
      </w:r>
      <w:hyperlink r:id="rId7" w:history="1">
        <w:r w:rsidR="00E66494" w:rsidRPr="00E66494">
          <w:rPr>
            <w:rFonts w:ascii="Arial" w:eastAsia="Calibri" w:hAnsi="Arial" w:cs="Arial"/>
            <w:b/>
            <w:bCs/>
            <w:color w:val="0000FF"/>
            <w:sz w:val="22"/>
            <w:szCs w:val="22"/>
            <w:u w:val="single"/>
            <w:lang w:eastAsia="en-US"/>
          </w:rPr>
          <w:t>www.lgps2014.org</w:t>
        </w:r>
      </w:hyperlink>
      <w:r w:rsidR="00E66494" w:rsidRPr="00E66494">
        <w:rPr>
          <w:rFonts w:ascii="Arial" w:eastAsia="Calibri" w:hAnsi="Arial" w:cs="Arial"/>
          <w:b/>
          <w:bCs/>
          <w:color w:val="000000"/>
          <w:sz w:val="22"/>
          <w:szCs w:val="22"/>
          <w:lang w:eastAsia="en-US"/>
        </w:rPr>
        <w:t xml:space="preserve"> </w:t>
      </w:r>
      <w:r w:rsidR="009E5BCE">
        <w:rPr>
          <w:rFonts w:ascii="Arial" w:hAnsi="Arial" w:cs="Arial"/>
        </w:rPr>
        <w:t xml:space="preserve">and </w:t>
      </w:r>
      <w:r>
        <w:rPr>
          <w:rFonts w:ascii="Arial" w:hAnsi="Arial" w:cs="Arial"/>
        </w:rPr>
        <w:t>www.mylgpspension.co.uk</w:t>
      </w:r>
      <w:r w:rsidR="00E66494" w:rsidRPr="00E66494">
        <w:rPr>
          <w:rFonts w:ascii="Arial" w:hAnsi="Arial" w:cs="Arial"/>
        </w:rPr>
        <w:t>.</w:t>
      </w:r>
    </w:p>
    <w:p w14:paraId="2FCDB3D9" w14:textId="77777777" w:rsidR="00E66494" w:rsidRDefault="00E66494" w:rsidP="00D263A6">
      <w:pPr>
        <w:autoSpaceDE w:val="0"/>
        <w:autoSpaceDN w:val="0"/>
        <w:adjustRightInd w:val="0"/>
        <w:jc w:val="both"/>
        <w:rPr>
          <w:rFonts w:ascii="Arial" w:hAnsi="Arial" w:cs="Arial"/>
        </w:rPr>
      </w:pPr>
    </w:p>
    <w:p w14:paraId="0179623A" w14:textId="77777777" w:rsidR="00E66494" w:rsidRPr="00E66494" w:rsidRDefault="00381AE2" w:rsidP="00D263A6">
      <w:pPr>
        <w:autoSpaceDE w:val="0"/>
        <w:autoSpaceDN w:val="0"/>
        <w:adjustRightInd w:val="0"/>
        <w:jc w:val="both"/>
        <w:rPr>
          <w:rFonts w:ascii="Arial" w:hAnsi="Arial" w:cs="Arial"/>
          <w:b/>
          <w:bCs/>
          <w:i/>
        </w:rPr>
      </w:pPr>
      <w:r w:rsidRPr="00E66494">
        <w:rPr>
          <w:rFonts w:ascii="Arial" w:hAnsi="Arial" w:cs="Arial"/>
          <w:b/>
          <w:bCs/>
          <w:i/>
        </w:rPr>
        <w:t>Pension’s</w:t>
      </w:r>
      <w:r w:rsidR="00E66494" w:rsidRPr="00E66494">
        <w:rPr>
          <w:rFonts w:ascii="Arial" w:hAnsi="Arial" w:cs="Arial"/>
          <w:b/>
          <w:bCs/>
          <w:i/>
        </w:rPr>
        <w:t xml:space="preserve"> increases </w:t>
      </w:r>
    </w:p>
    <w:p w14:paraId="28BA0F1B" w14:textId="77777777" w:rsidR="00E66494" w:rsidRPr="00E66494" w:rsidRDefault="00E66494" w:rsidP="00D263A6">
      <w:pPr>
        <w:autoSpaceDE w:val="0"/>
        <w:autoSpaceDN w:val="0"/>
        <w:adjustRightInd w:val="0"/>
        <w:jc w:val="both"/>
        <w:rPr>
          <w:rFonts w:ascii="Arial" w:hAnsi="Arial" w:cs="Arial"/>
        </w:rPr>
      </w:pPr>
    </w:p>
    <w:p w14:paraId="04E255F5" w14:textId="77777777" w:rsidR="00DB7719" w:rsidRPr="00DB7719" w:rsidRDefault="00DB7719" w:rsidP="00D263A6">
      <w:pPr>
        <w:autoSpaceDE w:val="0"/>
        <w:autoSpaceDN w:val="0"/>
        <w:adjustRightInd w:val="0"/>
        <w:jc w:val="both"/>
        <w:rPr>
          <w:rFonts w:ascii="Arial" w:hAnsi="Arial" w:cs="Arial"/>
        </w:rPr>
      </w:pPr>
      <w:r w:rsidRPr="00DB7719">
        <w:rPr>
          <w:rFonts w:ascii="Arial" w:hAnsi="Arial" w:cs="Arial"/>
        </w:rPr>
        <w:t>If you are under age 55 your pension will be increased if you retired because of ill-health, or your deferred pension was brought into payment early because of ill-health and you are permanently incapacitated from engaging in any regular full-time employment. If you are under 55 and your pension is in payment for any other reason it will normally be paid at a flat rate until age 55. At 55 it will increase to the level it would have been, had it been increased every year since your dat</w:t>
      </w:r>
      <w:r w:rsidR="0069126A">
        <w:rPr>
          <w:rFonts w:ascii="Arial" w:hAnsi="Arial" w:cs="Arial"/>
        </w:rPr>
        <w:t>e of leaving.</w:t>
      </w:r>
    </w:p>
    <w:p w14:paraId="7A083A21" w14:textId="77777777" w:rsidR="00DB7719" w:rsidRPr="00DB7719" w:rsidRDefault="00DB7719" w:rsidP="00D263A6">
      <w:pPr>
        <w:autoSpaceDE w:val="0"/>
        <w:autoSpaceDN w:val="0"/>
        <w:adjustRightInd w:val="0"/>
        <w:jc w:val="both"/>
        <w:rPr>
          <w:rFonts w:ascii="Arial" w:hAnsi="Arial" w:cs="Arial"/>
        </w:rPr>
      </w:pPr>
    </w:p>
    <w:p w14:paraId="28AB0D4C" w14:textId="77777777" w:rsidR="00DB7719" w:rsidRPr="00DB7719" w:rsidRDefault="00DB7719" w:rsidP="00D263A6">
      <w:pPr>
        <w:autoSpaceDE w:val="0"/>
        <w:autoSpaceDN w:val="0"/>
        <w:adjustRightInd w:val="0"/>
        <w:jc w:val="both"/>
        <w:rPr>
          <w:rFonts w:ascii="Arial" w:hAnsi="Arial" w:cs="Arial"/>
        </w:rPr>
      </w:pPr>
      <w:r w:rsidRPr="00DB7719">
        <w:rPr>
          <w:rFonts w:ascii="Arial" w:hAnsi="Arial" w:cs="Arial"/>
        </w:rPr>
        <w:t>Unlike many pension schemes which limit increases, your LGPS pension increases in line with the cost of living.  Although pensions are increased in April, they are based on the rise in the cost of living over the 12 months to the previous September.</w:t>
      </w:r>
    </w:p>
    <w:p w14:paraId="4529DDDF" w14:textId="77777777" w:rsidR="00DB7719" w:rsidRDefault="00DB7719" w:rsidP="00D263A6">
      <w:pPr>
        <w:autoSpaceDE w:val="0"/>
        <w:autoSpaceDN w:val="0"/>
        <w:adjustRightInd w:val="0"/>
        <w:jc w:val="both"/>
        <w:rPr>
          <w:rFonts w:ascii="Arial" w:hAnsi="Arial" w:cs="Arial"/>
        </w:rPr>
      </w:pPr>
    </w:p>
    <w:p w14:paraId="723195DE" w14:textId="77777777" w:rsidR="00E66494" w:rsidRPr="00E66494" w:rsidRDefault="009E5BCE" w:rsidP="00D263A6">
      <w:pPr>
        <w:autoSpaceDE w:val="0"/>
        <w:autoSpaceDN w:val="0"/>
        <w:adjustRightInd w:val="0"/>
        <w:jc w:val="both"/>
        <w:rPr>
          <w:rFonts w:ascii="Arial" w:hAnsi="Arial" w:cs="Arial"/>
        </w:rPr>
      </w:pPr>
      <w:r>
        <w:rPr>
          <w:rFonts w:ascii="Arial" w:hAnsi="Arial" w:cs="Arial"/>
        </w:rPr>
        <w:t>The</w:t>
      </w:r>
      <w:r w:rsidR="00DB7719">
        <w:rPr>
          <w:rFonts w:ascii="Arial" w:hAnsi="Arial" w:cs="Arial"/>
        </w:rPr>
        <w:t xml:space="preserve"> pensions increase in</w:t>
      </w:r>
      <w:r>
        <w:rPr>
          <w:rFonts w:ascii="Arial" w:hAnsi="Arial" w:cs="Arial"/>
        </w:rPr>
        <w:t xml:space="preserve"> 201</w:t>
      </w:r>
      <w:r w:rsidR="00C3355E">
        <w:rPr>
          <w:rFonts w:ascii="Arial" w:hAnsi="Arial" w:cs="Arial"/>
        </w:rPr>
        <w:t>9</w:t>
      </w:r>
      <w:r>
        <w:rPr>
          <w:rFonts w:ascii="Arial" w:hAnsi="Arial" w:cs="Arial"/>
        </w:rPr>
        <w:t xml:space="preserve"> </w:t>
      </w:r>
      <w:r w:rsidR="00DB7719">
        <w:rPr>
          <w:rFonts w:ascii="Arial" w:hAnsi="Arial" w:cs="Arial"/>
        </w:rPr>
        <w:t xml:space="preserve">was </w:t>
      </w:r>
      <w:r w:rsidR="009E6E7F">
        <w:rPr>
          <w:rFonts w:ascii="Arial" w:hAnsi="Arial" w:cs="Arial"/>
        </w:rPr>
        <w:t>1</w:t>
      </w:r>
      <w:r w:rsidR="00341074" w:rsidRPr="00C3355E">
        <w:rPr>
          <w:rFonts w:ascii="Arial" w:hAnsi="Arial" w:cs="Arial"/>
          <w:color w:val="FF0000"/>
        </w:rPr>
        <w:t>.</w:t>
      </w:r>
      <w:r w:rsidR="009E6E7F" w:rsidRPr="009E6E7F">
        <w:rPr>
          <w:rFonts w:ascii="Arial" w:hAnsi="Arial" w:cs="Arial"/>
        </w:rPr>
        <w:t>7</w:t>
      </w:r>
      <w:r w:rsidR="00DB7719" w:rsidRPr="009E6E7F">
        <w:rPr>
          <w:rFonts w:ascii="Arial" w:hAnsi="Arial" w:cs="Arial"/>
        </w:rPr>
        <w:t>%</w:t>
      </w:r>
      <w:r w:rsidRPr="00C3355E">
        <w:rPr>
          <w:rFonts w:ascii="Arial" w:hAnsi="Arial" w:cs="Arial"/>
          <w:color w:val="FF0000"/>
        </w:rPr>
        <w:t xml:space="preserve"> </w:t>
      </w:r>
      <w:r w:rsidRPr="009E5BCE">
        <w:rPr>
          <w:rFonts w:ascii="Arial" w:hAnsi="Arial" w:cs="Arial"/>
        </w:rPr>
        <w:t>(201</w:t>
      </w:r>
      <w:r w:rsidR="00C3355E">
        <w:rPr>
          <w:rFonts w:ascii="Arial" w:hAnsi="Arial" w:cs="Arial"/>
        </w:rPr>
        <w:t>8</w:t>
      </w:r>
      <w:r>
        <w:rPr>
          <w:rFonts w:ascii="Arial" w:hAnsi="Arial" w:cs="Arial"/>
        </w:rPr>
        <w:t xml:space="preserve">: </w:t>
      </w:r>
      <w:r w:rsidR="00C3355E">
        <w:rPr>
          <w:rFonts w:ascii="Arial" w:hAnsi="Arial" w:cs="Arial"/>
        </w:rPr>
        <w:t>2</w:t>
      </w:r>
      <w:r>
        <w:rPr>
          <w:rFonts w:ascii="Arial" w:hAnsi="Arial" w:cs="Arial"/>
        </w:rPr>
        <w:t>.</w:t>
      </w:r>
      <w:r w:rsidR="00C3355E">
        <w:rPr>
          <w:rFonts w:ascii="Arial" w:hAnsi="Arial" w:cs="Arial"/>
        </w:rPr>
        <w:t>4</w:t>
      </w:r>
      <w:r>
        <w:rPr>
          <w:rFonts w:ascii="Arial" w:hAnsi="Arial" w:cs="Arial"/>
        </w:rPr>
        <w:t>%).</w:t>
      </w:r>
    </w:p>
    <w:p w14:paraId="734F4807" w14:textId="77777777" w:rsidR="00E66494" w:rsidRPr="00E66494" w:rsidRDefault="00E66494" w:rsidP="00D263A6">
      <w:pPr>
        <w:autoSpaceDE w:val="0"/>
        <w:autoSpaceDN w:val="0"/>
        <w:adjustRightInd w:val="0"/>
        <w:jc w:val="both"/>
        <w:rPr>
          <w:rFonts w:cs="Arial"/>
          <w:b/>
          <w:bCs/>
        </w:rPr>
      </w:pPr>
    </w:p>
    <w:p w14:paraId="438B216A" w14:textId="77777777" w:rsidR="00E66494" w:rsidRPr="00E66494" w:rsidRDefault="00E66494" w:rsidP="00D263A6">
      <w:pPr>
        <w:autoSpaceDE w:val="0"/>
        <w:autoSpaceDN w:val="0"/>
        <w:adjustRightInd w:val="0"/>
        <w:jc w:val="both"/>
        <w:rPr>
          <w:rFonts w:ascii="Arial" w:hAnsi="Arial" w:cs="Arial"/>
          <w:b/>
          <w:bCs/>
          <w:i/>
        </w:rPr>
      </w:pPr>
      <w:r w:rsidRPr="00E66494">
        <w:rPr>
          <w:rFonts w:ascii="Arial" w:hAnsi="Arial" w:cs="Arial"/>
          <w:b/>
          <w:bCs/>
          <w:i/>
        </w:rPr>
        <w:t>Communications</w:t>
      </w:r>
    </w:p>
    <w:p w14:paraId="4B8DB680" w14:textId="77777777" w:rsidR="00E66494" w:rsidRPr="00E66494" w:rsidRDefault="00E66494" w:rsidP="00D263A6">
      <w:pPr>
        <w:autoSpaceDE w:val="0"/>
        <w:autoSpaceDN w:val="0"/>
        <w:adjustRightInd w:val="0"/>
        <w:jc w:val="both"/>
        <w:rPr>
          <w:rFonts w:ascii="Arial" w:hAnsi="Arial" w:cs="Arial"/>
          <w:highlight w:val="red"/>
        </w:rPr>
      </w:pPr>
    </w:p>
    <w:p w14:paraId="169F21EC" w14:textId="77777777" w:rsidR="00E66494" w:rsidRPr="007654E4" w:rsidRDefault="007654E4" w:rsidP="00D263A6">
      <w:pPr>
        <w:autoSpaceDE w:val="0"/>
        <w:autoSpaceDN w:val="0"/>
        <w:adjustRightInd w:val="0"/>
        <w:jc w:val="both"/>
        <w:rPr>
          <w:rFonts w:ascii="Arial" w:hAnsi="Arial" w:cs="Arial"/>
        </w:rPr>
      </w:pPr>
      <w:r w:rsidRPr="007654E4">
        <w:rPr>
          <w:rFonts w:ascii="Arial" w:hAnsi="Arial" w:cs="Arial"/>
        </w:rPr>
        <w:t>P</w:t>
      </w:r>
      <w:r w:rsidR="00E66494" w:rsidRPr="007654E4">
        <w:rPr>
          <w:rFonts w:ascii="Arial" w:hAnsi="Arial" w:cs="Arial"/>
        </w:rPr>
        <w:t>re-retirement course</w:t>
      </w:r>
      <w:r w:rsidRPr="007654E4">
        <w:rPr>
          <w:rFonts w:ascii="Arial" w:hAnsi="Arial" w:cs="Arial"/>
        </w:rPr>
        <w:t>s</w:t>
      </w:r>
      <w:r w:rsidR="00E66494" w:rsidRPr="007654E4">
        <w:rPr>
          <w:rFonts w:ascii="Arial" w:hAnsi="Arial" w:cs="Arial"/>
        </w:rPr>
        <w:t xml:space="preserve"> </w:t>
      </w:r>
      <w:r w:rsidRPr="007654E4">
        <w:rPr>
          <w:rFonts w:ascii="Arial" w:hAnsi="Arial" w:cs="Arial"/>
        </w:rPr>
        <w:t>are</w:t>
      </w:r>
      <w:r w:rsidR="00E66494" w:rsidRPr="007654E4">
        <w:rPr>
          <w:rFonts w:ascii="Arial" w:hAnsi="Arial" w:cs="Arial"/>
        </w:rPr>
        <w:t xml:space="preserve"> held </w:t>
      </w:r>
      <w:r w:rsidRPr="007654E4">
        <w:rPr>
          <w:rFonts w:ascii="Arial" w:hAnsi="Arial" w:cs="Arial"/>
        </w:rPr>
        <w:t>frequently</w:t>
      </w:r>
      <w:r w:rsidR="00E66494" w:rsidRPr="007654E4">
        <w:rPr>
          <w:rFonts w:ascii="Arial" w:hAnsi="Arial" w:cs="Arial"/>
        </w:rPr>
        <w:t xml:space="preserve"> </w:t>
      </w:r>
      <w:r w:rsidRPr="007654E4">
        <w:rPr>
          <w:rFonts w:ascii="Arial" w:hAnsi="Arial" w:cs="Arial"/>
        </w:rPr>
        <w:t xml:space="preserve">during the </w:t>
      </w:r>
      <w:r w:rsidR="00E66494" w:rsidRPr="007654E4">
        <w:rPr>
          <w:rFonts w:ascii="Arial" w:hAnsi="Arial" w:cs="Arial"/>
        </w:rPr>
        <w:t>year</w:t>
      </w:r>
      <w:r w:rsidRPr="007654E4">
        <w:rPr>
          <w:rFonts w:ascii="Arial" w:hAnsi="Arial" w:cs="Arial"/>
        </w:rPr>
        <w:t xml:space="preserve"> run by human resources</w:t>
      </w:r>
      <w:r w:rsidR="00E66494" w:rsidRPr="007654E4">
        <w:rPr>
          <w:rFonts w:ascii="Arial" w:hAnsi="Arial" w:cs="Arial"/>
        </w:rPr>
        <w:t xml:space="preserve">. These courses provide members who are approaching retirement with useful information from State benefits to spare time activities. </w:t>
      </w:r>
    </w:p>
    <w:p w14:paraId="71E510E8" w14:textId="77777777" w:rsidR="007654E4" w:rsidRPr="00DB7719" w:rsidRDefault="007654E4" w:rsidP="00D263A6">
      <w:pPr>
        <w:autoSpaceDE w:val="0"/>
        <w:autoSpaceDN w:val="0"/>
        <w:adjustRightInd w:val="0"/>
        <w:jc w:val="both"/>
        <w:rPr>
          <w:rFonts w:ascii="Arial" w:hAnsi="Arial" w:cs="Arial"/>
          <w:color w:val="FF0000"/>
        </w:rPr>
      </w:pPr>
    </w:p>
    <w:p w14:paraId="7BC67AA1" w14:textId="77777777" w:rsidR="00E66494" w:rsidRDefault="00E66494" w:rsidP="00D263A6">
      <w:pPr>
        <w:autoSpaceDE w:val="0"/>
        <w:autoSpaceDN w:val="0"/>
        <w:adjustRightInd w:val="0"/>
        <w:jc w:val="both"/>
        <w:rPr>
          <w:rFonts w:ascii="Arial" w:hAnsi="Arial" w:cs="Arial"/>
          <w:bCs/>
        </w:rPr>
      </w:pPr>
      <w:r w:rsidRPr="00E66494">
        <w:rPr>
          <w:rFonts w:ascii="Arial" w:hAnsi="Arial" w:cs="Arial"/>
          <w:bCs/>
        </w:rPr>
        <w:t>Enquiries concerning the Local Government Pension Scheme with the London Borough of Waltham Forest or entitlement to benefits should be addressed to:</w:t>
      </w:r>
    </w:p>
    <w:p w14:paraId="085B777D" w14:textId="77777777" w:rsidR="004E4996" w:rsidRPr="00E66494" w:rsidRDefault="004E4996" w:rsidP="00D263A6">
      <w:pPr>
        <w:autoSpaceDE w:val="0"/>
        <w:autoSpaceDN w:val="0"/>
        <w:adjustRightInd w:val="0"/>
        <w:jc w:val="both"/>
        <w:rPr>
          <w:rFonts w:ascii="Arial" w:hAnsi="Arial" w:cs="Arial"/>
          <w:bCs/>
        </w:rPr>
      </w:pPr>
    </w:p>
    <w:p w14:paraId="3803B9C6" w14:textId="77777777" w:rsidR="0069126A" w:rsidRPr="0089312B" w:rsidRDefault="0069126A" w:rsidP="00D263A6">
      <w:pPr>
        <w:autoSpaceDE w:val="0"/>
        <w:autoSpaceDN w:val="0"/>
        <w:adjustRightInd w:val="0"/>
        <w:jc w:val="both"/>
        <w:rPr>
          <w:rFonts w:ascii="Arial" w:hAnsi="Arial" w:cs="Arial"/>
          <w:b/>
          <w:bCs/>
        </w:rPr>
      </w:pPr>
      <w:r w:rsidRPr="0089312B">
        <w:rPr>
          <w:rFonts w:ascii="Arial" w:hAnsi="Arial" w:cs="Arial"/>
          <w:b/>
          <w:bCs/>
        </w:rPr>
        <w:t>The Pension Shared Service</w:t>
      </w:r>
    </w:p>
    <w:p w14:paraId="01FA9FB9" w14:textId="77777777" w:rsidR="0069126A" w:rsidRDefault="0069126A" w:rsidP="00D263A6">
      <w:pPr>
        <w:autoSpaceDE w:val="0"/>
        <w:autoSpaceDN w:val="0"/>
        <w:adjustRightInd w:val="0"/>
        <w:jc w:val="both"/>
        <w:rPr>
          <w:rFonts w:ascii="Arial" w:hAnsi="Arial" w:cs="Arial"/>
          <w:bCs/>
        </w:rPr>
      </w:pPr>
    </w:p>
    <w:p w14:paraId="06CE37EE" w14:textId="77777777" w:rsidR="0069126A" w:rsidRPr="0069126A" w:rsidRDefault="0069126A" w:rsidP="00D263A6">
      <w:pPr>
        <w:autoSpaceDE w:val="0"/>
        <w:autoSpaceDN w:val="0"/>
        <w:adjustRightInd w:val="0"/>
        <w:jc w:val="both"/>
        <w:rPr>
          <w:rFonts w:ascii="Arial" w:hAnsi="Arial" w:cs="Arial"/>
          <w:bCs/>
        </w:rPr>
      </w:pPr>
      <w:r w:rsidRPr="0069126A">
        <w:rPr>
          <w:rFonts w:ascii="Arial" w:hAnsi="Arial" w:cs="Arial"/>
          <w:bCs/>
        </w:rPr>
        <w:t>The Pensions Shared Service is responsible for the benefits administration of the Local Government Pension Scheme (LGPS) on behalf of the Council and any admitted or scheduled bodies whose employees are part of the LGPS.</w:t>
      </w:r>
    </w:p>
    <w:p w14:paraId="30445006" w14:textId="77777777" w:rsidR="0069126A" w:rsidRPr="0069126A" w:rsidRDefault="0069126A" w:rsidP="00D263A6">
      <w:pPr>
        <w:autoSpaceDE w:val="0"/>
        <w:autoSpaceDN w:val="0"/>
        <w:adjustRightInd w:val="0"/>
        <w:jc w:val="both"/>
        <w:rPr>
          <w:rFonts w:ascii="Arial" w:hAnsi="Arial" w:cs="Arial"/>
          <w:bCs/>
        </w:rPr>
      </w:pPr>
    </w:p>
    <w:p w14:paraId="47BEC73E" w14:textId="77777777" w:rsidR="0069126A" w:rsidRPr="0069126A" w:rsidRDefault="0069126A" w:rsidP="00D263A6">
      <w:pPr>
        <w:autoSpaceDE w:val="0"/>
        <w:autoSpaceDN w:val="0"/>
        <w:adjustRightInd w:val="0"/>
        <w:jc w:val="both"/>
        <w:rPr>
          <w:rFonts w:ascii="Arial" w:hAnsi="Arial" w:cs="Arial"/>
          <w:bCs/>
        </w:rPr>
      </w:pPr>
      <w:r w:rsidRPr="0069126A">
        <w:rPr>
          <w:rFonts w:ascii="Arial" w:hAnsi="Arial" w:cs="Arial"/>
          <w:bCs/>
        </w:rPr>
        <w:t>Pensions Shared Service</w:t>
      </w:r>
    </w:p>
    <w:p w14:paraId="7CEE74A4" w14:textId="77777777" w:rsidR="0069126A" w:rsidRPr="0069126A" w:rsidRDefault="0069126A" w:rsidP="00D263A6">
      <w:pPr>
        <w:autoSpaceDE w:val="0"/>
        <w:autoSpaceDN w:val="0"/>
        <w:adjustRightInd w:val="0"/>
        <w:jc w:val="both"/>
        <w:rPr>
          <w:rFonts w:ascii="Arial" w:hAnsi="Arial" w:cs="Arial"/>
          <w:bCs/>
        </w:rPr>
      </w:pPr>
      <w:r w:rsidRPr="0069126A">
        <w:rPr>
          <w:rFonts w:ascii="Arial" w:hAnsi="Arial" w:cs="Arial"/>
          <w:bCs/>
        </w:rPr>
        <w:t>PO Box 72351</w:t>
      </w:r>
    </w:p>
    <w:p w14:paraId="62FDBB4D" w14:textId="77777777" w:rsidR="0069126A" w:rsidRPr="0069126A" w:rsidRDefault="0069126A" w:rsidP="00D263A6">
      <w:pPr>
        <w:autoSpaceDE w:val="0"/>
        <w:autoSpaceDN w:val="0"/>
        <w:adjustRightInd w:val="0"/>
        <w:jc w:val="both"/>
        <w:rPr>
          <w:rFonts w:ascii="Arial" w:hAnsi="Arial" w:cs="Arial"/>
          <w:bCs/>
        </w:rPr>
      </w:pPr>
      <w:r w:rsidRPr="0069126A">
        <w:rPr>
          <w:rFonts w:ascii="Arial" w:hAnsi="Arial" w:cs="Arial"/>
          <w:bCs/>
        </w:rPr>
        <w:t>London</w:t>
      </w:r>
    </w:p>
    <w:p w14:paraId="3B075F66" w14:textId="77777777" w:rsidR="0069126A" w:rsidRPr="0069126A" w:rsidRDefault="0069126A" w:rsidP="00D263A6">
      <w:pPr>
        <w:autoSpaceDE w:val="0"/>
        <w:autoSpaceDN w:val="0"/>
        <w:adjustRightInd w:val="0"/>
        <w:jc w:val="both"/>
        <w:rPr>
          <w:rFonts w:ascii="Arial" w:hAnsi="Arial" w:cs="Arial"/>
          <w:bCs/>
        </w:rPr>
      </w:pPr>
      <w:r w:rsidRPr="0069126A">
        <w:rPr>
          <w:rFonts w:ascii="Arial" w:hAnsi="Arial" w:cs="Arial"/>
          <w:bCs/>
        </w:rPr>
        <w:t>SW18 9LQ</w:t>
      </w:r>
    </w:p>
    <w:p w14:paraId="24E3B182" w14:textId="77777777" w:rsidR="0069126A" w:rsidRPr="0069126A" w:rsidRDefault="0069126A" w:rsidP="00D263A6">
      <w:pPr>
        <w:autoSpaceDE w:val="0"/>
        <w:autoSpaceDN w:val="0"/>
        <w:adjustRightInd w:val="0"/>
        <w:jc w:val="both"/>
        <w:rPr>
          <w:rFonts w:ascii="Arial" w:hAnsi="Arial" w:cs="Arial"/>
          <w:bCs/>
        </w:rPr>
      </w:pPr>
    </w:p>
    <w:p w14:paraId="4E1D9FD1" w14:textId="77777777" w:rsidR="0069126A" w:rsidRPr="000826E9" w:rsidRDefault="004E4996" w:rsidP="00D263A6">
      <w:pPr>
        <w:autoSpaceDE w:val="0"/>
        <w:autoSpaceDN w:val="0"/>
        <w:adjustRightInd w:val="0"/>
        <w:jc w:val="both"/>
        <w:rPr>
          <w:rFonts w:ascii="Arial" w:hAnsi="Arial" w:cs="Arial"/>
          <w:bCs/>
        </w:rPr>
      </w:pPr>
      <w:r w:rsidRPr="000826E9">
        <w:rPr>
          <w:rFonts w:ascii="Arial" w:hAnsi="Arial" w:cs="Arial"/>
          <w:bCs/>
        </w:rPr>
        <w:t xml:space="preserve">E-mail: </w:t>
      </w:r>
      <w:r w:rsidR="0069126A" w:rsidRPr="000826E9">
        <w:rPr>
          <w:rFonts w:ascii="Arial" w:hAnsi="Arial" w:cs="Arial"/>
          <w:bCs/>
        </w:rPr>
        <w:t>pensions@wandsworth.gov.uk</w:t>
      </w:r>
    </w:p>
    <w:p w14:paraId="6188FBBA" w14:textId="77777777" w:rsidR="0069126A" w:rsidRPr="000826E9" w:rsidRDefault="0069126A" w:rsidP="00D263A6">
      <w:pPr>
        <w:autoSpaceDE w:val="0"/>
        <w:autoSpaceDN w:val="0"/>
        <w:adjustRightInd w:val="0"/>
        <w:jc w:val="both"/>
        <w:rPr>
          <w:rFonts w:ascii="Arial" w:hAnsi="Arial" w:cs="Arial"/>
          <w:bCs/>
        </w:rPr>
      </w:pPr>
    </w:p>
    <w:p w14:paraId="5F2DF080" w14:textId="77777777" w:rsidR="0069126A" w:rsidRPr="000826E9" w:rsidRDefault="004E4996" w:rsidP="00D263A6">
      <w:pPr>
        <w:autoSpaceDE w:val="0"/>
        <w:autoSpaceDN w:val="0"/>
        <w:adjustRightInd w:val="0"/>
        <w:jc w:val="both"/>
        <w:rPr>
          <w:rFonts w:ascii="Arial" w:hAnsi="Arial" w:cs="Arial"/>
          <w:bCs/>
        </w:rPr>
      </w:pPr>
      <w:r w:rsidRPr="000826E9">
        <w:rPr>
          <w:rFonts w:ascii="Arial" w:hAnsi="Arial" w:cs="Arial"/>
          <w:bCs/>
        </w:rPr>
        <w:t xml:space="preserve">Telephone: </w:t>
      </w:r>
      <w:r w:rsidR="0069126A" w:rsidRPr="000826E9">
        <w:rPr>
          <w:rFonts w:ascii="Arial" w:hAnsi="Arial" w:cs="Arial"/>
          <w:bCs/>
        </w:rPr>
        <w:t>020 8871 8036</w:t>
      </w:r>
    </w:p>
    <w:p w14:paraId="007047DA" w14:textId="77777777" w:rsidR="0069126A" w:rsidRPr="000826E9" w:rsidRDefault="0069126A" w:rsidP="00D263A6">
      <w:pPr>
        <w:autoSpaceDE w:val="0"/>
        <w:autoSpaceDN w:val="0"/>
        <w:adjustRightInd w:val="0"/>
        <w:jc w:val="both"/>
        <w:rPr>
          <w:rFonts w:ascii="Arial" w:hAnsi="Arial" w:cs="Arial"/>
          <w:bCs/>
        </w:rPr>
      </w:pPr>
    </w:p>
    <w:p w14:paraId="6E813881" w14:textId="77777777" w:rsidR="00E66494" w:rsidRPr="000826E9" w:rsidRDefault="00472DD8" w:rsidP="00D263A6">
      <w:pPr>
        <w:autoSpaceDE w:val="0"/>
        <w:autoSpaceDN w:val="0"/>
        <w:adjustRightInd w:val="0"/>
        <w:jc w:val="both"/>
        <w:rPr>
          <w:rFonts w:ascii="Arial" w:hAnsi="Arial" w:cs="Arial"/>
          <w:bCs/>
        </w:rPr>
      </w:pPr>
      <w:hyperlink r:id="rId8" w:history="1">
        <w:r w:rsidR="0069126A" w:rsidRPr="000826E9">
          <w:rPr>
            <w:rStyle w:val="Hyperlink"/>
            <w:rFonts w:ascii="Arial" w:hAnsi="Arial" w:cs="Arial"/>
            <w:bCs/>
            <w:color w:val="auto"/>
          </w:rPr>
          <w:t>www.wandsworth.gov.uk/pensions</w:t>
        </w:r>
      </w:hyperlink>
    </w:p>
    <w:p w14:paraId="6E61A38C" w14:textId="77777777" w:rsidR="0069126A" w:rsidRDefault="0069126A" w:rsidP="00D263A6">
      <w:pPr>
        <w:autoSpaceDE w:val="0"/>
        <w:autoSpaceDN w:val="0"/>
        <w:adjustRightInd w:val="0"/>
        <w:jc w:val="both"/>
        <w:rPr>
          <w:rFonts w:ascii="Arial" w:hAnsi="Arial" w:cs="Arial"/>
          <w:bCs/>
        </w:rPr>
      </w:pPr>
    </w:p>
    <w:p w14:paraId="32CC32D0" w14:textId="77777777" w:rsidR="0069126A" w:rsidRDefault="00472DD8" w:rsidP="00D263A6">
      <w:pPr>
        <w:autoSpaceDE w:val="0"/>
        <w:autoSpaceDN w:val="0"/>
        <w:adjustRightInd w:val="0"/>
        <w:jc w:val="both"/>
        <w:rPr>
          <w:rFonts w:ascii="Arial" w:hAnsi="Arial" w:cs="Arial"/>
          <w:bCs/>
        </w:rPr>
      </w:pPr>
      <w:hyperlink r:id="rId9" w:history="1">
        <w:r w:rsidR="0069126A" w:rsidRPr="008A4610">
          <w:rPr>
            <w:rStyle w:val="Hyperlink"/>
            <w:rFonts w:ascii="Arial" w:hAnsi="Arial" w:cs="Arial"/>
            <w:bCs/>
          </w:rPr>
          <w:t>http://www.lgpsmember.org/</w:t>
        </w:r>
      </w:hyperlink>
    </w:p>
    <w:p w14:paraId="5EC62044" w14:textId="77777777" w:rsidR="00E66494" w:rsidRDefault="00E66494" w:rsidP="00D263A6">
      <w:pPr>
        <w:autoSpaceDE w:val="0"/>
        <w:autoSpaceDN w:val="0"/>
        <w:adjustRightInd w:val="0"/>
        <w:jc w:val="both"/>
        <w:rPr>
          <w:rFonts w:ascii="Arial" w:hAnsi="Arial" w:cs="Arial"/>
          <w:bCs/>
        </w:rPr>
      </w:pPr>
    </w:p>
    <w:p w14:paraId="71D0AE36" w14:textId="77777777" w:rsidR="00925F77" w:rsidRPr="00DB4E95" w:rsidRDefault="00925F77" w:rsidP="00D263A6">
      <w:pPr>
        <w:pStyle w:val="Heading2"/>
        <w:jc w:val="both"/>
        <w:rPr>
          <w:color w:val="auto"/>
        </w:rPr>
      </w:pPr>
      <w:r w:rsidRPr="00DB4E95">
        <w:rPr>
          <w:color w:val="auto"/>
        </w:rPr>
        <w:t>GOVERNANCE REPORT</w:t>
      </w:r>
    </w:p>
    <w:p w14:paraId="6DB841D4" w14:textId="77777777" w:rsidR="00925F77" w:rsidRPr="00DB4E95" w:rsidRDefault="00925F77" w:rsidP="00D263A6">
      <w:pPr>
        <w:jc w:val="both"/>
        <w:rPr>
          <w:rFonts w:ascii="Arial" w:hAnsi="Arial" w:cs="Arial"/>
        </w:rPr>
      </w:pPr>
    </w:p>
    <w:p w14:paraId="50C257BA" w14:textId="77777777" w:rsidR="00925F77" w:rsidRPr="00DB4E95" w:rsidRDefault="00925F77" w:rsidP="00D263A6">
      <w:pPr>
        <w:pStyle w:val="Heading8"/>
        <w:jc w:val="both"/>
        <w:rPr>
          <w:color w:val="auto"/>
        </w:rPr>
      </w:pPr>
      <w:r w:rsidRPr="00DB4E95">
        <w:rPr>
          <w:color w:val="auto"/>
        </w:rPr>
        <w:t>Pensions Fund Committee</w:t>
      </w:r>
    </w:p>
    <w:p w14:paraId="4AAC6232" w14:textId="77777777" w:rsidR="00925F77" w:rsidRPr="00DB4E95" w:rsidRDefault="00925F77" w:rsidP="00D263A6">
      <w:pPr>
        <w:autoSpaceDE w:val="0"/>
        <w:autoSpaceDN w:val="0"/>
        <w:adjustRightInd w:val="0"/>
        <w:jc w:val="both"/>
        <w:rPr>
          <w:rFonts w:ascii="Arial" w:hAnsi="Arial" w:cs="Arial"/>
        </w:rPr>
      </w:pPr>
    </w:p>
    <w:p w14:paraId="523FFA05" w14:textId="77777777" w:rsidR="00DB7719" w:rsidRDefault="00930115" w:rsidP="00D263A6">
      <w:pPr>
        <w:autoSpaceDE w:val="0"/>
        <w:autoSpaceDN w:val="0"/>
        <w:adjustRightInd w:val="0"/>
        <w:jc w:val="both"/>
        <w:rPr>
          <w:rFonts w:ascii="Arial" w:hAnsi="Arial" w:cs="Arial"/>
        </w:rPr>
      </w:pPr>
      <w:r>
        <w:rPr>
          <w:rFonts w:ascii="Arial" w:hAnsi="Arial" w:cs="Arial"/>
        </w:rPr>
        <w:t xml:space="preserve">The Pension Fund Committee as it is structured today was </w:t>
      </w:r>
      <w:r w:rsidR="00381AE2">
        <w:rPr>
          <w:rFonts w:ascii="Arial" w:hAnsi="Arial" w:cs="Arial"/>
        </w:rPr>
        <w:t>established</w:t>
      </w:r>
      <w:r>
        <w:rPr>
          <w:rFonts w:ascii="Arial" w:hAnsi="Arial" w:cs="Arial"/>
        </w:rPr>
        <w:t xml:space="preserve"> in March 2009 by the Council.</w:t>
      </w:r>
      <w:r w:rsidRPr="00DB4E95">
        <w:rPr>
          <w:rFonts w:ascii="Arial" w:hAnsi="Arial" w:cs="Arial"/>
        </w:rPr>
        <w:t xml:space="preserve"> </w:t>
      </w:r>
    </w:p>
    <w:p w14:paraId="7B677432" w14:textId="77777777" w:rsidR="00290D24" w:rsidRDefault="00290D24" w:rsidP="00D263A6">
      <w:pPr>
        <w:autoSpaceDE w:val="0"/>
        <w:autoSpaceDN w:val="0"/>
        <w:adjustRightInd w:val="0"/>
        <w:jc w:val="both"/>
        <w:rPr>
          <w:rFonts w:ascii="Arial" w:hAnsi="Arial" w:cs="Arial"/>
        </w:rPr>
      </w:pPr>
    </w:p>
    <w:p w14:paraId="4AE18EF6" w14:textId="77777777" w:rsidR="00930115" w:rsidRPr="000826E9" w:rsidRDefault="00930115" w:rsidP="00D263A6">
      <w:pPr>
        <w:autoSpaceDE w:val="0"/>
        <w:autoSpaceDN w:val="0"/>
        <w:adjustRightInd w:val="0"/>
        <w:jc w:val="both"/>
        <w:rPr>
          <w:rFonts w:ascii="Arial" w:hAnsi="Arial" w:cs="Arial"/>
        </w:rPr>
      </w:pPr>
      <w:r>
        <w:rPr>
          <w:rFonts w:ascii="Arial" w:hAnsi="Arial" w:cs="Arial"/>
        </w:rPr>
        <w:t xml:space="preserve">The terms of reference for the Committee can be found at the following link </w:t>
      </w:r>
      <w:hyperlink r:id="rId10" w:history="1">
        <w:r w:rsidR="00290D24" w:rsidRPr="000826E9">
          <w:rPr>
            <w:rStyle w:val="Hyperlink"/>
            <w:rFonts w:ascii="Arial" w:hAnsi="Arial" w:cs="Arial"/>
            <w:color w:val="auto"/>
          </w:rPr>
          <w:t>http://democracy.walthamforest.gov.uk/mgCommitteeDetails.aspx?ID=495</w:t>
        </w:r>
      </w:hyperlink>
    </w:p>
    <w:p w14:paraId="4A364351" w14:textId="77777777" w:rsidR="00290D24" w:rsidRPr="00337C32" w:rsidRDefault="00290D24" w:rsidP="00D263A6">
      <w:pPr>
        <w:autoSpaceDE w:val="0"/>
        <w:autoSpaceDN w:val="0"/>
        <w:adjustRightInd w:val="0"/>
        <w:jc w:val="both"/>
        <w:rPr>
          <w:rFonts w:ascii="Arial" w:hAnsi="Arial" w:cs="Arial"/>
          <w:color w:val="FF0000"/>
        </w:rPr>
      </w:pPr>
    </w:p>
    <w:p w14:paraId="1EC14D00" w14:textId="77777777" w:rsidR="00925F77" w:rsidRPr="00DB4E95" w:rsidRDefault="00A94476" w:rsidP="00D263A6">
      <w:pPr>
        <w:autoSpaceDE w:val="0"/>
        <w:autoSpaceDN w:val="0"/>
        <w:adjustRightInd w:val="0"/>
        <w:jc w:val="both"/>
        <w:rPr>
          <w:rFonts w:ascii="Arial" w:hAnsi="Arial" w:cs="Arial"/>
        </w:rPr>
      </w:pPr>
      <w:r>
        <w:rPr>
          <w:rFonts w:ascii="Arial" w:hAnsi="Arial" w:cs="Arial"/>
        </w:rPr>
        <w:t>During the 201</w:t>
      </w:r>
      <w:r w:rsidR="00C3355E">
        <w:rPr>
          <w:rFonts w:ascii="Arial" w:hAnsi="Arial" w:cs="Arial"/>
        </w:rPr>
        <w:t>9</w:t>
      </w:r>
      <w:r>
        <w:rPr>
          <w:rFonts w:ascii="Arial" w:hAnsi="Arial" w:cs="Arial"/>
        </w:rPr>
        <w:t>/</w:t>
      </w:r>
      <w:r w:rsidR="00C3355E">
        <w:rPr>
          <w:rFonts w:ascii="Arial" w:hAnsi="Arial" w:cs="Arial"/>
        </w:rPr>
        <w:t>20</w:t>
      </w:r>
      <w:r>
        <w:rPr>
          <w:rFonts w:ascii="Arial" w:hAnsi="Arial" w:cs="Arial"/>
        </w:rPr>
        <w:t xml:space="preserve"> Committee cycle we had </w:t>
      </w:r>
      <w:r w:rsidR="002C68C2">
        <w:rPr>
          <w:rFonts w:ascii="Arial" w:hAnsi="Arial" w:cs="Arial"/>
        </w:rPr>
        <w:t>no</w:t>
      </w:r>
      <w:r>
        <w:rPr>
          <w:rFonts w:ascii="Arial" w:hAnsi="Arial" w:cs="Arial"/>
        </w:rPr>
        <w:t xml:space="preserve"> change</w:t>
      </w:r>
      <w:r w:rsidR="002C68C2">
        <w:rPr>
          <w:rFonts w:ascii="Arial" w:hAnsi="Arial" w:cs="Arial"/>
        </w:rPr>
        <w:t>s</w:t>
      </w:r>
      <w:r>
        <w:rPr>
          <w:rFonts w:ascii="Arial" w:hAnsi="Arial" w:cs="Arial"/>
        </w:rPr>
        <w:t xml:space="preserve"> </w:t>
      </w:r>
      <w:r w:rsidR="00E704FC">
        <w:rPr>
          <w:rFonts w:ascii="Arial" w:hAnsi="Arial" w:cs="Arial"/>
        </w:rPr>
        <w:t>to</w:t>
      </w:r>
      <w:r>
        <w:rPr>
          <w:rFonts w:ascii="Arial" w:hAnsi="Arial" w:cs="Arial"/>
        </w:rPr>
        <w:t xml:space="preserve"> the Pe</w:t>
      </w:r>
      <w:r w:rsidR="004E4996">
        <w:rPr>
          <w:rFonts w:ascii="Arial" w:hAnsi="Arial" w:cs="Arial"/>
        </w:rPr>
        <w:t>nsion Fund Committee membership</w:t>
      </w:r>
      <w:r w:rsidR="00930115">
        <w:rPr>
          <w:rFonts w:ascii="Arial" w:hAnsi="Arial" w:cs="Arial"/>
        </w:rPr>
        <w:t>.</w:t>
      </w:r>
    </w:p>
    <w:p w14:paraId="78B3B2EB" w14:textId="77777777" w:rsidR="005C25D9" w:rsidRPr="00DB4E95" w:rsidRDefault="005C25D9" w:rsidP="00D263A6">
      <w:pPr>
        <w:autoSpaceDE w:val="0"/>
        <w:autoSpaceDN w:val="0"/>
        <w:adjustRightInd w:val="0"/>
        <w:jc w:val="both"/>
        <w:rPr>
          <w:rFonts w:ascii="Arial" w:hAnsi="Arial" w:cs="Arial"/>
        </w:rPr>
      </w:pPr>
    </w:p>
    <w:p w14:paraId="20E3CADF" w14:textId="77777777" w:rsidR="005C25D9" w:rsidRPr="00DB4E95" w:rsidRDefault="005C25D9" w:rsidP="00D263A6">
      <w:pPr>
        <w:autoSpaceDE w:val="0"/>
        <w:autoSpaceDN w:val="0"/>
        <w:adjustRightInd w:val="0"/>
        <w:jc w:val="both"/>
        <w:rPr>
          <w:rFonts w:ascii="Arial" w:hAnsi="Arial" w:cs="Arial"/>
        </w:rPr>
      </w:pPr>
      <w:r w:rsidRPr="00DB4E95">
        <w:rPr>
          <w:rFonts w:ascii="Arial" w:hAnsi="Arial" w:cs="Arial"/>
        </w:rPr>
        <w:t>Members and Observers of the Committee</w:t>
      </w:r>
      <w:r w:rsidR="00E74F04">
        <w:rPr>
          <w:rFonts w:ascii="Arial" w:hAnsi="Arial" w:cs="Arial"/>
        </w:rPr>
        <w:t xml:space="preserve"> for 201</w:t>
      </w:r>
      <w:r w:rsidR="00E65B0A">
        <w:rPr>
          <w:rFonts w:ascii="Arial" w:hAnsi="Arial" w:cs="Arial"/>
        </w:rPr>
        <w:t>9</w:t>
      </w:r>
      <w:r w:rsidR="00E74F04">
        <w:rPr>
          <w:rFonts w:ascii="Arial" w:hAnsi="Arial" w:cs="Arial"/>
        </w:rPr>
        <w:t>-</w:t>
      </w:r>
      <w:r w:rsidR="00E65B0A">
        <w:rPr>
          <w:rFonts w:ascii="Arial" w:hAnsi="Arial" w:cs="Arial"/>
        </w:rPr>
        <w:t>20</w:t>
      </w:r>
      <w:r w:rsidR="00E74F04">
        <w:rPr>
          <w:rFonts w:ascii="Arial" w:hAnsi="Arial" w:cs="Arial"/>
        </w:rPr>
        <w:t xml:space="preserve"> where</w:t>
      </w:r>
    </w:p>
    <w:p w14:paraId="5DEA9D42" w14:textId="77777777" w:rsidR="005C25D9" w:rsidRPr="00DB4E95" w:rsidRDefault="005C25D9" w:rsidP="00D263A6">
      <w:pPr>
        <w:autoSpaceDE w:val="0"/>
        <w:autoSpaceDN w:val="0"/>
        <w:adjustRightInd w:val="0"/>
        <w:jc w:val="both"/>
        <w:rPr>
          <w:rFonts w:ascii="Arial" w:hAnsi="Arial" w:cs="Arial"/>
        </w:rPr>
      </w:pPr>
    </w:p>
    <w:p w14:paraId="0C9FDB6D" w14:textId="77777777" w:rsidR="005C25D9" w:rsidRPr="00DB4E95" w:rsidRDefault="00DB4E95" w:rsidP="00D263A6">
      <w:pPr>
        <w:autoSpaceDE w:val="0"/>
        <w:autoSpaceDN w:val="0"/>
        <w:adjustRightInd w:val="0"/>
        <w:jc w:val="both"/>
        <w:rPr>
          <w:rFonts w:ascii="Arial" w:hAnsi="Arial" w:cs="Arial"/>
        </w:rPr>
      </w:pPr>
      <w:r w:rsidRPr="00DB4E95">
        <w:rPr>
          <w:rFonts w:ascii="Arial" w:hAnsi="Arial" w:cs="Arial"/>
        </w:rPr>
        <w:t xml:space="preserve">Chair:            </w:t>
      </w:r>
      <w:r w:rsidR="00E704FC">
        <w:rPr>
          <w:rFonts w:ascii="Arial" w:hAnsi="Arial" w:cs="Arial"/>
        </w:rPr>
        <w:tab/>
      </w:r>
      <w:r w:rsidR="00E704FC">
        <w:rPr>
          <w:rFonts w:ascii="Arial" w:hAnsi="Arial" w:cs="Arial"/>
        </w:rPr>
        <w:tab/>
      </w:r>
      <w:r w:rsidRPr="00DB4E95">
        <w:rPr>
          <w:rFonts w:ascii="Arial" w:hAnsi="Arial" w:cs="Arial"/>
        </w:rPr>
        <w:t>Counc</w:t>
      </w:r>
      <w:r w:rsidR="005C25D9" w:rsidRPr="00DB4E95">
        <w:rPr>
          <w:rFonts w:ascii="Arial" w:hAnsi="Arial" w:cs="Arial"/>
        </w:rPr>
        <w:t>illor</w:t>
      </w:r>
      <w:r w:rsidRPr="00DB4E95">
        <w:rPr>
          <w:rFonts w:ascii="Arial" w:hAnsi="Arial" w:cs="Arial"/>
        </w:rPr>
        <w:t xml:space="preserve"> </w:t>
      </w:r>
      <w:r w:rsidR="00BB6F5B">
        <w:rPr>
          <w:rFonts w:ascii="Arial" w:hAnsi="Arial" w:cs="Arial"/>
        </w:rPr>
        <w:t>Johar Khan</w:t>
      </w:r>
    </w:p>
    <w:p w14:paraId="6BB18E08" w14:textId="77777777" w:rsidR="00DB4E95" w:rsidRPr="00DB4E95" w:rsidRDefault="00C46B78" w:rsidP="00C46B78">
      <w:pPr>
        <w:autoSpaceDE w:val="0"/>
        <w:autoSpaceDN w:val="0"/>
        <w:adjustRightInd w:val="0"/>
        <w:ind w:left="2880" w:hanging="2880"/>
        <w:jc w:val="both"/>
        <w:rPr>
          <w:rFonts w:ascii="Arial" w:hAnsi="Arial" w:cs="Arial"/>
        </w:rPr>
      </w:pPr>
      <w:r w:rsidRPr="00DB4E95">
        <w:rPr>
          <w:rFonts w:ascii="Arial" w:hAnsi="Arial" w:cs="Arial"/>
        </w:rPr>
        <w:t>Councillors:</w:t>
      </w:r>
      <w:r w:rsidR="00DB4E95" w:rsidRPr="00DB4E95">
        <w:rPr>
          <w:rFonts w:ascii="Arial" w:hAnsi="Arial" w:cs="Arial"/>
        </w:rPr>
        <w:t xml:space="preserve"> </w:t>
      </w:r>
      <w:r>
        <w:rPr>
          <w:rFonts w:ascii="Arial" w:hAnsi="Arial" w:cs="Arial"/>
        </w:rPr>
        <w:tab/>
      </w:r>
      <w:r w:rsidR="00DB4E95" w:rsidRPr="00DB4E95">
        <w:rPr>
          <w:rFonts w:ascii="Arial" w:hAnsi="Arial" w:cs="Arial"/>
        </w:rPr>
        <w:t xml:space="preserve">Councillor </w:t>
      </w:r>
      <w:r w:rsidR="00E74F04">
        <w:rPr>
          <w:rFonts w:ascii="Arial" w:hAnsi="Arial" w:cs="Arial"/>
        </w:rPr>
        <w:t>Keith Rayner</w:t>
      </w:r>
      <w:r>
        <w:rPr>
          <w:rFonts w:ascii="Arial" w:hAnsi="Arial" w:cs="Arial"/>
        </w:rPr>
        <w:t xml:space="preserve">, </w:t>
      </w:r>
      <w:r w:rsidR="00DB4E95" w:rsidRPr="00DB4E95">
        <w:rPr>
          <w:rFonts w:ascii="Arial" w:hAnsi="Arial" w:cs="Arial"/>
        </w:rPr>
        <w:t>Andy Hemsted</w:t>
      </w:r>
      <w:r w:rsidR="00E74F04">
        <w:rPr>
          <w:rFonts w:ascii="Arial" w:hAnsi="Arial" w:cs="Arial"/>
        </w:rPr>
        <w:t xml:space="preserve">, </w:t>
      </w:r>
      <w:r w:rsidR="00FD311C">
        <w:rPr>
          <w:rFonts w:ascii="Arial" w:hAnsi="Arial" w:cs="Arial"/>
        </w:rPr>
        <w:t xml:space="preserve">Karen </w:t>
      </w:r>
      <w:r>
        <w:rPr>
          <w:rFonts w:ascii="Arial" w:hAnsi="Arial" w:cs="Arial"/>
        </w:rPr>
        <w:t xml:space="preserve">     </w:t>
      </w:r>
      <w:r w:rsidR="00FD311C">
        <w:rPr>
          <w:rFonts w:ascii="Arial" w:hAnsi="Arial" w:cs="Arial"/>
        </w:rPr>
        <w:t>Bellamy</w:t>
      </w:r>
      <w:r w:rsidR="00E74F04" w:rsidRPr="002228A2">
        <w:rPr>
          <w:rFonts w:ascii="Arial" w:hAnsi="Arial" w:cs="Arial"/>
        </w:rPr>
        <w:t xml:space="preserve"> </w:t>
      </w:r>
      <w:r w:rsidR="00DB4E95" w:rsidRPr="002228A2">
        <w:rPr>
          <w:rFonts w:ascii="Arial" w:hAnsi="Arial" w:cs="Arial"/>
        </w:rPr>
        <w:t xml:space="preserve">and </w:t>
      </w:r>
      <w:r w:rsidR="002228A2" w:rsidRPr="002228A2">
        <w:rPr>
          <w:rFonts w:ascii="Arial" w:hAnsi="Arial" w:cs="Arial"/>
        </w:rPr>
        <w:t>Terry Wheeler</w:t>
      </w:r>
      <w:r w:rsidR="00A94476" w:rsidRPr="002228A2">
        <w:rPr>
          <w:rFonts w:ascii="Arial" w:hAnsi="Arial" w:cs="Arial"/>
        </w:rPr>
        <w:t xml:space="preserve"> </w:t>
      </w:r>
    </w:p>
    <w:p w14:paraId="15A2B3E8" w14:textId="77777777" w:rsidR="00DB4E95" w:rsidRPr="00DB4E95" w:rsidRDefault="00DB4E95" w:rsidP="00D263A6">
      <w:pPr>
        <w:autoSpaceDE w:val="0"/>
        <w:autoSpaceDN w:val="0"/>
        <w:adjustRightInd w:val="0"/>
        <w:jc w:val="both"/>
        <w:rPr>
          <w:rFonts w:ascii="Arial" w:hAnsi="Arial" w:cs="Arial"/>
        </w:rPr>
      </w:pPr>
    </w:p>
    <w:p w14:paraId="1DDC8D72" w14:textId="77777777" w:rsidR="00DB4E95" w:rsidRDefault="00DB4E95" w:rsidP="002C68C2">
      <w:pPr>
        <w:autoSpaceDE w:val="0"/>
        <w:autoSpaceDN w:val="0"/>
        <w:adjustRightInd w:val="0"/>
        <w:ind w:left="1560" w:hanging="1560"/>
        <w:jc w:val="both"/>
        <w:rPr>
          <w:rFonts w:ascii="Arial" w:hAnsi="Arial" w:cs="Arial"/>
        </w:rPr>
      </w:pPr>
      <w:r w:rsidRPr="00DB4E95">
        <w:rPr>
          <w:rFonts w:ascii="Arial" w:hAnsi="Arial" w:cs="Arial"/>
        </w:rPr>
        <w:t xml:space="preserve">Observers:     </w:t>
      </w:r>
      <w:r w:rsidR="00027740">
        <w:rPr>
          <w:rFonts w:ascii="Arial" w:hAnsi="Arial" w:cs="Arial"/>
        </w:rPr>
        <w:tab/>
      </w:r>
      <w:r w:rsidR="00027740">
        <w:rPr>
          <w:rFonts w:ascii="Arial" w:hAnsi="Arial" w:cs="Arial"/>
        </w:rPr>
        <w:tab/>
      </w:r>
      <w:r w:rsidR="00027740">
        <w:rPr>
          <w:rFonts w:ascii="Arial" w:hAnsi="Arial" w:cs="Arial"/>
        </w:rPr>
        <w:tab/>
      </w:r>
      <w:r w:rsidR="00C46B78">
        <w:rPr>
          <w:rFonts w:ascii="Arial" w:hAnsi="Arial" w:cs="Arial"/>
        </w:rPr>
        <w:t>Employer Representative</w:t>
      </w:r>
      <w:r w:rsidRPr="00DB4E95">
        <w:rPr>
          <w:rFonts w:ascii="Arial" w:hAnsi="Arial" w:cs="Arial"/>
        </w:rPr>
        <w:t xml:space="preserve"> Alan Leak </w:t>
      </w:r>
    </w:p>
    <w:p w14:paraId="312B10CD" w14:textId="77777777" w:rsidR="00027740" w:rsidRDefault="00027740" w:rsidP="00D263A6">
      <w:pPr>
        <w:autoSpaceDE w:val="0"/>
        <w:autoSpaceDN w:val="0"/>
        <w:adjustRightInd w:val="0"/>
        <w:jc w:val="both"/>
        <w:rPr>
          <w:rFonts w:ascii="Arial" w:hAnsi="Arial" w:cs="Arial"/>
        </w:rPr>
      </w:pPr>
    </w:p>
    <w:p w14:paraId="5C305FC3" w14:textId="77777777" w:rsidR="0014615D" w:rsidRDefault="00027740" w:rsidP="00027740">
      <w:pPr>
        <w:tabs>
          <w:tab w:val="left" w:pos="1440"/>
        </w:tabs>
        <w:autoSpaceDE w:val="0"/>
        <w:autoSpaceDN w:val="0"/>
        <w:adjustRightInd w:val="0"/>
        <w:jc w:val="both"/>
        <w:rPr>
          <w:rFonts w:ascii="Arial" w:hAnsi="Arial" w:cs="Arial"/>
        </w:rPr>
      </w:pPr>
      <w:r>
        <w:rPr>
          <w:rFonts w:ascii="Arial" w:hAnsi="Arial" w:cs="Arial"/>
        </w:rPr>
        <w:t>Officers and Advisor:</w:t>
      </w:r>
      <w:r w:rsidR="0014615D">
        <w:rPr>
          <w:rFonts w:ascii="Arial" w:hAnsi="Arial" w:cs="Arial"/>
        </w:rPr>
        <w:t xml:space="preserve"> </w:t>
      </w:r>
      <w:r>
        <w:rPr>
          <w:rFonts w:ascii="Arial" w:hAnsi="Arial" w:cs="Arial"/>
        </w:rPr>
        <w:tab/>
      </w:r>
      <w:r w:rsidR="0014615D">
        <w:rPr>
          <w:rFonts w:ascii="Arial" w:hAnsi="Arial" w:cs="Arial"/>
        </w:rPr>
        <w:t>Independent Advisor John Raisin</w:t>
      </w:r>
      <w:r w:rsidR="00B358E5">
        <w:rPr>
          <w:rFonts w:ascii="Arial" w:hAnsi="Arial" w:cs="Arial"/>
        </w:rPr>
        <w:t xml:space="preserve"> </w:t>
      </w:r>
    </w:p>
    <w:p w14:paraId="46D6AD22" w14:textId="77777777" w:rsidR="00666AB4" w:rsidRDefault="0014615D" w:rsidP="002C68C2">
      <w:pPr>
        <w:tabs>
          <w:tab w:val="left" w:pos="1440"/>
        </w:tabs>
        <w:autoSpaceDE w:val="0"/>
        <w:autoSpaceDN w:val="0"/>
        <w:adjustRightInd w:val="0"/>
        <w:ind w:left="2880"/>
        <w:jc w:val="both"/>
        <w:rPr>
          <w:rFonts w:ascii="Arial" w:hAnsi="Arial" w:cs="Arial"/>
        </w:rPr>
      </w:pPr>
      <w:r>
        <w:rPr>
          <w:rFonts w:ascii="Arial" w:hAnsi="Arial" w:cs="Arial"/>
        </w:rPr>
        <w:t xml:space="preserve">John Turnbull – </w:t>
      </w:r>
      <w:r w:rsidR="002C68C2">
        <w:rPr>
          <w:rFonts w:ascii="Arial" w:hAnsi="Arial" w:cs="Arial"/>
        </w:rPr>
        <w:t xml:space="preserve">Strategic </w:t>
      </w:r>
      <w:r>
        <w:rPr>
          <w:rFonts w:ascii="Arial" w:hAnsi="Arial" w:cs="Arial"/>
        </w:rPr>
        <w:t>Director of Finance</w:t>
      </w:r>
      <w:r w:rsidR="002C68C2">
        <w:rPr>
          <w:rFonts w:ascii="Arial" w:hAnsi="Arial" w:cs="Arial"/>
        </w:rPr>
        <w:t xml:space="preserve"> and Governance</w:t>
      </w:r>
    </w:p>
    <w:p w14:paraId="34BCBD68" w14:textId="77777777" w:rsidR="00314E88" w:rsidRDefault="0014615D" w:rsidP="00D263A6">
      <w:pPr>
        <w:tabs>
          <w:tab w:val="left" w:pos="1440"/>
        </w:tabs>
        <w:autoSpaceDE w:val="0"/>
        <w:autoSpaceDN w:val="0"/>
        <w:adjustRightInd w:val="0"/>
        <w:ind w:left="1440"/>
        <w:jc w:val="both"/>
        <w:rPr>
          <w:rFonts w:ascii="Arial" w:hAnsi="Arial" w:cs="Arial"/>
        </w:rPr>
      </w:pPr>
      <w:r>
        <w:rPr>
          <w:rFonts w:ascii="Arial" w:hAnsi="Arial" w:cs="Arial"/>
        </w:rPr>
        <w:t xml:space="preserve"> </w:t>
      </w:r>
      <w:r w:rsidR="00027740">
        <w:rPr>
          <w:rFonts w:ascii="Arial" w:hAnsi="Arial" w:cs="Arial"/>
        </w:rPr>
        <w:tab/>
      </w:r>
      <w:r w:rsidR="00027740">
        <w:rPr>
          <w:rFonts w:ascii="Arial" w:hAnsi="Arial" w:cs="Arial"/>
        </w:rPr>
        <w:tab/>
      </w:r>
      <w:r>
        <w:rPr>
          <w:rFonts w:ascii="Arial" w:hAnsi="Arial" w:cs="Arial"/>
        </w:rPr>
        <w:t xml:space="preserve">Debbie Drew </w:t>
      </w:r>
      <w:r w:rsidR="00E74F04">
        <w:rPr>
          <w:rFonts w:ascii="Arial" w:hAnsi="Arial" w:cs="Arial"/>
        </w:rPr>
        <w:t>– Pensions and Treasury Manager</w:t>
      </w:r>
    </w:p>
    <w:p w14:paraId="47BB0045" w14:textId="77777777" w:rsidR="00314E88" w:rsidRDefault="00314E88" w:rsidP="00D263A6">
      <w:pPr>
        <w:tabs>
          <w:tab w:val="left" w:pos="1440"/>
        </w:tabs>
        <w:autoSpaceDE w:val="0"/>
        <w:autoSpaceDN w:val="0"/>
        <w:adjustRightInd w:val="0"/>
        <w:jc w:val="both"/>
        <w:rPr>
          <w:rFonts w:ascii="Arial" w:hAnsi="Arial" w:cs="Arial"/>
        </w:rPr>
      </w:pPr>
    </w:p>
    <w:p w14:paraId="6C062776" w14:textId="77777777" w:rsidR="00666AB4" w:rsidRDefault="00666AB4" w:rsidP="00D263A6">
      <w:pPr>
        <w:tabs>
          <w:tab w:val="left" w:pos="1440"/>
        </w:tabs>
        <w:autoSpaceDE w:val="0"/>
        <w:autoSpaceDN w:val="0"/>
        <w:adjustRightInd w:val="0"/>
        <w:jc w:val="both"/>
        <w:rPr>
          <w:rFonts w:ascii="Arial" w:hAnsi="Arial" w:cs="Arial"/>
        </w:rPr>
      </w:pPr>
      <w:r>
        <w:rPr>
          <w:rFonts w:ascii="Arial" w:hAnsi="Arial" w:cs="Arial"/>
        </w:rPr>
        <w:t xml:space="preserve">The following table lists the voting </w:t>
      </w:r>
      <w:r w:rsidR="002E6826">
        <w:rPr>
          <w:rFonts w:ascii="Arial" w:hAnsi="Arial" w:cs="Arial"/>
        </w:rPr>
        <w:t>and non-voting rights of each member, observer, officer</w:t>
      </w:r>
      <w:r w:rsidR="00E704FC">
        <w:rPr>
          <w:rFonts w:ascii="Arial" w:hAnsi="Arial" w:cs="Arial"/>
        </w:rPr>
        <w:t>, independent advisor</w:t>
      </w:r>
      <w:r w:rsidR="002E6826">
        <w:rPr>
          <w:rFonts w:ascii="Arial" w:hAnsi="Arial" w:cs="Arial"/>
        </w:rPr>
        <w:t xml:space="preserve"> and</w:t>
      </w:r>
      <w:r>
        <w:rPr>
          <w:rFonts w:ascii="Arial" w:hAnsi="Arial" w:cs="Arial"/>
        </w:rPr>
        <w:t xml:space="preserve"> their attendance at each Committee meeting for 201</w:t>
      </w:r>
      <w:r w:rsidR="002C68C2">
        <w:rPr>
          <w:rFonts w:ascii="Arial" w:hAnsi="Arial" w:cs="Arial"/>
        </w:rPr>
        <w:t>9</w:t>
      </w:r>
      <w:r>
        <w:rPr>
          <w:rFonts w:ascii="Arial" w:hAnsi="Arial" w:cs="Arial"/>
        </w:rPr>
        <w:t>/</w:t>
      </w:r>
      <w:r w:rsidR="002C68C2">
        <w:rPr>
          <w:rFonts w:ascii="Arial" w:hAnsi="Arial" w:cs="Arial"/>
        </w:rPr>
        <w:t>20</w:t>
      </w:r>
      <w:r>
        <w:rPr>
          <w:rFonts w:ascii="Arial" w:hAnsi="Arial" w:cs="Arial"/>
        </w:rPr>
        <w:t>:</w:t>
      </w:r>
    </w:p>
    <w:p w14:paraId="4324D640" w14:textId="77777777" w:rsidR="00666AB4" w:rsidRDefault="00666AB4" w:rsidP="00D263A6">
      <w:pPr>
        <w:tabs>
          <w:tab w:val="left" w:pos="1440"/>
        </w:tabs>
        <w:autoSpaceDE w:val="0"/>
        <w:autoSpaceDN w:val="0"/>
        <w:adjustRightInd w:val="0"/>
        <w:jc w:val="both"/>
        <w:rPr>
          <w:rFonts w:ascii="Arial" w:hAnsi="Arial" w:cs="Arial"/>
        </w:rPr>
      </w:pPr>
    </w:p>
    <w:tbl>
      <w:tblPr>
        <w:tblStyle w:val="TableGrid"/>
        <w:tblW w:w="9067" w:type="dxa"/>
        <w:tblLayout w:type="fixed"/>
        <w:tblLook w:val="04A0" w:firstRow="1" w:lastRow="0" w:firstColumn="1" w:lastColumn="0" w:noHBand="0" w:noVBand="1"/>
      </w:tblPr>
      <w:tblGrid>
        <w:gridCol w:w="2689"/>
        <w:gridCol w:w="992"/>
        <w:gridCol w:w="992"/>
        <w:gridCol w:w="709"/>
        <w:gridCol w:w="850"/>
        <w:gridCol w:w="851"/>
        <w:gridCol w:w="709"/>
        <w:gridCol w:w="1275"/>
      </w:tblGrid>
      <w:tr w:rsidR="003D2AA6" w14:paraId="07F54820" w14:textId="77777777" w:rsidTr="00BD569B">
        <w:tc>
          <w:tcPr>
            <w:tcW w:w="2689" w:type="dxa"/>
          </w:tcPr>
          <w:p w14:paraId="773C1CCE"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Name</w:t>
            </w:r>
          </w:p>
        </w:tc>
        <w:tc>
          <w:tcPr>
            <w:tcW w:w="992" w:type="dxa"/>
          </w:tcPr>
          <w:p w14:paraId="5829F695"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Voting Rights</w:t>
            </w:r>
          </w:p>
        </w:tc>
        <w:tc>
          <w:tcPr>
            <w:tcW w:w="992" w:type="dxa"/>
          </w:tcPr>
          <w:p w14:paraId="5CE593C2" w14:textId="77777777" w:rsidR="003D2AA6" w:rsidRPr="002C68C2" w:rsidRDefault="003D2AA6" w:rsidP="00A97391">
            <w:pPr>
              <w:tabs>
                <w:tab w:val="left" w:pos="1440"/>
              </w:tabs>
              <w:autoSpaceDE w:val="0"/>
              <w:autoSpaceDN w:val="0"/>
              <w:adjustRightInd w:val="0"/>
              <w:jc w:val="both"/>
              <w:rPr>
                <w:rFonts w:ascii="Arial" w:hAnsi="Arial" w:cs="Arial"/>
                <w:iCs/>
              </w:rPr>
            </w:pPr>
            <w:r w:rsidRPr="002C68C2">
              <w:rPr>
                <w:rFonts w:ascii="Arial" w:hAnsi="Arial" w:cs="Arial"/>
                <w:iCs/>
              </w:rPr>
              <w:t>June 1</w:t>
            </w:r>
            <w:r>
              <w:rPr>
                <w:rFonts w:ascii="Arial" w:hAnsi="Arial" w:cs="Arial"/>
                <w:iCs/>
              </w:rPr>
              <w:t>9</w:t>
            </w:r>
          </w:p>
        </w:tc>
        <w:tc>
          <w:tcPr>
            <w:tcW w:w="709" w:type="dxa"/>
          </w:tcPr>
          <w:p w14:paraId="6E626D50" w14:textId="77777777" w:rsidR="003D2AA6" w:rsidRPr="002C68C2" w:rsidRDefault="003D2AA6" w:rsidP="00A97391">
            <w:pPr>
              <w:tabs>
                <w:tab w:val="left" w:pos="1440"/>
              </w:tabs>
              <w:autoSpaceDE w:val="0"/>
              <w:autoSpaceDN w:val="0"/>
              <w:adjustRightInd w:val="0"/>
              <w:jc w:val="both"/>
              <w:rPr>
                <w:rFonts w:ascii="Arial" w:hAnsi="Arial" w:cs="Arial"/>
                <w:iCs/>
              </w:rPr>
            </w:pPr>
            <w:r w:rsidRPr="002C68C2">
              <w:rPr>
                <w:rFonts w:ascii="Arial" w:hAnsi="Arial" w:cs="Arial"/>
                <w:iCs/>
              </w:rPr>
              <w:t>Sep 1</w:t>
            </w:r>
            <w:r>
              <w:rPr>
                <w:rFonts w:ascii="Arial" w:hAnsi="Arial" w:cs="Arial"/>
                <w:iCs/>
              </w:rPr>
              <w:t>9</w:t>
            </w:r>
          </w:p>
        </w:tc>
        <w:tc>
          <w:tcPr>
            <w:tcW w:w="850" w:type="dxa"/>
          </w:tcPr>
          <w:p w14:paraId="51088F39" w14:textId="77777777" w:rsidR="003D2AA6" w:rsidRPr="002C68C2" w:rsidRDefault="003D2AA6" w:rsidP="00A97391">
            <w:pPr>
              <w:tabs>
                <w:tab w:val="left" w:pos="1440"/>
              </w:tabs>
              <w:autoSpaceDE w:val="0"/>
              <w:autoSpaceDN w:val="0"/>
              <w:adjustRightInd w:val="0"/>
              <w:jc w:val="both"/>
              <w:rPr>
                <w:rFonts w:ascii="Arial" w:hAnsi="Arial" w:cs="Arial"/>
                <w:iCs/>
              </w:rPr>
            </w:pPr>
            <w:r>
              <w:rPr>
                <w:rFonts w:ascii="Arial" w:hAnsi="Arial" w:cs="Arial"/>
                <w:iCs/>
              </w:rPr>
              <w:t>Oct 19</w:t>
            </w:r>
          </w:p>
        </w:tc>
        <w:tc>
          <w:tcPr>
            <w:tcW w:w="851" w:type="dxa"/>
          </w:tcPr>
          <w:p w14:paraId="506B4C9B" w14:textId="77777777" w:rsidR="003D2AA6" w:rsidRPr="002C68C2" w:rsidRDefault="003D2AA6" w:rsidP="00A97391">
            <w:pPr>
              <w:tabs>
                <w:tab w:val="left" w:pos="1440"/>
              </w:tabs>
              <w:autoSpaceDE w:val="0"/>
              <w:autoSpaceDN w:val="0"/>
              <w:adjustRightInd w:val="0"/>
              <w:jc w:val="both"/>
              <w:rPr>
                <w:rFonts w:ascii="Arial" w:hAnsi="Arial" w:cs="Arial"/>
                <w:iCs/>
              </w:rPr>
            </w:pPr>
            <w:r w:rsidRPr="002C68C2">
              <w:rPr>
                <w:rFonts w:ascii="Arial" w:hAnsi="Arial" w:cs="Arial"/>
                <w:iCs/>
              </w:rPr>
              <w:t>Nov 1</w:t>
            </w:r>
            <w:r>
              <w:rPr>
                <w:rFonts w:ascii="Arial" w:hAnsi="Arial" w:cs="Arial"/>
                <w:iCs/>
              </w:rPr>
              <w:t>9</w:t>
            </w:r>
          </w:p>
        </w:tc>
        <w:tc>
          <w:tcPr>
            <w:tcW w:w="709" w:type="dxa"/>
          </w:tcPr>
          <w:p w14:paraId="3F66BA6A"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Feb 20</w:t>
            </w:r>
          </w:p>
        </w:tc>
        <w:tc>
          <w:tcPr>
            <w:tcW w:w="1275" w:type="dxa"/>
          </w:tcPr>
          <w:p w14:paraId="630A41C2" w14:textId="77777777" w:rsidR="003D2AA6"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 xml:space="preserve">March </w:t>
            </w:r>
            <w:r>
              <w:rPr>
                <w:rFonts w:ascii="Arial" w:hAnsi="Arial" w:cs="Arial"/>
                <w:iCs/>
              </w:rPr>
              <w:t>20</w:t>
            </w:r>
          </w:p>
          <w:p w14:paraId="1B8993BC"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w:t>
            </w:r>
          </w:p>
        </w:tc>
      </w:tr>
      <w:tr w:rsidR="003D2AA6" w14:paraId="74018B27" w14:textId="77777777" w:rsidTr="00BD569B">
        <w:tc>
          <w:tcPr>
            <w:tcW w:w="2689" w:type="dxa"/>
          </w:tcPr>
          <w:p w14:paraId="67DCA946" w14:textId="77777777" w:rsidR="003D2AA6" w:rsidRPr="002C68C2" w:rsidRDefault="003D2AA6" w:rsidP="00FD311C">
            <w:pPr>
              <w:tabs>
                <w:tab w:val="left" w:pos="1440"/>
              </w:tabs>
              <w:autoSpaceDE w:val="0"/>
              <w:autoSpaceDN w:val="0"/>
              <w:adjustRightInd w:val="0"/>
              <w:jc w:val="both"/>
              <w:rPr>
                <w:rFonts w:ascii="Arial" w:hAnsi="Arial" w:cs="Arial"/>
                <w:iCs/>
              </w:rPr>
            </w:pPr>
            <w:r w:rsidRPr="002C68C2">
              <w:rPr>
                <w:rFonts w:ascii="Arial" w:hAnsi="Arial" w:cs="Arial"/>
                <w:iCs/>
              </w:rPr>
              <w:t>Cllr Johar Khan</w:t>
            </w:r>
          </w:p>
        </w:tc>
        <w:tc>
          <w:tcPr>
            <w:tcW w:w="992" w:type="dxa"/>
          </w:tcPr>
          <w:p w14:paraId="1756BE5F"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yes</w:t>
            </w:r>
          </w:p>
        </w:tc>
        <w:tc>
          <w:tcPr>
            <w:tcW w:w="992" w:type="dxa"/>
          </w:tcPr>
          <w:p w14:paraId="75D1F11D"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709" w:type="dxa"/>
          </w:tcPr>
          <w:p w14:paraId="121BE4FE"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850" w:type="dxa"/>
          </w:tcPr>
          <w:p w14:paraId="532C96B3"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851" w:type="dxa"/>
          </w:tcPr>
          <w:p w14:paraId="709E343B"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709" w:type="dxa"/>
          </w:tcPr>
          <w:p w14:paraId="0046A829" w14:textId="77777777" w:rsidR="003D2AA6" w:rsidRDefault="00C832CE"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1275" w:type="dxa"/>
          </w:tcPr>
          <w:p w14:paraId="31ADCF96"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n/a</w:t>
            </w:r>
          </w:p>
        </w:tc>
      </w:tr>
      <w:tr w:rsidR="003D2AA6" w14:paraId="293963B0" w14:textId="77777777" w:rsidTr="00BD569B">
        <w:tc>
          <w:tcPr>
            <w:tcW w:w="2689" w:type="dxa"/>
          </w:tcPr>
          <w:p w14:paraId="7A444157"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Cllr Keith Rayner</w:t>
            </w:r>
          </w:p>
        </w:tc>
        <w:tc>
          <w:tcPr>
            <w:tcW w:w="992" w:type="dxa"/>
          </w:tcPr>
          <w:p w14:paraId="278B8F48"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yes</w:t>
            </w:r>
          </w:p>
        </w:tc>
        <w:tc>
          <w:tcPr>
            <w:tcW w:w="992" w:type="dxa"/>
          </w:tcPr>
          <w:p w14:paraId="30048D8E"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709" w:type="dxa"/>
          </w:tcPr>
          <w:p w14:paraId="39B7569B"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850" w:type="dxa"/>
          </w:tcPr>
          <w:p w14:paraId="49823FDD"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851" w:type="dxa"/>
          </w:tcPr>
          <w:p w14:paraId="24D8ED09"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709" w:type="dxa"/>
          </w:tcPr>
          <w:p w14:paraId="310A2D64" w14:textId="77777777" w:rsidR="003D2AA6" w:rsidRDefault="00C832CE"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1275" w:type="dxa"/>
          </w:tcPr>
          <w:p w14:paraId="6E7C14DD"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n/a</w:t>
            </w:r>
          </w:p>
        </w:tc>
      </w:tr>
      <w:tr w:rsidR="003D2AA6" w14:paraId="25D6511E" w14:textId="77777777" w:rsidTr="00BD569B">
        <w:tc>
          <w:tcPr>
            <w:tcW w:w="2689" w:type="dxa"/>
          </w:tcPr>
          <w:p w14:paraId="19B22517" w14:textId="77777777" w:rsidR="003D2AA6" w:rsidRPr="002C68C2" w:rsidRDefault="003D2AA6" w:rsidP="00DB02FC">
            <w:pPr>
              <w:tabs>
                <w:tab w:val="left" w:pos="1440"/>
              </w:tabs>
              <w:autoSpaceDE w:val="0"/>
              <w:autoSpaceDN w:val="0"/>
              <w:adjustRightInd w:val="0"/>
              <w:jc w:val="both"/>
              <w:rPr>
                <w:rFonts w:ascii="Arial" w:hAnsi="Arial" w:cs="Arial"/>
                <w:iCs/>
              </w:rPr>
            </w:pPr>
            <w:r w:rsidRPr="002C68C2">
              <w:rPr>
                <w:rFonts w:ascii="Arial" w:hAnsi="Arial" w:cs="Arial"/>
                <w:iCs/>
              </w:rPr>
              <w:t>Cllr Karen Bellamy</w:t>
            </w:r>
          </w:p>
        </w:tc>
        <w:tc>
          <w:tcPr>
            <w:tcW w:w="992" w:type="dxa"/>
          </w:tcPr>
          <w:p w14:paraId="6245A823"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yes</w:t>
            </w:r>
          </w:p>
        </w:tc>
        <w:tc>
          <w:tcPr>
            <w:tcW w:w="992" w:type="dxa"/>
          </w:tcPr>
          <w:p w14:paraId="25503D2E"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709" w:type="dxa"/>
          </w:tcPr>
          <w:p w14:paraId="1247C7DC"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850" w:type="dxa"/>
          </w:tcPr>
          <w:p w14:paraId="66CAF499"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851" w:type="dxa"/>
          </w:tcPr>
          <w:p w14:paraId="13167BD5"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709" w:type="dxa"/>
          </w:tcPr>
          <w:p w14:paraId="60996395" w14:textId="77777777" w:rsidR="003D2AA6" w:rsidRDefault="00C832CE"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1275" w:type="dxa"/>
          </w:tcPr>
          <w:p w14:paraId="778E36B9"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n/a</w:t>
            </w:r>
          </w:p>
        </w:tc>
      </w:tr>
      <w:tr w:rsidR="003D2AA6" w14:paraId="713108C0" w14:textId="77777777" w:rsidTr="00BD569B">
        <w:tc>
          <w:tcPr>
            <w:tcW w:w="2689" w:type="dxa"/>
          </w:tcPr>
          <w:p w14:paraId="29F2B3C2"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Cllr Andy Hemsted</w:t>
            </w:r>
          </w:p>
        </w:tc>
        <w:tc>
          <w:tcPr>
            <w:tcW w:w="992" w:type="dxa"/>
          </w:tcPr>
          <w:p w14:paraId="5EE6D45E"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yes</w:t>
            </w:r>
          </w:p>
        </w:tc>
        <w:tc>
          <w:tcPr>
            <w:tcW w:w="992" w:type="dxa"/>
          </w:tcPr>
          <w:p w14:paraId="586E1182"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709" w:type="dxa"/>
          </w:tcPr>
          <w:p w14:paraId="11A28FA1"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850" w:type="dxa"/>
          </w:tcPr>
          <w:p w14:paraId="246CE071"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851" w:type="dxa"/>
          </w:tcPr>
          <w:p w14:paraId="7FEB176E" w14:textId="77777777" w:rsidR="003D2AA6" w:rsidRPr="002C68C2" w:rsidRDefault="00FA7DB2"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709" w:type="dxa"/>
          </w:tcPr>
          <w:p w14:paraId="78EEC2A1" w14:textId="77777777" w:rsidR="003D2AA6" w:rsidRDefault="00C832CE"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1275" w:type="dxa"/>
          </w:tcPr>
          <w:p w14:paraId="7AAD9B70"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n/a</w:t>
            </w:r>
          </w:p>
        </w:tc>
      </w:tr>
      <w:tr w:rsidR="003D2AA6" w14:paraId="2C2D9661" w14:textId="77777777" w:rsidTr="00BD569B">
        <w:tc>
          <w:tcPr>
            <w:tcW w:w="2689" w:type="dxa"/>
          </w:tcPr>
          <w:p w14:paraId="0129B1B4"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Cllr Terry Wheeler</w:t>
            </w:r>
          </w:p>
        </w:tc>
        <w:tc>
          <w:tcPr>
            <w:tcW w:w="992" w:type="dxa"/>
          </w:tcPr>
          <w:p w14:paraId="3792F4EC"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yes</w:t>
            </w:r>
          </w:p>
        </w:tc>
        <w:tc>
          <w:tcPr>
            <w:tcW w:w="992" w:type="dxa"/>
          </w:tcPr>
          <w:p w14:paraId="1BCAD3DC"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709" w:type="dxa"/>
          </w:tcPr>
          <w:p w14:paraId="4F2E60DC"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850" w:type="dxa"/>
          </w:tcPr>
          <w:p w14:paraId="4146ABC4"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851" w:type="dxa"/>
          </w:tcPr>
          <w:p w14:paraId="4F3861DB"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709" w:type="dxa"/>
          </w:tcPr>
          <w:p w14:paraId="410EFEBA" w14:textId="77777777" w:rsidR="003D2AA6" w:rsidRDefault="00C832CE"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1275" w:type="dxa"/>
          </w:tcPr>
          <w:p w14:paraId="774EFC2F"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n/a</w:t>
            </w:r>
          </w:p>
        </w:tc>
      </w:tr>
      <w:tr w:rsidR="003D2AA6" w14:paraId="7A057AF2" w14:textId="77777777" w:rsidTr="00BD569B">
        <w:tc>
          <w:tcPr>
            <w:tcW w:w="2689" w:type="dxa"/>
          </w:tcPr>
          <w:p w14:paraId="6BEED217"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John Turnbull</w:t>
            </w:r>
          </w:p>
        </w:tc>
        <w:tc>
          <w:tcPr>
            <w:tcW w:w="992" w:type="dxa"/>
          </w:tcPr>
          <w:p w14:paraId="43FEA7CE"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no</w:t>
            </w:r>
          </w:p>
        </w:tc>
        <w:tc>
          <w:tcPr>
            <w:tcW w:w="992" w:type="dxa"/>
          </w:tcPr>
          <w:p w14:paraId="1B784F99"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709" w:type="dxa"/>
          </w:tcPr>
          <w:p w14:paraId="7192582D"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850" w:type="dxa"/>
          </w:tcPr>
          <w:p w14:paraId="164DAE03" w14:textId="77777777" w:rsidR="003D2AA6" w:rsidRPr="002C68C2" w:rsidRDefault="00BD569B"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851" w:type="dxa"/>
          </w:tcPr>
          <w:p w14:paraId="3D195FB7"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709" w:type="dxa"/>
          </w:tcPr>
          <w:p w14:paraId="1179B2EB" w14:textId="77777777" w:rsidR="003D2AA6" w:rsidRDefault="00C832CE"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1275" w:type="dxa"/>
          </w:tcPr>
          <w:p w14:paraId="04D1A722"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n/a</w:t>
            </w:r>
          </w:p>
        </w:tc>
      </w:tr>
      <w:tr w:rsidR="003D2AA6" w14:paraId="770DB1DA" w14:textId="77777777" w:rsidTr="00BD569B">
        <w:tc>
          <w:tcPr>
            <w:tcW w:w="2689" w:type="dxa"/>
          </w:tcPr>
          <w:p w14:paraId="3F4A8D93"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Debbie Drew</w:t>
            </w:r>
          </w:p>
        </w:tc>
        <w:tc>
          <w:tcPr>
            <w:tcW w:w="992" w:type="dxa"/>
          </w:tcPr>
          <w:p w14:paraId="2A261D64"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no</w:t>
            </w:r>
          </w:p>
        </w:tc>
        <w:tc>
          <w:tcPr>
            <w:tcW w:w="992" w:type="dxa"/>
          </w:tcPr>
          <w:p w14:paraId="134248C4"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709" w:type="dxa"/>
          </w:tcPr>
          <w:p w14:paraId="70EE4CF5"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850" w:type="dxa"/>
          </w:tcPr>
          <w:p w14:paraId="010B5755" w14:textId="77777777" w:rsidR="003D2AA6" w:rsidRPr="002C68C2" w:rsidRDefault="00BD569B"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851" w:type="dxa"/>
          </w:tcPr>
          <w:p w14:paraId="2B2202F7"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709" w:type="dxa"/>
          </w:tcPr>
          <w:p w14:paraId="52D88237" w14:textId="77777777" w:rsidR="003D2AA6" w:rsidRDefault="00C832CE"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1275" w:type="dxa"/>
          </w:tcPr>
          <w:p w14:paraId="57085E12"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n/a</w:t>
            </w:r>
          </w:p>
        </w:tc>
      </w:tr>
      <w:tr w:rsidR="003D2AA6" w14:paraId="7820FE60" w14:textId="77777777" w:rsidTr="00BD569B">
        <w:tc>
          <w:tcPr>
            <w:tcW w:w="2689" w:type="dxa"/>
          </w:tcPr>
          <w:p w14:paraId="636CE5D0" w14:textId="77777777" w:rsidR="003D2AA6" w:rsidRPr="002C68C2" w:rsidRDefault="003D2AA6" w:rsidP="00930115">
            <w:pPr>
              <w:tabs>
                <w:tab w:val="left" w:pos="1440"/>
              </w:tabs>
              <w:autoSpaceDE w:val="0"/>
              <w:autoSpaceDN w:val="0"/>
              <w:adjustRightInd w:val="0"/>
              <w:jc w:val="both"/>
              <w:rPr>
                <w:rFonts w:ascii="Arial" w:hAnsi="Arial" w:cs="Arial"/>
                <w:iCs/>
              </w:rPr>
            </w:pPr>
            <w:r w:rsidRPr="002C68C2">
              <w:rPr>
                <w:rFonts w:ascii="Arial" w:hAnsi="Arial" w:cs="Arial"/>
                <w:iCs/>
              </w:rPr>
              <w:t xml:space="preserve">John Raisin </w:t>
            </w:r>
          </w:p>
          <w:p w14:paraId="63B952DF" w14:textId="77777777" w:rsidR="003D2AA6" w:rsidRPr="002C68C2" w:rsidRDefault="003D2AA6" w:rsidP="00930115">
            <w:pPr>
              <w:tabs>
                <w:tab w:val="left" w:pos="1440"/>
              </w:tabs>
              <w:autoSpaceDE w:val="0"/>
              <w:autoSpaceDN w:val="0"/>
              <w:adjustRightInd w:val="0"/>
              <w:jc w:val="both"/>
              <w:rPr>
                <w:rFonts w:ascii="Arial" w:hAnsi="Arial" w:cs="Arial"/>
                <w:iCs/>
              </w:rPr>
            </w:pPr>
            <w:r w:rsidRPr="002C68C2">
              <w:rPr>
                <w:rFonts w:ascii="Arial" w:hAnsi="Arial" w:cs="Arial"/>
                <w:iCs/>
              </w:rPr>
              <w:t>(Independent Advisor)</w:t>
            </w:r>
          </w:p>
        </w:tc>
        <w:tc>
          <w:tcPr>
            <w:tcW w:w="992" w:type="dxa"/>
          </w:tcPr>
          <w:p w14:paraId="57AD2DF2"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no</w:t>
            </w:r>
          </w:p>
        </w:tc>
        <w:tc>
          <w:tcPr>
            <w:tcW w:w="992" w:type="dxa"/>
          </w:tcPr>
          <w:p w14:paraId="29C87D33"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709" w:type="dxa"/>
          </w:tcPr>
          <w:p w14:paraId="0B77D0AB"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850" w:type="dxa"/>
          </w:tcPr>
          <w:p w14:paraId="0E8CDA02" w14:textId="77777777" w:rsidR="003D2AA6" w:rsidRPr="002C68C2" w:rsidRDefault="00BD569B"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851" w:type="dxa"/>
          </w:tcPr>
          <w:p w14:paraId="4C9446CF"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w:t>
            </w:r>
          </w:p>
        </w:tc>
        <w:tc>
          <w:tcPr>
            <w:tcW w:w="709" w:type="dxa"/>
          </w:tcPr>
          <w:p w14:paraId="6F6D42FF" w14:textId="77777777" w:rsidR="003D2AA6" w:rsidRDefault="00C832CE" w:rsidP="00D263A6">
            <w:pPr>
              <w:tabs>
                <w:tab w:val="left" w:pos="1440"/>
              </w:tabs>
              <w:autoSpaceDE w:val="0"/>
              <w:autoSpaceDN w:val="0"/>
              <w:adjustRightInd w:val="0"/>
              <w:jc w:val="both"/>
              <w:rPr>
                <w:rFonts w:ascii="Arial" w:hAnsi="Arial" w:cs="Arial"/>
                <w:iCs/>
              </w:rPr>
            </w:pPr>
            <w:r>
              <w:rPr>
                <w:rFonts w:ascii="Arial" w:hAnsi="Arial" w:cs="Arial"/>
                <w:iCs/>
              </w:rPr>
              <w:t>√</w:t>
            </w:r>
          </w:p>
        </w:tc>
        <w:tc>
          <w:tcPr>
            <w:tcW w:w="1275" w:type="dxa"/>
          </w:tcPr>
          <w:p w14:paraId="4DB01BA2"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n/a</w:t>
            </w:r>
          </w:p>
        </w:tc>
      </w:tr>
      <w:tr w:rsidR="003D2AA6" w14:paraId="71CC8E3B" w14:textId="77777777" w:rsidTr="00BD569B">
        <w:tc>
          <w:tcPr>
            <w:tcW w:w="2689" w:type="dxa"/>
          </w:tcPr>
          <w:p w14:paraId="24CB91A0" w14:textId="77777777" w:rsidR="003D2AA6" w:rsidRPr="002C68C2" w:rsidRDefault="003D2AA6" w:rsidP="00930115">
            <w:pPr>
              <w:tabs>
                <w:tab w:val="left" w:pos="1440"/>
              </w:tabs>
              <w:autoSpaceDE w:val="0"/>
              <w:autoSpaceDN w:val="0"/>
              <w:adjustRightInd w:val="0"/>
              <w:jc w:val="both"/>
              <w:rPr>
                <w:rFonts w:ascii="Arial" w:hAnsi="Arial" w:cs="Arial"/>
                <w:iCs/>
              </w:rPr>
            </w:pPr>
            <w:r w:rsidRPr="002C68C2">
              <w:rPr>
                <w:rFonts w:ascii="Arial" w:hAnsi="Arial" w:cs="Arial"/>
                <w:iCs/>
              </w:rPr>
              <w:t xml:space="preserve">Union Representative </w:t>
            </w:r>
          </w:p>
          <w:p w14:paraId="309E7E91" w14:textId="77777777" w:rsidR="003D2AA6" w:rsidRPr="002C68C2" w:rsidRDefault="003D2AA6" w:rsidP="00930115">
            <w:pPr>
              <w:tabs>
                <w:tab w:val="left" w:pos="1440"/>
              </w:tabs>
              <w:autoSpaceDE w:val="0"/>
              <w:autoSpaceDN w:val="0"/>
              <w:adjustRightInd w:val="0"/>
              <w:jc w:val="both"/>
              <w:rPr>
                <w:rFonts w:ascii="Arial" w:hAnsi="Arial" w:cs="Arial"/>
                <w:iCs/>
              </w:rPr>
            </w:pPr>
            <w:r w:rsidRPr="002C68C2">
              <w:rPr>
                <w:rFonts w:ascii="Arial" w:hAnsi="Arial" w:cs="Arial"/>
                <w:iCs/>
              </w:rPr>
              <w:t>David Knight</w:t>
            </w:r>
          </w:p>
        </w:tc>
        <w:tc>
          <w:tcPr>
            <w:tcW w:w="992" w:type="dxa"/>
          </w:tcPr>
          <w:p w14:paraId="4B6A598A"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no</w:t>
            </w:r>
          </w:p>
        </w:tc>
        <w:tc>
          <w:tcPr>
            <w:tcW w:w="992" w:type="dxa"/>
          </w:tcPr>
          <w:p w14:paraId="49F9ED4E" w14:textId="77777777" w:rsidR="003D2AA6" w:rsidRPr="002C68C2" w:rsidRDefault="00BD569B"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709" w:type="dxa"/>
          </w:tcPr>
          <w:p w14:paraId="1411B1F0"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850" w:type="dxa"/>
          </w:tcPr>
          <w:p w14:paraId="05E40D8C" w14:textId="77777777" w:rsidR="003D2AA6" w:rsidRPr="002C68C2" w:rsidRDefault="00BD569B"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851" w:type="dxa"/>
          </w:tcPr>
          <w:p w14:paraId="18E860AB" w14:textId="77777777" w:rsidR="003D2AA6" w:rsidRPr="002C68C2" w:rsidRDefault="00BD569B"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709" w:type="dxa"/>
          </w:tcPr>
          <w:p w14:paraId="25D14B6D" w14:textId="77777777" w:rsidR="003D2AA6" w:rsidRPr="002C68C2" w:rsidRDefault="00C832CE"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1275" w:type="dxa"/>
          </w:tcPr>
          <w:p w14:paraId="69475D20" w14:textId="77777777" w:rsidR="003D2AA6" w:rsidRPr="002C68C2" w:rsidRDefault="00C832CE" w:rsidP="00D263A6">
            <w:pPr>
              <w:tabs>
                <w:tab w:val="left" w:pos="1440"/>
              </w:tabs>
              <w:autoSpaceDE w:val="0"/>
              <w:autoSpaceDN w:val="0"/>
              <w:adjustRightInd w:val="0"/>
              <w:jc w:val="both"/>
              <w:rPr>
                <w:rFonts w:ascii="Arial" w:hAnsi="Arial" w:cs="Arial"/>
                <w:iCs/>
              </w:rPr>
            </w:pPr>
            <w:r>
              <w:rPr>
                <w:rFonts w:ascii="Arial" w:hAnsi="Arial" w:cs="Arial"/>
                <w:iCs/>
              </w:rPr>
              <w:t>n/a</w:t>
            </w:r>
          </w:p>
        </w:tc>
      </w:tr>
      <w:tr w:rsidR="003D2AA6" w14:paraId="51F12506" w14:textId="77777777" w:rsidTr="00BD569B">
        <w:tc>
          <w:tcPr>
            <w:tcW w:w="2689" w:type="dxa"/>
          </w:tcPr>
          <w:p w14:paraId="4F796611"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Employer Representative</w:t>
            </w:r>
          </w:p>
          <w:p w14:paraId="7F4D8518"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Alan Leek</w:t>
            </w:r>
          </w:p>
        </w:tc>
        <w:tc>
          <w:tcPr>
            <w:tcW w:w="992" w:type="dxa"/>
          </w:tcPr>
          <w:p w14:paraId="5BF7F1A3" w14:textId="77777777" w:rsidR="003D2AA6" w:rsidRPr="002C68C2" w:rsidRDefault="003D2AA6" w:rsidP="00D263A6">
            <w:pPr>
              <w:tabs>
                <w:tab w:val="left" w:pos="1440"/>
              </w:tabs>
              <w:autoSpaceDE w:val="0"/>
              <w:autoSpaceDN w:val="0"/>
              <w:adjustRightInd w:val="0"/>
              <w:jc w:val="both"/>
              <w:rPr>
                <w:rFonts w:ascii="Arial" w:hAnsi="Arial" w:cs="Arial"/>
                <w:iCs/>
              </w:rPr>
            </w:pPr>
            <w:r w:rsidRPr="002C68C2">
              <w:rPr>
                <w:rFonts w:ascii="Arial" w:hAnsi="Arial" w:cs="Arial"/>
                <w:iCs/>
              </w:rPr>
              <w:t>no</w:t>
            </w:r>
          </w:p>
        </w:tc>
        <w:tc>
          <w:tcPr>
            <w:tcW w:w="992" w:type="dxa"/>
          </w:tcPr>
          <w:p w14:paraId="51FDE73C" w14:textId="77777777" w:rsidR="003D2AA6" w:rsidRPr="002C68C2" w:rsidRDefault="00BD569B"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709" w:type="dxa"/>
          </w:tcPr>
          <w:p w14:paraId="149CCDA7" w14:textId="77777777" w:rsidR="003D2AA6" w:rsidRPr="002C68C2" w:rsidRDefault="003D2AA6"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850" w:type="dxa"/>
          </w:tcPr>
          <w:p w14:paraId="5E8A45E0" w14:textId="77777777" w:rsidR="003D2AA6" w:rsidRPr="002C68C2" w:rsidRDefault="00BD569B"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851" w:type="dxa"/>
          </w:tcPr>
          <w:p w14:paraId="79A783C7" w14:textId="77777777" w:rsidR="003D2AA6" w:rsidRPr="002C68C2" w:rsidRDefault="00BD569B" w:rsidP="00D263A6">
            <w:pPr>
              <w:tabs>
                <w:tab w:val="left" w:pos="1440"/>
              </w:tabs>
              <w:autoSpaceDE w:val="0"/>
              <w:autoSpaceDN w:val="0"/>
              <w:adjustRightInd w:val="0"/>
              <w:jc w:val="both"/>
              <w:rPr>
                <w:rFonts w:ascii="Arial" w:hAnsi="Arial" w:cs="Arial"/>
                <w:iCs/>
              </w:rPr>
            </w:pPr>
            <w:r>
              <w:rPr>
                <w:rFonts w:ascii="Arial" w:hAnsi="Arial" w:cs="Arial"/>
                <w:iCs/>
              </w:rPr>
              <w:t>x</w:t>
            </w:r>
          </w:p>
        </w:tc>
        <w:tc>
          <w:tcPr>
            <w:tcW w:w="709" w:type="dxa"/>
          </w:tcPr>
          <w:p w14:paraId="2A776E98" w14:textId="77777777" w:rsidR="003D2AA6" w:rsidRDefault="00C832CE" w:rsidP="00A97391">
            <w:pPr>
              <w:tabs>
                <w:tab w:val="left" w:pos="1440"/>
              </w:tabs>
              <w:autoSpaceDE w:val="0"/>
              <w:autoSpaceDN w:val="0"/>
              <w:adjustRightInd w:val="0"/>
              <w:jc w:val="both"/>
              <w:rPr>
                <w:rFonts w:ascii="Arial" w:hAnsi="Arial" w:cs="Arial"/>
                <w:iCs/>
              </w:rPr>
            </w:pPr>
            <w:r>
              <w:rPr>
                <w:rFonts w:ascii="Arial" w:hAnsi="Arial" w:cs="Arial"/>
                <w:iCs/>
              </w:rPr>
              <w:t>x</w:t>
            </w:r>
          </w:p>
        </w:tc>
        <w:tc>
          <w:tcPr>
            <w:tcW w:w="1275" w:type="dxa"/>
          </w:tcPr>
          <w:p w14:paraId="42DA7617" w14:textId="77777777" w:rsidR="003D2AA6" w:rsidRPr="002C68C2" w:rsidRDefault="003D2AA6" w:rsidP="00A97391">
            <w:pPr>
              <w:tabs>
                <w:tab w:val="left" w:pos="1440"/>
              </w:tabs>
              <w:autoSpaceDE w:val="0"/>
              <w:autoSpaceDN w:val="0"/>
              <w:adjustRightInd w:val="0"/>
              <w:jc w:val="both"/>
              <w:rPr>
                <w:rFonts w:ascii="Arial" w:hAnsi="Arial" w:cs="Arial"/>
                <w:iCs/>
              </w:rPr>
            </w:pPr>
            <w:r>
              <w:rPr>
                <w:rFonts w:ascii="Arial" w:hAnsi="Arial" w:cs="Arial"/>
                <w:iCs/>
              </w:rPr>
              <w:t>n/a</w:t>
            </w:r>
          </w:p>
        </w:tc>
      </w:tr>
    </w:tbl>
    <w:p w14:paraId="2B263AC3" w14:textId="77777777" w:rsidR="002C68C2" w:rsidRDefault="002C68C2" w:rsidP="00D263A6">
      <w:pPr>
        <w:tabs>
          <w:tab w:val="left" w:pos="1440"/>
        </w:tabs>
        <w:autoSpaceDE w:val="0"/>
        <w:autoSpaceDN w:val="0"/>
        <w:adjustRightInd w:val="0"/>
        <w:jc w:val="both"/>
        <w:rPr>
          <w:rFonts w:ascii="Arial" w:hAnsi="Arial" w:cs="Arial"/>
          <w:i/>
          <w:sz w:val="18"/>
          <w:szCs w:val="18"/>
        </w:rPr>
      </w:pPr>
      <w:r>
        <w:rPr>
          <w:rFonts w:ascii="Arial" w:hAnsi="Arial" w:cs="Arial"/>
          <w:i/>
          <w:sz w:val="18"/>
          <w:szCs w:val="18"/>
        </w:rPr>
        <w:t>** The March meeting was cancelled due to the Covid</w:t>
      </w:r>
      <w:r w:rsidR="00B76631">
        <w:rPr>
          <w:rFonts w:ascii="Arial" w:hAnsi="Arial" w:cs="Arial"/>
          <w:i/>
          <w:sz w:val="18"/>
          <w:szCs w:val="18"/>
        </w:rPr>
        <w:t xml:space="preserve">19 </w:t>
      </w:r>
      <w:r>
        <w:rPr>
          <w:rFonts w:ascii="Arial" w:hAnsi="Arial" w:cs="Arial"/>
          <w:i/>
          <w:sz w:val="18"/>
          <w:szCs w:val="18"/>
        </w:rPr>
        <w:t>restrictions.</w:t>
      </w:r>
    </w:p>
    <w:p w14:paraId="74A90DAC" w14:textId="77777777" w:rsidR="00F85B28" w:rsidRDefault="00F85B28" w:rsidP="00D263A6">
      <w:pPr>
        <w:tabs>
          <w:tab w:val="left" w:pos="1440"/>
        </w:tabs>
        <w:autoSpaceDE w:val="0"/>
        <w:autoSpaceDN w:val="0"/>
        <w:adjustRightInd w:val="0"/>
        <w:jc w:val="both"/>
        <w:rPr>
          <w:rFonts w:ascii="Arial" w:hAnsi="Arial" w:cs="Arial"/>
          <w:i/>
          <w:sz w:val="18"/>
          <w:szCs w:val="18"/>
        </w:rPr>
      </w:pPr>
    </w:p>
    <w:p w14:paraId="147E8097" w14:textId="77777777" w:rsidR="001F6102" w:rsidRDefault="001F6102" w:rsidP="00D263A6">
      <w:pPr>
        <w:tabs>
          <w:tab w:val="left" w:pos="1440"/>
        </w:tabs>
        <w:autoSpaceDE w:val="0"/>
        <w:autoSpaceDN w:val="0"/>
        <w:adjustRightInd w:val="0"/>
        <w:jc w:val="both"/>
        <w:rPr>
          <w:rFonts w:ascii="Arial" w:hAnsi="Arial" w:cs="Arial"/>
          <w:i/>
          <w:sz w:val="18"/>
          <w:szCs w:val="18"/>
        </w:rPr>
      </w:pPr>
    </w:p>
    <w:p w14:paraId="5417D322" w14:textId="77777777" w:rsidR="00BF2843" w:rsidRDefault="00BF2843" w:rsidP="00D263A6">
      <w:pPr>
        <w:tabs>
          <w:tab w:val="left" w:pos="1440"/>
        </w:tabs>
        <w:autoSpaceDE w:val="0"/>
        <w:autoSpaceDN w:val="0"/>
        <w:adjustRightInd w:val="0"/>
        <w:jc w:val="both"/>
        <w:rPr>
          <w:rFonts w:ascii="Arial" w:hAnsi="Arial" w:cs="Arial"/>
          <w:i/>
          <w:sz w:val="18"/>
          <w:szCs w:val="18"/>
        </w:rPr>
      </w:pPr>
    </w:p>
    <w:p w14:paraId="310B949F" w14:textId="77777777" w:rsidR="00BF2843" w:rsidRDefault="00BF2843" w:rsidP="00D263A6">
      <w:pPr>
        <w:tabs>
          <w:tab w:val="left" w:pos="1440"/>
        </w:tabs>
        <w:autoSpaceDE w:val="0"/>
        <w:autoSpaceDN w:val="0"/>
        <w:adjustRightInd w:val="0"/>
        <w:jc w:val="both"/>
        <w:rPr>
          <w:rFonts w:ascii="Arial" w:hAnsi="Arial" w:cs="Arial"/>
          <w:i/>
          <w:sz w:val="18"/>
          <w:szCs w:val="18"/>
        </w:rPr>
      </w:pPr>
    </w:p>
    <w:p w14:paraId="2451665D" w14:textId="77777777" w:rsidR="00BF2843" w:rsidRDefault="00BF2843" w:rsidP="00D263A6">
      <w:pPr>
        <w:tabs>
          <w:tab w:val="left" w:pos="1440"/>
        </w:tabs>
        <w:autoSpaceDE w:val="0"/>
        <w:autoSpaceDN w:val="0"/>
        <w:adjustRightInd w:val="0"/>
        <w:jc w:val="both"/>
        <w:rPr>
          <w:rFonts w:ascii="Arial" w:hAnsi="Arial" w:cs="Arial"/>
          <w:i/>
          <w:sz w:val="18"/>
          <w:szCs w:val="18"/>
        </w:rPr>
      </w:pPr>
    </w:p>
    <w:p w14:paraId="61D0C604" w14:textId="77777777" w:rsidR="00BF2843" w:rsidRDefault="00BF2843" w:rsidP="00D263A6">
      <w:pPr>
        <w:tabs>
          <w:tab w:val="left" w:pos="1440"/>
        </w:tabs>
        <w:autoSpaceDE w:val="0"/>
        <w:autoSpaceDN w:val="0"/>
        <w:adjustRightInd w:val="0"/>
        <w:jc w:val="both"/>
        <w:rPr>
          <w:rFonts w:ascii="Arial" w:hAnsi="Arial" w:cs="Arial"/>
          <w:i/>
          <w:sz w:val="18"/>
          <w:szCs w:val="18"/>
        </w:rPr>
      </w:pPr>
    </w:p>
    <w:p w14:paraId="21496531" w14:textId="77777777" w:rsidR="00BF2843" w:rsidRDefault="00BF2843" w:rsidP="00D263A6">
      <w:pPr>
        <w:tabs>
          <w:tab w:val="left" w:pos="1440"/>
        </w:tabs>
        <w:autoSpaceDE w:val="0"/>
        <w:autoSpaceDN w:val="0"/>
        <w:adjustRightInd w:val="0"/>
        <w:jc w:val="both"/>
        <w:rPr>
          <w:rFonts w:ascii="Arial" w:hAnsi="Arial" w:cs="Arial"/>
          <w:i/>
          <w:sz w:val="18"/>
          <w:szCs w:val="18"/>
        </w:rPr>
      </w:pPr>
    </w:p>
    <w:p w14:paraId="17BBC532" w14:textId="77777777" w:rsidR="00BF2843" w:rsidRDefault="00BF2843" w:rsidP="00D263A6">
      <w:pPr>
        <w:tabs>
          <w:tab w:val="left" w:pos="1440"/>
        </w:tabs>
        <w:autoSpaceDE w:val="0"/>
        <w:autoSpaceDN w:val="0"/>
        <w:adjustRightInd w:val="0"/>
        <w:jc w:val="both"/>
        <w:rPr>
          <w:rFonts w:ascii="Arial" w:hAnsi="Arial" w:cs="Arial"/>
          <w:i/>
          <w:sz w:val="18"/>
          <w:szCs w:val="18"/>
        </w:rPr>
      </w:pPr>
    </w:p>
    <w:p w14:paraId="1988D214" w14:textId="77777777" w:rsidR="00BF2843" w:rsidRDefault="00BF2843" w:rsidP="00D263A6">
      <w:pPr>
        <w:tabs>
          <w:tab w:val="left" w:pos="1440"/>
        </w:tabs>
        <w:autoSpaceDE w:val="0"/>
        <w:autoSpaceDN w:val="0"/>
        <w:adjustRightInd w:val="0"/>
        <w:jc w:val="both"/>
        <w:rPr>
          <w:rFonts w:ascii="Arial" w:hAnsi="Arial" w:cs="Arial"/>
          <w:i/>
          <w:sz w:val="18"/>
          <w:szCs w:val="18"/>
        </w:rPr>
      </w:pPr>
    </w:p>
    <w:p w14:paraId="30F0049C" w14:textId="77777777" w:rsidR="00E67476" w:rsidRPr="009563C8" w:rsidRDefault="00E67476" w:rsidP="00D263A6">
      <w:pPr>
        <w:tabs>
          <w:tab w:val="left" w:pos="1440"/>
        </w:tabs>
        <w:autoSpaceDE w:val="0"/>
        <w:autoSpaceDN w:val="0"/>
        <w:adjustRightInd w:val="0"/>
        <w:jc w:val="both"/>
        <w:rPr>
          <w:rFonts w:ascii="Arial" w:hAnsi="Arial" w:cs="Arial"/>
        </w:rPr>
      </w:pPr>
      <w:r w:rsidRPr="009563C8">
        <w:rPr>
          <w:rFonts w:ascii="Arial" w:hAnsi="Arial" w:cs="Arial"/>
        </w:rPr>
        <w:t>Other attendees at pension fund Committee meeting</w:t>
      </w:r>
      <w:r w:rsidR="00930115" w:rsidRPr="009563C8">
        <w:rPr>
          <w:rFonts w:ascii="Arial" w:hAnsi="Arial" w:cs="Arial"/>
        </w:rPr>
        <w:t>s</w:t>
      </w:r>
      <w:r w:rsidRPr="009563C8">
        <w:rPr>
          <w:rFonts w:ascii="Arial" w:hAnsi="Arial" w:cs="Arial"/>
        </w:rPr>
        <w:t xml:space="preserve"> were as follows:</w:t>
      </w:r>
    </w:p>
    <w:p w14:paraId="02EDA91F" w14:textId="77777777" w:rsidR="009563C8" w:rsidRPr="009563C8" w:rsidRDefault="009563C8" w:rsidP="00D263A6">
      <w:pPr>
        <w:tabs>
          <w:tab w:val="left" w:pos="1440"/>
        </w:tabs>
        <w:autoSpaceDE w:val="0"/>
        <w:autoSpaceDN w:val="0"/>
        <w:adjustRightInd w:val="0"/>
        <w:jc w:val="both"/>
        <w:rPr>
          <w:rFonts w:ascii="Arial" w:hAnsi="Arial" w:cs="Arial"/>
        </w:rPr>
      </w:pPr>
    </w:p>
    <w:p w14:paraId="727DB292" w14:textId="77777777" w:rsidR="00E67476" w:rsidRDefault="00E67476" w:rsidP="00D263A6">
      <w:pPr>
        <w:tabs>
          <w:tab w:val="left" w:pos="1440"/>
        </w:tabs>
        <w:autoSpaceDE w:val="0"/>
        <w:autoSpaceDN w:val="0"/>
        <w:adjustRightInd w:val="0"/>
        <w:jc w:val="both"/>
        <w:rPr>
          <w:rFonts w:ascii="Arial" w:hAnsi="Arial" w:cs="Arial"/>
        </w:rPr>
      </w:pPr>
      <w:r w:rsidRPr="009563C8">
        <w:rPr>
          <w:rFonts w:ascii="Arial" w:hAnsi="Arial" w:cs="Arial"/>
        </w:rPr>
        <w:t xml:space="preserve">June </w:t>
      </w:r>
      <w:r w:rsidR="00930115" w:rsidRPr="009563C8">
        <w:rPr>
          <w:rFonts w:ascii="Arial" w:hAnsi="Arial" w:cs="Arial"/>
        </w:rPr>
        <w:t>1</w:t>
      </w:r>
      <w:r w:rsidR="002C68C2">
        <w:rPr>
          <w:rFonts w:ascii="Arial" w:hAnsi="Arial" w:cs="Arial"/>
        </w:rPr>
        <w:t>9</w:t>
      </w:r>
      <w:r w:rsidR="00930115" w:rsidRPr="009563C8">
        <w:rPr>
          <w:rFonts w:ascii="Arial" w:hAnsi="Arial" w:cs="Arial"/>
        </w:rPr>
        <w:t xml:space="preserve"> </w:t>
      </w:r>
      <w:r w:rsidRPr="009563C8">
        <w:rPr>
          <w:rFonts w:ascii="Arial" w:hAnsi="Arial" w:cs="Arial"/>
        </w:rPr>
        <w:t>–</w:t>
      </w:r>
      <w:r w:rsidR="009F00F5">
        <w:rPr>
          <w:rFonts w:ascii="Arial" w:hAnsi="Arial" w:cs="Arial"/>
        </w:rPr>
        <w:t xml:space="preserve"> Jake </w:t>
      </w:r>
      <w:proofErr w:type="spellStart"/>
      <w:r w:rsidR="009F00F5">
        <w:rPr>
          <w:rFonts w:ascii="Arial" w:hAnsi="Arial" w:cs="Arial"/>
        </w:rPr>
        <w:t>Bacchas</w:t>
      </w:r>
      <w:proofErr w:type="spellEnd"/>
      <w:r w:rsidR="00B76631">
        <w:rPr>
          <w:rFonts w:ascii="Arial" w:hAnsi="Arial" w:cs="Arial"/>
        </w:rPr>
        <w:t xml:space="preserve"> - Director of financial Services,</w:t>
      </w:r>
      <w:r w:rsidRPr="009563C8">
        <w:rPr>
          <w:rFonts w:ascii="Arial" w:hAnsi="Arial" w:cs="Arial"/>
        </w:rPr>
        <w:t xml:space="preserve"> </w:t>
      </w:r>
      <w:r w:rsidR="00933F70">
        <w:rPr>
          <w:rFonts w:ascii="Arial" w:hAnsi="Arial" w:cs="Arial"/>
        </w:rPr>
        <w:t xml:space="preserve">Peter Gent </w:t>
      </w:r>
      <w:r w:rsidR="00B76631">
        <w:rPr>
          <w:rFonts w:ascii="Arial" w:hAnsi="Arial" w:cs="Arial"/>
        </w:rPr>
        <w:t>the</w:t>
      </w:r>
      <w:r w:rsidRPr="009563C8">
        <w:rPr>
          <w:rFonts w:ascii="Arial" w:hAnsi="Arial" w:cs="Arial"/>
        </w:rPr>
        <w:t xml:space="preserve"> Funds Investment Consultant (Mercer)</w:t>
      </w:r>
      <w:r w:rsidR="00933F70">
        <w:rPr>
          <w:rFonts w:ascii="Arial" w:hAnsi="Arial" w:cs="Arial"/>
        </w:rPr>
        <w:t xml:space="preserve">, </w:t>
      </w:r>
      <w:r w:rsidR="00B76631">
        <w:rPr>
          <w:rFonts w:ascii="Arial" w:hAnsi="Arial" w:cs="Arial"/>
        </w:rPr>
        <w:t xml:space="preserve">Kevin Cullen - Client Relationship Director, Mike O’Donnell Chief Executive of the London CIV Ltd and Neil Sellstrom from </w:t>
      </w:r>
      <w:r w:rsidR="00C46B78">
        <w:rPr>
          <w:rFonts w:ascii="Arial" w:hAnsi="Arial" w:cs="Arial"/>
        </w:rPr>
        <w:t>Pirc</w:t>
      </w:r>
      <w:r w:rsidR="00B76631">
        <w:rPr>
          <w:rFonts w:ascii="Arial" w:hAnsi="Arial" w:cs="Arial"/>
        </w:rPr>
        <w:t>.</w:t>
      </w:r>
    </w:p>
    <w:p w14:paraId="5B38809A" w14:textId="77777777" w:rsidR="009563C8" w:rsidRPr="009563C8" w:rsidRDefault="009563C8" w:rsidP="00D263A6">
      <w:pPr>
        <w:tabs>
          <w:tab w:val="left" w:pos="1440"/>
        </w:tabs>
        <w:autoSpaceDE w:val="0"/>
        <w:autoSpaceDN w:val="0"/>
        <w:adjustRightInd w:val="0"/>
        <w:jc w:val="both"/>
        <w:rPr>
          <w:rFonts w:ascii="Arial" w:hAnsi="Arial" w:cs="Arial"/>
        </w:rPr>
      </w:pPr>
    </w:p>
    <w:p w14:paraId="21AA8491" w14:textId="77777777" w:rsidR="009563C8" w:rsidRDefault="00E67476" w:rsidP="00D263A6">
      <w:pPr>
        <w:tabs>
          <w:tab w:val="left" w:pos="1440"/>
        </w:tabs>
        <w:autoSpaceDE w:val="0"/>
        <w:autoSpaceDN w:val="0"/>
        <w:adjustRightInd w:val="0"/>
        <w:jc w:val="both"/>
        <w:rPr>
          <w:rFonts w:ascii="Arial" w:hAnsi="Arial" w:cs="Arial"/>
        </w:rPr>
      </w:pPr>
      <w:r w:rsidRPr="009563C8">
        <w:rPr>
          <w:rFonts w:ascii="Arial" w:hAnsi="Arial" w:cs="Arial"/>
        </w:rPr>
        <w:t>September</w:t>
      </w:r>
      <w:r w:rsidR="00930115" w:rsidRPr="009563C8">
        <w:rPr>
          <w:rFonts w:ascii="Arial" w:hAnsi="Arial" w:cs="Arial"/>
        </w:rPr>
        <w:t xml:space="preserve"> 1</w:t>
      </w:r>
      <w:r w:rsidR="002C68C2">
        <w:rPr>
          <w:rFonts w:ascii="Arial" w:hAnsi="Arial" w:cs="Arial"/>
        </w:rPr>
        <w:t>9</w:t>
      </w:r>
      <w:r w:rsidRPr="009563C8">
        <w:rPr>
          <w:rFonts w:ascii="Arial" w:hAnsi="Arial" w:cs="Arial"/>
        </w:rPr>
        <w:t xml:space="preserve"> – </w:t>
      </w:r>
      <w:r w:rsidR="00B44878">
        <w:rPr>
          <w:rFonts w:ascii="Arial" w:hAnsi="Arial" w:cs="Arial"/>
        </w:rPr>
        <w:t xml:space="preserve">Rob Manning – Director of </w:t>
      </w:r>
      <w:r w:rsidR="003D2AA6">
        <w:rPr>
          <w:rFonts w:ascii="Arial" w:hAnsi="Arial" w:cs="Arial"/>
        </w:rPr>
        <w:t xml:space="preserve">Return on </w:t>
      </w:r>
      <w:r w:rsidR="00B44878">
        <w:rPr>
          <w:rFonts w:ascii="Arial" w:hAnsi="Arial" w:cs="Arial"/>
        </w:rPr>
        <w:t xml:space="preserve">Investment (for John Turnbull, Director of Finance and Governance), </w:t>
      </w:r>
      <w:r w:rsidR="00933F70">
        <w:rPr>
          <w:rFonts w:ascii="Arial" w:hAnsi="Arial" w:cs="Arial"/>
        </w:rPr>
        <w:t>Peter Gent Investment</w:t>
      </w:r>
      <w:r w:rsidR="00B44878">
        <w:rPr>
          <w:rFonts w:ascii="Arial" w:hAnsi="Arial" w:cs="Arial"/>
        </w:rPr>
        <w:t xml:space="preserve"> - </w:t>
      </w:r>
      <w:r w:rsidR="00933F70">
        <w:rPr>
          <w:rFonts w:ascii="Arial" w:hAnsi="Arial" w:cs="Arial"/>
        </w:rPr>
        <w:t>Consultant</w:t>
      </w:r>
      <w:r w:rsidR="00B44878">
        <w:rPr>
          <w:rFonts w:ascii="Arial" w:hAnsi="Arial" w:cs="Arial"/>
        </w:rPr>
        <w:t>, James Hunter – Actuary and Tomi Nummela (associate)</w:t>
      </w:r>
      <w:r w:rsidR="00933F70">
        <w:rPr>
          <w:rFonts w:ascii="Arial" w:hAnsi="Arial" w:cs="Arial"/>
        </w:rPr>
        <w:t xml:space="preserve"> (Mercer)</w:t>
      </w:r>
      <w:r w:rsidR="003C534C">
        <w:rPr>
          <w:rFonts w:ascii="Arial" w:hAnsi="Arial" w:cs="Arial"/>
        </w:rPr>
        <w:t>.</w:t>
      </w:r>
    </w:p>
    <w:p w14:paraId="25AC6261" w14:textId="77777777" w:rsidR="003C534C" w:rsidRDefault="003C534C" w:rsidP="00D263A6">
      <w:pPr>
        <w:tabs>
          <w:tab w:val="left" w:pos="1440"/>
        </w:tabs>
        <w:autoSpaceDE w:val="0"/>
        <w:autoSpaceDN w:val="0"/>
        <w:adjustRightInd w:val="0"/>
        <w:jc w:val="both"/>
        <w:rPr>
          <w:rFonts w:ascii="Arial" w:hAnsi="Arial" w:cs="Arial"/>
        </w:rPr>
      </w:pPr>
    </w:p>
    <w:p w14:paraId="6146E373" w14:textId="77777777" w:rsidR="003C534C" w:rsidRDefault="003C534C" w:rsidP="00D263A6">
      <w:pPr>
        <w:tabs>
          <w:tab w:val="left" w:pos="1440"/>
        </w:tabs>
        <w:autoSpaceDE w:val="0"/>
        <w:autoSpaceDN w:val="0"/>
        <w:adjustRightInd w:val="0"/>
        <w:jc w:val="both"/>
        <w:rPr>
          <w:rFonts w:ascii="Arial" w:hAnsi="Arial" w:cs="Arial"/>
        </w:rPr>
      </w:pPr>
      <w:r>
        <w:rPr>
          <w:rFonts w:ascii="Arial" w:hAnsi="Arial" w:cs="Arial"/>
        </w:rPr>
        <w:t>October 19 – Peter Gent – Mercer Consulting, Erik Britton – Managing Director Fathom Consulting L</w:t>
      </w:r>
      <w:r w:rsidR="00E915FA">
        <w:rPr>
          <w:rFonts w:ascii="Arial" w:hAnsi="Arial" w:cs="Arial"/>
        </w:rPr>
        <w:t>td</w:t>
      </w:r>
      <w:r>
        <w:rPr>
          <w:rFonts w:ascii="Arial" w:hAnsi="Arial" w:cs="Arial"/>
        </w:rPr>
        <w:t xml:space="preserve"> and Andrea Zazzarelli</w:t>
      </w:r>
      <w:r w:rsidR="00E915FA">
        <w:rPr>
          <w:rFonts w:ascii="Arial" w:hAnsi="Arial" w:cs="Arial"/>
        </w:rPr>
        <w:t xml:space="preserve"> – Technical Director Fathom Consulting Ltd.</w:t>
      </w:r>
    </w:p>
    <w:p w14:paraId="7790A62A" w14:textId="77777777" w:rsidR="003D2AA6" w:rsidRPr="009563C8" w:rsidRDefault="003D2AA6" w:rsidP="00D263A6">
      <w:pPr>
        <w:tabs>
          <w:tab w:val="left" w:pos="1440"/>
        </w:tabs>
        <w:autoSpaceDE w:val="0"/>
        <w:autoSpaceDN w:val="0"/>
        <w:adjustRightInd w:val="0"/>
        <w:jc w:val="both"/>
        <w:rPr>
          <w:rFonts w:ascii="Arial" w:hAnsi="Arial" w:cs="Arial"/>
        </w:rPr>
      </w:pPr>
    </w:p>
    <w:p w14:paraId="03438EF9" w14:textId="77777777" w:rsidR="009563C8" w:rsidRDefault="00661E3B" w:rsidP="00D263A6">
      <w:pPr>
        <w:tabs>
          <w:tab w:val="left" w:pos="1440"/>
        </w:tabs>
        <w:autoSpaceDE w:val="0"/>
        <w:autoSpaceDN w:val="0"/>
        <w:adjustRightInd w:val="0"/>
        <w:jc w:val="both"/>
        <w:rPr>
          <w:rFonts w:ascii="Arial" w:hAnsi="Arial" w:cs="Arial"/>
        </w:rPr>
      </w:pPr>
      <w:r>
        <w:rPr>
          <w:rFonts w:ascii="Arial" w:hAnsi="Arial" w:cs="Arial"/>
        </w:rPr>
        <w:t>November</w:t>
      </w:r>
      <w:r w:rsidR="00930115" w:rsidRPr="009563C8">
        <w:rPr>
          <w:rFonts w:ascii="Arial" w:hAnsi="Arial" w:cs="Arial"/>
        </w:rPr>
        <w:t xml:space="preserve"> 1</w:t>
      </w:r>
      <w:r w:rsidR="002C68C2">
        <w:rPr>
          <w:rFonts w:ascii="Arial" w:hAnsi="Arial" w:cs="Arial"/>
        </w:rPr>
        <w:t>9</w:t>
      </w:r>
      <w:r w:rsidR="00E67476" w:rsidRPr="009563C8">
        <w:rPr>
          <w:rFonts w:ascii="Arial" w:hAnsi="Arial" w:cs="Arial"/>
        </w:rPr>
        <w:t xml:space="preserve"> </w:t>
      </w:r>
      <w:r w:rsidR="00930115" w:rsidRPr="009563C8">
        <w:rPr>
          <w:rFonts w:ascii="Arial" w:hAnsi="Arial" w:cs="Arial"/>
        </w:rPr>
        <w:t xml:space="preserve">– </w:t>
      </w:r>
      <w:r w:rsidR="001833DC">
        <w:rPr>
          <w:rFonts w:ascii="Arial" w:hAnsi="Arial" w:cs="Arial"/>
        </w:rPr>
        <w:t>Peter Gent</w:t>
      </w:r>
      <w:r w:rsidR="00FA7DB2">
        <w:rPr>
          <w:rFonts w:ascii="Arial" w:hAnsi="Arial" w:cs="Arial"/>
        </w:rPr>
        <w:t>,</w:t>
      </w:r>
      <w:r w:rsidR="001833DC">
        <w:rPr>
          <w:rFonts w:ascii="Arial" w:hAnsi="Arial" w:cs="Arial"/>
        </w:rPr>
        <w:t xml:space="preserve"> </w:t>
      </w:r>
      <w:r w:rsidR="00FA7DB2">
        <w:rPr>
          <w:rFonts w:ascii="Arial" w:hAnsi="Arial" w:cs="Arial"/>
        </w:rPr>
        <w:t>the fund’s</w:t>
      </w:r>
      <w:r w:rsidR="00930115" w:rsidRPr="009563C8">
        <w:rPr>
          <w:rFonts w:ascii="Arial" w:hAnsi="Arial" w:cs="Arial"/>
        </w:rPr>
        <w:t xml:space="preserve"> Investment Consultant (Mercer)</w:t>
      </w:r>
      <w:r w:rsidR="001833DC">
        <w:rPr>
          <w:rFonts w:ascii="Arial" w:hAnsi="Arial" w:cs="Arial"/>
        </w:rPr>
        <w:t xml:space="preserve">, </w:t>
      </w:r>
      <w:r w:rsidR="00FA7DB2">
        <w:rPr>
          <w:rFonts w:ascii="Arial" w:hAnsi="Arial" w:cs="Arial"/>
        </w:rPr>
        <w:t>James Hunter, the fund</w:t>
      </w:r>
      <w:r w:rsidR="00C832CE">
        <w:rPr>
          <w:rFonts w:ascii="Arial" w:hAnsi="Arial" w:cs="Arial"/>
        </w:rPr>
        <w:t>s</w:t>
      </w:r>
      <w:r w:rsidR="00FA7DB2">
        <w:rPr>
          <w:rFonts w:ascii="Arial" w:hAnsi="Arial" w:cs="Arial"/>
        </w:rPr>
        <w:t xml:space="preserve"> Actuary, Chris St-John</w:t>
      </w:r>
      <w:r w:rsidR="00C832CE">
        <w:rPr>
          <w:rFonts w:ascii="Arial" w:hAnsi="Arial" w:cs="Arial"/>
        </w:rPr>
        <w:t xml:space="preserve"> -</w:t>
      </w:r>
      <w:r w:rsidR="00FA7DB2">
        <w:rPr>
          <w:rFonts w:ascii="Arial" w:hAnsi="Arial" w:cs="Arial"/>
        </w:rPr>
        <w:t xml:space="preserve"> Portfolio fund Manager (AXA) and Tracey Milner – Director of </w:t>
      </w:r>
      <w:r w:rsidR="00C832CE">
        <w:rPr>
          <w:rFonts w:ascii="Arial" w:hAnsi="Arial" w:cs="Arial"/>
        </w:rPr>
        <w:t>Institutional</w:t>
      </w:r>
      <w:r w:rsidR="00FA7DB2">
        <w:rPr>
          <w:rFonts w:ascii="Arial" w:hAnsi="Arial" w:cs="Arial"/>
        </w:rPr>
        <w:t xml:space="preserve"> Sales </w:t>
      </w:r>
      <w:r w:rsidR="00C832CE">
        <w:rPr>
          <w:rFonts w:ascii="Arial" w:hAnsi="Arial" w:cs="Arial"/>
        </w:rPr>
        <w:t xml:space="preserve">AXA </w:t>
      </w:r>
      <w:r w:rsidR="00FA7DB2">
        <w:rPr>
          <w:rFonts w:ascii="Arial" w:hAnsi="Arial" w:cs="Arial"/>
        </w:rPr>
        <w:t>UK</w:t>
      </w:r>
      <w:r w:rsidR="00C832CE">
        <w:rPr>
          <w:rFonts w:ascii="Arial" w:hAnsi="Arial" w:cs="Arial"/>
        </w:rPr>
        <w:t>.</w:t>
      </w:r>
    </w:p>
    <w:p w14:paraId="51D0A7B8" w14:textId="77777777" w:rsidR="002C68C2" w:rsidRDefault="002C68C2" w:rsidP="00D263A6">
      <w:pPr>
        <w:tabs>
          <w:tab w:val="left" w:pos="1440"/>
        </w:tabs>
        <w:autoSpaceDE w:val="0"/>
        <w:autoSpaceDN w:val="0"/>
        <w:adjustRightInd w:val="0"/>
        <w:jc w:val="both"/>
        <w:rPr>
          <w:rFonts w:ascii="Arial" w:hAnsi="Arial" w:cs="Arial"/>
        </w:rPr>
      </w:pPr>
    </w:p>
    <w:p w14:paraId="4CBF1FB4" w14:textId="77777777" w:rsidR="002C68C2" w:rsidRDefault="002C68C2" w:rsidP="00D263A6">
      <w:pPr>
        <w:tabs>
          <w:tab w:val="left" w:pos="1440"/>
        </w:tabs>
        <w:autoSpaceDE w:val="0"/>
        <w:autoSpaceDN w:val="0"/>
        <w:adjustRightInd w:val="0"/>
        <w:jc w:val="both"/>
        <w:rPr>
          <w:rFonts w:ascii="Arial" w:hAnsi="Arial" w:cs="Arial"/>
        </w:rPr>
      </w:pPr>
      <w:r>
        <w:rPr>
          <w:rFonts w:ascii="Arial" w:hAnsi="Arial" w:cs="Arial"/>
        </w:rPr>
        <w:t xml:space="preserve">February 2020 </w:t>
      </w:r>
      <w:r w:rsidR="00F85B28">
        <w:rPr>
          <w:rFonts w:ascii="Arial" w:hAnsi="Arial" w:cs="Arial"/>
        </w:rPr>
        <w:t>–</w:t>
      </w:r>
      <w:r>
        <w:rPr>
          <w:rFonts w:ascii="Arial" w:hAnsi="Arial" w:cs="Arial"/>
        </w:rPr>
        <w:t xml:space="preserve"> </w:t>
      </w:r>
      <w:r w:rsidR="00F85B28">
        <w:rPr>
          <w:rFonts w:ascii="Arial" w:hAnsi="Arial" w:cs="Arial"/>
        </w:rPr>
        <w:t>James Hunter – Mercer (the funds Actuary).</w:t>
      </w:r>
    </w:p>
    <w:p w14:paraId="5B300F69" w14:textId="77777777" w:rsidR="00661E3B" w:rsidRPr="009563C8" w:rsidRDefault="00661E3B" w:rsidP="00D263A6">
      <w:pPr>
        <w:tabs>
          <w:tab w:val="left" w:pos="1440"/>
        </w:tabs>
        <w:autoSpaceDE w:val="0"/>
        <w:autoSpaceDN w:val="0"/>
        <w:adjustRightInd w:val="0"/>
        <w:jc w:val="both"/>
        <w:rPr>
          <w:rFonts w:ascii="Arial" w:hAnsi="Arial" w:cs="Arial"/>
        </w:rPr>
      </w:pPr>
    </w:p>
    <w:p w14:paraId="5DCC12DF" w14:textId="77777777" w:rsidR="00661E3B" w:rsidRPr="009563C8" w:rsidRDefault="00930115" w:rsidP="00D263A6">
      <w:pPr>
        <w:tabs>
          <w:tab w:val="left" w:pos="1440"/>
        </w:tabs>
        <w:autoSpaceDE w:val="0"/>
        <w:autoSpaceDN w:val="0"/>
        <w:adjustRightInd w:val="0"/>
        <w:jc w:val="both"/>
        <w:rPr>
          <w:rFonts w:ascii="Arial" w:hAnsi="Arial" w:cs="Arial"/>
        </w:rPr>
      </w:pPr>
      <w:r w:rsidRPr="009563C8">
        <w:rPr>
          <w:rFonts w:ascii="Arial" w:hAnsi="Arial" w:cs="Arial"/>
        </w:rPr>
        <w:t xml:space="preserve">March </w:t>
      </w:r>
      <w:r w:rsidR="00676179">
        <w:rPr>
          <w:rFonts w:ascii="Arial" w:hAnsi="Arial" w:cs="Arial"/>
        </w:rPr>
        <w:t>20</w:t>
      </w:r>
      <w:r w:rsidRPr="009563C8">
        <w:rPr>
          <w:rFonts w:ascii="Arial" w:hAnsi="Arial" w:cs="Arial"/>
        </w:rPr>
        <w:t xml:space="preserve"> </w:t>
      </w:r>
      <w:r w:rsidR="002C68C2">
        <w:rPr>
          <w:rFonts w:ascii="Arial" w:hAnsi="Arial" w:cs="Arial"/>
        </w:rPr>
        <w:t>– Cancelled due to Covid19 restrictions</w:t>
      </w:r>
      <w:r w:rsidR="00676179">
        <w:rPr>
          <w:rFonts w:ascii="Arial" w:hAnsi="Arial" w:cs="Arial"/>
        </w:rPr>
        <w:t xml:space="preserve"> as was the June meeting</w:t>
      </w:r>
      <w:r w:rsidR="002C68C2">
        <w:rPr>
          <w:rFonts w:ascii="Arial" w:hAnsi="Arial" w:cs="Arial"/>
        </w:rPr>
        <w:t xml:space="preserve">.  </w:t>
      </w:r>
      <w:r w:rsidR="00BD569B">
        <w:rPr>
          <w:rFonts w:ascii="Arial" w:hAnsi="Arial" w:cs="Arial"/>
        </w:rPr>
        <w:t>The</w:t>
      </w:r>
      <w:r w:rsidR="00676179">
        <w:rPr>
          <w:rFonts w:ascii="Arial" w:hAnsi="Arial" w:cs="Arial"/>
        </w:rPr>
        <w:t xml:space="preserve"> March</w:t>
      </w:r>
      <w:r w:rsidR="00BD569B">
        <w:rPr>
          <w:rFonts w:ascii="Arial" w:hAnsi="Arial" w:cs="Arial"/>
        </w:rPr>
        <w:t xml:space="preserve"> papers were produced and put on the website.</w:t>
      </w:r>
      <w:r w:rsidR="002C68C2">
        <w:rPr>
          <w:rFonts w:ascii="Arial" w:hAnsi="Arial" w:cs="Arial"/>
        </w:rPr>
        <w:t xml:space="preserve"> </w:t>
      </w:r>
      <w:r w:rsidR="00676179">
        <w:rPr>
          <w:rFonts w:ascii="Arial" w:hAnsi="Arial" w:cs="Arial"/>
        </w:rPr>
        <w:t>These papers were considered for noting at the next pension committee in September 2020.</w:t>
      </w:r>
      <w:r w:rsidR="002C68C2">
        <w:rPr>
          <w:rFonts w:ascii="Arial" w:hAnsi="Arial" w:cs="Arial"/>
        </w:rPr>
        <w:t xml:space="preserve">       </w:t>
      </w:r>
    </w:p>
    <w:p w14:paraId="78FCEC25" w14:textId="77777777" w:rsidR="00925F77" w:rsidRPr="009563C8" w:rsidRDefault="00925F77" w:rsidP="00D263A6">
      <w:pPr>
        <w:jc w:val="both"/>
        <w:rPr>
          <w:rFonts w:ascii="Arial" w:hAnsi="Arial" w:cs="Arial"/>
          <w:b/>
        </w:rPr>
      </w:pPr>
    </w:p>
    <w:p w14:paraId="19FC404E" w14:textId="77777777" w:rsidR="00925F77" w:rsidRPr="0028737C" w:rsidRDefault="00B7588D" w:rsidP="00D263A6">
      <w:pPr>
        <w:jc w:val="both"/>
        <w:rPr>
          <w:rFonts w:ascii="Arial" w:hAnsi="Arial" w:cs="Arial"/>
          <w:b/>
        </w:rPr>
      </w:pPr>
      <w:r w:rsidRPr="0028737C">
        <w:rPr>
          <w:rFonts w:ascii="Arial" w:hAnsi="Arial" w:cs="Arial"/>
          <w:b/>
        </w:rPr>
        <w:t>Pension Board</w:t>
      </w:r>
    </w:p>
    <w:p w14:paraId="7D3BA35C" w14:textId="77777777" w:rsidR="00B7588D" w:rsidRPr="0028737C" w:rsidRDefault="00B7588D" w:rsidP="00D263A6">
      <w:pPr>
        <w:jc w:val="both"/>
        <w:rPr>
          <w:rFonts w:ascii="Arial" w:hAnsi="Arial" w:cs="Arial"/>
          <w:b/>
        </w:rPr>
      </w:pPr>
    </w:p>
    <w:p w14:paraId="73F6F502" w14:textId="77777777" w:rsidR="00B7588D" w:rsidRPr="0028737C" w:rsidRDefault="00A914CC" w:rsidP="00D263A6">
      <w:pPr>
        <w:jc w:val="both"/>
        <w:rPr>
          <w:rFonts w:ascii="Arial" w:hAnsi="Arial" w:cs="Arial"/>
        </w:rPr>
      </w:pPr>
      <w:r w:rsidRPr="0028737C">
        <w:rPr>
          <w:rFonts w:ascii="Arial" w:hAnsi="Arial" w:cs="Arial"/>
        </w:rPr>
        <w:t xml:space="preserve">The Public Service Pensions Act 2013 introduced </w:t>
      </w:r>
      <w:proofErr w:type="gramStart"/>
      <w:r w:rsidRPr="0028737C">
        <w:rPr>
          <w:rFonts w:ascii="Arial" w:hAnsi="Arial" w:cs="Arial"/>
        </w:rPr>
        <w:t>a number of</w:t>
      </w:r>
      <w:proofErr w:type="gramEnd"/>
      <w:r w:rsidRPr="0028737C">
        <w:rPr>
          <w:rFonts w:ascii="Arial" w:hAnsi="Arial" w:cs="Arial"/>
        </w:rPr>
        <w:t xml:space="preserve"> changes to the governance of the Local Government Pension Scheme (LGPS) including the requirement for each Fund to establish a local Pension Board from 1 April 2015. The detailed regulatory requirements relating to local Pension Boards in the LGPS </w:t>
      </w:r>
      <w:r w:rsidR="00356E2E" w:rsidRPr="0028737C">
        <w:rPr>
          <w:rFonts w:ascii="Arial" w:hAnsi="Arial" w:cs="Arial"/>
        </w:rPr>
        <w:t>are contained in the LGPS Regulations 2013 (as amended).</w:t>
      </w:r>
    </w:p>
    <w:p w14:paraId="64223FD7" w14:textId="77777777" w:rsidR="00356E2E" w:rsidRPr="0028737C" w:rsidRDefault="00356E2E" w:rsidP="00D263A6">
      <w:pPr>
        <w:jc w:val="both"/>
        <w:rPr>
          <w:rFonts w:ascii="Arial" w:hAnsi="Arial" w:cs="Arial"/>
        </w:rPr>
      </w:pPr>
    </w:p>
    <w:p w14:paraId="10F80D86" w14:textId="77777777" w:rsidR="00356E2E" w:rsidRPr="0028737C" w:rsidRDefault="00356E2E" w:rsidP="00D263A6">
      <w:pPr>
        <w:jc w:val="both"/>
        <w:rPr>
          <w:rFonts w:ascii="Arial" w:hAnsi="Arial" w:cs="Arial"/>
        </w:rPr>
      </w:pPr>
      <w:proofErr w:type="gramStart"/>
      <w:r w:rsidRPr="0028737C">
        <w:rPr>
          <w:rFonts w:ascii="Arial" w:hAnsi="Arial" w:cs="Arial"/>
        </w:rPr>
        <w:t>As a consequence of</w:t>
      </w:r>
      <w:proofErr w:type="gramEnd"/>
      <w:r w:rsidRPr="0028737C">
        <w:rPr>
          <w:rFonts w:ascii="Arial" w:hAnsi="Arial" w:cs="Arial"/>
        </w:rPr>
        <w:t xml:space="preserve"> the legislative and regulatory requirements the Council at its meeting on 5 March 2015 approved the Terms of Reference</w:t>
      </w:r>
      <w:r w:rsidR="00774879">
        <w:rPr>
          <w:rFonts w:ascii="Arial" w:hAnsi="Arial" w:cs="Arial"/>
        </w:rPr>
        <w:t xml:space="preserve"> </w:t>
      </w:r>
      <w:r w:rsidRPr="0028737C">
        <w:rPr>
          <w:rFonts w:ascii="Arial" w:hAnsi="Arial" w:cs="Arial"/>
        </w:rPr>
        <w:t xml:space="preserve">for the local Pension Board for the London Borough of Waltham Forest LGPS Fund. The function of the Pension Board is not, under the Public Service Pensions Act 2013 and the LGPS Regulations, to be a </w:t>
      </w:r>
      <w:proofErr w:type="gramStart"/>
      <w:r w:rsidRPr="0028737C">
        <w:rPr>
          <w:rFonts w:ascii="Arial" w:hAnsi="Arial" w:cs="Arial"/>
        </w:rPr>
        <w:t>decision making</w:t>
      </w:r>
      <w:proofErr w:type="gramEnd"/>
      <w:r w:rsidRPr="0028737C">
        <w:rPr>
          <w:rFonts w:ascii="Arial" w:hAnsi="Arial" w:cs="Arial"/>
        </w:rPr>
        <w:t xml:space="preserve"> body. Rather, its role is to assist the Pension Fund Committee in securing compliance with the LGPS Regulations, other relevant legislation and with meting any other requirements placed on the Fund by the Pensions Regulator. The Pension Board also has the task of assisting the Pension Fund Committee in ensuring the </w:t>
      </w:r>
      <w:r w:rsidR="0007466D" w:rsidRPr="0028737C">
        <w:rPr>
          <w:rFonts w:ascii="Arial" w:hAnsi="Arial" w:cs="Arial"/>
        </w:rPr>
        <w:t>efficient and effective administration of the Fund.</w:t>
      </w:r>
    </w:p>
    <w:p w14:paraId="172B8F2B" w14:textId="77777777" w:rsidR="0007466D" w:rsidRPr="0028737C" w:rsidRDefault="0007466D" w:rsidP="00D263A6">
      <w:pPr>
        <w:jc w:val="both"/>
        <w:rPr>
          <w:rFonts w:ascii="Arial" w:hAnsi="Arial" w:cs="Arial"/>
        </w:rPr>
      </w:pPr>
    </w:p>
    <w:p w14:paraId="7D203504" w14:textId="77777777" w:rsidR="0007466D" w:rsidRDefault="0007466D" w:rsidP="00D263A6">
      <w:pPr>
        <w:jc w:val="both"/>
        <w:rPr>
          <w:rFonts w:ascii="Arial" w:hAnsi="Arial" w:cs="Arial"/>
        </w:rPr>
      </w:pPr>
      <w:r w:rsidRPr="0028737C">
        <w:rPr>
          <w:rFonts w:ascii="Arial" w:hAnsi="Arial" w:cs="Arial"/>
        </w:rPr>
        <w:t xml:space="preserve">The Board must comprise of equal number of Employer and Employee representatives. The Waltham Forest Pension Board will comprise of at least two Employer and </w:t>
      </w:r>
      <w:r w:rsidR="005E5F80" w:rsidRPr="0028737C">
        <w:rPr>
          <w:rFonts w:ascii="Arial" w:hAnsi="Arial" w:cs="Arial"/>
        </w:rPr>
        <w:t xml:space="preserve">two </w:t>
      </w:r>
      <w:r w:rsidRPr="0028737C">
        <w:rPr>
          <w:rFonts w:ascii="Arial" w:hAnsi="Arial" w:cs="Arial"/>
        </w:rPr>
        <w:t>Employee representatives who may not also be Councillors who are members</w:t>
      </w:r>
      <w:r w:rsidR="006F6E46" w:rsidRPr="0028737C">
        <w:rPr>
          <w:rFonts w:ascii="Arial" w:hAnsi="Arial" w:cs="Arial"/>
        </w:rPr>
        <w:t xml:space="preserve"> of the Pension Fund Committee or Officers to that Committee. </w:t>
      </w:r>
      <w:r w:rsidR="005E5F80" w:rsidRPr="0028737C">
        <w:rPr>
          <w:rFonts w:ascii="Arial" w:hAnsi="Arial" w:cs="Arial"/>
        </w:rPr>
        <w:t>The Chair of the Pension Board may be one of the Employer or Employee representatives or alternatively, under the Terms of Reference approved by the Council, the Director of Finance may appoint a non-voting Independent Chair.</w:t>
      </w:r>
    </w:p>
    <w:p w14:paraId="579ED6D5" w14:textId="77777777" w:rsidR="00774879" w:rsidRDefault="00774879" w:rsidP="00D263A6">
      <w:pPr>
        <w:jc w:val="both"/>
        <w:rPr>
          <w:rFonts w:ascii="Arial" w:hAnsi="Arial" w:cs="Arial"/>
        </w:rPr>
      </w:pPr>
    </w:p>
    <w:p w14:paraId="03A4974D" w14:textId="77777777" w:rsidR="00774879" w:rsidRDefault="00774879" w:rsidP="00D263A6">
      <w:pPr>
        <w:jc w:val="both"/>
        <w:rPr>
          <w:rFonts w:ascii="Arial" w:hAnsi="Arial" w:cs="Arial"/>
        </w:rPr>
      </w:pPr>
      <w:r>
        <w:rPr>
          <w:rFonts w:ascii="Arial" w:hAnsi="Arial" w:cs="Arial"/>
        </w:rPr>
        <w:t>The terms of reference of the Pension Board can be found at the following link</w:t>
      </w:r>
      <w:r w:rsidR="00F85B28">
        <w:rPr>
          <w:rFonts w:ascii="Arial" w:hAnsi="Arial" w:cs="Arial"/>
        </w:rPr>
        <w:t>:</w:t>
      </w:r>
      <w:r>
        <w:rPr>
          <w:rFonts w:ascii="Arial" w:hAnsi="Arial" w:cs="Arial"/>
        </w:rPr>
        <w:t xml:space="preserve"> </w:t>
      </w:r>
    </w:p>
    <w:p w14:paraId="5C4D2A5B" w14:textId="77777777" w:rsidR="00774879" w:rsidRDefault="00472DD8" w:rsidP="00D263A6">
      <w:pPr>
        <w:jc w:val="both"/>
        <w:rPr>
          <w:rStyle w:val="Hyperlink"/>
          <w:rFonts w:ascii="Arial" w:hAnsi="Arial" w:cs="Arial"/>
        </w:rPr>
      </w:pPr>
      <w:hyperlink r:id="rId11" w:history="1">
        <w:r w:rsidR="00774879" w:rsidRPr="00FE722F">
          <w:rPr>
            <w:rStyle w:val="Hyperlink"/>
            <w:rFonts w:ascii="Arial" w:hAnsi="Arial" w:cs="Arial"/>
          </w:rPr>
          <w:t>http://democracy.walthamforest.gov.uk/mgCommitteeDetails.aspx?ID=717</w:t>
        </w:r>
      </w:hyperlink>
    </w:p>
    <w:p w14:paraId="175EC68B" w14:textId="77777777" w:rsidR="008C239D" w:rsidRDefault="008C239D" w:rsidP="00D263A6">
      <w:pPr>
        <w:jc w:val="both"/>
        <w:rPr>
          <w:rStyle w:val="Hyperlink"/>
          <w:rFonts w:ascii="Arial" w:hAnsi="Arial" w:cs="Arial"/>
        </w:rPr>
      </w:pPr>
    </w:p>
    <w:p w14:paraId="29F38209" w14:textId="77777777" w:rsidR="00774879" w:rsidRDefault="00774879" w:rsidP="00D263A6">
      <w:pPr>
        <w:jc w:val="both"/>
        <w:rPr>
          <w:rFonts w:ascii="Arial" w:hAnsi="Arial" w:cs="Arial"/>
        </w:rPr>
      </w:pPr>
      <w:r>
        <w:rPr>
          <w:rFonts w:ascii="Arial" w:hAnsi="Arial" w:cs="Arial"/>
        </w:rPr>
        <w:t>The Pension Board Annual Report for 201</w:t>
      </w:r>
      <w:r w:rsidR="00F85B28">
        <w:rPr>
          <w:rFonts w:ascii="Arial" w:hAnsi="Arial" w:cs="Arial"/>
        </w:rPr>
        <w:t>9</w:t>
      </w:r>
      <w:r>
        <w:rPr>
          <w:rFonts w:ascii="Arial" w:hAnsi="Arial" w:cs="Arial"/>
        </w:rPr>
        <w:t>/1</w:t>
      </w:r>
      <w:r w:rsidR="00F85B28">
        <w:rPr>
          <w:rFonts w:ascii="Arial" w:hAnsi="Arial" w:cs="Arial"/>
        </w:rPr>
        <w:t>20</w:t>
      </w:r>
      <w:r>
        <w:rPr>
          <w:rFonts w:ascii="Arial" w:hAnsi="Arial" w:cs="Arial"/>
        </w:rPr>
        <w:t xml:space="preserve"> is attached in appendix 8.</w:t>
      </w:r>
    </w:p>
    <w:p w14:paraId="7DD06E4E" w14:textId="77777777" w:rsidR="00BB31D6" w:rsidRDefault="00BB31D6" w:rsidP="00D263A6">
      <w:pPr>
        <w:jc w:val="both"/>
        <w:rPr>
          <w:rFonts w:ascii="Arial" w:hAnsi="Arial" w:cs="Arial"/>
        </w:rPr>
      </w:pPr>
    </w:p>
    <w:p w14:paraId="40249AC6" w14:textId="77777777" w:rsidR="00BB31D6" w:rsidRPr="00BB31D6" w:rsidRDefault="00BB31D6" w:rsidP="00D263A6">
      <w:pPr>
        <w:jc w:val="both"/>
        <w:rPr>
          <w:rFonts w:ascii="Arial" w:hAnsi="Arial" w:cs="Arial"/>
          <w:b/>
        </w:rPr>
      </w:pPr>
      <w:r w:rsidRPr="00BB31D6">
        <w:rPr>
          <w:rFonts w:ascii="Arial" w:hAnsi="Arial" w:cs="Arial"/>
          <w:b/>
        </w:rPr>
        <w:t>Members of the Pension Board</w:t>
      </w:r>
    </w:p>
    <w:p w14:paraId="57528242" w14:textId="77777777" w:rsidR="00BB31D6" w:rsidRDefault="00BB31D6" w:rsidP="00D263A6">
      <w:pPr>
        <w:jc w:val="both"/>
        <w:rPr>
          <w:rFonts w:ascii="Arial" w:hAnsi="Arial" w:cs="Arial"/>
        </w:rPr>
      </w:pPr>
    </w:p>
    <w:p w14:paraId="135C0023" w14:textId="77777777" w:rsidR="008C239D" w:rsidRDefault="008C239D" w:rsidP="00D263A6">
      <w:pPr>
        <w:jc w:val="both"/>
        <w:rPr>
          <w:rFonts w:ascii="Arial" w:hAnsi="Arial" w:cs="Arial"/>
        </w:rPr>
      </w:pPr>
      <w:r>
        <w:rPr>
          <w:rFonts w:ascii="Arial" w:hAnsi="Arial" w:cs="Arial"/>
        </w:rPr>
        <w:t>Chris Buss Independent Chair</w:t>
      </w:r>
    </w:p>
    <w:p w14:paraId="4B7DF03E" w14:textId="77777777" w:rsidR="00BB31D6" w:rsidRDefault="00BB31D6" w:rsidP="00D263A6">
      <w:pPr>
        <w:jc w:val="both"/>
        <w:rPr>
          <w:rFonts w:ascii="Arial" w:hAnsi="Arial" w:cs="Arial"/>
        </w:rPr>
      </w:pPr>
      <w:r>
        <w:rPr>
          <w:rFonts w:ascii="Arial" w:hAnsi="Arial" w:cs="Arial"/>
        </w:rPr>
        <w:t>Stuart Petrie Employe</w:t>
      </w:r>
      <w:r w:rsidR="008C239D">
        <w:rPr>
          <w:rFonts w:ascii="Arial" w:hAnsi="Arial" w:cs="Arial"/>
        </w:rPr>
        <w:t xml:space="preserve">r Representative </w:t>
      </w:r>
    </w:p>
    <w:p w14:paraId="397656D6" w14:textId="77777777" w:rsidR="00BB31D6" w:rsidRDefault="00BB31D6" w:rsidP="00D263A6">
      <w:pPr>
        <w:jc w:val="both"/>
        <w:rPr>
          <w:rFonts w:ascii="Arial" w:hAnsi="Arial" w:cs="Arial"/>
        </w:rPr>
      </w:pPr>
      <w:r>
        <w:rPr>
          <w:rFonts w:ascii="Arial" w:hAnsi="Arial" w:cs="Arial"/>
        </w:rPr>
        <w:t xml:space="preserve">Olu </w:t>
      </w:r>
      <w:proofErr w:type="spellStart"/>
      <w:r>
        <w:rPr>
          <w:rFonts w:ascii="Arial" w:hAnsi="Arial" w:cs="Arial"/>
        </w:rPr>
        <w:t>Akinfie</w:t>
      </w:r>
      <w:proofErr w:type="spellEnd"/>
      <w:r>
        <w:rPr>
          <w:rFonts w:ascii="Arial" w:hAnsi="Arial" w:cs="Arial"/>
        </w:rPr>
        <w:t xml:space="preserve"> Member Representative</w:t>
      </w:r>
    </w:p>
    <w:p w14:paraId="0BEE2131" w14:textId="77777777" w:rsidR="00BB31D6" w:rsidRDefault="008C239D" w:rsidP="00D263A6">
      <w:pPr>
        <w:jc w:val="both"/>
        <w:rPr>
          <w:rFonts w:ascii="Arial" w:hAnsi="Arial" w:cs="Arial"/>
        </w:rPr>
      </w:pPr>
      <w:r>
        <w:rPr>
          <w:rFonts w:ascii="Arial" w:hAnsi="Arial" w:cs="Arial"/>
        </w:rPr>
        <w:t>Sandra Bennett</w:t>
      </w:r>
      <w:r w:rsidR="00BB31D6">
        <w:rPr>
          <w:rFonts w:ascii="Arial" w:hAnsi="Arial" w:cs="Arial"/>
        </w:rPr>
        <w:t xml:space="preserve"> Member Representative (Unison)</w:t>
      </w:r>
    </w:p>
    <w:p w14:paraId="497C1949" w14:textId="77777777" w:rsidR="00BB31D6" w:rsidRDefault="00BB31D6" w:rsidP="00D263A6">
      <w:pPr>
        <w:jc w:val="both"/>
        <w:rPr>
          <w:rFonts w:ascii="Arial" w:hAnsi="Arial" w:cs="Arial"/>
        </w:rPr>
      </w:pPr>
      <w:r>
        <w:rPr>
          <w:rFonts w:ascii="Arial" w:hAnsi="Arial" w:cs="Arial"/>
        </w:rPr>
        <w:t>Annette House Employer Representative</w:t>
      </w:r>
      <w:r w:rsidR="00DA06D4">
        <w:rPr>
          <w:rFonts w:ascii="Arial" w:hAnsi="Arial" w:cs="Arial"/>
        </w:rPr>
        <w:t xml:space="preserve"> (</w:t>
      </w:r>
      <w:proofErr w:type="spellStart"/>
      <w:r w:rsidR="00DA06D4">
        <w:rPr>
          <w:rFonts w:ascii="Arial" w:hAnsi="Arial" w:cs="Arial"/>
        </w:rPr>
        <w:t>resi</w:t>
      </w:r>
      <w:proofErr w:type="spellEnd"/>
    </w:p>
    <w:p w14:paraId="38E2E01C" w14:textId="77777777" w:rsidR="00BB31D6" w:rsidRDefault="00BB31D6" w:rsidP="00D263A6">
      <w:pPr>
        <w:jc w:val="both"/>
        <w:rPr>
          <w:rFonts w:ascii="Arial" w:hAnsi="Arial" w:cs="Arial"/>
        </w:rPr>
      </w:pPr>
    </w:p>
    <w:p w14:paraId="72BC5CCC" w14:textId="77777777" w:rsidR="00BB31D6" w:rsidRPr="00771E8D" w:rsidRDefault="00BB31D6" w:rsidP="00D263A6">
      <w:pPr>
        <w:jc w:val="both"/>
        <w:rPr>
          <w:rFonts w:ascii="Arial" w:hAnsi="Arial" w:cs="Arial"/>
          <w:b/>
        </w:rPr>
      </w:pPr>
      <w:r w:rsidRPr="00771E8D">
        <w:rPr>
          <w:rFonts w:ascii="Arial" w:hAnsi="Arial" w:cs="Arial"/>
          <w:b/>
        </w:rPr>
        <w:t>Meetings held:</w:t>
      </w:r>
    </w:p>
    <w:p w14:paraId="3F40FB04" w14:textId="77777777" w:rsidR="00BB31D6" w:rsidRDefault="00DA06D4" w:rsidP="00D263A6">
      <w:pPr>
        <w:jc w:val="both"/>
        <w:rPr>
          <w:rFonts w:ascii="Arial" w:hAnsi="Arial" w:cs="Arial"/>
        </w:rPr>
      </w:pPr>
      <w:r>
        <w:rPr>
          <w:rFonts w:ascii="Arial" w:hAnsi="Arial" w:cs="Arial"/>
        </w:rPr>
        <w:t>15</w:t>
      </w:r>
      <w:r w:rsidR="00BB31D6">
        <w:rPr>
          <w:rFonts w:ascii="Arial" w:hAnsi="Arial" w:cs="Arial"/>
        </w:rPr>
        <w:t xml:space="preserve"> </w:t>
      </w:r>
      <w:r>
        <w:rPr>
          <w:rFonts w:ascii="Arial" w:hAnsi="Arial" w:cs="Arial"/>
        </w:rPr>
        <w:t>May</w:t>
      </w:r>
      <w:r w:rsidR="00BB31D6">
        <w:rPr>
          <w:rFonts w:ascii="Arial" w:hAnsi="Arial" w:cs="Arial"/>
        </w:rPr>
        <w:t xml:space="preserve"> 201</w:t>
      </w:r>
      <w:r>
        <w:rPr>
          <w:rFonts w:ascii="Arial" w:hAnsi="Arial" w:cs="Arial"/>
        </w:rPr>
        <w:t>9</w:t>
      </w:r>
    </w:p>
    <w:p w14:paraId="3AEA9A80" w14:textId="77777777" w:rsidR="00BB31D6" w:rsidRDefault="00DA06D4" w:rsidP="00D263A6">
      <w:pPr>
        <w:jc w:val="both"/>
        <w:rPr>
          <w:rFonts w:ascii="Arial" w:hAnsi="Arial" w:cs="Arial"/>
        </w:rPr>
      </w:pPr>
      <w:r>
        <w:rPr>
          <w:rFonts w:ascii="Arial" w:hAnsi="Arial" w:cs="Arial"/>
        </w:rPr>
        <w:t>30</w:t>
      </w:r>
      <w:r w:rsidR="00BB31D6">
        <w:rPr>
          <w:rFonts w:ascii="Arial" w:hAnsi="Arial" w:cs="Arial"/>
        </w:rPr>
        <w:t xml:space="preserve"> </w:t>
      </w:r>
      <w:r>
        <w:rPr>
          <w:rFonts w:ascii="Arial" w:hAnsi="Arial" w:cs="Arial"/>
        </w:rPr>
        <w:t>October</w:t>
      </w:r>
      <w:r w:rsidR="00BB31D6">
        <w:rPr>
          <w:rFonts w:ascii="Arial" w:hAnsi="Arial" w:cs="Arial"/>
        </w:rPr>
        <w:t xml:space="preserve"> 201</w:t>
      </w:r>
      <w:r w:rsidR="00F6682F">
        <w:rPr>
          <w:rFonts w:ascii="Arial" w:hAnsi="Arial" w:cs="Arial"/>
        </w:rPr>
        <w:t>9</w:t>
      </w:r>
    </w:p>
    <w:p w14:paraId="5535F65E" w14:textId="77777777" w:rsidR="00DA06D4" w:rsidRDefault="00DA06D4" w:rsidP="00D263A6">
      <w:pPr>
        <w:jc w:val="both"/>
        <w:rPr>
          <w:rFonts w:ascii="Arial" w:hAnsi="Arial" w:cs="Arial"/>
        </w:rPr>
      </w:pPr>
      <w:r>
        <w:rPr>
          <w:rFonts w:ascii="Arial" w:hAnsi="Arial" w:cs="Arial"/>
        </w:rPr>
        <w:t>12 February 2020</w:t>
      </w:r>
    </w:p>
    <w:p w14:paraId="12395422" w14:textId="77777777" w:rsidR="00B7588D" w:rsidRDefault="00B7588D" w:rsidP="00D263A6">
      <w:pPr>
        <w:pStyle w:val="Heading8"/>
        <w:jc w:val="both"/>
        <w:rPr>
          <w:color w:val="auto"/>
        </w:rPr>
      </w:pPr>
    </w:p>
    <w:p w14:paraId="3C5D69FA" w14:textId="77777777" w:rsidR="00925F77" w:rsidRPr="00DB4E95" w:rsidRDefault="00925F77" w:rsidP="00D263A6">
      <w:pPr>
        <w:pStyle w:val="Heading8"/>
        <w:jc w:val="both"/>
        <w:rPr>
          <w:color w:val="auto"/>
        </w:rPr>
      </w:pPr>
      <w:r w:rsidRPr="00DB4E95">
        <w:rPr>
          <w:color w:val="auto"/>
        </w:rPr>
        <w:t>Governance Compliance Statement</w:t>
      </w:r>
    </w:p>
    <w:p w14:paraId="66B77C8D" w14:textId="77777777" w:rsidR="00925F77" w:rsidRPr="00DB4E95" w:rsidRDefault="00925F77" w:rsidP="00D263A6">
      <w:pPr>
        <w:jc w:val="both"/>
        <w:rPr>
          <w:rFonts w:ascii="Arial" w:hAnsi="Arial" w:cs="Arial"/>
        </w:rPr>
      </w:pPr>
    </w:p>
    <w:p w14:paraId="28321A2C" w14:textId="77777777" w:rsidR="00925F77" w:rsidRPr="00DB4E95" w:rsidRDefault="00925F77" w:rsidP="00D263A6">
      <w:pPr>
        <w:jc w:val="both"/>
        <w:rPr>
          <w:rFonts w:ascii="Arial" w:hAnsi="Arial" w:cs="Arial"/>
        </w:rPr>
      </w:pPr>
      <w:r w:rsidRPr="00DB4E95">
        <w:rPr>
          <w:rFonts w:ascii="Arial" w:hAnsi="Arial" w:cs="Arial"/>
        </w:rPr>
        <w:t>The Council as administering authority to the Fund must publish a statement to demonstrate its compliance with good practice on governance issues. This is required under the LGPS Administration Regulations 2008</w:t>
      </w:r>
      <w:r w:rsidR="008C239D">
        <w:rPr>
          <w:rFonts w:ascii="Arial" w:hAnsi="Arial" w:cs="Arial"/>
        </w:rPr>
        <w:t xml:space="preserve"> as amended</w:t>
      </w:r>
      <w:r w:rsidRPr="00DB4E95">
        <w:rPr>
          <w:rFonts w:ascii="Arial" w:hAnsi="Arial" w:cs="Arial"/>
        </w:rPr>
        <w:t xml:space="preserve">. The statement must set out the degree of compliance with nine principles set out in a statutory guidance document issued by the Department of Communities and Local Government. </w:t>
      </w:r>
    </w:p>
    <w:p w14:paraId="2522C182" w14:textId="77777777" w:rsidR="00925F77" w:rsidRPr="00DB4E95" w:rsidRDefault="00925F77" w:rsidP="00D263A6">
      <w:pPr>
        <w:jc w:val="both"/>
        <w:rPr>
          <w:rFonts w:ascii="Arial" w:hAnsi="Arial" w:cs="Arial"/>
        </w:rPr>
      </w:pPr>
    </w:p>
    <w:p w14:paraId="4166628E" w14:textId="77777777" w:rsidR="00925F77" w:rsidRPr="00DB4E95" w:rsidRDefault="00925F77" w:rsidP="00D263A6">
      <w:pPr>
        <w:jc w:val="both"/>
        <w:rPr>
          <w:rFonts w:ascii="Arial" w:hAnsi="Arial" w:cs="Arial"/>
        </w:rPr>
      </w:pPr>
      <w:r w:rsidRPr="00DB4E95">
        <w:rPr>
          <w:rFonts w:ascii="Arial" w:hAnsi="Arial" w:cs="Arial"/>
        </w:rPr>
        <w:t xml:space="preserve">The final version of the Statutory Guidance on LGPS Governance Compliance Statements was issued by CLG in November 2008 and the Fund statement </w:t>
      </w:r>
      <w:proofErr w:type="gramStart"/>
      <w:r w:rsidRPr="00DB4E95">
        <w:rPr>
          <w:rFonts w:ascii="Arial" w:hAnsi="Arial" w:cs="Arial"/>
        </w:rPr>
        <w:t>takes into account</w:t>
      </w:r>
      <w:proofErr w:type="gramEnd"/>
      <w:r w:rsidRPr="00DB4E95">
        <w:rPr>
          <w:rFonts w:ascii="Arial" w:hAnsi="Arial" w:cs="Arial"/>
        </w:rPr>
        <w:t xml:space="preserve"> this version of the statutory guidance.</w:t>
      </w:r>
    </w:p>
    <w:p w14:paraId="0FDFC29F" w14:textId="77777777" w:rsidR="00925F77" w:rsidRPr="00DB4E95" w:rsidRDefault="00925F77" w:rsidP="00D263A6">
      <w:pPr>
        <w:jc w:val="both"/>
        <w:rPr>
          <w:rFonts w:ascii="Arial" w:hAnsi="Arial" w:cs="Arial"/>
        </w:rPr>
      </w:pPr>
    </w:p>
    <w:p w14:paraId="163A09DB" w14:textId="77777777" w:rsidR="00925F77" w:rsidRPr="00DB4E95" w:rsidRDefault="00925F77" w:rsidP="00D263A6">
      <w:pPr>
        <w:jc w:val="both"/>
        <w:rPr>
          <w:rFonts w:ascii="Arial" w:hAnsi="Arial" w:cs="Arial"/>
        </w:rPr>
      </w:pPr>
      <w:r w:rsidRPr="00DB4E95">
        <w:rPr>
          <w:rFonts w:ascii="Arial" w:hAnsi="Arial" w:cs="Arial"/>
        </w:rPr>
        <w:t xml:space="preserve">The statutory guidance accepts that there are many models for the administration and management of Local Government Pension Funds and seeks to set out best practice principles for their governance. As such they may be used by the Council to develop its policies for the management of the Fund in the immediate future, </w:t>
      </w:r>
      <w:proofErr w:type="gramStart"/>
      <w:r w:rsidRPr="00DB4E95">
        <w:rPr>
          <w:rFonts w:ascii="Arial" w:hAnsi="Arial" w:cs="Arial"/>
        </w:rPr>
        <w:t>in particular where</w:t>
      </w:r>
      <w:proofErr w:type="gramEnd"/>
      <w:r w:rsidRPr="00DB4E95">
        <w:rPr>
          <w:rFonts w:ascii="Arial" w:hAnsi="Arial" w:cs="Arial"/>
        </w:rPr>
        <w:t xml:space="preserve"> the statement shows the Fund is not fully compliant with the suggested best practice model. </w:t>
      </w:r>
    </w:p>
    <w:p w14:paraId="4B98E3F6" w14:textId="77777777" w:rsidR="00925F77" w:rsidRPr="00DB4E95" w:rsidRDefault="00925F77" w:rsidP="00D263A6">
      <w:pPr>
        <w:jc w:val="both"/>
        <w:rPr>
          <w:rFonts w:ascii="Arial" w:hAnsi="Arial" w:cs="Arial"/>
        </w:rPr>
      </w:pPr>
    </w:p>
    <w:p w14:paraId="436E2032" w14:textId="77777777" w:rsidR="00925F77" w:rsidRPr="00DB4E95" w:rsidRDefault="00925F77" w:rsidP="00D263A6">
      <w:pPr>
        <w:jc w:val="both"/>
        <w:rPr>
          <w:rFonts w:ascii="Arial" w:hAnsi="Arial" w:cs="Arial"/>
        </w:rPr>
      </w:pPr>
      <w:r w:rsidRPr="00DB4E95">
        <w:rPr>
          <w:rFonts w:ascii="Arial" w:hAnsi="Arial" w:cs="Arial"/>
        </w:rPr>
        <w:t xml:space="preserve">The Governance Compliance Statement for the Fund is attached as Appendix </w:t>
      </w:r>
      <w:r w:rsidR="00021DB6">
        <w:rPr>
          <w:rFonts w:ascii="Arial" w:hAnsi="Arial" w:cs="Arial"/>
        </w:rPr>
        <w:t>4</w:t>
      </w:r>
      <w:r w:rsidRPr="00DB4E95">
        <w:rPr>
          <w:rFonts w:ascii="Arial" w:hAnsi="Arial" w:cs="Arial"/>
        </w:rPr>
        <w:t>.</w:t>
      </w:r>
    </w:p>
    <w:p w14:paraId="72D5F11B" w14:textId="77777777" w:rsidR="00227B15" w:rsidRDefault="00227B15" w:rsidP="00D263A6">
      <w:pPr>
        <w:jc w:val="both"/>
        <w:rPr>
          <w:rFonts w:ascii="Arial" w:hAnsi="Arial" w:cs="Arial"/>
          <w:color w:val="FF0000"/>
        </w:rPr>
      </w:pPr>
    </w:p>
    <w:p w14:paraId="148F9BF0" w14:textId="77777777" w:rsidR="00925F77" w:rsidRPr="002C402F" w:rsidRDefault="002C402F" w:rsidP="00D263A6">
      <w:pPr>
        <w:pStyle w:val="Heading8"/>
        <w:jc w:val="both"/>
        <w:rPr>
          <w:color w:val="auto"/>
        </w:rPr>
      </w:pPr>
      <w:r w:rsidRPr="002C402F">
        <w:rPr>
          <w:color w:val="auto"/>
        </w:rPr>
        <w:t xml:space="preserve">Environmental, Social and Governance (‘ESG’) </w:t>
      </w:r>
      <w:r w:rsidR="00925F77" w:rsidRPr="002C402F">
        <w:rPr>
          <w:color w:val="auto"/>
        </w:rPr>
        <w:t xml:space="preserve">Policy </w:t>
      </w:r>
    </w:p>
    <w:p w14:paraId="645DF4DE" w14:textId="77777777" w:rsidR="00925F77" w:rsidRPr="002C402F" w:rsidRDefault="00925F77" w:rsidP="00D263A6">
      <w:pPr>
        <w:jc w:val="both"/>
        <w:rPr>
          <w:rFonts w:ascii="Arial" w:hAnsi="Arial" w:cs="Arial"/>
          <w:i/>
        </w:rPr>
      </w:pPr>
    </w:p>
    <w:p w14:paraId="0387C8B6" w14:textId="77777777" w:rsidR="00925F77" w:rsidRPr="002C402F" w:rsidRDefault="00925F77" w:rsidP="00D263A6">
      <w:pPr>
        <w:jc w:val="both"/>
        <w:rPr>
          <w:rFonts w:ascii="Arial" w:hAnsi="Arial" w:cs="Arial"/>
        </w:rPr>
      </w:pPr>
      <w:r w:rsidRPr="002C402F">
        <w:rPr>
          <w:rFonts w:ascii="Arial" w:hAnsi="Arial" w:cs="Arial"/>
        </w:rPr>
        <w:t>The P</w:t>
      </w:r>
      <w:r w:rsidR="00CD27A6" w:rsidRPr="002C402F">
        <w:rPr>
          <w:rFonts w:ascii="Arial" w:hAnsi="Arial" w:cs="Arial"/>
        </w:rPr>
        <w:t>ension Committee</w:t>
      </w:r>
      <w:r w:rsidRPr="002C402F">
        <w:rPr>
          <w:rFonts w:ascii="Arial" w:hAnsi="Arial" w:cs="Arial"/>
        </w:rPr>
        <w:t xml:space="preserve"> has recognised the need to consider the long</w:t>
      </w:r>
      <w:r w:rsidR="009B6316">
        <w:rPr>
          <w:rFonts w:ascii="Arial" w:hAnsi="Arial" w:cs="Arial"/>
        </w:rPr>
        <w:t>-</w:t>
      </w:r>
      <w:r w:rsidRPr="002C402F">
        <w:rPr>
          <w:rFonts w:ascii="Arial" w:hAnsi="Arial" w:cs="Arial"/>
        </w:rPr>
        <w:t>term impact on the Fund of the approach taken by companies on</w:t>
      </w:r>
      <w:r w:rsidR="003D6601" w:rsidRPr="002C402F">
        <w:rPr>
          <w:rFonts w:ascii="Arial" w:hAnsi="Arial" w:cs="Arial"/>
        </w:rPr>
        <w:t xml:space="preserve"> governance compliance,</w:t>
      </w:r>
      <w:r w:rsidRPr="002C402F">
        <w:rPr>
          <w:rFonts w:ascii="Arial" w:hAnsi="Arial" w:cs="Arial"/>
        </w:rPr>
        <w:t xml:space="preserve"> responsible investment and sustainable investment issues. This is a complex issue requiring careful analysis and due regard to the legal responsibilities of the </w:t>
      </w:r>
      <w:r w:rsidR="00CD27A6" w:rsidRPr="002C402F">
        <w:rPr>
          <w:rFonts w:ascii="Arial" w:hAnsi="Arial" w:cs="Arial"/>
        </w:rPr>
        <w:t>Pension Fund</w:t>
      </w:r>
      <w:r w:rsidRPr="002C402F">
        <w:rPr>
          <w:rFonts w:ascii="Arial" w:hAnsi="Arial" w:cs="Arial"/>
        </w:rPr>
        <w:t xml:space="preserve">. </w:t>
      </w:r>
    </w:p>
    <w:p w14:paraId="0B2B9C5A" w14:textId="77777777" w:rsidR="00925F77" w:rsidRPr="002C402F" w:rsidRDefault="00925F77" w:rsidP="00D263A6">
      <w:pPr>
        <w:jc w:val="both"/>
        <w:rPr>
          <w:rFonts w:ascii="Arial" w:hAnsi="Arial" w:cs="Arial"/>
        </w:rPr>
      </w:pPr>
    </w:p>
    <w:p w14:paraId="2319DEF2" w14:textId="77777777" w:rsidR="00925F77" w:rsidRPr="002C402F" w:rsidRDefault="00925F77" w:rsidP="00D263A6">
      <w:pPr>
        <w:jc w:val="both"/>
        <w:rPr>
          <w:rFonts w:ascii="Arial" w:hAnsi="Arial" w:cs="Arial"/>
        </w:rPr>
      </w:pPr>
      <w:r w:rsidRPr="002C402F">
        <w:rPr>
          <w:rFonts w:ascii="Arial" w:hAnsi="Arial" w:cs="Arial"/>
        </w:rPr>
        <w:t xml:space="preserve">Taking this into account, the </w:t>
      </w:r>
      <w:r w:rsidR="00CD27A6" w:rsidRPr="002C402F">
        <w:rPr>
          <w:rFonts w:ascii="Arial" w:hAnsi="Arial" w:cs="Arial"/>
        </w:rPr>
        <w:t>Pension Fund</w:t>
      </w:r>
      <w:r w:rsidRPr="002C402F">
        <w:rPr>
          <w:rFonts w:ascii="Arial" w:hAnsi="Arial" w:cs="Arial"/>
        </w:rPr>
        <w:t>’s approach is to work with ot</w:t>
      </w:r>
      <w:r w:rsidR="00CD27A6" w:rsidRPr="002C402F">
        <w:rPr>
          <w:rFonts w:ascii="Arial" w:hAnsi="Arial" w:cs="Arial"/>
        </w:rPr>
        <w:t>her LGPS Funds and gain from others</w:t>
      </w:r>
      <w:r w:rsidRPr="002C402F">
        <w:rPr>
          <w:rFonts w:ascii="Arial" w:hAnsi="Arial" w:cs="Arial"/>
        </w:rPr>
        <w:t xml:space="preserve"> experience and approaches through membership of the Local Authority Pension Fund Forum.</w:t>
      </w:r>
    </w:p>
    <w:p w14:paraId="328AB0DF" w14:textId="77777777" w:rsidR="00021DB6" w:rsidRPr="002C402F" w:rsidRDefault="00021DB6" w:rsidP="00D263A6">
      <w:pPr>
        <w:jc w:val="both"/>
        <w:rPr>
          <w:rFonts w:ascii="Arial" w:hAnsi="Arial" w:cs="Arial"/>
        </w:rPr>
      </w:pPr>
    </w:p>
    <w:p w14:paraId="0DB03561" w14:textId="77777777" w:rsidR="00925F77" w:rsidRPr="002C402F" w:rsidRDefault="00227B15" w:rsidP="00D263A6">
      <w:pPr>
        <w:jc w:val="both"/>
        <w:rPr>
          <w:rFonts w:ascii="Arial" w:hAnsi="Arial" w:cs="Arial"/>
          <w:b/>
        </w:rPr>
      </w:pPr>
      <w:r w:rsidRPr="002C402F">
        <w:rPr>
          <w:rFonts w:ascii="Arial" w:hAnsi="Arial" w:cs="Arial"/>
        </w:rPr>
        <w:lastRenderedPageBreak/>
        <w:t xml:space="preserve"> </w:t>
      </w:r>
      <w:r w:rsidR="00925F77" w:rsidRPr="002C402F">
        <w:rPr>
          <w:rFonts w:ascii="Arial" w:hAnsi="Arial" w:cs="Arial"/>
          <w:b/>
        </w:rPr>
        <w:t>Local Authority Pension Fund Forum (LAPFF)</w:t>
      </w:r>
    </w:p>
    <w:p w14:paraId="3BFC7FF6" w14:textId="77777777" w:rsidR="00925F77" w:rsidRPr="002C402F" w:rsidRDefault="00925F77" w:rsidP="00D263A6">
      <w:pPr>
        <w:jc w:val="both"/>
        <w:rPr>
          <w:rFonts w:ascii="Arial" w:hAnsi="Arial" w:cs="Arial"/>
          <w:i/>
        </w:rPr>
      </w:pPr>
    </w:p>
    <w:p w14:paraId="60C5E345" w14:textId="77777777" w:rsidR="00925F77" w:rsidRPr="002C402F" w:rsidRDefault="00925F77" w:rsidP="00D263A6">
      <w:pPr>
        <w:jc w:val="both"/>
        <w:rPr>
          <w:rFonts w:ascii="Arial" w:hAnsi="Arial" w:cs="Arial"/>
          <w:i/>
        </w:rPr>
      </w:pPr>
      <w:r w:rsidRPr="002C402F">
        <w:rPr>
          <w:rFonts w:ascii="Arial" w:hAnsi="Arial" w:cs="Arial"/>
        </w:rPr>
        <w:t>The Fund joined the LAPFF in January 2008. The Forum exists to promote the investment interests of local authority pension funds and to maximise their influence as shareholders in promoting corporate social responsibility and high standards of corporate governance amongst companies in</w:t>
      </w:r>
      <w:r w:rsidR="00DB4E95" w:rsidRPr="002C402F">
        <w:rPr>
          <w:rFonts w:ascii="Arial" w:hAnsi="Arial" w:cs="Arial"/>
        </w:rPr>
        <w:t xml:space="preserve"> which they invest. With more than </w:t>
      </w:r>
      <w:r w:rsidRPr="002C402F">
        <w:rPr>
          <w:rFonts w:ascii="Arial" w:hAnsi="Arial" w:cs="Arial"/>
        </w:rPr>
        <w:t>half of all local authority funds as members, the Forum can negotiate with companies with a single authoritative voice, impossible for smaller funds acting alone. The Forum is developing policy and carrying out research and engagement with companies on many issues, including environmental issues such as the climate change impact of the transport sector, and the impact of oil extraction from tar sands. Other initiatives include engagement with fund managers to try to improve transparency of proxy voting policies by the managers, and on corporate governance issues</w:t>
      </w:r>
      <w:r w:rsidR="00DB4E95" w:rsidRPr="002C402F">
        <w:rPr>
          <w:rFonts w:ascii="Arial" w:hAnsi="Arial" w:cs="Arial"/>
        </w:rPr>
        <w:t>.</w:t>
      </w:r>
      <w:r w:rsidRPr="002C402F">
        <w:rPr>
          <w:rFonts w:ascii="Arial" w:hAnsi="Arial" w:cs="Arial"/>
        </w:rPr>
        <w:t xml:space="preserve"> </w:t>
      </w:r>
    </w:p>
    <w:p w14:paraId="22ACC548" w14:textId="77777777" w:rsidR="00925F77" w:rsidRPr="002C402F" w:rsidRDefault="00925F77" w:rsidP="00D263A6">
      <w:pPr>
        <w:jc w:val="both"/>
        <w:rPr>
          <w:rFonts w:ascii="Arial" w:hAnsi="Arial" w:cs="Arial"/>
        </w:rPr>
      </w:pPr>
    </w:p>
    <w:p w14:paraId="59190E42" w14:textId="77777777" w:rsidR="00925F77" w:rsidRDefault="00516051" w:rsidP="00D263A6">
      <w:pPr>
        <w:pStyle w:val="Heading8"/>
        <w:jc w:val="both"/>
      </w:pPr>
      <w:r>
        <w:t>Statement of Compliance with the CIPFA Skills &amp; Knowledge Framework</w:t>
      </w:r>
      <w:r w:rsidR="00925F77">
        <w:t xml:space="preserve"> </w:t>
      </w:r>
    </w:p>
    <w:p w14:paraId="3144CF2C" w14:textId="77777777" w:rsidR="00925F77" w:rsidRDefault="00925F77" w:rsidP="00D263A6">
      <w:pPr>
        <w:jc w:val="both"/>
        <w:rPr>
          <w:rFonts w:ascii="Arial" w:hAnsi="Arial" w:cs="Arial"/>
          <w:i/>
        </w:rPr>
      </w:pPr>
    </w:p>
    <w:p w14:paraId="37CC929E" w14:textId="77777777" w:rsidR="00687899" w:rsidRDefault="00516051" w:rsidP="00D263A6">
      <w:pPr>
        <w:jc w:val="both"/>
        <w:rPr>
          <w:rFonts w:ascii="Arial" w:hAnsi="Arial" w:cs="Arial"/>
        </w:rPr>
      </w:pPr>
      <w:r w:rsidRPr="00021DB6">
        <w:rPr>
          <w:rFonts w:ascii="Arial" w:hAnsi="Arial" w:cs="Arial"/>
        </w:rPr>
        <w:t xml:space="preserve">As </w:t>
      </w:r>
      <w:r w:rsidR="00DA06D4">
        <w:rPr>
          <w:rFonts w:ascii="Arial" w:hAnsi="Arial" w:cs="Arial"/>
        </w:rPr>
        <w:t>an</w:t>
      </w:r>
      <w:r w:rsidRPr="00021DB6">
        <w:rPr>
          <w:rFonts w:ascii="Arial" w:hAnsi="Arial" w:cs="Arial"/>
        </w:rPr>
        <w:t xml:space="preserve"> administering authority of the Local Government Pension Scheme, London Borough of Waltham Forest recognises the importance of ensuring all staff and members charged with the financial management and decision making with regards to the pension scheme are fully equipped with the knowledge and skills to discharge duties and responsibilities allocated to them.  It therefore seeks to appoint individuals who are both capable and experienced</w:t>
      </w:r>
      <w:r w:rsidR="00687899" w:rsidRPr="00021DB6">
        <w:rPr>
          <w:rFonts w:ascii="Arial" w:hAnsi="Arial" w:cs="Arial"/>
        </w:rPr>
        <w:t xml:space="preserve"> and it will provide training for staff and members of the Pensions Committee to enable them to acquire and maintain an appropriate level of expertise, knowledge and skills.</w:t>
      </w:r>
    </w:p>
    <w:p w14:paraId="3E2183C0" w14:textId="77777777" w:rsidR="00955ADC" w:rsidRPr="00021DB6" w:rsidRDefault="00955ADC" w:rsidP="00D263A6">
      <w:pPr>
        <w:jc w:val="both"/>
        <w:rPr>
          <w:rFonts w:ascii="Arial" w:hAnsi="Arial" w:cs="Arial"/>
        </w:rPr>
      </w:pPr>
    </w:p>
    <w:p w14:paraId="26C83A1D" w14:textId="77777777" w:rsidR="00CB72A7" w:rsidRDefault="00687899" w:rsidP="00D263A6">
      <w:pPr>
        <w:jc w:val="both"/>
        <w:rPr>
          <w:rFonts w:ascii="Arial" w:hAnsi="Arial" w:cs="Arial"/>
        </w:rPr>
      </w:pPr>
      <w:r w:rsidRPr="00021DB6">
        <w:rPr>
          <w:rFonts w:ascii="Arial" w:hAnsi="Arial" w:cs="Arial"/>
        </w:rPr>
        <w:t>Over the course of 201</w:t>
      </w:r>
      <w:r w:rsidR="00DA06D4">
        <w:rPr>
          <w:rFonts w:ascii="Arial" w:hAnsi="Arial" w:cs="Arial"/>
        </w:rPr>
        <w:t>9</w:t>
      </w:r>
      <w:r w:rsidRPr="00021DB6">
        <w:rPr>
          <w:rFonts w:ascii="Arial" w:hAnsi="Arial" w:cs="Arial"/>
        </w:rPr>
        <w:t>/</w:t>
      </w:r>
      <w:r w:rsidR="00DA06D4">
        <w:rPr>
          <w:rFonts w:ascii="Arial" w:hAnsi="Arial" w:cs="Arial"/>
        </w:rPr>
        <w:t>20</w:t>
      </w:r>
      <w:r w:rsidRPr="00021DB6">
        <w:rPr>
          <w:rFonts w:ascii="Arial" w:hAnsi="Arial" w:cs="Arial"/>
        </w:rPr>
        <w:t xml:space="preserve"> members of the Pensions Committee have attended </w:t>
      </w:r>
      <w:r w:rsidR="009B6316">
        <w:rPr>
          <w:rFonts w:ascii="Arial" w:hAnsi="Arial" w:cs="Arial"/>
        </w:rPr>
        <w:t xml:space="preserve">no </w:t>
      </w:r>
      <w:r w:rsidRPr="00021DB6">
        <w:rPr>
          <w:rFonts w:ascii="Arial" w:hAnsi="Arial" w:cs="Arial"/>
        </w:rPr>
        <w:t xml:space="preserve">external training and had training delivered by external fund advisors and other pensions experts at the normal Pensions Committee. </w:t>
      </w:r>
    </w:p>
    <w:p w14:paraId="6A6A2A72" w14:textId="77777777" w:rsidR="00CB72A7" w:rsidRDefault="00CB72A7" w:rsidP="00D263A6">
      <w:pPr>
        <w:jc w:val="both"/>
        <w:rPr>
          <w:rFonts w:ascii="Arial" w:hAnsi="Arial" w:cs="Arial"/>
        </w:rPr>
      </w:pPr>
    </w:p>
    <w:p w14:paraId="05EB554C" w14:textId="77777777" w:rsidR="00687899" w:rsidRDefault="00991DC7" w:rsidP="00D263A6">
      <w:pPr>
        <w:jc w:val="both"/>
        <w:rPr>
          <w:rFonts w:ascii="Arial" w:hAnsi="Arial" w:cs="Arial"/>
        </w:rPr>
      </w:pPr>
      <w:r w:rsidRPr="00021DB6">
        <w:rPr>
          <w:rFonts w:ascii="Arial" w:hAnsi="Arial" w:cs="Arial"/>
        </w:rPr>
        <w:t>Training covered by normal Committee meetings cover</w:t>
      </w:r>
      <w:r w:rsidR="00CD27A6">
        <w:rPr>
          <w:rFonts w:ascii="Arial" w:hAnsi="Arial" w:cs="Arial"/>
        </w:rPr>
        <w:t>ed</w:t>
      </w:r>
      <w:r w:rsidRPr="00021DB6">
        <w:rPr>
          <w:rFonts w:ascii="Arial" w:hAnsi="Arial" w:cs="Arial"/>
        </w:rPr>
        <w:t xml:space="preserve"> the following topics:</w:t>
      </w:r>
    </w:p>
    <w:p w14:paraId="3033FE15" w14:textId="77777777" w:rsidR="00955ADC" w:rsidRDefault="00955ADC" w:rsidP="00D263A6">
      <w:pPr>
        <w:jc w:val="both"/>
        <w:rPr>
          <w:rFonts w:ascii="Arial" w:hAnsi="Arial" w:cs="Arial"/>
        </w:rPr>
      </w:pPr>
    </w:p>
    <w:p w14:paraId="55A72B51" w14:textId="77777777" w:rsidR="00955ADC" w:rsidRDefault="00F6682F" w:rsidP="00D263A6">
      <w:pPr>
        <w:jc w:val="both"/>
        <w:rPr>
          <w:rFonts w:ascii="Arial" w:hAnsi="Arial" w:cs="Arial"/>
        </w:rPr>
      </w:pPr>
      <w:r>
        <w:rPr>
          <w:rFonts w:ascii="Arial" w:hAnsi="Arial" w:cs="Arial"/>
        </w:rPr>
        <w:t>Pensions Administration</w:t>
      </w:r>
    </w:p>
    <w:p w14:paraId="0935AB67" w14:textId="77777777" w:rsidR="00CB72A7" w:rsidRDefault="00F6682F" w:rsidP="00D263A6">
      <w:pPr>
        <w:jc w:val="both"/>
        <w:rPr>
          <w:rFonts w:ascii="Arial" w:hAnsi="Arial" w:cs="Arial"/>
        </w:rPr>
      </w:pPr>
      <w:r>
        <w:rPr>
          <w:rFonts w:ascii="Arial" w:hAnsi="Arial" w:cs="Arial"/>
        </w:rPr>
        <w:t>Accounting and Audit</w:t>
      </w:r>
    </w:p>
    <w:p w14:paraId="6AFD5440" w14:textId="77777777" w:rsidR="00955ADC" w:rsidRDefault="00CB72A7" w:rsidP="00D263A6">
      <w:pPr>
        <w:jc w:val="both"/>
        <w:rPr>
          <w:rFonts w:ascii="Arial" w:hAnsi="Arial" w:cs="Arial"/>
        </w:rPr>
      </w:pPr>
      <w:r>
        <w:rPr>
          <w:rFonts w:ascii="Arial" w:hAnsi="Arial" w:cs="Arial"/>
        </w:rPr>
        <w:t>LGPS</w:t>
      </w:r>
      <w:r w:rsidR="007D692B">
        <w:rPr>
          <w:rFonts w:ascii="Arial" w:hAnsi="Arial" w:cs="Arial"/>
        </w:rPr>
        <w:t xml:space="preserve"> – Current issues</w:t>
      </w:r>
    </w:p>
    <w:p w14:paraId="1396002E" w14:textId="77777777" w:rsidR="00567376" w:rsidRDefault="00F6682F" w:rsidP="00D263A6">
      <w:pPr>
        <w:jc w:val="both"/>
        <w:rPr>
          <w:rFonts w:ascii="Arial" w:hAnsi="Arial" w:cs="Arial"/>
        </w:rPr>
      </w:pPr>
      <w:r>
        <w:rPr>
          <w:rFonts w:ascii="Arial" w:hAnsi="Arial" w:cs="Arial"/>
        </w:rPr>
        <w:t>Investment Strategy and Asset Allocation</w:t>
      </w:r>
    </w:p>
    <w:p w14:paraId="7C91B1F5" w14:textId="77777777" w:rsidR="00F6682F" w:rsidRDefault="00F6682F" w:rsidP="00D263A6">
      <w:pPr>
        <w:jc w:val="both"/>
        <w:rPr>
          <w:rFonts w:ascii="Arial" w:hAnsi="Arial" w:cs="Arial"/>
        </w:rPr>
      </w:pPr>
    </w:p>
    <w:p w14:paraId="7C650E9E" w14:textId="77777777" w:rsidR="00656151" w:rsidRPr="00085F50" w:rsidRDefault="00955ADC" w:rsidP="00D263A6">
      <w:pPr>
        <w:jc w:val="both"/>
        <w:rPr>
          <w:rFonts w:ascii="Arial" w:hAnsi="Arial" w:cs="Arial"/>
          <w:color w:val="FF0000"/>
        </w:rPr>
      </w:pPr>
      <w:r>
        <w:rPr>
          <w:rFonts w:ascii="Arial" w:hAnsi="Arial" w:cs="Arial"/>
        </w:rPr>
        <w:t xml:space="preserve">During the year </w:t>
      </w:r>
      <w:r w:rsidR="000E0332">
        <w:rPr>
          <w:rFonts w:ascii="Arial" w:hAnsi="Arial" w:cs="Arial"/>
        </w:rPr>
        <w:t>In</w:t>
      </w:r>
      <w:r>
        <w:rPr>
          <w:rFonts w:ascii="Arial" w:hAnsi="Arial" w:cs="Arial"/>
        </w:rPr>
        <w:t>vestment consultants</w:t>
      </w:r>
      <w:r w:rsidR="00CB72A7">
        <w:rPr>
          <w:rFonts w:ascii="Arial" w:hAnsi="Arial" w:cs="Arial"/>
        </w:rPr>
        <w:t>,</w:t>
      </w:r>
      <w:r w:rsidR="000E0332">
        <w:rPr>
          <w:rFonts w:ascii="Arial" w:hAnsi="Arial" w:cs="Arial"/>
        </w:rPr>
        <w:t xml:space="preserve"> </w:t>
      </w:r>
      <w:r w:rsidR="00CB72A7">
        <w:rPr>
          <w:rFonts w:ascii="Arial" w:hAnsi="Arial" w:cs="Arial"/>
        </w:rPr>
        <w:t xml:space="preserve">actuaries as well as </w:t>
      </w:r>
      <w:r w:rsidR="007D692B">
        <w:rPr>
          <w:rFonts w:ascii="Arial" w:hAnsi="Arial" w:cs="Arial"/>
        </w:rPr>
        <w:t>economists</w:t>
      </w:r>
      <w:r>
        <w:rPr>
          <w:rFonts w:ascii="Arial" w:hAnsi="Arial" w:cs="Arial"/>
        </w:rPr>
        <w:t xml:space="preserve"> attended the Committee meeting</w:t>
      </w:r>
      <w:r w:rsidR="007D692B">
        <w:rPr>
          <w:rFonts w:ascii="Arial" w:hAnsi="Arial" w:cs="Arial"/>
        </w:rPr>
        <w:t>s</w:t>
      </w:r>
      <w:r>
        <w:rPr>
          <w:rFonts w:ascii="Arial" w:hAnsi="Arial" w:cs="Arial"/>
        </w:rPr>
        <w:t xml:space="preserve"> and informed on issues relating to </w:t>
      </w:r>
      <w:r w:rsidR="00CB72A7">
        <w:rPr>
          <w:rFonts w:ascii="Arial" w:hAnsi="Arial" w:cs="Arial"/>
        </w:rPr>
        <w:t xml:space="preserve">general, </w:t>
      </w:r>
      <w:r w:rsidR="000E0332">
        <w:rPr>
          <w:rFonts w:ascii="Arial" w:hAnsi="Arial" w:cs="Arial"/>
        </w:rPr>
        <w:t>performance</w:t>
      </w:r>
      <w:r>
        <w:rPr>
          <w:rFonts w:ascii="Arial" w:hAnsi="Arial" w:cs="Arial"/>
        </w:rPr>
        <w:t xml:space="preserve"> and investment issues.</w:t>
      </w:r>
    </w:p>
    <w:p w14:paraId="4BEEC519" w14:textId="77777777" w:rsidR="00085F50" w:rsidRDefault="00085F50" w:rsidP="00D263A6">
      <w:pPr>
        <w:jc w:val="both"/>
        <w:rPr>
          <w:rFonts w:ascii="Arial" w:hAnsi="Arial" w:cs="Arial"/>
        </w:rPr>
      </w:pPr>
    </w:p>
    <w:p w14:paraId="220C3A1C" w14:textId="77777777" w:rsidR="00656151" w:rsidRPr="000826E9" w:rsidRDefault="00656151" w:rsidP="00656151">
      <w:pPr>
        <w:jc w:val="both"/>
        <w:rPr>
          <w:rFonts w:ascii="Arial" w:hAnsi="Arial" w:cs="Arial"/>
          <w:b/>
        </w:rPr>
      </w:pPr>
      <w:r w:rsidRPr="000826E9">
        <w:rPr>
          <w:rFonts w:ascii="Arial" w:hAnsi="Arial" w:cs="Arial"/>
          <w:b/>
        </w:rPr>
        <w:t>Independent auditor’s report to the members of London Borough of Waltham Forest on the pension fund financial statements published with the Pension Fund Annual Report</w:t>
      </w:r>
    </w:p>
    <w:p w14:paraId="4A1DF879" w14:textId="77777777" w:rsidR="002E4432" w:rsidRPr="000826E9" w:rsidRDefault="002E4432" w:rsidP="00D263A6">
      <w:pPr>
        <w:jc w:val="both"/>
        <w:rPr>
          <w:rFonts w:ascii="Arial" w:hAnsi="Arial" w:cs="Arial"/>
        </w:rPr>
      </w:pPr>
    </w:p>
    <w:p w14:paraId="7AD20B8D" w14:textId="77777777" w:rsidR="002E4432" w:rsidRPr="000826E9" w:rsidRDefault="002E4432" w:rsidP="002E4432">
      <w:pPr>
        <w:jc w:val="both"/>
        <w:rPr>
          <w:rFonts w:ascii="Arial" w:hAnsi="Arial" w:cs="Arial"/>
          <w:b/>
        </w:rPr>
      </w:pPr>
      <w:r w:rsidRPr="000826E9">
        <w:rPr>
          <w:rFonts w:ascii="Arial" w:hAnsi="Arial" w:cs="Arial"/>
          <w:b/>
        </w:rPr>
        <w:t>STATEMENT OF RESPONSIBILITIES</w:t>
      </w:r>
    </w:p>
    <w:p w14:paraId="67121901" w14:textId="77777777" w:rsidR="002E4432" w:rsidRPr="000826E9" w:rsidRDefault="002E4432" w:rsidP="0089312B">
      <w:pPr>
        <w:ind w:firstLine="720"/>
        <w:jc w:val="both"/>
        <w:rPr>
          <w:rFonts w:ascii="Arial" w:hAnsi="Arial" w:cs="Arial"/>
          <w:b/>
        </w:rPr>
      </w:pPr>
    </w:p>
    <w:p w14:paraId="3C563413" w14:textId="77777777" w:rsidR="002E4432" w:rsidRPr="000826E9" w:rsidRDefault="002E4432" w:rsidP="002E4432">
      <w:pPr>
        <w:jc w:val="both"/>
        <w:rPr>
          <w:rFonts w:ascii="Arial" w:hAnsi="Arial" w:cs="Arial"/>
        </w:rPr>
      </w:pPr>
      <w:r w:rsidRPr="000826E9">
        <w:rPr>
          <w:rFonts w:ascii="Arial" w:hAnsi="Arial" w:cs="Arial"/>
          <w:b/>
        </w:rPr>
        <w:t>THE COUNCIL’S RESPONSIBILITIES</w:t>
      </w:r>
      <w:r w:rsidRPr="000826E9">
        <w:rPr>
          <w:rFonts w:ascii="Arial" w:hAnsi="Arial" w:cs="Arial"/>
        </w:rPr>
        <w:t>:</w:t>
      </w:r>
    </w:p>
    <w:p w14:paraId="52188848" w14:textId="77777777" w:rsidR="002E4432" w:rsidRPr="000826E9" w:rsidRDefault="002E4432" w:rsidP="002E4432">
      <w:pPr>
        <w:jc w:val="both"/>
        <w:rPr>
          <w:rFonts w:ascii="Arial" w:hAnsi="Arial" w:cs="Arial"/>
        </w:rPr>
      </w:pPr>
    </w:p>
    <w:p w14:paraId="123101A9" w14:textId="77777777" w:rsidR="002E4432" w:rsidRPr="000826E9" w:rsidRDefault="002E4432" w:rsidP="002E4432">
      <w:pPr>
        <w:jc w:val="both"/>
        <w:rPr>
          <w:rFonts w:ascii="Arial" w:hAnsi="Arial" w:cs="Arial"/>
        </w:rPr>
      </w:pPr>
      <w:r w:rsidRPr="000826E9">
        <w:rPr>
          <w:rFonts w:ascii="Arial" w:hAnsi="Arial" w:cs="Arial"/>
        </w:rPr>
        <w:t>The Council is required:</w:t>
      </w:r>
    </w:p>
    <w:p w14:paraId="7D195927" w14:textId="77777777" w:rsidR="002E4432" w:rsidRPr="000826E9" w:rsidRDefault="002E4432" w:rsidP="002E4432">
      <w:pPr>
        <w:jc w:val="both"/>
        <w:rPr>
          <w:rFonts w:ascii="Arial" w:hAnsi="Arial" w:cs="Arial"/>
        </w:rPr>
      </w:pPr>
    </w:p>
    <w:p w14:paraId="507E262D" w14:textId="77777777" w:rsidR="002E4432" w:rsidRPr="000826E9" w:rsidRDefault="002E4432" w:rsidP="002E4432">
      <w:pPr>
        <w:jc w:val="both"/>
        <w:rPr>
          <w:rFonts w:ascii="Arial" w:hAnsi="Arial" w:cs="Arial"/>
        </w:rPr>
      </w:pPr>
      <w:r w:rsidRPr="000826E9">
        <w:rPr>
          <w:rFonts w:ascii="Arial" w:hAnsi="Arial" w:cs="Arial"/>
        </w:rPr>
        <w:t>•</w:t>
      </w:r>
      <w:r w:rsidRPr="000826E9">
        <w:rPr>
          <w:rFonts w:ascii="Arial" w:hAnsi="Arial" w:cs="Arial"/>
        </w:rPr>
        <w:tab/>
        <w:t xml:space="preserve">to </w:t>
      </w:r>
      <w:proofErr w:type="gramStart"/>
      <w:r w:rsidRPr="000826E9">
        <w:rPr>
          <w:rFonts w:ascii="Arial" w:hAnsi="Arial" w:cs="Arial"/>
        </w:rPr>
        <w:t>make arrangements</w:t>
      </w:r>
      <w:proofErr w:type="gramEnd"/>
      <w:r w:rsidRPr="000826E9">
        <w:rPr>
          <w:rFonts w:ascii="Arial" w:hAnsi="Arial" w:cs="Arial"/>
        </w:rPr>
        <w:t xml:space="preserve"> for the proper administration of its financial affairs and to ensure that one of its officers has the responsibility for the administration </w:t>
      </w:r>
      <w:r w:rsidRPr="000826E9">
        <w:rPr>
          <w:rFonts w:ascii="Arial" w:hAnsi="Arial" w:cs="Arial"/>
        </w:rPr>
        <w:lastRenderedPageBreak/>
        <w:t>of those affairs. In this Council that officer is the Strategic Director of Finance and Governance.</w:t>
      </w:r>
    </w:p>
    <w:p w14:paraId="128B73AD" w14:textId="77777777" w:rsidR="002E4432" w:rsidRPr="000826E9" w:rsidRDefault="002E4432" w:rsidP="002E4432">
      <w:pPr>
        <w:jc w:val="both"/>
        <w:rPr>
          <w:rFonts w:ascii="Arial" w:hAnsi="Arial" w:cs="Arial"/>
        </w:rPr>
      </w:pPr>
      <w:r w:rsidRPr="000826E9">
        <w:rPr>
          <w:rFonts w:ascii="Arial" w:hAnsi="Arial" w:cs="Arial"/>
        </w:rPr>
        <w:tab/>
      </w:r>
      <w:r w:rsidRPr="000826E9">
        <w:rPr>
          <w:rFonts w:ascii="Arial" w:hAnsi="Arial" w:cs="Arial"/>
        </w:rPr>
        <w:tab/>
      </w:r>
    </w:p>
    <w:p w14:paraId="0AE179D6" w14:textId="77777777" w:rsidR="002E4432" w:rsidRPr="000826E9" w:rsidRDefault="002E4432" w:rsidP="002E4432">
      <w:pPr>
        <w:jc w:val="both"/>
        <w:rPr>
          <w:rFonts w:ascii="Arial" w:hAnsi="Arial" w:cs="Arial"/>
        </w:rPr>
      </w:pPr>
      <w:r w:rsidRPr="000826E9">
        <w:rPr>
          <w:rFonts w:ascii="Arial" w:hAnsi="Arial" w:cs="Arial"/>
        </w:rPr>
        <w:t>•</w:t>
      </w:r>
      <w:r w:rsidRPr="000826E9">
        <w:rPr>
          <w:rFonts w:ascii="Arial" w:hAnsi="Arial" w:cs="Arial"/>
        </w:rPr>
        <w:tab/>
        <w:t>to manage its affairs to secure economic, efficient and effective use of resources and safeguard its assets; and</w:t>
      </w:r>
    </w:p>
    <w:p w14:paraId="070BACE2" w14:textId="77777777" w:rsidR="002E4432" w:rsidRPr="000826E9" w:rsidRDefault="002E4432" w:rsidP="002E4432">
      <w:pPr>
        <w:jc w:val="both"/>
        <w:rPr>
          <w:rFonts w:ascii="Arial" w:hAnsi="Arial" w:cs="Arial"/>
        </w:rPr>
      </w:pPr>
      <w:r w:rsidRPr="000826E9">
        <w:rPr>
          <w:rFonts w:ascii="Arial" w:hAnsi="Arial" w:cs="Arial"/>
        </w:rPr>
        <w:tab/>
      </w:r>
    </w:p>
    <w:p w14:paraId="65F41F09" w14:textId="77777777" w:rsidR="002E4432" w:rsidRPr="000826E9" w:rsidRDefault="002E4432" w:rsidP="002E4432">
      <w:pPr>
        <w:jc w:val="both"/>
        <w:rPr>
          <w:rFonts w:ascii="Arial" w:hAnsi="Arial" w:cs="Arial"/>
        </w:rPr>
      </w:pPr>
      <w:r w:rsidRPr="000826E9">
        <w:rPr>
          <w:rFonts w:ascii="Arial" w:hAnsi="Arial" w:cs="Arial"/>
        </w:rPr>
        <w:t>•</w:t>
      </w:r>
      <w:r w:rsidRPr="000826E9">
        <w:rPr>
          <w:rFonts w:ascii="Arial" w:hAnsi="Arial" w:cs="Arial"/>
        </w:rPr>
        <w:tab/>
        <w:t xml:space="preserve">to approve the Statement of Accounts. </w:t>
      </w:r>
    </w:p>
    <w:p w14:paraId="61577A4E" w14:textId="77777777" w:rsidR="002E4432" w:rsidRPr="000826E9" w:rsidRDefault="002E4432" w:rsidP="002E4432">
      <w:pPr>
        <w:jc w:val="both"/>
        <w:rPr>
          <w:rFonts w:ascii="Arial" w:hAnsi="Arial" w:cs="Arial"/>
        </w:rPr>
      </w:pPr>
    </w:p>
    <w:p w14:paraId="73FBDA99" w14:textId="77777777" w:rsidR="002E4432" w:rsidRPr="000826E9" w:rsidRDefault="002E4432" w:rsidP="002E4432">
      <w:pPr>
        <w:jc w:val="both"/>
        <w:rPr>
          <w:rFonts w:ascii="Arial" w:hAnsi="Arial" w:cs="Arial"/>
        </w:rPr>
      </w:pPr>
      <w:r w:rsidRPr="000826E9">
        <w:rPr>
          <w:rFonts w:ascii="Arial" w:hAnsi="Arial" w:cs="Arial"/>
        </w:rPr>
        <w:t>THE STRATEGIC DIRECTOR OF FINANCE AND GOVERNANCE’S RESPONSIBILITIES:</w:t>
      </w:r>
    </w:p>
    <w:p w14:paraId="1FFE1EBD" w14:textId="77777777" w:rsidR="002E4432" w:rsidRPr="000826E9" w:rsidRDefault="002E4432" w:rsidP="002E4432">
      <w:pPr>
        <w:jc w:val="both"/>
        <w:rPr>
          <w:rFonts w:ascii="Arial" w:hAnsi="Arial" w:cs="Arial"/>
        </w:rPr>
      </w:pPr>
    </w:p>
    <w:p w14:paraId="72EDF593" w14:textId="77777777" w:rsidR="002E4432" w:rsidRPr="000826E9" w:rsidRDefault="002E4432" w:rsidP="002E4432">
      <w:pPr>
        <w:jc w:val="both"/>
        <w:rPr>
          <w:rFonts w:ascii="Arial" w:hAnsi="Arial" w:cs="Arial"/>
        </w:rPr>
      </w:pPr>
      <w:r w:rsidRPr="000826E9">
        <w:rPr>
          <w:rFonts w:ascii="Arial" w:hAnsi="Arial" w:cs="Arial"/>
        </w:rPr>
        <w:t xml:space="preserve">The Strategic Director of Finance and Governance is responsible for the preparation of the Council’s Statement of Accounts in accordance with proper practices as set out in the CIPFA/LASAAC Code of Practice on Local Authority Accounting in the United Kingdom (the Code). </w:t>
      </w:r>
    </w:p>
    <w:p w14:paraId="2DF2FC18" w14:textId="77777777" w:rsidR="002E4432" w:rsidRPr="000826E9" w:rsidRDefault="002E4432" w:rsidP="002E4432">
      <w:pPr>
        <w:jc w:val="both"/>
        <w:rPr>
          <w:rFonts w:ascii="Arial" w:hAnsi="Arial" w:cs="Arial"/>
        </w:rPr>
      </w:pPr>
    </w:p>
    <w:p w14:paraId="5DBDE994" w14:textId="77777777" w:rsidR="002E4432" w:rsidRPr="000826E9" w:rsidRDefault="002E4432" w:rsidP="002E4432">
      <w:pPr>
        <w:jc w:val="both"/>
        <w:rPr>
          <w:rFonts w:ascii="Arial" w:hAnsi="Arial" w:cs="Arial"/>
        </w:rPr>
      </w:pPr>
      <w:r w:rsidRPr="000826E9">
        <w:rPr>
          <w:rFonts w:ascii="Arial" w:hAnsi="Arial" w:cs="Arial"/>
        </w:rPr>
        <w:t>In preparing this Statement of Accounts, the Strategic Director of Finance and Governance has: -</w:t>
      </w:r>
    </w:p>
    <w:p w14:paraId="59B6A9D5" w14:textId="77777777" w:rsidR="002E4432" w:rsidRPr="000826E9" w:rsidRDefault="002E4432" w:rsidP="002E4432">
      <w:pPr>
        <w:jc w:val="both"/>
        <w:rPr>
          <w:rFonts w:ascii="Arial" w:hAnsi="Arial" w:cs="Arial"/>
        </w:rPr>
      </w:pPr>
    </w:p>
    <w:p w14:paraId="4F9E2CC4" w14:textId="77777777" w:rsidR="002E4432" w:rsidRPr="000826E9" w:rsidRDefault="002E4432" w:rsidP="002E4432">
      <w:pPr>
        <w:jc w:val="both"/>
        <w:rPr>
          <w:rFonts w:ascii="Arial" w:hAnsi="Arial" w:cs="Arial"/>
        </w:rPr>
      </w:pPr>
      <w:r w:rsidRPr="000826E9">
        <w:rPr>
          <w:rFonts w:ascii="Arial" w:hAnsi="Arial" w:cs="Arial"/>
        </w:rPr>
        <w:t>•</w:t>
      </w:r>
      <w:r w:rsidRPr="000826E9">
        <w:rPr>
          <w:rFonts w:ascii="Arial" w:hAnsi="Arial" w:cs="Arial"/>
        </w:rPr>
        <w:tab/>
        <w:t>selected suitable accounting policies and then applied them consistently,</w:t>
      </w:r>
    </w:p>
    <w:p w14:paraId="0228339F" w14:textId="77777777" w:rsidR="002E4432" w:rsidRPr="000826E9" w:rsidRDefault="002E4432" w:rsidP="002E4432">
      <w:pPr>
        <w:jc w:val="both"/>
        <w:rPr>
          <w:rFonts w:ascii="Arial" w:hAnsi="Arial" w:cs="Arial"/>
        </w:rPr>
      </w:pPr>
      <w:r w:rsidRPr="000826E9">
        <w:rPr>
          <w:rFonts w:ascii="Arial" w:hAnsi="Arial" w:cs="Arial"/>
        </w:rPr>
        <w:tab/>
      </w:r>
    </w:p>
    <w:p w14:paraId="5B511B20" w14:textId="77777777" w:rsidR="002E4432" w:rsidRPr="000826E9" w:rsidRDefault="002E4432" w:rsidP="002E4432">
      <w:pPr>
        <w:jc w:val="both"/>
        <w:rPr>
          <w:rFonts w:ascii="Arial" w:hAnsi="Arial" w:cs="Arial"/>
        </w:rPr>
      </w:pPr>
      <w:r w:rsidRPr="000826E9">
        <w:rPr>
          <w:rFonts w:ascii="Arial" w:hAnsi="Arial" w:cs="Arial"/>
        </w:rPr>
        <w:t>•</w:t>
      </w:r>
      <w:r w:rsidRPr="000826E9">
        <w:rPr>
          <w:rFonts w:ascii="Arial" w:hAnsi="Arial" w:cs="Arial"/>
        </w:rPr>
        <w:tab/>
        <w:t>made judgements and estimates that were reasonable and prudent, and</w:t>
      </w:r>
    </w:p>
    <w:p w14:paraId="518A7597" w14:textId="77777777" w:rsidR="002E4432" w:rsidRPr="000826E9" w:rsidRDefault="002E4432" w:rsidP="002E4432">
      <w:pPr>
        <w:jc w:val="both"/>
        <w:rPr>
          <w:rFonts w:ascii="Arial" w:hAnsi="Arial" w:cs="Arial"/>
        </w:rPr>
      </w:pPr>
      <w:r w:rsidRPr="000826E9">
        <w:rPr>
          <w:rFonts w:ascii="Arial" w:hAnsi="Arial" w:cs="Arial"/>
        </w:rPr>
        <w:tab/>
      </w:r>
    </w:p>
    <w:p w14:paraId="47CDFFF7" w14:textId="77777777" w:rsidR="002E4432" w:rsidRPr="000826E9" w:rsidRDefault="002E4432" w:rsidP="002E4432">
      <w:pPr>
        <w:jc w:val="both"/>
        <w:rPr>
          <w:rFonts w:ascii="Arial" w:hAnsi="Arial" w:cs="Arial"/>
        </w:rPr>
      </w:pPr>
      <w:r w:rsidRPr="000826E9">
        <w:rPr>
          <w:rFonts w:ascii="Arial" w:hAnsi="Arial" w:cs="Arial"/>
        </w:rPr>
        <w:t>•</w:t>
      </w:r>
      <w:r w:rsidRPr="000826E9">
        <w:rPr>
          <w:rFonts w:ascii="Arial" w:hAnsi="Arial" w:cs="Arial"/>
        </w:rPr>
        <w:tab/>
        <w:t>complied with the Local Authority Code.</w:t>
      </w:r>
    </w:p>
    <w:p w14:paraId="44E185F7" w14:textId="77777777" w:rsidR="002E4432" w:rsidRPr="000826E9" w:rsidRDefault="002E4432" w:rsidP="002E4432">
      <w:pPr>
        <w:jc w:val="both"/>
        <w:rPr>
          <w:rFonts w:ascii="Arial" w:hAnsi="Arial" w:cs="Arial"/>
        </w:rPr>
      </w:pPr>
    </w:p>
    <w:p w14:paraId="1ADD2967" w14:textId="77777777" w:rsidR="002E4432" w:rsidRPr="000826E9" w:rsidRDefault="002E4432" w:rsidP="002E4432">
      <w:pPr>
        <w:jc w:val="both"/>
        <w:rPr>
          <w:rFonts w:ascii="Arial" w:hAnsi="Arial" w:cs="Arial"/>
        </w:rPr>
      </w:pPr>
      <w:r w:rsidRPr="000826E9">
        <w:rPr>
          <w:rFonts w:ascii="Arial" w:hAnsi="Arial" w:cs="Arial"/>
        </w:rPr>
        <w:t>The Strategic Director of Finance and Governance has also: -</w:t>
      </w:r>
    </w:p>
    <w:p w14:paraId="318A11A3" w14:textId="77777777" w:rsidR="002E4432" w:rsidRPr="000826E9" w:rsidRDefault="002E4432" w:rsidP="002E4432">
      <w:pPr>
        <w:jc w:val="both"/>
        <w:rPr>
          <w:rFonts w:ascii="Arial" w:hAnsi="Arial" w:cs="Arial"/>
        </w:rPr>
      </w:pPr>
    </w:p>
    <w:p w14:paraId="18D35D0E" w14:textId="77777777" w:rsidR="002E4432" w:rsidRPr="000826E9" w:rsidRDefault="002E4432" w:rsidP="002E4432">
      <w:pPr>
        <w:jc w:val="both"/>
        <w:rPr>
          <w:rFonts w:ascii="Arial" w:hAnsi="Arial" w:cs="Arial"/>
        </w:rPr>
      </w:pPr>
      <w:r w:rsidRPr="000826E9">
        <w:rPr>
          <w:rFonts w:ascii="Arial" w:hAnsi="Arial" w:cs="Arial"/>
        </w:rPr>
        <w:t>•</w:t>
      </w:r>
      <w:r w:rsidRPr="000826E9">
        <w:rPr>
          <w:rFonts w:ascii="Arial" w:hAnsi="Arial" w:cs="Arial"/>
        </w:rPr>
        <w:tab/>
        <w:t>kept proper accounting records which were up to date, and</w:t>
      </w:r>
    </w:p>
    <w:p w14:paraId="7FA59675" w14:textId="77777777" w:rsidR="002E4432" w:rsidRPr="000826E9" w:rsidRDefault="002E4432" w:rsidP="002E4432">
      <w:pPr>
        <w:jc w:val="both"/>
        <w:rPr>
          <w:rFonts w:ascii="Arial" w:hAnsi="Arial" w:cs="Arial"/>
        </w:rPr>
      </w:pPr>
      <w:r w:rsidRPr="000826E9">
        <w:rPr>
          <w:rFonts w:ascii="Arial" w:hAnsi="Arial" w:cs="Arial"/>
        </w:rPr>
        <w:tab/>
      </w:r>
    </w:p>
    <w:p w14:paraId="0E8A0570" w14:textId="77777777" w:rsidR="002E4432" w:rsidRPr="000826E9" w:rsidRDefault="002E4432" w:rsidP="002E4432">
      <w:pPr>
        <w:jc w:val="both"/>
        <w:rPr>
          <w:rFonts w:ascii="Arial" w:hAnsi="Arial" w:cs="Arial"/>
        </w:rPr>
      </w:pPr>
      <w:r w:rsidRPr="000826E9">
        <w:rPr>
          <w:rFonts w:ascii="Arial" w:hAnsi="Arial" w:cs="Arial"/>
        </w:rPr>
        <w:t>•</w:t>
      </w:r>
      <w:r w:rsidRPr="000826E9">
        <w:rPr>
          <w:rFonts w:ascii="Arial" w:hAnsi="Arial" w:cs="Arial"/>
        </w:rPr>
        <w:tab/>
        <w:t>taken reasonable steps for the prevention and detection of fraud and other irregularities.</w:t>
      </w:r>
    </w:p>
    <w:p w14:paraId="5FFF41C6" w14:textId="77777777" w:rsidR="002E4432" w:rsidRPr="000826E9" w:rsidRDefault="002E4432" w:rsidP="002E4432">
      <w:pPr>
        <w:jc w:val="both"/>
        <w:rPr>
          <w:rFonts w:ascii="Arial" w:hAnsi="Arial" w:cs="Arial"/>
        </w:rPr>
      </w:pPr>
    </w:p>
    <w:p w14:paraId="5E8B2996" w14:textId="77777777" w:rsidR="002E4432" w:rsidRPr="000826E9" w:rsidRDefault="002E4432" w:rsidP="002E4432">
      <w:pPr>
        <w:jc w:val="both"/>
        <w:rPr>
          <w:rFonts w:ascii="Arial" w:hAnsi="Arial" w:cs="Arial"/>
        </w:rPr>
      </w:pPr>
    </w:p>
    <w:p w14:paraId="1BC74579" w14:textId="77777777" w:rsidR="002E4432" w:rsidRPr="000826E9" w:rsidRDefault="002E4432" w:rsidP="002E4432">
      <w:pPr>
        <w:jc w:val="both"/>
        <w:rPr>
          <w:rFonts w:ascii="Arial" w:hAnsi="Arial" w:cs="Arial"/>
        </w:rPr>
      </w:pPr>
      <w:r w:rsidRPr="000826E9">
        <w:rPr>
          <w:rFonts w:ascii="Arial" w:hAnsi="Arial" w:cs="Arial"/>
        </w:rPr>
        <w:t>ISSUE DATE</w:t>
      </w:r>
    </w:p>
    <w:p w14:paraId="46C0EE9A" w14:textId="77777777" w:rsidR="002E4432" w:rsidRPr="000826E9" w:rsidRDefault="002E4432" w:rsidP="002E4432">
      <w:pPr>
        <w:jc w:val="both"/>
        <w:rPr>
          <w:rFonts w:ascii="Arial" w:hAnsi="Arial" w:cs="Arial"/>
        </w:rPr>
      </w:pPr>
    </w:p>
    <w:p w14:paraId="728E53E6" w14:textId="77777777" w:rsidR="002E4432" w:rsidRPr="000826E9" w:rsidRDefault="002E4432" w:rsidP="002E4432">
      <w:pPr>
        <w:jc w:val="both"/>
        <w:rPr>
          <w:rFonts w:ascii="Arial" w:hAnsi="Arial" w:cs="Arial"/>
        </w:rPr>
      </w:pPr>
    </w:p>
    <w:p w14:paraId="5935831B" w14:textId="77777777" w:rsidR="002E4432" w:rsidRPr="000826E9" w:rsidRDefault="002E4432" w:rsidP="002E4432">
      <w:pPr>
        <w:jc w:val="both"/>
        <w:rPr>
          <w:rFonts w:ascii="Arial" w:hAnsi="Arial" w:cs="Arial"/>
        </w:rPr>
      </w:pPr>
    </w:p>
    <w:p w14:paraId="74F39A04" w14:textId="77777777" w:rsidR="002E4432" w:rsidRPr="000826E9" w:rsidRDefault="002E4432" w:rsidP="002E4432">
      <w:pPr>
        <w:jc w:val="both"/>
        <w:rPr>
          <w:rFonts w:ascii="Arial" w:hAnsi="Arial" w:cs="Arial"/>
        </w:rPr>
      </w:pPr>
      <w:r w:rsidRPr="000826E9">
        <w:rPr>
          <w:rFonts w:ascii="Arial" w:hAnsi="Arial" w:cs="Arial"/>
        </w:rPr>
        <w:t>CERTIFICATION BY THE STRATEGIC DIRECTOR OF FINANCE AND GOVERNANCE</w:t>
      </w:r>
    </w:p>
    <w:p w14:paraId="40688B48" w14:textId="77777777" w:rsidR="002E4432" w:rsidRPr="000826E9" w:rsidRDefault="002E4432" w:rsidP="002E4432">
      <w:pPr>
        <w:jc w:val="both"/>
        <w:rPr>
          <w:rFonts w:ascii="Arial" w:hAnsi="Arial" w:cs="Arial"/>
        </w:rPr>
      </w:pPr>
    </w:p>
    <w:p w14:paraId="05B41E81" w14:textId="77777777" w:rsidR="002E4432" w:rsidRPr="000826E9" w:rsidRDefault="002E4432" w:rsidP="002E4432">
      <w:pPr>
        <w:jc w:val="both"/>
        <w:rPr>
          <w:rFonts w:ascii="Arial" w:hAnsi="Arial" w:cs="Arial"/>
        </w:rPr>
      </w:pPr>
      <w:r w:rsidRPr="000826E9">
        <w:rPr>
          <w:rFonts w:ascii="Arial" w:hAnsi="Arial" w:cs="Arial"/>
        </w:rPr>
        <w:t xml:space="preserve">                                                          </w:t>
      </w:r>
    </w:p>
    <w:p w14:paraId="6A02EA11" w14:textId="77777777" w:rsidR="002E4432" w:rsidRPr="000826E9" w:rsidRDefault="002E4432" w:rsidP="002E4432">
      <w:pPr>
        <w:jc w:val="both"/>
        <w:rPr>
          <w:rFonts w:ascii="Arial" w:hAnsi="Arial" w:cs="Arial"/>
        </w:rPr>
      </w:pPr>
    </w:p>
    <w:p w14:paraId="0CDA78A7" w14:textId="77777777" w:rsidR="002E4432" w:rsidRPr="000826E9" w:rsidRDefault="002E4432" w:rsidP="002E4432">
      <w:pPr>
        <w:jc w:val="both"/>
        <w:rPr>
          <w:rFonts w:ascii="Arial" w:hAnsi="Arial" w:cs="Arial"/>
        </w:rPr>
      </w:pPr>
      <w:r w:rsidRPr="000826E9">
        <w:rPr>
          <w:rFonts w:ascii="Arial" w:hAnsi="Arial" w:cs="Arial"/>
        </w:rPr>
        <w:t xml:space="preserve">Date: </w:t>
      </w:r>
      <w:r w:rsidR="00431A11" w:rsidRPr="000826E9">
        <w:rPr>
          <w:rFonts w:ascii="Arial" w:hAnsi="Arial" w:cs="Arial"/>
        </w:rPr>
        <w:tab/>
      </w:r>
      <w:r w:rsidR="00431A11" w:rsidRPr="000826E9">
        <w:rPr>
          <w:rFonts w:ascii="Arial" w:hAnsi="Arial" w:cs="Arial"/>
        </w:rPr>
        <w:tab/>
      </w:r>
      <w:r w:rsidR="00431A11" w:rsidRPr="000826E9">
        <w:rPr>
          <w:rFonts w:ascii="Arial" w:hAnsi="Arial" w:cs="Arial"/>
        </w:rPr>
        <w:tab/>
      </w:r>
      <w:r w:rsidRPr="000826E9">
        <w:rPr>
          <w:rFonts w:ascii="Arial" w:hAnsi="Arial" w:cs="Arial"/>
        </w:rPr>
        <w:tab/>
        <w:t xml:space="preserve">      </w:t>
      </w:r>
      <w:r w:rsidRPr="000826E9">
        <w:rPr>
          <w:rFonts w:ascii="Arial" w:hAnsi="Arial" w:cs="Arial"/>
        </w:rPr>
        <w:tab/>
        <w:t xml:space="preserve">              </w:t>
      </w:r>
      <w:r w:rsidRPr="000826E9">
        <w:rPr>
          <w:rFonts w:ascii="Arial" w:hAnsi="Arial" w:cs="Arial"/>
        </w:rPr>
        <w:tab/>
        <w:t xml:space="preserve">John Turnbull CPFA   </w:t>
      </w:r>
    </w:p>
    <w:p w14:paraId="3453566A" w14:textId="77777777" w:rsidR="002E4432" w:rsidRPr="000826E9" w:rsidRDefault="002E4432" w:rsidP="002E4432">
      <w:pPr>
        <w:ind w:left="5040"/>
        <w:jc w:val="both"/>
        <w:rPr>
          <w:rFonts w:ascii="Arial" w:hAnsi="Arial" w:cs="Arial"/>
        </w:rPr>
      </w:pPr>
      <w:r w:rsidRPr="000826E9">
        <w:rPr>
          <w:rFonts w:ascii="Arial" w:hAnsi="Arial" w:cs="Arial"/>
        </w:rPr>
        <w:t xml:space="preserve">Strategic Director                          of Finance and Governance    </w:t>
      </w:r>
    </w:p>
    <w:p w14:paraId="7C26FFBD" w14:textId="77777777" w:rsidR="00570869" w:rsidRPr="000826E9" w:rsidRDefault="00570869" w:rsidP="00D263A6">
      <w:pPr>
        <w:jc w:val="both"/>
        <w:rPr>
          <w:rFonts w:ascii="Arial" w:hAnsi="Arial" w:cs="Arial"/>
          <w:b/>
        </w:rPr>
      </w:pPr>
    </w:p>
    <w:p w14:paraId="7F2DF0B0" w14:textId="77777777" w:rsidR="006A02CD" w:rsidRPr="000E0332" w:rsidRDefault="006A02CD" w:rsidP="00D263A6">
      <w:pPr>
        <w:jc w:val="both"/>
        <w:rPr>
          <w:rFonts w:ascii="Arial" w:hAnsi="Arial" w:cs="Arial"/>
          <w:color w:val="FF0000"/>
        </w:rPr>
      </w:pPr>
    </w:p>
    <w:p w14:paraId="20779A08" w14:textId="77777777" w:rsidR="00925F77" w:rsidRDefault="00925F77" w:rsidP="00D263A6">
      <w:pPr>
        <w:pStyle w:val="Heading2"/>
        <w:jc w:val="both"/>
      </w:pPr>
      <w:r>
        <w:t>Pension Fund Advisers and Other Service Providers 201</w:t>
      </w:r>
      <w:r w:rsidR="000826E9">
        <w:t>9</w:t>
      </w:r>
      <w:r>
        <w:t>/</w:t>
      </w:r>
      <w:r w:rsidR="000826E9">
        <w:t>20</w:t>
      </w:r>
    </w:p>
    <w:p w14:paraId="275CF5C1" w14:textId="77777777" w:rsidR="00925F77" w:rsidRDefault="00925F77" w:rsidP="00D263A6">
      <w:pPr>
        <w:jc w:val="both"/>
        <w:rPr>
          <w:rFonts w:ascii="Arial" w:hAnsi="Arial" w:cs="Arial"/>
        </w:rPr>
      </w:pPr>
    </w:p>
    <w:p w14:paraId="344CC694" w14:textId="77777777" w:rsidR="00925F77" w:rsidRDefault="00925F77" w:rsidP="00D263A6">
      <w:pPr>
        <w:jc w:val="both"/>
        <w:rPr>
          <w:rFonts w:ascii="Arial" w:hAnsi="Arial" w:cs="Arial"/>
        </w:rPr>
      </w:pPr>
      <w:r>
        <w:rPr>
          <w:rFonts w:ascii="Arial" w:hAnsi="Arial" w:cs="Arial"/>
        </w:rPr>
        <w:t>During 201</w:t>
      </w:r>
      <w:r w:rsidR="00085F50">
        <w:rPr>
          <w:rFonts w:ascii="Arial" w:hAnsi="Arial" w:cs="Arial"/>
        </w:rPr>
        <w:t>9</w:t>
      </w:r>
      <w:r>
        <w:rPr>
          <w:rFonts w:ascii="Arial" w:hAnsi="Arial" w:cs="Arial"/>
        </w:rPr>
        <w:t>/</w:t>
      </w:r>
      <w:r w:rsidR="00085F50">
        <w:rPr>
          <w:rFonts w:ascii="Arial" w:hAnsi="Arial" w:cs="Arial"/>
        </w:rPr>
        <w:t>20</w:t>
      </w:r>
      <w:r>
        <w:rPr>
          <w:rFonts w:ascii="Arial" w:hAnsi="Arial" w:cs="Arial"/>
        </w:rPr>
        <w:t>, the following provided services to the Pension Fund:</w:t>
      </w:r>
    </w:p>
    <w:p w14:paraId="006AF0F7" w14:textId="77777777" w:rsidR="00925F77" w:rsidRDefault="00925F77" w:rsidP="00D263A6">
      <w:pPr>
        <w:jc w:val="both"/>
        <w:rPr>
          <w:rFonts w:ascii="Arial" w:hAnsi="Arial" w:cs="Arial"/>
        </w:rPr>
      </w:pPr>
    </w:p>
    <w:p w14:paraId="21AAD500" w14:textId="77777777" w:rsidR="00925F77" w:rsidRDefault="00925F77" w:rsidP="00D263A6">
      <w:pPr>
        <w:pStyle w:val="Heading5"/>
        <w:jc w:val="both"/>
        <w:rPr>
          <w:color w:val="336600"/>
        </w:rPr>
      </w:pPr>
      <w:r>
        <w:rPr>
          <w:color w:val="336600"/>
        </w:rPr>
        <w:t>Custodial Services</w:t>
      </w:r>
    </w:p>
    <w:p w14:paraId="31BA2D5B" w14:textId="77777777" w:rsidR="00925F77" w:rsidRDefault="00925F77" w:rsidP="00D263A6">
      <w:pPr>
        <w:jc w:val="both"/>
        <w:rPr>
          <w:rFonts w:ascii="Arial" w:hAnsi="Arial" w:cs="Arial"/>
        </w:rPr>
      </w:pPr>
      <w:r>
        <w:rPr>
          <w:rFonts w:ascii="Arial" w:hAnsi="Arial" w:cs="Arial"/>
        </w:rPr>
        <w:t xml:space="preserve"> </w:t>
      </w:r>
    </w:p>
    <w:p w14:paraId="4E6ABE8F" w14:textId="77777777" w:rsidR="00925F77" w:rsidRDefault="00925F77" w:rsidP="00D263A6">
      <w:pPr>
        <w:jc w:val="both"/>
        <w:rPr>
          <w:rFonts w:ascii="Arial" w:hAnsi="Arial" w:cs="Arial"/>
        </w:rPr>
      </w:pPr>
      <w:r>
        <w:rPr>
          <w:rFonts w:ascii="Arial" w:hAnsi="Arial" w:cs="Arial"/>
        </w:rPr>
        <w:lastRenderedPageBreak/>
        <w:t xml:space="preserve">State Street Bank and Trust Company </w:t>
      </w:r>
    </w:p>
    <w:p w14:paraId="701D4282" w14:textId="77777777" w:rsidR="00925F77" w:rsidRDefault="00925F77" w:rsidP="00D263A6">
      <w:pPr>
        <w:jc w:val="both"/>
        <w:rPr>
          <w:rFonts w:ascii="Arial" w:hAnsi="Arial" w:cs="Arial"/>
        </w:rPr>
      </w:pPr>
      <w:r>
        <w:rPr>
          <w:rFonts w:ascii="Arial" w:hAnsi="Arial" w:cs="Arial"/>
        </w:rPr>
        <w:t>20 Churchill Place</w:t>
      </w:r>
    </w:p>
    <w:p w14:paraId="2D8D738F" w14:textId="77777777" w:rsidR="00925F77" w:rsidRDefault="00925F77" w:rsidP="00D263A6">
      <w:pPr>
        <w:jc w:val="both"/>
        <w:rPr>
          <w:rFonts w:ascii="Arial" w:hAnsi="Arial" w:cs="Arial"/>
        </w:rPr>
      </w:pPr>
      <w:r>
        <w:rPr>
          <w:rFonts w:ascii="Arial" w:hAnsi="Arial" w:cs="Arial"/>
        </w:rPr>
        <w:t>Canary Wharf</w:t>
      </w:r>
    </w:p>
    <w:p w14:paraId="2696F205" w14:textId="77777777" w:rsidR="00925F77" w:rsidRDefault="00925F77" w:rsidP="00D263A6">
      <w:pPr>
        <w:jc w:val="both"/>
        <w:rPr>
          <w:rFonts w:ascii="Arial" w:hAnsi="Arial" w:cs="Arial"/>
        </w:rPr>
      </w:pPr>
      <w:r>
        <w:rPr>
          <w:rFonts w:ascii="Arial" w:hAnsi="Arial" w:cs="Arial"/>
        </w:rPr>
        <w:t>London E14 5HJ</w:t>
      </w:r>
    </w:p>
    <w:p w14:paraId="07CF5EB8" w14:textId="77777777" w:rsidR="00925F77" w:rsidRDefault="00925F77" w:rsidP="00D263A6">
      <w:pPr>
        <w:jc w:val="both"/>
        <w:rPr>
          <w:rFonts w:ascii="Arial" w:hAnsi="Arial" w:cs="Arial"/>
        </w:rPr>
      </w:pPr>
    </w:p>
    <w:p w14:paraId="39717576" w14:textId="77777777" w:rsidR="00925F77" w:rsidRDefault="00925F77" w:rsidP="00D263A6">
      <w:pPr>
        <w:pStyle w:val="Heading5"/>
        <w:jc w:val="both"/>
        <w:rPr>
          <w:color w:val="336600"/>
        </w:rPr>
      </w:pPr>
      <w:r>
        <w:rPr>
          <w:color w:val="336600"/>
        </w:rPr>
        <w:t>Actuarial Services</w:t>
      </w:r>
    </w:p>
    <w:p w14:paraId="50B407AF" w14:textId="77777777" w:rsidR="00925F77" w:rsidRDefault="00925F77" w:rsidP="00D263A6">
      <w:pPr>
        <w:jc w:val="both"/>
        <w:rPr>
          <w:rFonts w:ascii="Arial" w:hAnsi="Arial" w:cs="Arial"/>
        </w:rPr>
      </w:pPr>
    </w:p>
    <w:p w14:paraId="259799EB" w14:textId="77777777" w:rsidR="00925F77" w:rsidRDefault="00925F77" w:rsidP="00D263A6">
      <w:pPr>
        <w:jc w:val="both"/>
        <w:rPr>
          <w:rFonts w:ascii="Arial" w:hAnsi="Arial" w:cs="Arial"/>
        </w:rPr>
      </w:pPr>
      <w:r>
        <w:rPr>
          <w:rFonts w:ascii="Arial" w:hAnsi="Arial" w:cs="Arial"/>
        </w:rPr>
        <w:t>Mercer Limited,</w:t>
      </w:r>
    </w:p>
    <w:p w14:paraId="43F8A1F0" w14:textId="77777777" w:rsidR="00925F77" w:rsidRDefault="00925F77" w:rsidP="00D263A6">
      <w:pPr>
        <w:autoSpaceDE w:val="0"/>
        <w:autoSpaceDN w:val="0"/>
        <w:adjustRightInd w:val="0"/>
        <w:jc w:val="both"/>
        <w:rPr>
          <w:rFonts w:ascii="Arial" w:hAnsi="Arial" w:cs="Arial"/>
        </w:rPr>
      </w:pPr>
      <w:r>
        <w:rPr>
          <w:rFonts w:ascii="Arial" w:hAnsi="Arial" w:cs="Arial"/>
        </w:rPr>
        <w:t xml:space="preserve">Mercury Court, </w:t>
      </w:r>
    </w:p>
    <w:p w14:paraId="34695EA9" w14:textId="77777777" w:rsidR="00925F77" w:rsidRDefault="00925F77" w:rsidP="00D263A6">
      <w:pPr>
        <w:autoSpaceDE w:val="0"/>
        <w:autoSpaceDN w:val="0"/>
        <w:adjustRightInd w:val="0"/>
        <w:jc w:val="both"/>
        <w:rPr>
          <w:rFonts w:ascii="Arial" w:hAnsi="Arial" w:cs="Arial"/>
        </w:rPr>
      </w:pPr>
      <w:r>
        <w:rPr>
          <w:rFonts w:ascii="Arial" w:hAnsi="Arial" w:cs="Arial"/>
        </w:rPr>
        <w:t>Tithebarn Street,</w:t>
      </w:r>
    </w:p>
    <w:p w14:paraId="49615781" w14:textId="77777777" w:rsidR="00925F77" w:rsidRDefault="00925F77" w:rsidP="00D263A6">
      <w:pPr>
        <w:autoSpaceDE w:val="0"/>
        <w:autoSpaceDN w:val="0"/>
        <w:adjustRightInd w:val="0"/>
        <w:jc w:val="both"/>
        <w:rPr>
          <w:rFonts w:ascii="Arial" w:hAnsi="Arial" w:cs="Arial"/>
        </w:rPr>
      </w:pPr>
      <w:r>
        <w:rPr>
          <w:rFonts w:ascii="Arial" w:hAnsi="Arial" w:cs="Arial"/>
        </w:rPr>
        <w:t xml:space="preserve">Liverpool, </w:t>
      </w:r>
    </w:p>
    <w:p w14:paraId="3666CF19" w14:textId="77777777" w:rsidR="00925F77" w:rsidRDefault="00925F77" w:rsidP="00D263A6">
      <w:pPr>
        <w:autoSpaceDE w:val="0"/>
        <w:autoSpaceDN w:val="0"/>
        <w:adjustRightInd w:val="0"/>
        <w:jc w:val="both"/>
        <w:rPr>
          <w:rFonts w:ascii="Arial" w:hAnsi="Arial" w:cs="Arial"/>
        </w:rPr>
      </w:pPr>
      <w:r>
        <w:rPr>
          <w:rFonts w:ascii="Arial" w:hAnsi="Arial" w:cs="Arial"/>
        </w:rPr>
        <w:t>L2 2QH</w:t>
      </w:r>
    </w:p>
    <w:p w14:paraId="2123C6C1" w14:textId="77777777" w:rsidR="00085F50" w:rsidRDefault="00085F50" w:rsidP="00D263A6">
      <w:pPr>
        <w:autoSpaceDE w:val="0"/>
        <w:autoSpaceDN w:val="0"/>
        <w:adjustRightInd w:val="0"/>
        <w:jc w:val="both"/>
        <w:rPr>
          <w:rFonts w:ascii="Arial" w:hAnsi="Arial" w:cs="Arial"/>
        </w:rPr>
      </w:pPr>
    </w:p>
    <w:p w14:paraId="748C9754" w14:textId="77777777" w:rsidR="00925F77" w:rsidRDefault="00925F77" w:rsidP="00D263A6">
      <w:pPr>
        <w:jc w:val="both"/>
        <w:rPr>
          <w:rFonts w:ascii="Arial" w:hAnsi="Arial" w:cs="Arial"/>
        </w:rPr>
      </w:pPr>
    </w:p>
    <w:p w14:paraId="50965AB7" w14:textId="77777777" w:rsidR="00925F77" w:rsidRDefault="00925F77" w:rsidP="00D263A6">
      <w:pPr>
        <w:pStyle w:val="Heading5"/>
        <w:jc w:val="both"/>
        <w:rPr>
          <w:color w:val="336600"/>
        </w:rPr>
      </w:pPr>
      <w:r>
        <w:rPr>
          <w:color w:val="336600"/>
        </w:rPr>
        <w:t>Investment Consultancy and Advice Services</w:t>
      </w:r>
    </w:p>
    <w:p w14:paraId="3322F938" w14:textId="77777777" w:rsidR="00925F77" w:rsidRDefault="00925F77" w:rsidP="00D263A6">
      <w:pPr>
        <w:jc w:val="both"/>
        <w:rPr>
          <w:rFonts w:ascii="Arial" w:hAnsi="Arial" w:cs="Arial"/>
        </w:rPr>
      </w:pPr>
      <w:r>
        <w:rPr>
          <w:rFonts w:ascii="Arial" w:hAnsi="Arial" w:cs="Arial"/>
        </w:rPr>
        <w:t xml:space="preserve"> </w:t>
      </w:r>
    </w:p>
    <w:p w14:paraId="5FBFB1E8" w14:textId="77777777" w:rsidR="00925F77" w:rsidRDefault="00925F77" w:rsidP="00D263A6">
      <w:pPr>
        <w:jc w:val="both"/>
        <w:rPr>
          <w:rFonts w:ascii="Arial" w:hAnsi="Arial" w:cs="Arial"/>
        </w:rPr>
      </w:pPr>
      <w:r>
        <w:rPr>
          <w:rFonts w:ascii="Arial" w:hAnsi="Arial" w:cs="Arial"/>
        </w:rPr>
        <w:t>Mercer Limited,</w:t>
      </w:r>
    </w:p>
    <w:p w14:paraId="581905F2" w14:textId="77777777" w:rsidR="00925F77" w:rsidRDefault="00925F77" w:rsidP="00D263A6">
      <w:pPr>
        <w:autoSpaceDE w:val="0"/>
        <w:autoSpaceDN w:val="0"/>
        <w:adjustRightInd w:val="0"/>
        <w:jc w:val="both"/>
        <w:rPr>
          <w:rFonts w:ascii="Arial" w:hAnsi="Arial" w:cs="Arial"/>
        </w:rPr>
      </w:pPr>
      <w:bookmarkStart w:id="3" w:name="_Hlk56217908"/>
      <w:r>
        <w:rPr>
          <w:rFonts w:ascii="Arial" w:hAnsi="Arial" w:cs="Arial"/>
        </w:rPr>
        <w:t xml:space="preserve">Mercury Court, </w:t>
      </w:r>
    </w:p>
    <w:p w14:paraId="5305E7A2" w14:textId="77777777" w:rsidR="00925F77" w:rsidRDefault="00925F77" w:rsidP="00D263A6">
      <w:pPr>
        <w:autoSpaceDE w:val="0"/>
        <w:autoSpaceDN w:val="0"/>
        <w:adjustRightInd w:val="0"/>
        <w:jc w:val="both"/>
        <w:rPr>
          <w:rFonts w:ascii="Arial" w:hAnsi="Arial" w:cs="Arial"/>
        </w:rPr>
      </w:pPr>
      <w:r>
        <w:rPr>
          <w:rFonts w:ascii="Arial" w:hAnsi="Arial" w:cs="Arial"/>
        </w:rPr>
        <w:t>Tithebarn Street,</w:t>
      </w:r>
    </w:p>
    <w:p w14:paraId="24942013" w14:textId="77777777" w:rsidR="00925F77" w:rsidRDefault="00925F77" w:rsidP="00D263A6">
      <w:pPr>
        <w:autoSpaceDE w:val="0"/>
        <w:autoSpaceDN w:val="0"/>
        <w:adjustRightInd w:val="0"/>
        <w:jc w:val="both"/>
        <w:rPr>
          <w:rFonts w:ascii="Arial" w:hAnsi="Arial" w:cs="Arial"/>
        </w:rPr>
      </w:pPr>
      <w:r>
        <w:rPr>
          <w:rFonts w:ascii="Arial" w:hAnsi="Arial" w:cs="Arial"/>
        </w:rPr>
        <w:t xml:space="preserve">Liverpool, </w:t>
      </w:r>
    </w:p>
    <w:p w14:paraId="619F33CB" w14:textId="77777777" w:rsidR="00925F77" w:rsidRDefault="00925F77" w:rsidP="00D263A6">
      <w:pPr>
        <w:autoSpaceDE w:val="0"/>
        <w:autoSpaceDN w:val="0"/>
        <w:adjustRightInd w:val="0"/>
        <w:jc w:val="both"/>
        <w:rPr>
          <w:rFonts w:ascii="Arial" w:hAnsi="Arial" w:cs="Arial"/>
        </w:rPr>
      </w:pPr>
      <w:r>
        <w:rPr>
          <w:rFonts w:ascii="Arial" w:hAnsi="Arial" w:cs="Arial"/>
        </w:rPr>
        <w:t>L2 2QH</w:t>
      </w:r>
    </w:p>
    <w:bookmarkEnd w:id="3"/>
    <w:p w14:paraId="3392EA1C" w14:textId="77777777" w:rsidR="00925F77" w:rsidRDefault="00925F77" w:rsidP="00D263A6">
      <w:pPr>
        <w:jc w:val="both"/>
        <w:rPr>
          <w:rFonts w:ascii="Arial" w:hAnsi="Arial" w:cs="Arial"/>
        </w:rPr>
      </w:pPr>
    </w:p>
    <w:p w14:paraId="262BF536" w14:textId="77777777" w:rsidR="00925F77" w:rsidRDefault="00925F77" w:rsidP="00D263A6">
      <w:pPr>
        <w:pStyle w:val="Heading5"/>
        <w:jc w:val="both"/>
        <w:rPr>
          <w:color w:val="336600"/>
        </w:rPr>
      </w:pPr>
      <w:r>
        <w:rPr>
          <w:color w:val="336600"/>
        </w:rPr>
        <w:t>Pension Fund Performance Measurement</w:t>
      </w:r>
    </w:p>
    <w:p w14:paraId="7F6AE591" w14:textId="77777777" w:rsidR="00925F77" w:rsidRDefault="00925F77" w:rsidP="00D263A6">
      <w:pPr>
        <w:jc w:val="both"/>
        <w:rPr>
          <w:rFonts w:ascii="Arial" w:hAnsi="Arial" w:cs="Arial"/>
        </w:rPr>
      </w:pPr>
    </w:p>
    <w:p w14:paraId="42F5DA6C" w14:textId="77777777" w:rsidR="00925F77" w:rsidRDefault="00925F77" w:rsidP="00D263A6">
      <w:pPr>
        <w:autoSpaceDE w:val="0"/>
        <w:autoSpaceDN w:val="0"/>
        <w:adjustRightInd w:val="0"/>
        <w:jc w:val="both"/>
        <w:rPr>
          <w:rFonts w:ascii="Arial" w:hAnsi="Arial" w:cs="Arial"/>
        </w:rPr>
      </w:pPr>
      <w:r>
        <w:rPr>
          <w:rFonts w:ascii="Arial" w:hAnsi="Arial" w:cs="Arial"/>
        </w:rPr>
        <w:t>State Street Investment Analytics,</w:t>
      </w:r>
    </w:p>
    <w:p w14:paraId="6CC926B1" w14:textId="77777777" w:rsidR="00925F77" w:rsidRDefault="00925F77" w:rsidP="00D263A6">
      <w:pPr>
        <w:autoSpaceDE w:val="0"/>
        <w:autoSpaceDN w:val="0"/>
        <w:adjustRightInd w:val="0"/>
        <w:jc w:val="both"/>
        <w:rPr>
          <w:rFonts w:ascii="Arial" w:hAnsi="Arial" w:cs="Arial"/>
        </w:rPr>
      </w:pPr>
      <w:r>
        <w:rPr>
          <w:rFonts w:ascii="Arial" w:hAnsi="Arial" w:cs="Arial"/>
        </w:rPr>
        <w:t>525 Ferry Road,</w:t>
      </w:r>
    </w:p>
    <w:p w14:paraId="7BDE3CBF" w14:textId="77777777" w:rsidR="00925F77" w:rsidRDefault="00925F77" w:rsidP="00D263A6">
      <w:pPr>
        <w:autoSpaceDE w:val="0"/>
        <w:autoSpaceDN w:val="0"/>
        <w:adjustRightInd w:val="0"/>
        <w:jc w:val="both"/>
        <w:rPr>
          <w:rFonts w:ascii="Arial" w:hAnsi="Arial" w:cs="Arial"/>
        </w:rPr>
      </w:pPr>
      <w:r>
        <w:rPr>
          <w:rFonts w:ascii="Arial" w:hAnsi="Arial" w:cs="Arial"/>
        </w:rPr>
        <w:t>Edinburgh,</w:t>
      </w:r>
    </w:p>
    <w:p w14:paraId="17CD73AF" w14:textId="77777777" w:rsidR="00925F77" w:rsidRDefault="00925F77" w:rsidP="00D263A6">
      <w:pPr>
        <w:autoSpaceDE w:val="0"/>
        <w:autoSpaceDN w:val="0"/>
        <w:adjustRightInd w:val="0"/>
        <w:jc w:val="both"/>
        <w:rPr>
          <w:rFonts w:ascii="Arial" w:hAnsi="Arial" w:cs="Arial"/>
        </w:rPr>
      </w:pPr>
      <w:r>
        <w:rPr>
          <w:rFonts w:ascii="Arial" w:hAnsi="Arial" w:cs="Arial"/>
        </w:rPr>
        <w:t>EH5 2AW</w:t>
      </w:r>
    </w:p>
    <w:p w14:paraId="3FDBC3A3" w14:textId="77777777" w:rsidR="00085F50" w:rsidRDefault="00085F50" w:rsidP="00D263A6">
      <w:pPr>
        <w:autoSpaceDE w:val="0"/>
        <w:autoSpaceDN w:val="0"/>
        <w:adjustRightInd w:val="0"/>
        <w:jc w:val="both"/>
        <w:rPr>
          <w:rFonts w:ascii="Arial" w:hAnsi="Arial" w:cs="Arial"/>
        </w:rPr>
      </w:pPr>
    </w:p>
    <w:p w14:paraId="6CED0D7E" w14:textId="77777777" w:rsidR="00085F50" w:rsidRDefault="00085F50" w:rsidP="00D263A6">
      <w:pPr>
        <w:autoSpaceDE w:val="0"/>
        <w:autoSpaceDN w:val="0"/>
        <w:adjustRightInd w:val="0"/>
        <w:jc w:val="both"/>
        <w:rPr>
          <w:rFonts w:ascii="Arial" w:hAnsi="Arial" w:cs="Arial"/>
        </w:rPr>
      </w:pPr>
      <w:r>
        <w:rPr>
          <w:rFonts w:ascii="Arial" w:hAnsi="Arial" w:cs="Arial"/>
        </w:rPr>
        <w:t>Mercer Limited</w:t>
      </w:r>
    </w:p>
    <w:p w14:paraId="5D2B8D56" w14:textId="77777777" w:rsidR="00085F50" w:rsidRDefault="00085F50" w:rsidP="00085F50">
      <w:pPr>
        <w:autoSpaceDE w:val="0"/>
        <w:autoSpaceDN w:val="0"/>
        <w:adjustRightInd w:val="0"/>
        <w:jc w:val="both"/>
        <w:rPr>
          <w:rFonts w:ascii="Arial" w:hAnsi="Arial" w:cs="Arial"/>
        </w:rPr>
      </w:pPr>
      <w:r>
        <w:rPr>
          <w:rFonts w:ascii="Arial" w:hAnsi="Arial" w:cs="Arial"/>
        </w:rPr>
        <w:t xml:space="preserve">Mercury Court, </w:t>
      </w:r>
    </w:p>
    <w:p w14:paraId="6ADA121A" w14:textId="77777777" w:rsidR="00085F50" w:rsidRDefault="00085F50" w:rsidP="00085F50">
      <w:pPr>
        <w:autoSpaceDE w:val="0"/>
        <w:autoSpaceDN w:val="0"/>
        <w:adjustRightInd w:val="0"/>
        <w:jc w:val="both"/>
        <w:rPr>
          <w:rFonts w:ascii="Arial" w:hAnsi="Arial" w:cs="Arial"/>
        </w:rPr>
      </w:pPr>
      <w:r>
        <w:rPr>
          <w:rFonts w:ascii="Arial" w:hAnsi="Arial" w:cs="Arial"/>
        </w:rPr>
        <w:t>Tithebarn Street,</w:t>
      </w:r>
    </w:p>
    <w:p w14:paraId="4AF564EF" w14:textId="77777777" w:rsidR="00085F50" w:rsidRDefault="00085F50" w:rsidP="00085F50">
      <w:pPr>
        <w:autoSpaceDE w:val="0"/>
        <w:autoSpaceDN w:val="0"/>
        <w:adjustRightInd w:val="0"/>
        <w:jc w:val="both"/>
        <w:rPr>
          <w:rFonts w:ascii="Arial" w:hAnsi="Arial" w:cs="Arial"/>
        </w:rPr>
      </w:pPr>
      <w:r>
        <w:rPr>
          <w:rFonts w:ascii="Arial" w:hAnsi="Arial" w:cs="Arial"/>
        </w:rPr>
        <w:t xml:space="preserve">Liverpool, </w:t>
      </w:r>
    </w:p>
    <w:p w14:paraId="432DF778" w14:textId="77777777" w:rsidR="00085F50" w:rsidRDefault="00085F50" w:rsidP="00085F50">
      <w:pPr>
        <w:autoSpaceDE w:val="0"/>
        <w:autoSpaceDN w:val="0"/>
        <w:adjustRightInd w:val="0"/>
        <w:jc w:val="both"/>
        <w:rPr>
          <w:rFonts w:ascii="Arial" w:hAnsi="Arial" w:cs="Arial"/>
        </w:rPr>
      </w:pPr>
      <w:r>
        <w:rPr>
          <w:rFonts w:ascii="Arial" w:hAnsi="Arial" w:cs="Arial"/>
        </w:rPr>
        <w:t>L2 2QH</w:t>
      </w:r>
    </w:p>
    <w:p w14:paraId="557B9DD8" w14:textId="77777777" w:rsidR="00C15D83" w:rsidRDefault="00C15D83" w:rsidP="00D263A6">
      <w:pPr>
        <w:autoSpaceDE w:val="0"/>
        <w:autoSpaceDN w:val="0"/>
        <w:adjustRightInd w:val="0"/>
        <w:jc w:val="both"/>
        <w:rPr>
          <w:rFonts w:ascii="Arial" w:hAnsi="Arial" w:cs="Arial"/>
        </w:rPr>
      </w:pPr>
    </w:p>
    <w:p w14:paraId="02634CDA" w14:textId="77777777" w:rsidR="00C15D83" w:rsidRPr="00C15D83" w:rsidRDefault="00C15D83" w:rsidP="00C15D83">
      <w:pPr>
        <w:autoSpaceDE w:val="0"/>
        <w:autoSpaceDN w:val="0"/>
        <w:adjustRightInd w:val="0"/>
        <w:jc w:val="both"/>
        <w:rPr>
          <w:rFonts w:ascii="Arial" w:hAnsi="Arial" w:cs="Arial"/>
        </w:rPr>
      </w:pPr>
      <w:r>
        <w:rPr>
          <w:rFonts w:ascii="Arial" w:hAnsi="Arial" w:cs="Arial"/>
        </w:rPr>
        <w:t>Quarterly LGPS Statistics and Year</w:t>
      </w:r>
      <w:r w:rsidR="000E0332">
        <w:rPr>
          <w:rFonts w:ascii="Arial" w:hAnsi="Arial" w:cs="Arial"/>
        </w:rPr>
        <w:t>ly</w:t>
      </w:r>
      <w:r>
        <w:rPr>
          <w:rFonts w:ascii="Arial" w:hAnsi="Arial" w:cs="Arial"/>
        </w:rPr>
        <w:t xml:space="preserve"> League Statistics were provided by Pirc </w:t>
      </w:r>
      <w:r w:rsidRPr="00C15D83">
        <w:rPr>
          <w:rFonts w:ascii="Arial" w:hAnsi="Arial" w:cs="Arial"/>
        </w:rPr>
        <w:t>Local Authority Pension Performance Analytics</w:t>
      </w:r>
    </w:p>
    <w:p w14:paraId="3687F175" w14:textId="77777777" w:rsidR="00C15D83" w:rsidRDefault="00C15D83" w:rsidP="00C15D83">
      <w:pPr>
        <w:autoSpaceDE w:val="0"/>
        <w:autoSpaceDN w:val="0"/>
        <w:adjustRightInd w:val="0"/>
        <w:jc w:val="both"/>
        <w:rPr>
          <w:rFonts w:ascii="Arial" w:hAnsi="Arial" w:cs="Arial"/>
        </w:rPr>
      </w:pPr>
    </w:p>
    <w:p w14:paraId="1846DA12" w14:textId="77777777" w:rsidR="00C15D83" w:rsidRDefault="00C15D83" w:rsidP="00C15D83">
      <w:pPr>
        <w:autoSpaceDE w:val="0"/>
        <w:autoSpaceDN w:val="0"/>
        <w:adjustRightInd w:val="0"/>
        <w:jc w:val="both"/>
        <w:rPr>
          <w:rFonts w:ascii="Arial" w:hAnsi="Arial" w:cs="Arial"/>
        </w:rPr>
      </w:pPr>
      <w:r w:rsidRPr="00C15D83">
        <w:rPr>
          <w:rFonts w:ascii="Arial" w:hAnsi="Arial" w:cs="Arial"/>
        </w:rPr>
        <w:t>PIRC Limited</w:t>
      </w:r>
    </w:p>
    <w:p w14:paraId="7128905F" w14:textId="77777777" w:rsidR="009C542A" w:rsidRPr="009C542A" w:rsidRDefault="009C542A" w:rsidP="009C542A">
      <w:pPr>
        <w:autoSpaceDE w:val="0"/>
        <w:autoSpaceDN w:val="0"/>
        <w:adjustRightInd w:val="0"/>
        <w:jc w:val="both"/>
        <w:rPr>
          <w:rFonts w:ascii="Arial" w:hAnsi="Arial" w:cs="Arial"/>
        </w:rPr>
      </w:pPr>
      <w:r w:rsidRPr="009C542A">
        <w:rPr>
          <w:rFonts w:ascii="Arial" w:hAnsi="Arial" w:cs="Arial"/>
        </w:rPr>
        <w:t xml:space="preserve">8th Floor, Suite 8.02, Exchange Tower </w:t>
      </w:r>
    </w:p>
    <w:p w14:paraId="3C377051" w14:textId="77777777" w:rsidR="009C542A" w:rsidRPr="009C542A" w:rsidRDefault="009C542A" w:rsidP="009C542A">
      <w:pPr>
        <w:autoSpaceDE w:val="0"/>
        <w:autoSpaceDN w:val="0"/>
        <w:adjustRightInd w:val="0"/>
        <w:jc w:val="both"/>
        <w:rPr>
          <w:rFonts w:ascii="Arial" w:hAnsi="Arial" w:cs="Arial"/>
        </w:rPr>
      </w:pPr>
      <w:r w:rsidRPr="009C542A">
        <w:rPr>
          <w:rFonts w:ascii="Arial" w:hAnsi="Arial" w:cs="Arial"/>
        </w:rPr>
        <w:t>2 Harbour Exchange Square</w:t>
      </w:r>
    </w:p>
    <w:p w14:paraId="35DCAB2B" w14:textId="77777777" w:rsidR="00C15D83" w:rsidRDefault="009C542A" w:rsidP="009C542A">
      <w:pPr>
        <w:autoSpaceDE w:val="0"/>
        <w:autoSpaceDN w:val="0"/>
        <w:adjustRightInd w:val="0"/>
        <w:jc w:val="both"/>
        <w:rPr>
          <w:rFonts w:ascii="Arial" w:hAnsi="Arial" w:cs="Arial"/>
        </w:rPr>
      </w:pPr>
      <w:r w:rsidRPr="009C542A">
        <w:rPr>
          <w:rFonts w:ascii="Arial" w:hAnsi="Arial" w:cs="Arial"/>
        </w:rPr>
        <w:t>London E14 9GE</w:t>
      </w:r>
    </w:p>
    <w:p w14:paraId="6D9F5EFE" w14:textId="77777777" w:rsidR="00925F77" w:rsidRDefault="00925F77" w:rsidP="00D263A6">
      <w:pPr>
        <w:autoSpaceDE w:val="0"/>
        <w:autoSpaceDN w:val="0"/>
        <w:adjustRightInd w:val="0"/>
        <w:jc w:val="both"/>
        <w:rPr>
          <w:rFonts w:ascii="Arial" w:hAnsi="Arial" w:cs="Arial"/>
        </w:rPr>
      </w:pPr>
    </w:p>
    <w:p w14:paraId="160C3654" w14:textId="77777777" w:rsidR="00925F77" w:rsidRDefault="00925F77" w:rsidP="00D263A6">
      <w:pPr>
        <w:pStyle w:val="Heading5"/>
        <w:autoSpaceDE w:val="0"/>
        <w:autoSpaceDN w:val="0"/>
        <w:adjustRightInd w:val="0"/>
        <w:jc w:val="both"/>
        <w:rPr>
          <w:color w:val="336600"/>
        </w:rPr>
      </w:pPr>
      <w:r>
        <w:rPr>
          <w:color w:val="336600"/>
        </w:rPr>
        <w:t>Legal services</w:t>
      </w:r>
    </w:p>
    <w:p w14:paraId="6D8CF853" w14:textId="77777777" w:rsidR="00925F77" w:rsidRDefault="00925F77" w:rsidP="00D263A6">
      <w:pPr>
        <w:autoSpaceDE w:val="0"/>
        <w:autoSpaceDN w:val="0"/>
        <w:adjustRightInd w:val="0"/>
        <w:jc w:val="both"/>
        <w:rPr>
          <w:rFonts w:ascii="Arial" w:hAnsi="Arial" w:cs="Arial"/>
        </w:rPr>
      </w:pPr>
    </w:p>
    <w:p w14:paraId="541F70C0" w14:textId="77777777" w:rsidR="00865410" w:rsidRDefault="00865410" w:rsidP="00D263A6">
      <w:pPr>
        <w:autoSpaceDE w:val="0"/>
        <w:autoSpaceDN w:val="0"/>
        <w:adjustRightInd w:val="0"/>
        <w:jc w:val="both"/>
        <w:rPr>
          <w:rFonts w:ascii="Arial" w:hAnsi="Arial" w:cs="Arial"/>
        </w:rPr>
      </w:pPr>
      <w:r>
        <w:rPr>
          <w:rFonts w:ascii="Arial" w:hAnsi="Arial" w:cs="Arial"/>
        </w:rPr>
        <w:t>I</w:t>
      </w:r>
      <w:r w:rsidR="00925F77">
        <w:rPr>
          <w:rFonts w:ascii="Arial" w:hAnsi="Arial" w:cs="Arial"/>
        </w:rPr>
        <w:t>n-house by the Director of Governance and Law</w:t>
      </w:r>
    </w:p>
    <w:p w14:paraId="55356578" w14:textId="77777777" w:rsidR="00865410" w:rsidRDefault="00865410" w:rsidP="00D263A6">
      <w:pPr>
        <w:autoSpaceDE w:val="0"/>
        <w:autoSpaceDN w:val="0"/>
        <w:adjustRightInd w:val="0"/>
        <w:jc w:val="both"/>
        <w:rPr>
          <w:rFonts w:ascii="Arial" w:hAnsi="Arial" w:cs="Arial"/>
        </w:rPr>
      </w:pPr>
    </w:p>
    <w:p w14:paraId="7C827FC3" w14:textId="77777777" w:rsidR="006C122D" w:rsidRDefault="00865410" w:rsidP="00D263A6">
      <w:pPr>
        <w:autoSpaceDE w:val="0"/>
        <w:autoSpaceDN w:val="0"/>
        <w:adjustRightInd w:val="0"/>
        <w:jc w:val="both"/>
        <w:rPr>
          <w:rFonts w:ascii="Arial" w:hAnsi="Arial" w:cs="Arial"/>
        </w:rPr>
      </w:pPr>
      <w:r>
        <w:rPr>
          <w:rFonts w:ascii="Arial" w:hAnsi="Arial" w:cs="Arial"/>
        </w:rPr>
        <w:t>E</w:t>
      </w:r>
      <w:r w:rsidR="006C122D">
        <w:rPr>
          <w:rFonts w:ascii="Arial" w:hAnsi="Arial" w:cs="Arial"/>
        </w:rPr>
        <w:t xml:space="preserve">xternally </w:t>
      </w:r>
      <w:r w:rsidR="000E0332">
        <w:rPr>
          <w:rFonts w:ascii="Arial" w:hAnsi="Arial" w:cs="Arial"/>
        </w:rPr>
        <w:t>b</w:t>
      </w:r>
      <w:r w:rsidR="006C122D">
        <w:rPr>
          <w:rFonts w:ascii="Arial" w:hAnsi="Arial" w:cs="Arial"/>
        </w:rPr>
        <w:t>y Sackers, 20 Gresham Street, London, EC2V 7JE.</w:t>
      </w:r>
    </w:p>
    <w:p w14:paraId="356C4D82" w14:textId="77777777" w:rsidR="006C122D" w:rsidRDefault="006C122D" w:rsidP="00D263A6">
      <w:pPr>
        <w:autoSpaceDE w:val="0"/>
        <w:autoSpaceDN w:val="0"/>
        <w:adjustRightInd w:val="0"/>
        <w:jc w:val="both"/>
        <w:rPr>
          <w:rFonts w:ascii="Arial" w:hAnsi="Arial" w:cs="Arial"/>
        </w:rPr>
      </w:pPr>
    </w:p>
    <w:p w14:paraId="16E63CD6" w14:textId="77777777" w:rsidR="006C122D" w:rsidRPr="006C122D" w:rsidRDefault="006C122D" w:rsidP="00D263A6">
      <w:pPr>
        <w:autoSpaceDE w:val="0"/>
        <w:autoSpaceDN w:val="0"/>
        <w:adjustRightInd w:val="0"/>
        <w:jc w:val="both"/>
        <w:rPr>
          <w:rFonts w:ascii="Arial" w:hAnsi="Arial" w:cs="Arial"/>
          <w:color w:val="4F6228" w:themeColor="accent3" w:themeShade="80"/>
        </w:rPr>
      </w:pPr>
      <w:r w:rsidRPr="006C122D">
        <w:rPr>
          <w:rFonts w:ascii="Arial" w:hAnsi="Arial" w:cs="Arial"/>
          <w:color w:val="4F6228" w:themeColor="accent3" w:themeShade="80"/>
        </w:rPr>
        <w:t>Independent Advice is provided by:</w:t>
      </w:r>
    </w:p>
    <w:p w14:paraId="19B89198" w14:textId="77777777" w:rsidR="006C122D" w:rsidRPr="006C122D" w:rsidRDefault="006C122D" w:rsidP="00D263A6">
      <w:pPr>
        <w:autoSpaceDE w:val="0"/>
        <w:autoSpaceDN w:val="0"/>
        <w:adjustRightInd w:val="0"/>
        <w:jc w:val="both"/>
        <w:rPr>
          <w:rFonts w:ascii="Arial" w:hAnsi="Arial" w:cs="Arial"/>
          <w:color w:val="4F6228" w:themeColor="accent3" w:themeShade="80"/>
        </w:rPr>
      </w:pPr>
    </w:p>
    <w:p w14:paraId="58B6425E" w14:textId="77777777" w:rsidR="00925F77" w:rsidRDefault="006C122D" w:rsidP="00D263A6">
      <w:pPr>
        <w:autoSpaceDE w:val="0"/>
        <w:autoSpaceDN w:val="0"/>
        <w:adjustRightInd w:val="0"/>
        <w:jc w:val="both"/>
        <w:rPr>
          <w:rFonts w:ascii="Arial" w:hAnsi="Arial" w:cs="Arial"/>
        </w:rPr>
      </w:pPr>
      <w:r>
        <w:rPr>
          <w:rFonts w:ascii="Arial" w:hAnsi="Arial" w:cs="Arial"/>
        </w:rPr>
        <w:t>John Raisin</w:t>
      </w:r>
      <w:r w:rsidR="00625935">
        <w:rPr>
          <w:rFonts w:ascii="Arial" w:hAnsi="Arial" w:cs="Arial"/>
        </w:rPr>
        <w:t xml:space="preserve">, </w:t>
      </w:r>
      <w:r>
        <w:rPr>
          <w:rFonts w:ascii="Arial" w:hAnsi="Arial" w:cs="Arial"/>
        </w:rPr>
        <w:t xml:space="preserve">John Raisin Financial Services Limited </w:t>
      </w:r>
    </w:p>
    <w:p w14:paraId="631CFB4B" w14:textId="77777777" w:rsidR="00CD27A6" w:rsidRDefault="00CD27A6" w:rsidP="00D263A6">
      <w:pPr>
        <w:autoSpaceDE w:val="0"/>
        <w:autoSpaceDN w:val="0"/>
        <w:adjustRightInd w:val="0"/>
        <w:jc w:val="both"/>
        <w:rPr>
          <w:rFonts w:ascii="Arial" w:hAnsi="Arial" w:cs="Arial"/>
        </w:rPr>
      </w:pPr>
    </w:p>
    <w:p w14:paraId="69E162B5" w14:textId="77777777" w:rsidR="00CD27A6" w:rsidRDefault="00CD27A6" w:rsidP="00D263A6">
      <w:pPr>
        <w:autoSpaceDE w:val="0"/>
        <w:autoSpaceDN w:val="0"/>
        <w:adjustRightInd w:val="0"/>
        <w:jc w:val="both"/>
        <w:rPr>
          <w:rFonts w:ascii="Arial" w:hAnsi="Arial" w:cs="Arial"/>
          <w:b/>
          <w:color w:val="76923C" w:themeColor="accent3" w:themeShade="BF"/>
        </w:rPr>
      </w:pPr>
      <w:r w:rsidRPr="00CD27A6">
        <w:rPr>
          <w:rFonts w:ascii="Arial" w:hAnsi="Arial" w:cs="Arial"/>
          <w:b/>
          <w:color w:val="76923C" w:themeColor="accent3" w:themeShade="BF"/>
        </w:rPr>
        <w:lastRenderedPageBreak/>
        <w:t>External Auditors</w:t>
      </w:r>
    </w:p>
    <w:p w14:paraId="06949A44" w14:textId="77777777" w:rsidR="00CD27A6" w:rsidRDefault="00CD27A6" w:rsidP="00D263A6">
      <w:pPr>
        <w:autoSpaceDE w:val="0"/>
        <w:autoSpaceDN w:val="0"/>
        <w:adjustRightInd w:val="0"/>
        <w:jc w:val="both"/>
        <w:rPr>
          <w:rFonts w:ascii="Arial" w:hAnsi="Arial" w:cs="Arial"/>
          <w:b/>
          <w:color w:val="76923C" w:themeColor="accent3" w:themeShade="BF"/>
        </w:rPr>
      </w:pPr>
    </w:p>
    <w:p w14:paraId="0DEED462" w14:textId="77777777" w:rsidR="00CD27A6" w:rsidRPr="00CD27A6" w:rsidRDefault="00CD27A6" w:rsidP="00D263A6">
      <w:pPr>
        <w:autoSpaceDE w:val="0"/>
        <w:autoSpaceDN w:val="0"/>
        <w:adjustRightInd w:val="0"/>
        <w:jc w:val="both"/>
        <w:rPr>
          <w:rFonts w:ascii="Arial" w:hAnsi="Arial" w:cs="Arial"/>
        </w:rPr>
      </w:pPr>
      <w:r w:rsidRPr="00CD27A6">
        <w:rPr>
          <w:rFonts w:ascii="Arial" w:hAnsi="Arial" w:cs="Arial"/>
        </w:rPr>
        <w:t xml:space="preserve">External Audit of the Pension Fund Accounts was carried out by </w:t>
      </w:r>
      <w:r w:rsidR="00F6682F">
        <w:rPr>
          <w:rFonts w:ascii="Arial" w:hAnsi="Arial" w:cs="Arial"/>
        </w:rPr>
        <w:t>Ernst and Young</w:t>
      </w:r>
    </w:p>
    <w:p w14:paraId="1E56777D" w14:textId="77777777" w:rsidR="00CD27A6" w:rsidRDefault="00CD27A6" w:rsidP="00D263A6">
      <w:pPr>
        <w:autoSpaceDE w:val="0"/>
        <w:autoSpaceDN w:val="0"/>
        <w:adjustRightInd w:val="0"/>
        <w:jc w:val="both"/>
        <w:rPr>
          <w:rFonts w:ascii="Arial" w:hAnsi="Arial" w:cs="Arial"/>
          <w:b/>
          <w:color w:val="76923C" w:themeColor="accent3" w:themeShade="BF"/>
        </w:rPr>
      </w:pPr>
    </w:p>
    <w:p w14:paraId="7632BF9D" w14:textId="77777777" w:rsidR="00F6682F" w:rsidRPr="00F6682F" w:rsidRDefault="00431A11" w:rsidP="00F6682F">
      <w:pPr>
        <w:spacing w:before="24" w:after="24"/>
        <w:ind w:left="24" w:right="24"/>
        <w:rPr>
          <w:rFonts w:ascii="Arial" w:eastAsia="Calibri" w:hAnsi="Arial" w:cs="Arial"/>
          <w:color w:val="000000"/>
          <w:sz w:val="22"/>
          <w:szCs w:val="22"/>
        </w:rPr>
      </w:pPr>
      <w:r w:rsidRPr="00431A11">
        <w:rPr>
          <w:rFonts w:ascii="Arial" w:eastAsia="Calibri" w:hAnsi="Arial" w:cs="Arial"/>
          <w:color w:val="000000"/>
          <w:sz w:val="22"/>
          <w:szCs w:val="22"/>
        </w:rPr>
        <w:t>E</w:t>
      </w:r>
      <w:r w:rsidR="00F6682F" w:rsidRPr="00F6682F">
        <w:rPr>
          <w:rFonts w:ascii="Arial" w:eastAsia="Calibri" w:hAnsi="Arial" w:cs="Arial"/>
          <w:color w:val="000000"/>
          <w:sz w:val="22"/>
          <w:szCs w:val="22"/>
        </w:rPr>
        <w:t>rnst &amp; Young LLP</w:t>
      </w:r>
    </w:p>
    <w:p w14:paraId="13EDD5A3" w14:textId="77777777" w:rsidR="00F6682F" w:rsidRPr="00431A11" w:rsidRDefault="00F6682F" w:rsidP="00D263A6">
      <w:pPr>
        <w:autoSpaceDE w:val="0"/>
        <w:autoSpaceDN w:val="0"/>
        <w:adjustRightInd w:val="0"/>
        <w:jc w:val="both"/>
        <w:rPr>
          <w:rFonts w:ascii="Arial" w:eastAsia="Calibri" w:hAnsi="Arial" w:cs="Arial"/>
          <w:color w:val="000000"/>
          <w:sz w:val="22"/>
          <w:szCs w:val="22"/>
        </w:rPr>
      </w:pPr>
      <w:r w:rsidRPr="00431A11">
        <w:rPr>
          <w:rFonts w:ascii="Arial" w:eastAsia="Calibri" w:hAnsi="Arial" w:cs="Arial"/>
          <w:color w:val="000000"/>
          <w:sz w:val="22"/>
          <w:szCs w:val="22"/>
        </w:rPr>
        <w:t>400 Capability Green,</w:t>
      </w:r>
    </w:p>
    <w:p w14:paraId="26297B66" w14:textId="77777777" w:rsidR="00F6682F" w:rsidRPr="00431A11" w:rsidRDefault="00F6682F" w:rsidP="00D263A6">
      <w:pPr>
        <w:autoSpaceDE w:val="0"/>
        <w:autoSpaceDN w:val="0"/>
        <w:adjustRightInd w:val="0"/>
        <w:jc w:val="both"/>
        <w:rPr>
          <w:rFonts w:ascii="Arial" w:eastAsia="Calibri" w:hAnsi="Arial" w:cs="Arial"/>
          <w:color w:val="000000"/>
          <w:sz w:val="22"/>
          <w:szCs w:val="22"/>
        </w:rPr>
      </w:pPr>
      <w:r w:rsidRPr="00431A11">
        <w:rPr>
          <w:rFonts w:ascii="Arial" w:eastAsia="Calibri" w:hAnsi="Arial" w:cs="Arial"/>
          <w:color w:val="000000"/>
          <w:sz w:val="22"/>
          <w:szCs w:val="22"/>
        </w:rPr>
        <w:t>Luton, Bedfordshire</w:t>
      </w:r>
    </w:p>
    <w:p w14:paraId="206FBFD7" w14:textId="77777777" w:rsidR="00CD27A6" w:rsidRPr="00CD27A6" w:rsidRDefault="00F6682F" w:rsidP="00D263A6">
      <w:pPr>
        <w:autoSpaceDE w:val="0"/>
        <w:autoSpaceDN w:val="0"/>
        <w:adjustRightInd w:val="0"/>
        <w:jc w:val="both"/>
        <w:rPr>
          <w:rFonts w:ascii="Arial" w:hAnsi="Arial" w:cs="Arial"/>
        </w:rPr>
      </w:pPr>
      <w:r w:rsidRPr="00431A11">
        <w:rPr>
          <w:rFonts w:ascii="Arial" w:eastAsia="Calibri" w:hAnsi="Arial" w:cs="Arial"/>
          <w:color w:val="000000"/>
          <w:sz w:val="22"/>
          <w:szCs w:val="22"/>
        </w:rPr>
        <w:t>LU1 3LU</w:t>
      </w:r>
      <w:r w:rsidRPr="00F6682F">
        <w:rPr>
          <w:rFonts w:ascii="Arial" w:eastAsia="Calibri" w:hAnsi="Arial" w:cs="Arial"/>
          <w:color w:val="000000"/>
          <w:sz w:val="16"/>
          <w:szCs w:val="16"/>
        </w:rPr>
        <w:t xml:space="preserve"> </w:t>
      </w:r>
    </w:p>
    <w:sectPr w:rsidR="00CD27A6" w:rsidRPr="00CD27A6" w:rsidSect="002228A2">
      <w:headerReference w:type="default" r:id="rId12"/>
      <w:footerReference w:type="even" r:id="rId13"/>
      <w:footerReference w:type="default" r:id="rId14"/>
      <w:pgSz w:w="11906" w:h="16838"/>
      <w:pgMar w:top="426" w:right="1800" w:bottom="1079" w:left="16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675B5" w14:textId="77777777" w:rsidR="00337C32" w:rsidRDefault="00337C32">
      <w:r>
        <w:separator/>
      </w:r>
    </w:p>
  </w:endnote>
  <w:endnote w:type="continuationSeparator" w:id="0">
    <w:p w14:paraId="572D3082" w14:textId="77777777" w:rsidR="00337C32" w:rsidRDefault="0033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F9152" w14:textId="77777777" w:rsidR="00337C32" w:rsidRDefault="00337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6BFB1" w14:textId="77777777" w:rsidR="00337C32" w:rsidRDefault="00337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ABCFF" w14:textId="77777777" w:rsidR="00337C32" w:rsidRDefault="00337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A148EC" w14:textId="77777777" w:rsidR="00337C32" w:rsidRDefault="00337C32">
    <w:pPr>
      <w:pStyle w:val="Foo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F4F07" w14:textId="77777777" w:rsidR="00337C32" w:rsidRDefault="00337C32">
      <w:r>
        <w:separator/>
      </w:r>
    </w:p>
  </w:footnote>
  <w:footnote w:type="continuationSeparator" w:id="0">
    <w:p w14:paraId="753EBC34" w14:textId="77777777" w:rsidR="00337C32" w:rsidRDefault="00337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5F617" w14:textId="77777777" w:rsidR="00337C32" w:rsidRDefault="00337C32">
    <w:pPr>
      <w:pStyle w:val="Header"/>
      <w:rPr>
        <w:rFonts w:ascii="Arial" w:hAnsi="Arial" w:cs="Arial"/>
        <w:b/>
        <w:sz w:val="16"/>
        <w:szCs w:val="16"/>
      </w:rPr>
    </w:pPr>
    <w:r>
      <w:rPr>
        <w:rFonts w:ascii="Arial" w:hAnsi="Arial" w:cs="Arial"/>
        <w:b/>
        <w:sz w:val="16"/>
        <w:szCs w:val="16"/>
      </w:rPr>
      <w:t>London Borough of Waltham Forest Pension Fund Annual Report 2019/20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72333"/>
    <w:multiLevelType w:val="hybridMultilevel"/>
    <w:tmpl w:val="3C8416FA"/>
    <w:lvl w:ilvl="0" w:tplc="74FA0AB0">
      <w:start w:val="1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811032"/>
    <w:multiLevelType w:val="hybridMultilevel"/>
    <w:tmpl w:val="322AF882"/>
    <w:lvl w:ilvl="0" w:tplc="6D04A8E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2E6455"/>
    <w:multiLevelType w:val="hybridMultilevel"/>
    <w:tmpl w:val="9594D644"/>
    <w:lvl w:ilvl="0" w:tplc="C5FC09EA">
      <w:start w:val="1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387D3C"/>
    <w:multiLevelType w:val="multilevel"/>
    <w:tmpl w:val="55F860F0"/>
    <w:lvl w:ilvl="0">
      <w:start w:val="1"/>
      <w:numFmt w:val="decimal"/>
      <w:lvlText w:val="%1."/>
      <w:lvlJc w:val="left"/>
      <w:pPr>
        <w:tabs>
          <w:tab w:val="num" w:pos="720"/>
        </w:tabs>
        <w:ind w:left="720" w:hanging="720"/>
      </w:pPr>
      <w:rPr>
        <w:rFonts w:ascii="Arial" w:hAnsi="Arial" w:cs="Arial" w:hint="default"/>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533C45"/>
    <w:multiLevelType w:val="hybridMultilevel"/>
    <w:tmpl w:val="02BE8E34"/>
    <w:lvl w:ilvl="0" w:tplc="047E923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16E2CE7"/>
    <w:multiLevelType w:val="hybridMultilevel"/>
    <w:tmpl w:val="C55AC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D790C"/>
    <w:multiLevelType w:val="hybridMultilevel"/>
    <w:tmpl w:val="33861236"/>
    <w:lvl w:ilvl="0" w:tplc="1E9C9680">
      <w:start w:val="10"/>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D913473"/>
    <w:multiLevelType w:val="hybridMultilevel"/>
    <w:tmpl w:val="59B27D70"/>
    <w:lvl w:ilvl="0" w:tplc="47FCFB9C">
      <w:start w:val="1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08F7C90"/>
    <w:multiLevelType w:val="hybridMultilevel"/>
    <w:tmpl w:val="A7EEC13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236643D"/>
    <w:multiLevelType w:val="hybridMultilevel"/>
    <w:tmpl w:val="7ECE28F0"/>
    <w:lvl w:ilvl="0" w:tplc="E2A803C4">
      <w:start w:val="6"/>
      <w:numFmt w:val="decimal"/>
      <w:lvlText w:val="%1."/>
      <w:lvlJc w:val="left"/>
      <w:pPr>
        <w:ind w:left="900" w:hanging="360"/>
      </w:pPr>
      <w:rPr>
        <w:rFonts w:hint="default"/>
        <w:b/>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15:restartNumberingAfterBreak="0">
    <w:nsid w:val="45F3412A"/>
    <w:multiLevelType w:val="hybridMultilevel"/>
    <w:tmpl w:val="52120156"/>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CD85048"/>
    <w:multiLevelType w:val="hybridMultilevel"/>
    <w:tmpl w:val="4DD69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446BA6"/>
    <w:multiLevelType w:val="hybridMultilevel"/>
    <w:tmpl w:val="FDBE303A"/>
    <w:lvl w:ilvl="0" w:tplc="26526B46">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DD3880"/>
    <w:multiLevelType w:val="hybridMultilevel"/>
    <w:tmpl w:val="B02C0A7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5A42E0"/>
    <w:multiLevelType w:val="hybridMultilevel"/>
    <w:tmpl w:val="BFC8F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3E047C"/>
    <w:multiLevelType w:val="hybridMultilevel"/>
    <w:tmpl w:val="846469D6"/>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8A31C64"/>
    <w:multiLevelType w:val="hybridMultilevel"/>
    <w:tmpl w:val="3E361CF8"/>
    <w:lvl w:ilvl="0" w:tplc="4A867DEC">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59FB3BCD"/>
    <w:multiLevelType w:val="hybridMultilevel"/>
    <w:tmpl w:val="CFD6FE6C"/>
    <w:lvl w:ilvl="0" w:tplc="6BBA1B18">
      <w:start w:val="1"/>
      <w:numFmt w:val="bullet"/>
      <w:lvlText w:val=""/>
      <w:lvlJc w:val="left"/>
      <w:pPr>
        <w:tabs>
          <w:tab w:val="num" w:pos="757"/>
        </w:tabs>
        <w:ind w:left="75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3654A5"/>
    <w:multiLevelType w:val="hybridMultilevel"/>
    <w:tmpl w:val="29645264"/>
    <w:lvl w:ilvl="0" w:tplc="723AAC92">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00D19"/>
    <w:multiLevelType w:val="hybridMultilevel"/>
    <w:tmpl w:val="6C4888B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9"/>
  </w:num>
  <w:num w:numId="15">
    <w:abstractNumId w:val="10"/>
  </w:num>
  <w:num w:numId="16">
    <w:abstractNumId w:val="15"/>
  </w:num>
  <w:num w:numId="17">
    <w:abstractNumId w:val="13"/>
  </w:num>
  <w:num w:numId="18">
    <w:abstractNumId w:val="18"/>
  </w:num>
  <w:num w:numId="19">
    <w:abstractNumId w:val="17"/>
  </w:num>
  <w:num w:numId="20">
    <w:abstractNumId w:val="9"/>
  </w:num>
  <w:num w:numId="21">
    <w:abstractNumId w:val="14"/>
  </w:num>
  <w:num w:numId="22">
    <w:abstractNumId w:val="11"/>
  </w:num>
  <w:num w:numId="23">
    <w:abstractNumId w:val="11"/>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51"/>
    <w:rsid w:val="000077CC"/>
    <w:rsid w:val="00021DB6"/>
    <w:rsid w:val="00027740"/>
    <w:rsid w:val="00031A70"/>
    <w:rsid w:val="00041BDC"/>
    <w:rsid w:val="00043424"/>
    <w:rsid w:val="000458B2"/>
    <w:rsid w:val="00052CCA"/>
    <w:rsid w:val="000622BF"/>
    <w:rsid w:val="000624F5"/>
    <w:rsid w:val="000711B8"/>
    <w:rsid w:val="000715EC"/>
    <w:rsid w:val="0007466D"/>
    <w:rsid w:val="000826E9"/>
    <w:rsid w:val="00085CF2"/>
    <w:rsid w:val="00085F50"/>
    <w:rsid w:val="0008785A"/>
    <w:rsid w:val="0009165D"/>
    <w:rsid w:val="000A130F"/>
    <w:rsid w:val="000A3FDC"/>
    <w:rsid w:val="000A4FF8"/>
    <w:rsid w:val="000A580F"/>
    <w:rsid w:val="000B17B8"/>
    <w:rsid w:val="000B323F"/>
    <w:rsid w:val="000B4EC0"/>
    <w:rsid w:val="000B7150"/>
    <w:rsid w:val="000C463A"/>
    <w:rsid w:val="000D1F6F"/>
    <w:rsid w:val="000D6A5D"/>
    <w:rsid w:val="000D7966"/>
    <w:rsid w:val="000E0332"/>
    <w:rsid w:val="000E2F54"/>
    <w:rsid w:val="000F3D00"/>
    <w:rsid w:val="00101CBE"/>
    <w:rsid w:val="0010354A"/>
    <w:rsid w:val="001067C2"/>
    <w:rsid w:val="00125D3A"/>
    <w:rsid w:val="001273D5"/>
    <w:rsid w:val="00127454"/>
    <w:rsid w:val="00137465"/>
    <w:rsid w:val="001415A6"/>
    <w:rsid w:val="00145343"/>
    <w:rsid w:val="0014615D"/>
    <w:rsid w:val="00151CF3"/>
    <w:rsid w:val="00162716"/>
    <w:rsid w:val="00164817"/>
    <w:rsid w:val="00166600"/>
    <w:rsid w:val="001726DD"/>
    <w:rsid w:val="0017352C"/>
    <w:rsid w:val="00175D35"/>
    <w:rsid w:val="0017670A"/>
    <w:rsid w:val="001833DC"/>
    <w:rsid w:val="001833FF"/>
    <w:rsid w:val="00186D6B"/>
    <w:rsid w:val="001946BA"/>
    <w:rsid w:val="001A222C"/>
    <w:rsid w:val="001A2891"/>
    <w:rsid w:val="001B34D7"/>
    <w:rsid w:val="001C0308"/>
    <w:rsid w:val="001C11CC"/>
    <w:rsid w:val="001D2667"/>
    <w:rsid w:val="001D2A88"/>
    <w:rsid w:val="001D3D07"/>
    <w:rsid w:val="001D5518"/>
    <w:rsid w:val="001E40BA"/>
    <w:rsid w:val="001E662D"/>
    <w:rsid w:val="001F4E7E"/>
    <w:rsid w:val="001F6102"/>
    <w:rsid w:val="001F7709"/>
    <w:rsid w:val="00203DA9"/>
    <w:rsid w:val="00203E71"/>
    <w:rsid w:val="00205643"/>
    <w:rsid w:val="002228A2"/>
    <w:rsid w:val="00227B15"/>
    <w:rsid w:val="00247EE2"/>
    <w:rsid w:val="0026273B"/>
    <w:rsid w:val="00282E3B"/>
    <w:rsid w:val="0028737C"/>
    <w:rsid w:val="00290D24"/>
    <w:rsid w:val="002A2D12"/>
    <w:rsid w:val="002B21F0"/>
    <w:rsid w:val="002B2CFD"/>
    <w:rsid w:val="002B7BC6"/>
    <w:rsid w:val="002C402F"/>
    <w:rsid w:val="002C68C2"/>
    <w:rsid w:val="002D6357"/>
    <w:rsid w:val="002E2DA4"/>
    <w:rsid w:val="002E4432"/>
    <w:rsid w:val="002E6826"/>
    <w:rsid w:val="002E6CD1"/>
    <w:rsid w:val="002F5F1F"/>
    <w:rsid w:val="00311126"/>
    <w:rsid w:val="00314E88"/>
    <w:rsid w:val="00317459"/>
    <w:rsid w:val="00320724"/>
    <w:rsid w:val="00320920"/>
    <w:rsid w:val="0032154B"/>
    <w:rsid w:val="00322373"/>
    <w:rsid w:val="003249D8"/>
    <w:rsid w:val="00333170"/>
    <w:rsid w:val="0033451F"/>
    <w:rsid w:val="0033748D"/>
    <w:rsid w:val="00337C32"/>
    <w:rsid w:val="00341074"/>
    <w:rsid w:val="00346972"/>
    <w:rsid w:val="003476A8"/>
    <w:rsid w:val="003524A5"/>
    <w:rsid w:val="00353D24"/>
    <w:rsid w:val="00356E2E"/>
    <w:rsid w:val="00364E21"/>
    <w:rsid w:val="00366DB0"/>
    <w:rsid w:val="00367609"/>
    <w:rsid w:val="00377341"/>
    <w:rsid w:val="00381AE2"/>
    <w:rsid w:val="003932B8"/>
    <w:rsid w:val="00394262"/>
    <w:rsid w:val="0039614A"/>
    <w:rsid w:val="003967BC"/>
    <w:rsid w:val="003A4C33"/>
    <w:rsid w:val="003A5301"/>
    <w:rsid w:val="003B36BA"/>
    <w:rsid w:val="003C06D6"/>
    <w:rsid w:val="003C0D1F"/>
    <w:rsid w:val="003C4E8B"/>
    <w:rsid w:val="003C534C"/>
    <w:rsid w:val="003C5941"/>
    <w:rsid w:val="003C6117"/>
    <w:rsid w:val="003C6473"/>
    <w:rsid w:val="003C74EE"/>
    <w:rsid w:val="003C7B7F"/>
    <w:rsid w:val="003D2AA6"/>
    <w:rsid w:val="003D6601"/>
    <w:rsid w:val="003E0197"/>
    <w:rsid w:val="003E1D56"/>
    <w:rsid w:val="003E482B"/>
    <w:rsid w:val="003E720A"/>
    <w:rsid w:val="003F22FF"/>
    <w:rsid w:val="003F77E3"/>
    <w:rsid w:val="003F7C4E"/>
    <w:rsid w:val="00402605"/>
    <w:rsid w:val="00404936"/>
    <w:rsid w:val="004066B3"/>
    <w:rsid w:val="004241CE"/>
    <w:rsid w:val="004272C0"/>
    <w:rsid w:val="00430487"/>
    <w:rsid w:val="00431A11"/>
    <w:rsid w:val="004335C1"/>
    <w:rsid w:val="00436AED"/>
    <w:rsid w:val="0043707A"/>
    <w:rsid w:val="00443712"/>
    <w:rsid w:val="00447FCA"/>
    <w:rsid w:val="0045084E"/>
    <w:rsid w:val="004577F3"/>
    <w:rsid w:val="00472DD8"/>
    <w:rsid w:val="00491786"/>
    <w:rsid w:val="00497B59"/>
    <w:rsid w:val="004A005D"/>
    <w:rsid w:val="004A0AE5"/>
    <w:rsid w:val="004A0DDB"/>
    <w:rsid w:val="004A4DFC"/>
    <w:rsid w:val="004A5BF7"/>
    <w:rsid w:val="004A694E"/>
    <w:rsid w:val="004A7BFD"/>
    <w:rsid w:val="004B4D51"/>
    <w:rsid w:val="004C6801"/>
    <w:rsid w:val="004C6F7C"/>
    <w:rsid w:val="004E1686"/>
    <w:rsid w:val="004E34BD"/>
    <w:rsid w:val="004E4996"/>
    <w:rsid w:val="004F5ACC"/>
    <w:rsid w:val="004F7B70"/>
    <w:rsid w:val="00511891"/>
    <w:rsid w:val="00516051"/>
    <w:rsid w:val="0051726B"/>
    <w:rsid w:val="0052077E"/>
    <w:rsid w:val="00530B8C"/>
    <w:rsid w:val="00533C24"/>
    <w:rsid w:val="0053424F"/>
    <w:rsid w:val="0053512D"/>
    <w:rsid w:val="0054129D"/>
    <w:rsid w:val="00542FE2"/>
    <w:rsid w:val="0054330B"/>
    <w:rsid w:val="005514B9"/>
    <w:rsid w:val="00561ED9"/>
    <w:rsid w:val="00566F3F"/>
    <w:rsid w:val="00567376"/>
    <w:rsid w:val="00570869"/>
    <w:rsid w:val="00572990"/>
    <w:rsid w:val="00573AAF"/>
    <w:rsid w:val="00574BD0"/>
    <w:rsid w:val="0058077A"/>
    <w:rsid w:val="00585043"/>
    <w:rsid w:val="005905E4"/>
    <w:rsid w:val="00592FF1"/>
    <w:rsid w:val="005949A1"/>
    <w:rsid w:val="005A1641"/>
    <w:rsid w:val="005A1F50"/>
    <w:rsid w:val="005A36C6"/>
    <w:rsid w:val="005B146A"/>
    <w:rsid w:val="005C1558"/>
    <w:rsid w:val="005C25D9"/>
    <w:rsid w:val="005C6DD4"/>
    <w:rsid w:val="005D0B99"/>
    <w:rsid w:val="005D4161"/>
    <w:rsid w:val="005E5F80"/>
    <w:rsid w:val="00602A61"/>
    <w:rsid w:val="0060384D"/>
    <w:rsid w:val="0060482E"/>
    <w:rsid w:val="00604902"/>
    <w:rsid w:val="006058C6"/>
    <w:rsid w:val="00605C4B"/>
    <w:rsid w:val="00607DFE"/>
    <w:rsid w:val="00607EAB"/>
    <w:rsid w:val="00625935"/>
    <w:rsid w:val="006279B5"/>
    <w:rsid w:val="00631BFA"/>
    <w:rsid w:val="00637A76"/>
    <w:rsid w:val="00650EF5"/>
    <w:rsid w:val="006547E3"/>
    <w:rsid w:val="0065531A"/>
    <w:rsid w:val="00656151"/>
    <w:rsid w:val="00660314"/>
    <w:rsid w:val="00660FC6"/>
    <w:rsid w:val="006616B1"/>
    <w:rsid w:val="00661E3B"/>
    <w:rsid w:val="00662596"/>
    <w:rsid w:val="00666765"/>
    <w:rsid w:val="00666AB4"/>
    <w:rsid w:val="006724E3"/>
    <w:rsid w:val="0067579D"/>
    <w:rsid w:val="00676179"/>
    <w:rsid w:val="0068539B"/>
    <w:rsid w:val="00687899"/>
    <w:rsid w:val="00687EF0"/>
    <w:rsid w:val="0069126A"/>
    <w:rsid w:val="006A02CD"/>
    <w:rsid w:val="006A7C1E"/>
    <w:rsid w:val="006B7E75"/>
    <w:rsid w:val="006C122D"/>
    <w:rsid w:val="006C7008"/>
    <w:rsid w:val="006D2064"/>
    <w:rsid w:val="006D47F4"/>
    <w:rsid w:val="006D7A52"/>
    <w:rsid w:val="006E1832"/>
    <w:rsid w:val="006E3F12"/>
    <w:rsid w:val="006E50F4"/>
    <w:rsid w:val="006F4896"/>
    <w:rsid w:val="006F56CF"/>
    <w:rsid w:val="006F6759"/>
    <w:rsid w:val="006F6E46"/>
    <w:rsid w:val="00701866"/>
    <w:rsid w:val="00703280"/>
    <w:rsid w:val="007035E4"/>
    <w:rsid w:val="007038AD"/>
    <w:rsid w:val="00704181"/>
    <w:rsid w:val="007053B3"/>
    <w:rsid w:val="00706E07"/>
    <w:rsid w:val="00707229"/>
    <w:rsid w:val="00714016"/>
    <w:rsid w:val="007152BB"/>
    <w:rsid w:val="007274A7"/>
    <w:rsid w:val="00731238"/>
    <w:rsid w:val="00737BB3"/>
    <w:rsid w:val="00751BFF"/>
    <w:rsid w:val="00761690"/>
    <w:rsid w:val="007654E0"/>
    <w:rsid w:val="007654E4"/>
    <w:rsid w:val="00771E8D"/>
    <w:rsid w:val="00774879"/>
    <w:rsid w:val="0077592A"/>
    <w:rsid w:val="007A18F4"/>
    <w:rsid w:val="007B11F2"/>
    <w:rsid w:val="007B7C3F"/>
    <w:rsid w:val="007C04CF"/>
    <w:rsid w:val="007C30D5"/>
    <w:rsid w:val="007C5C04"/>
    <w:rsid w:val="007D692B"/>
    <w:rsid w:val="007E20E8"/>
    <w:rsid w:val="007E4288"/>
    <w:rsid w:val="00804968"/>
    <w:rsid w:val="00804ACC"/>
    <w:rsid w:val="008051E5"/>
    <w:rsid w:val="008117E6"/>
    <w:rsid w:val="00816D92"/>
    <w:rsid w:val="00823BF5"/>
    <w:rsid w:val="00825395"/>
    <w:rsid w:val="0083001B"/>
    <w:rsid w:val="00830E68"/>
    <w:rsid w:val="0083571A"/>
    <w:rsid w:val="00835F73"/>
    <w:rsid w:val="00842755"/>
    <w:rsid w:val="008464FE"/>
    <w:rsid w:val="00852B7F"/>
    <w:rsid w:val="00865410"/>
    <w:rsid w:val="0088190E"/>
    <w:rsid w:val="00883885"/>
    <w:rsid w:val="00884E9D"/>
    <w:rsid w:val="00891970"/>
    <w:rsid w:val="0089312B"/>
    <w:rsid w:val="008A419D"/>
    <w:rsid w:val="008A5AB5"/>
    <w:rsid w:val="008B0315"/>
    <w:rsid w:val="008B1C0A"/>
    <w:rsid w:val="008C239D"/>
    <w:rsid w:val="008C3877"/>
    <w:rsid w:val="008C4C3F"/>
    <w:rsid w:val="008C7FA5"/>
    <w:rsid w:val="008D2D93"/>
    <w:rsid w:val="008E2348"/>
    <w:rsid w:val="008E24A3"/>
    <w:rsid w:val="008E5FB3"/>
    <w:rsid w:val="008F086D"/>
    <w:rsid w:val="008F3BDE"/>
    <w:rsid w:val="0090284E"/>
    <w:rsid w:val="00907EFD"/>
    <w:rsid w:val="00910E28"/>
    <w:rsid w:val="0092349E"/>
    <w:rsid w:val="0092363D"/>
    <w:rsid w:val="00923F60"/>
    <w:rsid w:val="009243DC"/>
    <w:rsid w:val="00925F77"/>
    <w:rsid w:val="00930115"/>
    <w:rsid w:val="00932F7E"/>
    <w:rsid w:val="00933F70"/>
    <w:rsid w:val="0093559B"/>
    <w:rsid w:val="00946003"/>
    <w:rsid w:val="009507EC"/>
    <w:rsid w:val="00954BA4"/>
    <w:rsid w:val="00955ADC"/>
    <w:rsid w:val="009563C8"/>
    <w:rsid w:val="00960B8C"/>
    <w:rsid w:val="0096395A"/>
    <w:rsid w:val="009671F5"/>
    <w:rsid w:val="009676EF"/>
    <w:rsid w:val="00974CC0"/>
    <w:rsid w:val="00975B7B"/>
    <w:rsid w:val="00980559"/>
    <w:rsid w:val="00980AEE"/>
    <w:rsid w:val="00984EB6"/>
    <w:rsid w:val="00991DC7"/>
    <w:rsid w:val="00995C86"/>
    <w:rsid w:val="009A1D89"/>
    <w:rsid w:val="009A6F22"/>
    <w:rsid w:val="009B2542"/>
    <w:rsid w:val="009B6316"/>
    <w:rsid w:val="009B7917"/>
    <w:rsid w:val="009B7C14"/>
    <w:rsid w:val="009C31C4"/>
    <w:rsid w:val="009C4CDF"/>
    <w:rsid w:val="009C4DF2"/>
    <w:rsid w:val="009C542A"/>
    <w:rsid w:val="009E41E4"/>
    <w:rsid w:val="009E5BCE"/>
    <w:rsid w:val="009E604C"/>
    <w:rsid w:val="009E6E7F"/>
    <w:rsid w:val="009E7C88"/>
    <w:rsid w:val="009F00F5"/>
    <w:rsid w:val="009F3345"/>
    <w:rsid w:val="009F3807"/>
    <w:rsid w:val="009F6DAC"/>
    <w:rsid w:val="00A00A53"/>
    <w:rsid w:val="00A07313"/>
    <w:rsid w:val="00A1486A"/>
    <w:rsid w:val="00A20AD2"/>
    <w:rsid w:val="00A24ABC"/>
    <w:rsid w:val="00A27750"/>
    <w:rsid w:val="00A30AA9"/>
    <w:rsid w:val="00A31991"/>
    <w:rsid w:val="00A362AD"/>
    <w:rsid w:val="00A543D2"/>
    <w:rsid w:val="00A544A3"/>
    <w:rsid w:val="00A54A72"/>
    <w:rsid w:val="00A6063B"/>
    <w:rsid w:val="00A60E98"/>
    <w:rsid w:val="00A650B7"/>
    <w:rsid w:val="00A66079"/>
    <w:rsid w:val="00A77DEE"/>
    <w:rsid w:val="00A8631D"/>
    <w:rsid w:val="00A86E2D"/>
    <w:rsid w:val="00A870F0"/>
    <w:rsid w:val="00A914CC"/>
    <w:rsid w:val="00A92800"/>
    <w:rsid w:val="00A94476"/>
    <w:rsid w:val="00A968DB"/>
    <w:rsid w:val="00A97391"/>
    <w:rsid w:val="00AA4313"/>
    <w:rsid w:val="00AA67C3"/>
    <w:rsid w:val="00AB0FCD"/>
    <w:rsid w:val="00AB1E76"/>
    <w:rsid w:val="00AB4D16"/>
    <w:rsid w:val="00AC18DF"/>
    <w:rsid w:val="00AD0BD7"/>
    <w:rsid w:val="00AD7BEB"/>
    <w:rsid w:val="00AF2B37"/>
    <w:rsid w:val="00AF38E4"/>
    <w:rsid w:val="00B028FF"/>
    <w:rsid w:val="00B10013"/>
    <w:rsid w:val="00B11969"/>
    <w:rsid w:val="00B156A7"/>
    <w:rsid w:val="00B1722C"/>
    <w:rsid w:val="00B23552"/>
    <w:rsid w:val="00B25C7C"/>
    <w:rsid w:val="00B30A78"/>
    <w:rsid w:val="00B358E5"/>
    <w:rsid w:val="00B36D14"/>
    <w:rsid w:val="00B37045"/>
    <w:rsid w:val="00B404CA"/>
    <w:rsid w:val="00B4311A"/>
    <w:rsid w:val="00B43FB2"/>
    <w:rsid w:val="00B44878"/>
    <w:rsid w:val="00B45BF7"/>
    <w:rsid w:val="00B520B9"/>
    <w:rsid w:val="00B754F0"/>
    <w:rsid w:val="00B7588D"/>
    <w:rsid w:val="00B7634A"/>
    <w:rsid w:val="00B76631"/>
    <w:rsid w:val="00B834D0"/>
    <w:rsid w:val="00B837EE"/>
    <w:rsid w:val="00BA39EC"/>
    <w:rsid w:val="00BA3DED"/>
    <w:rsid w:val="00BA6519"/>
    <w:rsid w:val="00BA6ECE"/>
    <w:rsid w:val="00BA7C21"/>
    <w:rsid w:val="00BB31D6"/>
    <w:rsid w:val="00BB69E8"/>
    <w:rsid w:val="00BB6F5B"/>
    <w:rsid w:val="00BC518B"/>
    <w:rsid w:val="00BD21BB"/>
    <w:rsid w:val="00BD569B"/>
    <w:rsid w:val="00BE2D13"/>
    <w:rsid w:val="00BE2D98"/>
    <w:rsid w:val="00BF13B6"/>
    <w:rsid w:val="00BF2843"/>
    <w:rsid w:val="00BF798A"/>
    <w:rsid w:val="00C030F8"/>
    <w:rsid w:val="00C0345E"/>
    <w:rsid w:val="00C03D46"/>
    <w:rsid w:val="00C1381E"/>
    <w:rsid w:val="00C15642"/>
    <w:rsid w:val="00C15D83"/>
    <w:rsid w:val="00C16B07"/>
    <w:rsid w:val="00C17FDF"/>
    <w:rsid w:val="00C214E3"/>
    <w:rsid w:val="00C257C6"/>
    <w:rsid w:val="00C27B16"/>
    <w:rsid w:val="00C3355E"/>
    <w:rsid w:val="00C46B78"/>
    <w:rsid w:val="00C63162"/>
    <w:rsid w:val="00C67448"/>
    <w:rsid w:val="00C7260A"/>
    <w:rsid w:val="00C81E57"/>
    <w:rsid w:val="00C832CE"/>
    <w:rsid w:val="00C83647"/>
    <w:rsid w:val="00C91E2B"/>
    <w:rsid w:val="00C93138"/>
    <w:rsid w:val="00C93C9B"/>
    <w:rsid w:val="00C97058"/>
    <w:rsid w:val="00CA1007"/>
    <w:rsid w:val="00CA15F7"/>
    <w:rsid w:val="00CA7AD9"/>
    <w:rsid w:val="00CB4492"/>
    <w:rsid w:val="00CB6174"/>
    <w:rsid w:val="00CB72A7"/>
    <w:rsid w:val="00CC03B5"/>
    <w:rsid w:val="00CC16D2"/>
    <w:rsid w:val="00CC2B53"/>
    <w:rsid w:val="00CC4A50"/>
    <w:rsid w:val="00CD27A6"/>
    <w:rsid w:val="00CE0F25"/>
    <w:rsid w:val="00CE7373"/>
    <w:rsid w:val="00CF0B81"/>
    <w:rsid w:val="00CF5FFA"/>
    <w:rsid w:val="00CF6273"/>
    <w:rsid w:val="00CF7E74"/>
    <w:rsid w:val="00D04002"/>
    <w:rsid w:val="00D05F14"/>
    <w:rsid w:val="00D11952"/>
    <w:rsid w:val="00D15BB0"/>
    <w:rsid w:val="00D263A6"/>
    <w:rsid w:val="00D5691F"/>
    <w:rsid w:val="00D6005A"/>
    <w:rsid w:val="00D75F93"/>
    <w:rsid w:val="00D7753A"/>
    <w:rsid w:val="00D83028"/>
    <w:rsid w:val="00D86693"/>
    <w:rsid w:val="00D91DD4"/>
    <w:rsid w:val="00D94F32"/>
    <w:rsid w:val="00DA06D4"/>
    <w:rsid w:val="00DA42CD"/>
    <w:rsid w:val="00DB02FC"/>
    <w:rsid w:val="00DB4BE1"/>
    <w:rsid w:val="00DB4E95"/>
    <w:rsid w:val="00DB7719"/>
    <w:rsid w:val="00DC5778"/>
    <w:rsid w:val="00DD6CEB"/>
    <w:rsid w:val="00DD7274"/>
    <w:rsid w:val="00DF566A"/>
    <w:rsid w:val="00E008A6"/>
    <w:rsid w:val="00E00D87"/>
    <w:rsid w:val="00E04E3E"/>
    <w:rsid w:val="00E05E5A"/>
    <w:rsid w:val="00E05F9C"/>
    <w:rsid w:val="00E07AEC"/>
    <w:rsid w:val="00E20DDB"/>
    <w:rsid w:val="00E31D57"/>
    <w:rsid w:val="00E35CAC"/>
    <w:rsid w:val="00E36307"/>
    <w:rsid w:val="00E43979"/>
    <w:rsid w:val="00E4506D"/>
    <w:rsid w:val="00E60289"/>
    <w:rsid w:val="00E6211F"/>
    <w:rsid w:val="00E63740"/>
    <w:rsid w:val="00E65B0A"/>
    <w:rsid w:val="00E66494"/>
    <w:rsid w:val="00E67476"/>
    <w:rsid w:val="00E704FC"/>
    <w:rsid w:val="00E74F04"/>
    <w:rsid w:val="00E753AB"/>
    <w:rsid w:val="00E774D0"/>
    <w:rsid w:val="00E81EDF"/>
    <w:rsid w:val="00E873FF"/>
    <w:rsid w:val="00E915FA"/>
    <w:rsid w:val="00E9296F"/>
    <w:rsid w:val="00E930A9"/>
    <w:rsid w:val="00E97489"/>
    <w:rsid w:val="00EA12D0"/>
    <w:rsid w:val="00EA2E85"/>
    <w:rsid w:val="00EA5B36"/>
    <w:rsid w:val="00EB3547"/>
    <w:rsid w:val="00EC493B"/>
    <w:rsid w:val="00EC523B"/>
    <w:rsid w:val="00ED40F3"/>
    <w:rsid w:val="00ED4F94"/>
    <w:rsid w:val="00EE0692"/>
    <w:rsid w:val="00EF0D87"/>
    <w:rsid w:val="00F00A65"/>
    <w:rsid w:val="00F0457A"/>
    <w:rsid w:val="00F065A7"/>
    <w:rsid w:val="00F10B61"/>
    <w:rsid w:val="00F11486"/>
    <w:rsid w:val="00F15476"/>
    <w:rsid w:val="00F21C3C"/>
    <w:rsid w:val="00F30751"/>
    <w:rsid w:val="00F33C0A"/>
    <w:rsid w:val="00F34745"/>
    <w:rsid w:val="00F376AA"/>
    <w:rsid w:val="00F52E75"/>
    <w:rsid w:val="00F54B6A"/>
    <w:rsid w:val="00F561E8"/>
    <w:rsid w:val="00F62DA0"/>
    <w:rsid w:val="00F63652"/>
    <w:rsid w:val="00F6682F"/>
    <w:rsid w:val="00F70937"/>
    <w:rsid w:val="00F71964"/>
    <w:rsid w:val="00F73498"/>
    <w:rsid w:val="00F77D40"/>
    <w:rsid w:val="00F82687"/>
    <w:rsid w:val="00F84D58"/>
    <w:rsid w:val="00F85B28"/>
    <w:rsid w:val="00F871E3"/>
    <w:rsid w:val="00F8728C"/>
    <w:rsid w:val="00F95EB2"/>
    <w:rsid w:val="00F96809"/>
    <w:rsid w:val="00FA7DB2"/>
    <w:rsid w:val="00FC140C"/>
    <w:rsid w:val="00FC64DD"/>
    <w:rsid w:val="00FD0406"/>
    <w:rsid w:val="00FD311C"/>
    <w:rsid w:val="00FD5166"/>
    <w:rsid w:val="00FE2BC4"/>
    <w:rsid w:val="00FE383A"/>
    <w:rsid w:val="00FE46CE"/>
    <w:rsid w:val="00FE620E"/>
    <w:rsid w:val="00FF2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A50FE"/>
  <w15:docId w15:val="{2017F596-9461-4269-85C4-907AC991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color w:val="334A28"/>
      <w:sz w:val="28"/>
      <w:szCs w:val="28"/>
    </w:rPr>
  </w:style>
  <w:style w:type="paragraph" w:styleId="Heading2">
    <w:name w:val="heading 2"/>
    <w:basedOn w:val="Normal"/>
    <w:next w:val="Normal"/>
    <w:qFormat/>
    <w:pPr>
      <w:keepNext/>
      <w:outlineLvl w:val="1"/>
    </w:pPr>
    <w:rPr>
      <w:rFonts w:ascii="Arial" w:hAnsi="Arial" w:cs="Arial"/>
      <w:b/>
      <w:color w:val="334A28"/>
    </w:rPr>
  </w:style>
  <w:style w:type="paragraph" w:styleId="Heading3">
    <w:name w:val="heading 3"/>
    <w:basedOn w:val="Normal"/>
    <w:next w:val="Normal"/>
    <w:qFormat/>
    <w:pPr>
      <w:keepNext/>
      <w:ind w:left="360" w:hanging="360"/>
      <w:outlineLvl w:val="2"/>
    </w:pPr>
    <w:rPr>
      <w:rFonts w:ascii="Arial" w:hAnsi="Arial" w:cs="Arial"/>
      <w:b/>
      <w:color w:val="334A28"/>
    </w:rPr>
  </w:style>
  <w:style w:type="paragraph" w:styleId="Heading4">
    <w:name w:val="heading 4"/>
    <w:basedOn w:val="Normal"/>
    <w:next w:val="Normal"/>
    <w:qFormat/>
    <w:pPr>
      <w:keepNext/>
      <w:outlineLvl w:val="3"/>
    </w:pPr>
    <w:rPr>
      <w:rFonts w:ascii="Arial" w:hAnsi="Arial" w:cs="Arial"/>
      <w:b/>
      <w:color w:val="003300"/>
      <w:sz w:val="28"/>
      <w:szCs w:val="28"/>
    </w:rPr>
  </w:style>
  <w:style w:type="paragraph" w:styleId="Heading5">
    <w:name w:val="heading 5"/>
    <w:basedOn w:val="Normal"/>
    <w:next w:val="Normal"/>
    <w:qFormat/>
    <w:pPr>
      <w:keepNext/>
      <w:outlineLvl w:val="4"/>
    </w:pPr>
    <w:rPr>
      <w:rFonts w:ascii="Arial" w:hAnsi="Arial" w:cs="Arial"/>
      <w:b/>
      <w:iCs/>
    </w:rPr>
  </w:style>
  <w:style w:type="paragraph" w:styleId="Heading6">
    <w:name w:val="heading 6"/>
    <w:basedOn w:val="Normal"/>
    <w:next w:val="Normal"/>
    <w:qFormat/>
    <w:pPr>
      <w:keepNext/>
      <w:outlineLvl w:val="5"/>
    </w:pPr>
    <w:rPr>
      <w:rFonts w:ascii="Arial" w:hAnsi="Arial" w:cs="Arial"/>
      <w:b/>
      <w:iCs/>
      <w:sz w:val="22"/>
      <w:szCs w:val="22"/>
    </w:rPr>
  </w:style>
  <w:style w:type="paragraph" w:styleId="Heading7">
    <w:name w:val="heading 7"/>
    <w:basedOn w:val="Normal"/>
    <w:next w:val="Normal"/>
    <w:qFormat/>
    <w:pPr>
      <w:keepNext/>
      <w:ind w:left="540"/>
      <w:outlineLvl w:val="6"/>
    </w:pPr>
    <w:rPr>
      <w:rFonts w:ascii="Arial" w:hAnsi="Arial" w:cs="Arial"/>
      <w:b/>
      <w:color w:val="336600"/>
    </w:rPr>
  </w:style>
  <w:style w:type="paragraph" w:styleId="Heading8">
    <w:name w:val="heading 8"/>
    <w:basedOn w:val="Normal"/>
    <w:next w:val="Normal"/>
    <w:qFormat/>
    <w:pPr>
      <w:keepNext/>
      <w:outlineLvl w:val="7"/>
    </w:pPr>
    <w:rPr>
      <w:rFonts w:ascii="Arial" w:hAnsi="Arial" w:cs="Arial"/>
      <w:b/>
      <w:color w:val="336600"/>
    </w:rPr>
  </w:style>
  <w:style w:type="paragraph" w:styleId="Heading9">
    <w:name w:val="heading 9"/>
    <w:basedOn w:val="Normal"/>
    <w:next w:val="Normal"/>
    <w:qFormat/>
    <w:pPr>
      <w:keepNext/>
      <w:jc w:val="right"/>
      <w:outlineLvl w:val="8"/>
    </w:pPr>
    <w:rPr>
      <w:rFonts w:ascii="Arial" w:hAnsi="Arial"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tabs>
        <w:tab w:val="num" w:pos="720"/>
      </w:tabs>
      <w:spacing w:after="240"/>
      <w:ind w:left="720" w:hanging="720"/>
      <w:outlineLvl w:val="0"/>
    </w:pPr>
    <w:rPr>
      <w:rFonts w:ascii="Arial" w:hAnsi="Arial"/>
      <w:sz w:val="22"/>
      <w:szCs w:val="20"/>
    </w:rPr>
  </w:style>
  <w:style w:type="paragraph" w:styleId="ListBullet2">
    <w:name w:val="List Bullet 2"/>
    <w:basedOn w:val="Normal"/>
    <w:pPr>
      <w:tabs>
        <w:tab w:val="num" w:pos="1440"/>
      </w:tabs>
      <w:spacing w:after="240"/>
      <w:ind w:left="1440" w:hanging="720"/>
      <w:outlineLvl w:val="1"/>
    </w:pPr>
    <w:rPr>
      <w:rFonts w:ascii="Arial" w:hAnsi="Arial"/>
      <w:sz w:val="22"/>
      <w:szCs w:val="20"/>
    </w:rPr>
  </w:style>
  <w:style w:type="paragraph" w:styleId="ListBullet3">
    <w:name w:val="List Bullet 3"/>
    <w:basedOn w:val="Normal"/>
    <w:pPr>
      <w:tabs>
        <w:tab w:val="num" w:pos="2160"/>
      </w:tabs>
      <w:spacing w:after="240"/>
      <w:ind w:left="2160" w:hanging="720"/>
      <w:outlineLvl w:val="2"/>
    </w:pPr>
    <w:rPr>
      <w:rFonts w:ascii="Arial" w:hAnsi="Arial"/>
      <w:sz w:val="22"/>
      <w:szCs w:val="20"/>
    </w:rPr>
  </w:style>
  <w:style w:type="paragraph" w:styleId="ListBullet4">
    <w:name w:val="List Bullet 4"/>
    <w:basedOn w:val="Normal"/>
    <w:pPr>
      <w:tabs>
        <w:tab w:val="num" w:pos="2880"/>
      </w:tabs>
      <w:spacing w:after="240"/>
      <w:ind w:left="2880" w:hanging="720"/>
      <w:outlineLvl w:val="3"/>
    </w:pPr>
    <w:rPr>
      <w:rFonts w:ascii="Arial" w:hAnsi="Arial"/>
      <w:sz w:val="22"/>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BodyText">
    <w:name w:val="Body Text"/>
    <w:basedOn w:val="Normal"/>
    <w:rPr>
      <w:rFonts w:ascii="Arial" w:hAnsi="Arial" w:cs="Arial"/>
      <w:color w:val="FF0000"/>
    </w:rPr>
  </w:style>
  <w:style w:type="table" w:styleId="TableGrid">
    <w:name w:val="Table Grid"/>
    <w:basedOn w:val="TableNormal"/>
    <w:rsid w:val="008E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Normal"/>
    <w:rsid w:val="008E24A3"/>
    <w:pPr>
      <w:spacing w:before="60" w:after="60"/>
    </w:pPr>
    <w:rPr>
      <w:rFonts w:ascii="Arial Black" w:hAnsi="Arial Black" w:cs="Arial"/>
      <w:sz w:val="18"/>
      <w:szCs w:val="20"/>
      <w:lang w:eastAsia="en-US"/>
    </w:rPr>
  </w:style>
  <w:style w:type="paragraph" w:customStyle="1" w:styleId="TableText">
    <w:name w:val="Table Text"/>
    <w:basedOn w:val="Normal"/>
    <w:rsid w:val="008E24A3"/>
    <w:pPr>
      <w:spacing w:before="40" w:after="40"/>
    </w:pPr>
    <w:rPr>
      <w:rFonts w:ascii="Arial" w:hAnsi="Arial" w:cs="Arial"/>
      <w:sz w:val="20"/>
      <w:szCs w:val="20"/>
      <w:lang w:eastAsia="en-US"/>
    </w:rPr>
  </w:style>
  <w:style w:type="paragraph" w:customStyle="1" w:styleId="BodyText1">
    <w:name w:val="Body Text1"/>
    <w:basedOn w:val="Normal"/>
    <w:rsid w:val="008051E5"/>
    <w:pPr>
      <w:spacing w:before="140" w:line="300" w:lineRule="atLeast"/>
    </w:pPr>
    <w:rPr>
      <w:rFonts w:ascii="Arial" w:hAnsi="Arial"/>
      <w:sz w:val="22"/>
    </w:rPr>
  </w:style>
  <w:style w:type="paragraph" w:customStyle="1" w:styleId="Bullet1">
    <w:name w:val="Bullet 1"/>
    <w:basedOn w:val="Normal"/>
    <w:rsid w:val="008051E5"/>
    <w:pPr>
      <w:tabs>
        <w:tab w:val="num" w:pos="720"/>
      </w:tabs>
      <w:spacing w:line="300" w:lineRule="atLeast"/>
      <w:ind w:left="720" w:hanging="720"/>
    </w:pPr>
    <w:rPr>
      <w:rFonts w:ascii="Arial" w:hAnsi="Arial"/>
      <w:sz w:val="22"/>
    </w:rPr>
  </w:style>
  <w:style w:type="character" w:styleId="Strong">
    <w:name w:val="Strong"/>
    <w:basedOn w:val="DefaultParagraphFont"/>
    <w:uiPriority w:val="22"/>
    <w:qFormat/>
    <w:rsid w:val="008051E5"/>
    <w:rPr>
      <w:b/>
      <w:bCs/>
    </w:rPr>
  </w:style>
  <w:style w:type="paragraph" w:customStyle="1" w:styleId="DocumentName">
    <w:name w:val="Document Name"/>
    <w:basedOn w:val="Normal"/>
    <w:next w:val="Normal"/>
    <w:rsid w:val="00A94476"/>
    <w:pPr>
      <w:spacing w:after="60"/>
    </w:pPr>
    <w:rPr>
      <w:rFonts w:ascii="Arial" w:hAnsi="Arial" w:cs="Arial"/>
      <w:caps/>
      <w:sz w:val="36"/>
      <w:szCs w:val="20"/>
      <w:lang w:eastAsia="en-US"/>
    </w:rPr>
  </w:style>
  <w:style w:type="paragraph" w:styleId="ListParagraph">
    <w:name w:val="List Paragraph"/>
    <w:basedOn w:val="Normal"/>
    <w:uiPriority w:val="34"/>
    <w:qFormat/>
    <w:rsid w:val="00A968DB"/>
    <w:pPr>
      <w:ind w:left="720"/>
      <w:contextualSpacing/>
    </w:pPr>
  </w:style>
  <w:style w:type="character" w:customStyle="1" w:styleId="HeaderChar">
    <w:name w:val="Header Char"/>
    <w:basedOn w:val="DefaultParagraphFont"/>
    <w:link w:val="Header"/>
    <w:uiPriority w:val="99"/>
    <w:rsid w:val="00E637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14424">
      <w:bodyDiv w:val="1"/>
      <w:marLeft w:val="0"/>
      <w:marRight w:val="0"/>
      <w:marTop w:val="0"/>
      <w:marBottom w:val="0"/>
      <w:divBdr>
        <w:top w:val="none" w:sz="0" w:space="0" w:color="auto"/>
        <w:left w:val="none" w:sz="0" w:space="0" w:color="auto"/>
        <w:bottom w:val="none" w:sz="0" w:space="0" w:color="auto"/>
        <w:right w:val="none" w:sz="0" w:space="0" w:color="auto"/>
      </w:divBdr>
    </w:div>
    <w:div w:id="118650512">
      <w:bodyDiv w:val="1"/>
      <w:marLeft w:val="0"/>
      <w:marRight w:val="0"/>
      <w:marTop w:val="0"/>
      <w:marBottom w:val="0"/>
      <w:divBdr>
        <w:top w:val="none" w:sz="0" w:space="0" w:color="auto"/>
        <w:left w:val="none" w:sz="0" w:space="0" w:color="auto"/>
        <w:bottom w:val="none" w:sz="0" w:space="0" w:color="auto"/>
        <w:right w:val="none" w:sz="0" w:space="0" w:color="auto"/>
      </w:divBdr>
    </w:div>
    <w:div w:id="323240919">
      <w:bodyDiv w:val="1"/>
      <w:marLeft w:val="0"/>
      <w:marRight w:val="0"/>
      <w:marTop w:val="0"/>
      <w:marBottom w:val="0"/>
      <w:divBdr>
        <w:top w:val="none" w:sz="0" w:space="0" w:color="auto"/>
        <w:left w:val="none" w:sz="0" w:space="0" w:color="auto"/>
        <w:bottom w:val="none" w:sz="0" w:space="0" w:color="auto"/>
        <w:right w:val="none" w:sz="0" w:space="0" w:color="auto"/>
      </w:divBdr>
    </w:div>
    <w:div w:id="355813455">
      <w:bodyDiv w:val="1"/>
      <w:marLeft w:val="0"/>
      <w:marRight w:val="0"/>
      <w:marTop w:val="0"/>
      <w:marBottom w:val="0"/>
      <w:divBdr>
        <w:top w:val="none" w:sz="0" w:space="0" w:color="auto"/>
        <w:left w:val="none" w:sz="0" w:space="0" w:color="auto"/>
        <w:bottom w:val="none" w:sz="0" w:space="0" w:color="auto"/>
        <w:right w:val="none" w:sz="0" w:space="0" w:color="auto"/>
      </w:divBdr>
    </w:div>
    <w:div w:id="375160617">
      <w:bodyDiv w:val="1"/>
      <w:marLeft w:val="0"/>
      <w:marRight w:val="0"/>
      <w:marTop w:val="0"/>
      <w:marBottom w:val="0"/>
      <w:divBdr>
        <w:top w:val="none" w:sz="0" w:space="0" w:color="auto"/>
        <w:left w:val="none" w:sz="0" w:space="0" w:color="auto"/>
        <w:bottom w:val="none" w:sz="0" w:space="0" w:color="auto"/>
        <w:right w:val="none" w:sz="0" w:space="0" w:color="auto"/>
      </w:divBdr>
    </w:div>
    <w:div w:id="432672115">
      <w:bodyDiv w:val="1"/>
      <w:marLeft w:val="0"/>
      <w:marRight w:val="0"/>
      <w:marTop w:val="0"/>
      <w:marBottom w:val="0"/>
      <w:divBdr>
        <w:top w:val="none" w:sz="0" w:space="0" w:color="auto"/>
        <w:left w:val="none" w:sz="0" w:space="0" w:color="auto"/>
        <w:bottom w:val="none" w:sz="0" w:space="0" w:color="auto"/>
        <w:right w:val="none" w:sz="0" w:space="0" w:color="auto"/>
      </w:divBdr>
    </w:div>
    <w:div w:id="445924180">
      <w:bodyDiv w:val="1"/>
      <w:marLeft w:val="0"/>
      <w:marRight w:val="0"/>
      <w:marTop w:val="0"/>
      <w:marBottom w:val="0"/>
      <w:divBdr>
        <w:top w:val="none" w:sz="0" w:space="0" w:color="auto"/>
        <w:left w:val="none" w:sz="0" w:space="0" w:color="auto"/>
        <w:bottom w:val="none" w:sz="0" w:space="0" w:color="auto"/>
        <w:right w:val="none" w:sz="0" w:space="0" w:color="auto"/>
      </w:divBdr>
    </w:div>
    <w:div w:id="501048856">
      <w:bodyDiv w:val="1"/>
      <w:marLeft w:val="0"/>
      <w:marRight w:val="0"/>
      <w:marTop w:val="0"/>
      <w:marBottom w:val="0"/>
      <w:divBdr>
        <w:top w:val="none" w:sz="0" w:space="0" w:color="auto"/>
        <w:left w:val="none" w:sz="0" w:space="0" w:color="auto"/>
        <w:bottom w:val="none" w:sz="0" w:space="0" w:color="auto"/>
        <w:right w:val="none" w:sz="0" w:space="0" w:color="auto"/>
      </w:divBdr>
    </w:div>
    <w:div w:id="665010892">
      <w:bodyDiv w:val="1"/>
      <w:marLeft w:val="0"/>
      <w:marRight w:val="0"/>
      <w:marTop w:val="0"/>
      <w:marBottom w:val="0"/>
      <w:divBdr>
        <w:top w:val="none" w:sz="0" w:space="0" w:color="auto"/>
        <w:left w:val="none" w:sz="0" w:space="0" w:color="auto"/>
        <w:bottom w:val="none" w:sz="0" w:space="0" w:color="auto"/>
        <w:right w:val="none" w:sz="0" w:space="0" w:color="auto"/>
      </w:divBdr>
    </w:div>
    <w:div w:id="679047318">
      <w:bodyDiv w:val="1"/>
      <w:marLeft w:val="0"/>
      <w:marRight w:val="0"/>
      <w:marTop w:val="0"/>
      <w:marBottom w:val="0"/>
      <w:divBdr>
        <w:top w:val="none" w:sz="0" w:space="0" w:color="auto"/>
        <w:left w:val="none" w:sz="0" w:space="0" w:color="auto"/>
        <w:bottom w:val="none" w:sz="0" w:space="0" w:color="auto"/>
        <w:right w:val="none" w:sz="0" w:space="0" w:color="auto"/>
      </w:divBdr>
    </w:div>
    <w:div w:id="790592491">
      <w:bodyDiv w:val="1"/>
      <w:marLeft w:val="0"/>
      <w:marRight w:val="0"/>
      <w:marTop w:val="0"/>
      <w:marBottom w:val="0"/>
      <w:divBdr>
        <w:top w:val="none" w:sz="0" w:space="0" w:color="auto"/>
        <w:left w:val="none" w:sz="0" w:space="0" w:color="auto"/>
        <w:bottom w:val="none" w:sz="0" w:space="0" w:color="auto"/>
        <w:right w:val="none" w:sz="0" w:space="0" w:color="auto"/>
      </w:divBdr>
    </w:div>
    <w:div w:id="802043789">
      <w:bodyDiv w:val="1"/>
      <w:marLeft w:val="0"/>
      <w:marRight w:val="0"/>
      <w:marTop w:val="0"/>
      <w:marBottom w:val="0"/>
      <w:divBdr>
        <w:top w:val="none" w:sz="0" w:space="0" w:color="auto"/>
        <w:left w:val="none" w:sz="0" w:space="0" w:color="auto"/>
        <w:bottom w:val="none" w:sz="0" w:space="0" w:color="auto"/>
        <w:right w:val="none" w:sz="0" w:space="0" w:color="auto"/>
      </w:divBdr>
    </w:div>
    <w:div w:id="946543744">
      <w:bodyDiv w:val="1"/>
      <w:marLeft w:val="0"/>
      <w:marRight w:val="0"/>
      <w:marTop w:val="0"/>
      <w:marBottom w:val="0"/>
      <w:divBdr>
        <w:top w:val="none" w:sz="0" w:space="0" w:color="auto"/>
        <w:left w:val="none" w:sz="0" w:space="0" w:color="auto"/>
        <w:bottom w:val="none" w:sz="0" w:space="0" w:color="auto"/>
        <w:right w:val="none" w:sz="0" w:space="0" w:color="auto"/>
      </w:divBdr>
    </w:div>
    <w:div w:id="1072778403">
      <w:bodyDiv w:val="1"/>
      <w:marLeft w:val="0"/>
      <w:marRight w:val="0"/>
      <w:marTop w:val="0"/>
      <w:marBottom w:val="0"/>
      <w:divBdr>
        <w:top w:val="none" w:sz="0" w:space="0" w:color="auto"/>
        <w:left w:val="none" w:sz="0" w:space="0" w:color="auto"/>
        <w:bottom w:val="none" w:sz="0" w:space="0" w:color="auto"/>
        <w:right w:val="none" w:sz="0" w:space="0" w:color="auto"/>
      </w:divBdr>
    </w:div>
    <w:div w:id="1123963293">
      <w:bodyDiv w:val="1"/>
      <w:marLeft w:val="0"/>
      <w:marRight w:val="0"/>
      <w:marTop w:val="0"/>
      <w:marBottom w:val="0"/>
      <w:divBdr>
        <w:top w:val="none" w:sz="0" w:space="0" w:color="auto"/>
        <w:left w:val="none" w:sz="0" w:space="0" w:color="auto"/>
        <w:bottom w:val="none" w:sz="0" w:space="0" w:color="auto"/>
        <w:right w:val="none" w:sz="0" w:space="0" w:color="auto"/>
      </w:divBdr>
    </w:div>
    <w:div w:id="1217399628">
      <w:bodyDiv w:val="1"/>
      <w:marLeft w:val="0"/>
      <w:marRight w:val="0"/>
      <w:marTop w:val="0"/>
      <w:marBottom w:val="0"/>
      <w:divBdr>
        <w:top w:val="none" w:sz="0" w:space="0" w:color="auto"/>
        <w:left w:val="none" w:sz="0" w:space="0" w:color="auto"/>
        <w:bottom w:val="none" w:sz="0" w:space="0" w:color="auto"/>
        <w:right w:val="none" w:sz="0" w:space="0" w:color="auto"/>
      </w:divBdr>
    </w:div>
    <w:div w:id="1258906160">
      <w:bodyDiv w:val="1"/>
      <w:marLeft w:val="0"/>
      <w:marRight w:val="0"/>
      <w:marTop w:val="0"/>
      <w:marBottom w:val="0"/>
      <w:divBdr>
        <w:top w:val="none" w:sz="0" w:space="0" w:color="auto"/>
        <w:left w:val="none" w:sz="0" w:space="0" w:color="auto"/>
        <w:bottom w:val="none" w:sz="0" w:space="0" w:color="auto"/>
        <w:right w:val="none" w:sz="0" w:space="0" w:color="auto"/>
      </w:divBdr>
    </w:div>
    <w:div w:id="1294558513">
      <w:bodyDiv w:val="1"/>
      <w:marLeft w:val="0"/>
      <w:marRight w:val="0"/>
      <w:marTop w:val="0"/>
      <w:marBottom w:val="0"/>
      <w:divBdr>
        <w:top w:val="none" w:sz="0" w:space="0" w:color="auto"/>
        <w:left w:val="none" w:sz="0" w:space="0" w:color="auto"/>
        <w:bottom w:val="none" w:sz="0" w:space="0" w:color="auto"/>
        <w:right w:val="none" w:sz="0" w:space="0" w:color="auto"/>
      </w:divBdr>
    </w:div>
    <w:div w:id="1333948397">
      <w:bodyDiv w:val="1"/>
      <w:marLeft w:val="0"/>
      <w:marRight w:val="0"/>
      <w:marTop w:val="0"/>
      <w:marBottom w:val="0"/>
      <w:divBdr>
        <w:top w:val="none" w:sz="0" w:space="0" w:color="auto"/>
        <w:left w:val="none" w:sz="0" w:space="0" w:color="auto"/>
        <w:bottom w:val="none" w:sz="0" w:space="0" w:color="auto"/>
        <w:right w:val="none" w:sz="0" w:space="0" w:color="auto"/>
      </w:divBdr>
      <w:divsChild>
        <w:div w:id="1388334561">
          <w:marLeft w:val="0"/>
          <w:marRight w:val="0"/>
          <w:marTop w:val="150"/>
          <w:marBottom w:val="150"/>
          <w:divBdr>
            <w:top w:val="none" w:sz="0" w:space="0" w:color="auto"/>
            <w:left w:val="none" w:sz="0" w:space="0" w:color="auto"/>
            <w:bottom w:val="none" w:sz="0" w:space="0" w:color="auto"/>
            <w:right w:val="none" w:sz="0" w:space="0" w:color="auto"/>
          </w:divBdr>
          <w:divsChild>
            <w:div w:id="430011856">
              <w:marLeft w:val="0"/>
              <w:marRight w:val="0"/>
              <w:marTop w:val="0"/>
              <w:marBottom w:val="0"/>
              <w:divBdr>
                <w:top w:val="single" w:sz="48" w:space="0" w:color="054B81"/>
                <w:left w:val="single" w:sz="48" w:space="0" w:color="054B81"/>
                <w:bottom w:val="single" w:sz="48" w:space="0" w:color="054B81"/>
                <w:right w:val="single" w:sz="48" w:space="0" w:color="054B81"/>
              </w:divBdr>
              <w:divsChild>
                <w:div w:id="1569999404">
                  <w:marLeft w:val="0"/>
                  <w:marRight w:val="0"/>
                  <w:marTop w:val="0"/>
                  <w:marBottom w:val="0"/>
                  <w:divBdr>
                    <w:top w:val="none" w:sz="0" w:space="0" w:color="auto"/>
                    <w:left w:val="none" w:sz="0" w:space="0" w:color="auto"/>
                    <w:bottom w:val="none" w:sz="0" w:space="0" w:color="auto"/>
                    <w:right w:val="none" w:sz="0" w:space="0" w:color="auto"/>
                  </w:divBdr>
                  <w:divsChild>
                    <w:div w:id="1254971547">
                      <w:marLeft w:val="0"/>
                      <w:marRight w:val="0"/>
                      <w:marTop w:val="0"/>
                      <w:marBottom w:val="0"/>
                      <w:divBdr>
                        <w:top w:val="none" w:sz="0" w:space="0" w:color="auto"/>
                        <w:left w:val="none" w:sz="0" w:space="0" w:color="auto"/>
                        <w:bottom w:val="none" w:sz="0" w:space="0" w:color="auto"/>
                        <w:right w:val="none" w:sz="0" w:space="0" w:color="auto"/>
                      </w:divBdr>
                      <w:divsChild>
                        <w:div w:id="1701007211">
                          <w:marLeft w:val="0"/>
                          <w:marRight w:val="0"/>
                          <w:marTop w:val="0"/>
                          <w:marBottom w:val="0"/>
                          <w:divBdr>
                            <w:top w:val="none" w:sz="0" w:space="0" w:color="auto"/>
                            <w:left w:val="none" w:sz="0" w:space="0" w:color="auto"/>
                            <w:bottom w:val="none" w:sz="0" w:space="0" w:color="auto"/>
                            <w:right w:val="none" w:sz="0" w:space="0" w:color="auto"/>
                          </w:divBdr>
                          <w:divsChild>
                            <w:div w:id="1044478467">
                              <w:marLeft w:val="0"/>
                              <w:marRight w:val="0"/>
                              <w:marTop w:val="0"/>
                              <w:marBottom w:val="0"/>
                              <w:divBdr>
                                <w:top w:val="none" w:sz="0" w:space="0" w:color="auto"/>
                                <w:left w:val="none" w:sz="0" w:space="0" w:color="auto"/>
                                <w:bottom w:val="none" w:sz="0" w:space="0" w:color="auto"/>
                                <w:right w:val="none" w:sz="0" w:space="0" w:color="auto"/>
                              </w:divBdr>
                              <w:divsChild>
                                <w:div w:id="727874884">
                                  <w:marLeft w:val="0"/>
                                  <w:marRight w:val="0"/>
                                  <w:marTop w:val="0"/>
                                  <w:marBottom w:val="225"/>
                                  <w:divBdr>
                                    <w:top w:val="none" w:sz="0" w:space="0" w:color="auto"/>
                                    <w:left w:val="none" w:sz="0" w:space="0" w:color="auto"/>
                                    <w:bottom w:val="none" w:sz="0" w:space="0" w:color="auto"/>
                                    <w:right w:val="none" w:sz="0" w:space="0" w:color="auto"/>
                                  </w:divBdr>
                                  <w:divsChild>
                                    <w:div w:id="1510756343">
                                      <w:marLeft w:val="0"/>
                                      <w:marRight w:val="0"/>
                                      <w:marTop w:val="0"/>
                                      <w:marBottom w:val="0"/>
                                      <w:divBdr>
                                        <w:top w:val="none" w:sz="0" w:space="0" w:color="auto"/>
                                        <w:left w:val="none" w:sz="0" w:space="0" w:color="auto"/>
                                        <w:bottom w:val="none" w:sz="0" w:space="0" w:color="auto"/>
                                        <w:right w:val="none" w:sz="0" w:space="0" w:color="auto"/>
                                      </w:divBdr>
                                    </w:div>
                                    <w:div w:id="527841495">
                                      <w:marLeft w:val="0"/>
                                      <w:marRight w:val="0"/>
                                      <w:marTop w:val="0"/>
                                      <w:marBottom w:val="0"/>
                                      <w:divBdr>
                                        <w:top w:val="none" w:sz="0" w:space="0" w:color="auto"/>
                                        <w:left w:val="none" w:sz="0" w:space="0" w:color="auto"/>
                                        <w:bottom w:val="none" w:sz="0" w:space="0" w:color="auto"/>
                                        <w:right w:val="none" w:sz="0" w:space="0" w:color="auto"/>
                                      </w:divBdr>
                                      <w:divsChild>
                                        <w:div w:id="2632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844068">
      <w:bodyDiv w:val="1"/>
      <w:marLeft w:val="0"/>
      <w:marRight w:val="0"/>
      <w:marTop w:val="0"/>
      <w:marBottom w:val="0"/>
      <w:divBdr>
        <w:top w:val="none" w:sz="0" w:space="0" w:color="auto"/>
        <w:left w:val="none" w:sz="0" w:space="0" w:color="auto"/>
        <w:bottom w:val="none" w:sz="0" w:space="0" w:color="auto"/>
        <w:right w:val="none" w:sz="0" w:space="0" w:color="auto"/>
      </w:divBdr>
    </w:div>
    <w:div w:id="1355233842">
      <w:bodyDiv w:val="1"/>
      <w:marLeft w:val="0"/>
      <w:marRight w:val="0"/>
      <w:marTop w:val="0"/>
      <w:marBottom w:val="0"/>
      <w:divBdr>
        <w:top w:val="none" w:sz="0" w:space="0" w:color="auto"/>
        <w:left w:val="none" w:sz="0" w:space="0" w:color="auto"/>
        <w:bottom w:val="none" w:sz="0" w:space="0" w:color="auto"/>
        <w:right w:val="none" w:sz="0" w:space="0" w:color="auto"/>
      </w:divBdr>
    </w:div>
    <w:div w:id="1365600224">
      <w:bodyDiv w:val="1"/>
      <w:marLeft w:val="0"/>
      <w:marRight w:val="0"/>
      <w:marTop w:val="0"/>
      <w:marBottom w:val="0"/>
      <w:divBdr>
        <w:top w:val="none" w:sz="0" w:space="0" w:color="auto"/>
        <w:left w:val="none" w:sz="0" w:space="0" w:color="auto"/>
        <w:bottom w:val="none" w:sz="0" w:space="0" w:color="auto"/>
        <w:right w:val="none" w:sz="0" w:space="0" w:color="auto"/>
      </w:divBdr>
    </w:div>
    <w:div w:id="1377730504">
      <w:bodyDiv w:val="1"/>
      <w:marLeft w:val="0"/>
      <w:marRight w:val="0"/>
      <w:marTop w:val="0"/>
      <w:marBottom w:val="0"/>
      <w:divBdr>
        <w:top w:val="none" w:sz="0" w:space="0" w:color="auto"/>
        <w:left w:val="none" w:sz="0" w:space="0" w:color="auto"/>
        <w:bottom w:val="none" w:sz="0" w:space="0" w:color="auto"/>
        <w:right w:val="none" w:sz="0" w:space="0" w:color="auto"/>
      </w:divBdr>
    </w:div>
    <w:div w:id="1462378190">
      <w:bodyDiv w:val="1"/>
      <w:marLeft w:val="0"/>
      <w:marRight w:val="0"/>
      <w:marTop w:val="0"/>
      <w:marBottom w:val="0"/>
      <w:divBdr>
        <w:top w:val="none" w:sz="0" w:space="0" w:color="auto"/>
        <w:left w:val="none" w:sz="0" w:space="0" w:color="auto"/>
        <w:bottom w:val="none" w:sz="0" w:space="0" w:color="auto"/>
        <w:right w:val="none" w:sz="0" w:space="0" w:color="auto"/>
      </w:divBdr>
    </w:div>
    <w:div w:id="1597788637">
      <w:bodyDiv w:val="1"/>
      <w:marLeft w:val="0"/>
      <w:marRight w:val="0"/>
      <w:marTop w:val="0"/>
      <w:marBottom w:val="0"/>
      <w:divBdr>
        <w:top w:val="none" w:sz="0" w:space="0" w:color="auto"/>
        <w:left w:val="none" w:sz="0" w:space="0" w:color="auto"/>
        <w:bottom w:val="none" w:sz="0" w:space="0" w:color="auto"/>
        <w:right w:val="none" w:sz="0" w:space="0" w:color="auto"/>
      </w:divBdr>
    </w:div>
    <w:div w:id="1640914092">
      <w:bodyDiv w:val="1"/>
      <w:marLeft w:val="0"/>
      <w:marRight w:val="0"/>
      <w:marTop w:val="0"/>
      <w:marBottom w:val="0"/>
      <w:divBdr>
        <w:top w:val="none" w:sz="0" w:space="0" w:color="auto"/>
        <w:left w:val="none" w:sz="0" w:space="0" w:color="auto"/>
        <w:bottom w:val="none" w:sz="0" w:space="0" w:color="auto"/>
        <w:right w:val="none" w:sz="0" w:space="0" w:color="auto"/>
      </w:divBdr>
    </w:div>
    <w:div w:id="1647776265">
      <w:bodyDiv w:val="1"/>
      <w:marLeft w:val="0"/>
      <w:marRight w:val="0"/>
      <w:marTop w:val="0"/>
      <w:marBottom w:val="0"/>
      <w:divBdr>
        <w:top w:val="none" w:sz="0" w:space="0" w:color="auto"/>
        <w:left w:val="none" w:sz="0" w:space="0" w:color="auto"/>
        <w:bottom w:val="none" w:sz="0" w:space="0" w:color="auto"/>
        <w:right w:val="none" w:sz="0" w:space="0" w:color="auto"/>
      </w:divBdr>
    </w:div>
    <w:div w:id="1745486417">
      <w:bodyDiv w:val="1"/>
      <w:marLeft w:val="0"/>
      <w:marRight w:val="0"/>
      <w:marTop w:val="0"/>
      <w:marBottom w:val="0"/>
      <w:divBdr>
        <w:top w:val="none" w:sz="0" w:space="0" w:color="auto"/>
        <w:left w:val="none" w:sz="0" w:space="0" w:color="auto"/>
        <w:bottom w:val="none" w:sz="0" w:space="0" w:color="auto"/>
        <w:right w:val="none" w:sz="0" w:space="0" w:color="auto"/>
      </w:divBdr>
    </w:div>
    <w:div w:id="1902981678">
      <w:bodyDiv w:val="1"/>
      <w:marLeft w:val="0"/>
      <w:marRight w:val="0"/>
      <w:marTop w:val="0"/>
      <w:marBottom w:val="0"/>
      <w:divBdr>
        <w:top w:val="none" w:sz="0" w:space="0" w:color="auto"/>
        <w:left w:val="none" w:sz="0" w:space="0" w:color="auto"/>
        <w:bottom w:val="none" w:sz="0" w:space="0" w:color="auto"/>
        <w:right w:val="none" w:sz="0" w:space="0" w:color="auto"/>
      </w:divBdr>
    </w:div>
    <w:div w:id="205600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ndsworth.gov.uk/pens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gps2014.or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mocracy.walthamforest.gov.uk/mgCommitteeDetails.aspx?ID=71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emocracy.walthamforest.gov.uk/mgCommitteeDetails.aspx?ID=495" TargetMode="External"/><Relationship Id="rId4" Type="http://schemas.openxmlformats.org/officeDocument/2006/relationships/webSettings" Target="webSettings.xml"/><Relationship Id="rId9" Type="http://schemas.openxmlformats.org/officeDocument/2006/relationships/hyperlink" Target="http://www.lgpsmember.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6426</Words>
  <Characters>34965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LONDON BOROUGH OF WALTHAM FOREST PENSION FUND</vt:lpstr>
    </vt:vector>
  </TitlesOfParts>
  <Company>London Borough of Waltham Forest</Company>
  <LinksUpToDate>false</LinksUpToDate>
  <CharactersWithSpaces>41309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WALTHAM FOREST PENSION FUND</dc:title>
  <dc:creator>Ewin</dc:creator>
  <cp:lastModifiedBy>Gareth Brown</cp:lastModifiedBy>
  <cp:revision>2</cp:revision>
  <cp:lastPrinted>2014-09-12T15:44:00Z</cp:lastPrinted>
  <dcterms:created xsi:type="dcterms:W3CDTF">2021-08-02T10:13:00Z</dcterms:created>
  <dcterms:modified xsi:type="dcterms:W3CDTF">2021-08-02T10:13:00Z</dcterms:modified>
</cp:coreProperties>
</file>