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29" w:type="dxa"/>
        <w:tblLook w:val="01E0" w:firstRow="1" w:lastRow="1" w:firstColumn="1" w:lastColumn="1" w:noHBand="0" w:noVBand="0"/>
      </w:tblPr>
      <w:tblGrid>
        <w:gridCol w:w="574"/>
        <w:gridCol w:w="1377"/>
        <w:gridCol w:w="5748"/>
        <w:gridCol w:w="1830"/>
      </w:tblGrid>
      <w:tr w:rsidR="000523C9" w:rsidRPr="00814920" w14:paraId="1C864C73" w14:textId="77777777" w:rsidTr="00AB101A">
        <w:trPr>
          <w:trHeight w:val="644"/>
        </w:trPr>
        <w:tc>
          <w:tcPr>
            <w:tcW w:w="574" w:type="dxa"/>
            <w:shd w:val="clear" w:color="auto" w:fill="auto"/>
          </w:tcPr>
          <w:p w14:paraId="3D0FD0AB" w14:textId="77777777" w:rsidR="000523C9" w:rsidRPr="00060F53" w:rsidRDefault="003161FA" w:rsidP="005E4F16">
            <w:pPr>
              <w:rPr>
                <w:rFonts w:ascii="Arial" w:hAnsi="Arial" w:cs="Arial"/>
                <w:sz w:val="24"/>
                <w:szCs w:val="24"/>
              </w:rPr>
            </w:pPr>
            <w:r w:rsidRPr="00060F53">
              <w:rPr>
                <w:rFonts w:ascii="Arial" w:hAnsi="Arial" w:cs="Arial"/>
                <w:sz w:val="24"/>
                <w:szCs w:val="24"/>
              </w:rPr>
              <w:t xml:space="preserve"> </w:t>
            </w:r>
          </w:p>
        </w:tc>
        <w:tc>
          <w:tcPr>
            <w:tcW w:w="7125" w:type="dxa"/>
            <w:gridSpan w:val="2"/>
            <w:shd w:val="clear" w:color="auto" w:fill="auto"/>
          </w:tcPr>
          <w:p w14:paraId="22C503AB" w14:textId="77777777" w:rsidR="000523C9" w:rsidRPr="00060F53" w:rsidRDefault="000523C9" w:rsidP="005E4F16">
            <w:pPr>
              <w:rPr>
                <w:rFonts w:ascii="Arial" w:hAnsi="Arial" w:cs="Arial"/>
                <w:sz w:val="24"/>
                <w:szCs w:val="24"/>
              </w:rPr>
            </w:pPr>
          </w:p>
        </w:tc>
        <w:tc>
          <w:tcPr>
            <w:tcW w:w="1830" w:type="dxa"/>
            <w:shd w:val="clear" w:color="auto" w:fill="auto"/>
          </w:tcPr>
          <w:p w14:paraId="7B2A7EE6" w14:textId="77777777" w:rsidR="000523C9" w:rsidRPr="00060F53" w:rsidRDefault="000523C9" w:rsidP="00B35782">
            <w:pPr>
              <w:jc w:val="right"/>
              <w:rPr>
                <w:rFonts w:ascii="Arial" w:hAnsi="Arial" w:cs="Arial"/>
                <w:sz w:val="24"/>
                <w:szCs w:val="24"/>
              </w:rPr>
            </w:pPr>
            <w:r w:rsidRPr="00060F53">
              <w:rPr>
                <w:rFonts w:ascii="Arial" w:hAnsi="Arial" w:cs="Arial"/>
                <w:sz w:val="24"/>
                <w:szCs w:val="24"/>
              </w:rPr>
              <w:t>Page</w:t>
            </w:r>
          </w:p>
          <w:p w14:paraId="28533E35" w14:textId="77777777" w:rsidR="0059388E" w:rsidRPr="00060F53" w:rsidRDefault="0059388E" w:rsidP="00B35782">
            <w:pPr>
              <w:jc w:val="right"/>
              <w:rPr>
                <w:rFonts w:ascii="Arial" w:hAnsi="Arial" w:cs="Arial"/>
                <w:sz w:val="24"/>
                <w:szCs w:val="24"/>
              </w:rPr>
            </w:pPr>
          </w:p>
        </w:tc>
      </w:tr>
      <w:tr w:rsidR="00B35782" w:rsidRPr="00814920" w14:paraId="48A9026A" w14:textId="77777777" w:rsidTr="00AB101A">
        <w:trPr>
          <w:trHeight w:val="339"/>
        </w:trPr>
        <w:tc>
          <w:tcPr>
            <w:tcW w:w="574" w:type="dxa"/>
            <w:shd w:val="clear" w:color="auto" w:fill="auto"/>
          </w:tcPr>
          <w:p w14:paraId="672F9F68"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29034B80" w14:textId="77777777" w:rsidR="00B35782" w:rsidRPr="00060F53" w:rsidRDefault="00B35782" w:rsidP="00B35782">
            <w:pPr>
              <w:rPr>
                <w:rFonts w:ascii="Arial" w:hAnsi="Arial" w:cs="Arial"/>
                <w:sz w:val="24"/>
                <w:szCs w:val="24"/>
              </w:rPr>
            </w:pPr>
            <w:r w:rsidRPr="00060F53">
              <w:rPr>
                <w:rFonts w:ascii="Arial" w:hAnsi="Arial" w:cs="Arial"/>
                <w:sz w:val="24"/>
                <w:szCs w:val="24"/>
              </w:rPr>
              <w:t>Introduction</w:t>
            </w:r>
          </w:p>
        </w:tc>
        <w:tc>
          <w:tcPr>
            <w:tcW w:w="1830" w:type="dxa"/>
            <w:shd w:val="clear" w:color="auto" w:fill="auto"/>
          </w:tcPr>
          <w:p w14:paraId="7E74247E" w14:textId="77777777" w:rsidR="00B35782" w:rsidRPr="00060F53" w:rsidRDefault="00B35782" w:rsidP="00B35782">
            <w:pPr>
              <w:jc w:val="right"/>
              <w:rPr>
                <w:rFonts w:ascii="Arial" w:hAnsi="Arial" w:cs="Arial"/>
                <w:sz w:val="24"/>
                <w:szCs w:val="24"/>
              </w:rPr>
            </w:pPr>
            <w:r w:rsidRPr="00060F53">
              <w:rPr>
                <w:rFonts w:ascii="Arial" w:hAnsi="Arial" w:cs="Arial"/>
                <w:sz w:val="24"/>
                <w:szCs w:val="24"/>
              </w:rPr>
              <w:t>2</w:t>
            </w:r>
          </w:p>
        </w:tc>
      </w:tr>
      <w:tr w:rsidR="00B35782" w:rsidRPr="00814920" w14:paraId="6914AD41" w14:textId="77777777" w:rsidTr="00AB101A">
        <w:trPr>
          <w:trHeight w:val="322"/>
        </w:trPr>
        <w:tc>
          <w:tcPr>
            <w:tcW w:w="574" w:type="dxa"/>
            <w:shd w:val="clear" w:color="auto" w:fill="auto"/>
          </w:tcPr>
          <w:p w14:paraId="16CE741A"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0948C9E3" w14:textId="77777777" w:rsidR="00B35782" w:rsidRPr="00060F53" w:rsidRDefault="00B35782" w:rsidP="00B35782">
            <w:pPr>
              <w:rPr>
                <w:rFonts w:ascii="Arial" w:hAnsi="Arial" w:cs="Arial"/>
                <w:sz w:val="24"/>
                <w:szCs w:val="24"/>
              </w:rPr>
            </w:pPr>
          </w:p>
        </w:tc>
        <w:tc>
          <w:tcPr>
            <w:tcW w:w="1830" w:type="dxa"/>
            <w:shd w:val="clear" w:color="auto" w:fill="auto"/>
          </w:tcPr>
          <w:p w14:paraId="4875C508" w14:textId="77777777" w:rsidR="00B35782" w:rsidRPr="00060F53" w:rsidRDefault="00B35782" w:rsidP="00B35782">
            <w:pPr>
              <w:jc w:val="right"/>
              <w:rPr>
                <w:rFonts w:ascii="Arial" w:hAnsi="Arial" w:cs="Arial"/>
                <w:sz w:val="24"/>
                <w:szCs w:val="24"/>
              </w:rPr>
            </w:pPr>
          </w:p>
        </w:tc>
      </w:tr>
      <w:tr w:rsidR="00B35782" w:rsidRPr="00814920" w14:paraId="110F1604" w14:textId="77777777" w:rsidTr="00AB101A">
        <w:trPr>
          <w:trHeight w:val="322"/>
        </w:trPr>
        <w:tc>
          <w:tcPr>
            <w:tcW w:w="574" w:type="dxa"/>
            <w:shd w:val="clear" w:color="auto" w:fill="auto"/>
          </w:tcPr>
          <w:p w14:paraId="59477F49"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26EB0A35" w14:textId="77777777" w:rsidR="00B35782" w:rsidRPr="00060F53" w:rsidRDefault="00B35782" w:rsidP="00B35782">
            <w:pPr>
              <w:rPr>
                <w:rFonts w:ascii="Arial" w:hAnsi="Arial" w:cs="Arial"/>
                <w:sz w:val="24"/>
                <w:szCs w:val="24"/>
              </w:rPr>
            </w:pPr>
            <w:r w:rsidRPr="00060F53">
              <w:rPr>
                <w:rFonts w:ascii="Arial" w:hAnsi="Arial" w:cs="Arial"/>
                <w:sz w:val="24"/>
                <w:szCs w:val="24"/>
              </w:rPr>
              <w:t>Three Year Profile of Statistics of the Fund</w:t>
            </w:r>
          </w:p>
        </w:tc>
        <w:tc>
          <w:tcPr>
            <w:tcW w:w="1830" w:type="dxa"/>
            <w:shd w:val="clear" w:color="auto" w:fill="auto"/>
          </w:tcPr>
          <w:p w14:paraId="21F3624E" w14:textId="77777777" w:rsidR="00B35782" w:rsidRPr="00060F53" w:rsidRDefault="00B35782" w:rsidP="00B35782">
            <w:pPr>
              <w:jc w:val="right"/>
              <w:rPr>
                <w:rFonts w:ascii="Arial" w:hAnsi="Arial" w:cs="Arial"/>
                <w:sz w:val="24"/>
                <w:szCs w:val="24"/>
              </w:rPr>
            </w:pPr>
            <w:r w:rsidRPr="00060F53">
              <w:rPr>
                <w:rFonts w:ascii="Arial" w:hAnsi="Arial" w:cs="Arial"/>
                <w:sz w:val="24"/>
                <w:szCs w:val="24"/>
              </w:rPr>
              <w:t>3</w:t>
            </w:r>
          </w:p>
        </w:tc>
      </w:tr>
      <w:tr w:rsidR="00B35782" w:rsidRPr="00814920" w14:paraId="149FF1B3" w14:textId="77777777" w:rsidTr="00AB101A">
        <w:trPr>
          <w:trHeight w:val="339"/>
        </w:trPr>
        <w:tc>
          <w:tcPr>
            <w:tcW w:w="574" w:type="dxa"/>
            <w:shd w:val="clear" w:color="auto" w:fill="auto"/>
          </w:tcPr>
          <w:p w14:paraId="0ACC5C77"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5D03FFDE" w14:textId="77777777" w:rsidR="00B35782" w:rsidRPr="00060F53" w:rsidRDefault="00B35782" w:rsidP="00B35782">
            <w:pPr>
              <w:rPr>
                <w:rFonts w:ascii="Arial" w:hAnsi="Arial" w:cs="Arial"/>
                <w:sz w:val="24"/>
                <w:szCs w:val="24"/>
              </w:rPr>
            </w:pPr>
          </w:p>
        </w:tc>
        <w:tc>
          <w:tcPr>
            <w:tcW w:w="1830" w:type="dxa"/>
            <w:shd w:val="clear" w:color="auto" w:fill="auto"/>
          </w:tcPr>
          <w:p w14:paraId="7D7BE227" w14:textId="77777777" w:rsidR="00B35782" w:rsidRPr="00060F53" w:rsidRDefault="00B35782" w:rsidP="00B35782">
            <w:pPr>
              <w:jc w:val="right"/>
              <w:rPr>
                <w:rFonts w:ascii="Arial" w:hAnsi="Arial" w:cs="Arial"/>
                <w:sz w:val="24"/>
                <w:szCs w:val="24"/>
              </w:rPr>
            </w:pPr>
          </w:p>
        </w:tc>
      </w:tr>
      <w:tr w:rsidR="00B35782" w:rsidRPr="00814920" w14:paraId="259BC515" w14:textId="77777777" w:rsidTr="00AB101A">
        <w:trPr>
          <w:trHeight w:val="2287"/>
        </w:trPr>
        <w:tc>
          <w:tcPr>
            <w:tcW w:w="574" w:type="dxa"/>
            <w:shd w:val="clear" w:color="auto" w:fill="auto"/>
          </w:tcPr>
          <w:p w14:paraId="5708197F"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6CC70330" w14:textId="77777777" w:rsidR="00B35782" w:rsidRPr="00060F53" w:rsidRDefault="00B35782" w:rsidP="00B35782">
            <w:pPr>
              <w:rPr>
                <w:rFonts w:ascii="Arial" w:hAnsi="Arial" w:cs="Arial"/>
                <w:sz w:val="24"/>
                <w:szCs w:val="24"/>
              </w:rPr>
            </w:pPr>
            <w:r w:rsidRPr="00060F53">
              <w:rPr>
                <w:rFonts w:ascii="Arial" w:hAnsi="Arial" w:cs="Arial"/>
                <w:sz w:val="24"/>
                <w:szCs w:val="24"/>
              </w:rPr>
              <w:t xml:space="preserve">Part A - </w:t>
            </w:r>
            <w:r w:rsidRPr="00060F53">
              <w:rPr>
                <w:rFonts w:ascii="Arial" w:hAnsi="Arial" w:cs="Arial"/>
                <w:sz w:val="24"/>
                <w:szCs w:val="24"/>
              </w:rPr>
              <w:tab/>
              <w:t>Administration Report</w:t>
            </w:r>
          </w:p>
          <w:p w14:paraId="29D2316A" w14:textId="77777777" w:rsidR="00B35782" w:rsidRPr="00060F53" w:rsidRDefault="00B35782" w:rsidP="00B35782">
            <w:pPr>
              <w:rPr>
                <w:rFonts w:ascii="Arial" w:hAnsi="Arial" w:cs="Arial"/>
                <w:sz w:val="24"/>
                <w:szCs w:val="24"/>
              </w:rPr>
            </w:pPr>
            <w:r w:rsidRPr="00060F53">
              <w:rPr>
                <w:rFonts w:ascii="Arial" w:hAnsi="Arial" w:cs="Arial"/>
                <w:sz w:val="24"/>
                <w:szCs w:val="24"/>
              </w:rPr>
              <w:tab/>
            </w:r>
            <w:r w:rsidRPr="00060F53">
              <w:rPr>
                <w:rFonts w:ascii="Arial" w:hAnsi="Arial" w:cs="Arial"/>
                <w:sz w:val="24"/>
                <w:szCs w:val="24"/>
              </w:rPr>
              <w:tab/>
              <w:t>Membership</w:t>
            </w:r>
          </w:p>
          <w:p w14:paraId="7FBE756A" w14:textId="77777777" w:rsidR="00B35782" w:rsidRPr="00060F53" w:rsidRDefault="00B35782" w:rsidP="00B35782">
            <w:pPr>
              <w:tabs>
                <w:tab w:val="left" w:pos="408"/>
                <w:tab w:val="left" w:pos="1020"/>
                <w:tab w:val="left" w:pos="1224"/>
                <w:tab w:val="right" w:pos="6531"/>
              </w:tabs>
              <w:rPr>
                <w:rFonts w:ascii="Arial" w:hAnsi="Arial" w:cs="Arial"/>
                <w:sz w:val="24"/>
                <w:szCs w:val="24"/>
              </w:rPr>
            </w:pPr>
            <w:r w:rsidRPr="00060F53">
              <w:rPr>
                <w:rFonts w:ascii="Arial" w:hAnsi="Arial" w:cs="Arial"/>
                <w:sz w:val="24"/>
                <w:szCs w:val="24"/>
              </w:rPr>
              <w:tab/>
            </w:r>
            <w:r w:rsidRPr="00060F53">
              <w:rPr>
                <w:rFonts w:ascii="Arial" w:hAnsi="Arial" w:cs="Arial"/>
                <w:sz w:val="24"/>
                <w:szCs w:val="24"/>
              </w:rPr>
              <w:tab/>
              <w:t xml:space="preserve">      Premature Retirement – Pension Costs</w:t>
            </w:r>
          </w:p>
          <w:p w14:paraId="48AB4F68" w14:textId="77777777" w:rsidR="00B35782" w:rsidRPr="00060F53" w:rsidRDefault="00B35782" w:rsidP="00B35782">
            <w:pPr>
              <w:tabs>
                <w:tab w:val="left" w:pos="408"/>
                <w:tab w:val="left" w:pos="1020"/>
                <w:tab w:val="left" w:pos="1224"/>
                <w:tab w:val="right" w:pos="6531"/>
              </w:tabs>
              <w:ind w:left="518" w:firstLine="518"/>
              <w:rPr>
                <w:rFonts w:ascii="Arial" w:hAnsi="Arial" w:cs="Arial"/>
                <w:sz w:val="24"/>
                <w:szCs w:val="24"/>
              </w:rPr>
            </w:pPr>
            <w:r w:rsidRPr="00060F53">
              <w:rPr>
                <w:rFonts w:ascii="Arial" w:hAnsi="Arial" w:cs="Arial"/>
                <w:sz w:val="24"/>
                <w:szCs w:val="24"/>
              </w:rPr>
              <w:t xml:space="preserve">      Administration  </w:t>
            </w:r>
          </w:p>
          <w:p w14:paraId="6F1211D5" w14:textId="77777777" w:rsidR="00B35782" w:rsidRPr="00060F53" w:rsidRDefault="00B35782" w:rsidP="00B35782">
            <w:pPr>
              <w:tabs>
                <w:tab w:val="left" w:pos="408"/>
                <w:tab w:val="left" w:pos="1020"/>
                <w:tab w:val="left" w:pos="1224"/>
                <w:tab w:val="right" w:pos="6531"/>
              </w:tabs>
              <w:ind w:left="518" w:firstLine="518"/>
              <w:rPr>
                <w:rFonts w:ascii="Arial" w:hAnsi="Arial" w:cs="Arial"/>
                <w:sz w:val="24"/>
                <w:szCs w:val="24"/>
              </w:rPr>
            </w:pPr>
            <w:r w:rsidRPr="00060F53">
              <w:rPr>
                <w:rFonts w:ascii="Arial" w:hAnsi="Arial" w:cs="Arial"/>
                <w:sz w:val="24"/>
                <w:szCs w:val="24"/>
              </w:rPr>
              <w:t xml:space="preserve">      Legislative Changes</w:t>
            </w:r>
          </w:p>
          <w:p w14:paraId="23431C68" w14:textId="77777777" w:rsidR="00B35782" w:rsidRPr="00060F53" w:rsidRDefault="00B35782" w:rsidP="00B35782">
            <w:pPr>
              <w:tabs>
                <w:tab w:val="left" w:pos="408"/>
                <w:tab w:val="left" w:pos="1020"/>
                <w:tab w:val="left" w:pos="1224"/>
                <w:tab w:val="right" w:pos="6531"/>
              </w:tabs>
              <w:ind w:left="518" w:firstLine="518"/>
              <w:rPr>
                <w:rFonts w:ascii="Arial" w:hAnsi="Arial" w:cs="Arial"/>
                <w:sz w:val="24"/>
                <w:szCs w:val="24"/>
              </w:rPr>
            </w:pPr>
            <w:r w:rsidRPr="00060F53">
              <w:rPr>
                <w:rFonts w:ascii="Arial" w:hAnsi="Arial" w:cs="Arial"/>
                <w:sz w:val="24"/>
                <w:szCs w:val="24"/>
              </w:rPr>
              <w:t xml:space="preserve">      Wales Pension Partnership</w:t>
            </w:r>
            <w:r w:rsidR="008E66A5">
              <w:rPr>
                <w:rFonts w:ascii="Arial" w:hAnsi="Arial" w:cs="Arial"/>
                <w:sz w:val="24"/>
                <w:szCs w:val="24"/>
              </w:rPr>
              <w:t xml:space="preserve"> – Asset Pooling</w:t>
            </w:r>
          </w:p>
          <w:p w14:paraId="60A5775A" w14:textId="77777777" w:rsidR="00B35782" w:rsidRPr="00060F53" w:rsidRDefault="00B35782" w:rsidP="00B35782">
            <w:pPr>
              <w:tabs>
                <w:tab w:val="left" w:pos="408"/>
                <w:tab w:val="left" w:pos="1020"/>
                <w:tab w:val="left" w:pos="1224"/>
                <w:tab w:val="right" w:pos="6531"/>
              </w:tabs>
              <w:ind w:left="518" w:firstLine="518"/>
              <w:rPr>
                <w:rFonts w:ascii="Arial" w:hAnsi="Arial" w:cs="Arial"/>
                <w:sz w:val="24"/>
                <w:szCs w:val="24"/>
              </w:rPr>
            </w:pPr>
            <w:r w:rsidRPr="00060F53">
              <w:rPr>
                <w:rFonts w:ascii="Arial" w:hAnsi="Arial" w:cs="Arial"/>
                <w:sz w:val="24"/>
                <w:szCs w:val="24"/>
              </w:rPr>
              <w:t xml:space="preserve">      Local Pension Board - Annual Report</w:t>
            </w:r>
          </w:p>
          <w:p w14:paraId="46E0B307" w14:textId="77777777" w:rsidR="00B35782" w:rsidRPr="00060F53" w:rsidRDefault="00B35782" w:rsidP="00060F53">
            <w:pPr>
              <w:rPr>
                <w:rFonts w:ascii="Arial" w:hAnsi="Arial" w:cs="Arial"/>
                <w:sz w:val="24"/>
                <w:szCs w:val="24"/>
              </w:rPr>
            </w:pPr>
            <w:r w:rsidRPr="00060F53">
              <w:rPr>
                <w:rFonts w:ascii="Arial" w:hAnsi="Arial" w:cs="Arial"/>
                <w:sz w:val="24"/>
                <w:szCs w:val="24"/>
              </w:rPr>
              <w:tab/>
            </w:r>
            <w:r w:rsidRPr="00060F53">
              <w:rPr>
                <w:rFonts w:ascii="Arial" w:hAnsi="Arial" w:cs="Arial"/>
                <w:sz w:val="24"/>
                <w:szCs w:val="24"/>
              </w:rPr>
              <w:tab/>
              <w:t>Annual Governance Statement</w:t>
            </w:r>
          </w:p>
        </w:tc>
        <w:tc>
          <w:tcPr>
            <w:tcW w:w="1830" w:type="dxa"/>
            <w:shd w:val="clear" w:color="auto" w:fill="auto"/>
          </w:tcPr>
          <w:p w14:paraId="3540ECA2" w14:textId="77777777" w:rsidR="00B35782" w:rsidRPr="00060F53" w:rsidRDefault="00B35782" w:rsidP="00B35782">
            <w:pPr>
              <w:jc w:val="right"/>
              <w:rPr>
                <w:rFonts w:ascii="Arial" w:hAnsi="Arial" w:cs="Arial"/>
                <w:sz w:val="24"/>
                <w:szCs w:val="24"/>
              </w:rPr>
            </w:pPr>
            <w:r w:rsidRPr="00060F53">
              <w:rPr>
                <w:rFonts w:ascii="Arial" w:hAnsi="Arial" w:cs="Arial"/>
                <w:sz w:val="24"/>
                <w:szCs w:val="24"/>
              </w:rPr>
              <w:t>4</w:t>
            </w:r>
          </w:p>
          <w:p w14:paraId="16C2DB92" w14:textId="77777777" w:rsidR="00B35782" w:rsidRPr="00060F53" w:rsidRDefault="00B35782" w:rsidP="00B35782">
            <w:pPr>
              <w:jc w:val="right"/>
              <w:rPr>
                <w:rFonts w:ascii="Arial" w:hAnsi="Arial" w:cs="Arial"/>
                <w:sz w:val="24"/>
                <w:szCs w:val="24"/>
              </w:rPr>
            </w:pPr>
            <w:r w:rsidRPr="00060F53">
              <w:rPr>
                <w:rFonts w:ascii="Arial" w:hAnsi="Arial" w:cs="Arial"/>
                <w:sz w:val="24"/>
                <w:szCs w:val="24"/>
              </w:rPr>
              <w:t>5</w:t>
            </w:r>
          </w:p>
          <w:p w14:paraId="4C6E25E9" w14:textId="77777777" w:rsidR="00B35782" w:rsidRPr="00060F53" w:rsidRDefault="00274675" w:rsidP="00B35782">
            <w:pPr>
              <w:jc w:val="right"/>
              <w:rPr>
                <w:rFonts w:ascii="Arial" w:hAnsi="Arial" w:cs="Arial"/>
                <w:sz w:val="24"/>
                <w:szCs w:val="24"/>
              </w:rPr>
            </w:pPr>
            <w:r>
              <w:rPr>
                <w:rFonts w:ascii="Arial" w:hAnsi="Arial" w:cs="Arial"/>
                <w:sz w:val="24"/>
                <w:szCs w:val="24"/>
              </w:rPr>
              <w:t>6</w:t>
            </w:r>
          </w:p>
          <w:p w14:paraId="38B14C7D" w14:textId="77777777" w:rsidR="00B35782" w:rsidRPr="00060F53" w:rsidRDefault="0088046B" w:rsidP="00B35782">
            <w:pPr>
              <w:jc w:val="right"/>
              <w:rPr>
                <w:rFonts w:ascii="Arial" w:hAnsi="Arial" w:cs="Arial"/>
                <w:sz w:val="24"/>
                <w:szCs w:val="24"/>
              </w:rPr>
            </w:pPr>
            <w:r>
              <w:rPr>
                <w:rFonts w:ascii="Arial" w:hAnsi="Arial" w:cs="Arial"/>
                <w:sz w:val="24"/>
                <w:szCs w:val="24"/>
              </w:rPr>
              <w:t>7</w:t>
            </w:r>
          </w:p>
          <w:p w14:paraId="04D02005" w14:textId="77777777" w:rsidR="00B35782" w:rsidRPr="00060F53" w:rsidRDefault="00B35782" w:rsidP="00B35782">
            <w:pPr>
              <w:jc w:val="right"/>
              <w:rPr>
                <w:rFonts w:ascii="Arial" w:hAnsi="Arial" w:cs="Arial"/>
                <w:sz w:val="24"/>
                <w:szCs w:val="24"/>
              </w:rPr>
            </w:pPr>
            <w:r w:rsidRPr="00060F53">
              <w:rPr>
                <w:rFonts w:ascii="Arial" w:hAnsi="Arial" w:cs="Arial"/>
                <w:sz w:val="24"/>
                <w:szCs w:val="24"/>
              </w:rPr>
              <w:t>1</w:t>
            </w:r>
            <w:r w:rsidR="00274675">
              <w:rPr>
                <w:rFonts w:ascii="Arial" w:hAnsi="Arial" w:cs="Arial"/>
                <w:sz w:val="24"/>
                <w:szCs w:val="24"/>
              </w:rPr>
              <w:t>7</w:t>
            </w:r>
          </w:p>
          <w:p w14:paraId="3F6913AB" w14:textId="77777777" w:rsidR="00B35782" w:rsidRPr="00060F53" w:rsidRDefault="008E66A5" w:rsidP="00B35782">
            <w:pPr>
              <w:jc w:val="right"/>
              <w:rPr>
                <w:rFonts w:ascii="Arial" w:hAnsi="Arial" w:cs="Arial"/>
                <w:sz w:val="24"/>
                <w:szCs w:val="24"/>
              </w:rPr>
            </w:pPr>
            <w:r>
              <w:rPr>
                <w:rFonts w:ascii="Arial" w:hAnsi="Arial" w:cs="Arial"/>
                <w:sz w:val="24"/>
                <w:szCs w:val="24"/>
              </w:rPr>
              <w:t>2</w:t>
            </w:r>
            <w:r w:rsidR="00274675">
              <w:rPr>
                <w:rFonts w:ascii="Arial" w:hAnsi="Arial" w:cs="Arial"/>
                <w:sz w:val="24"/>
                <w:szCs w:val="24"/>
              </w:rPr>
              <w:t>2</w:t>
            </w:r>
          </w:p>
          <w:p w14:paraId="3D245546" w14:textId="77777777" w:rsidR="00B35782" w:rsidRPr="00060F53" w:rsidRDefault="008E66A5" w:rsidP="00B35782">
            <w:pPr>
              <w:jc w:val="right"/>
              <w:rPr>
                <w:rFonts w:ascii="Arial" w:hAnsi="Arial" w:cs="Arial"/>
                <w:sz w:val="24"/>
                <w:szCs w:val="24"/>
              </w:rPr>
            </w:pPr>
            <w:r>
              <w:rPr>
                <w:rFonts w:ascii="Arial" w:hAnsi="Arial" w:cs="Arial"/>
                <w:sz w:val="24"/>
                <w:szCs w:val="24"/>
              </w:rPr>
              <w:t>3</w:t>
            </w:r>
            <w:r w:rsidR="0088046B">
              <w:rPr>
                <w:rFonts w:ascii="Arial" w:hAnsi="Arial" w:cs="Arial"/>
                <w:sz w:val="24"/>
                <w:szCs w:val="24"/>
              </w:rPr>
              <w:t>5</w:t>
            </w:r>
          </w:p>
          <w:p w14:paraId="35E82337" w14:textId="77777777" w:rsidR="00B35782" w:rsidRPr="00060F53" w:rsidRDefault="008E66A5" w:rsidP="004004F9">
            <w:pPr>
              <w:jc w:val="right"/>
              <w:rPr>
                <w:rFonts w:ascii="Arial" w:hAnsi="Arial" w:cs="Arial"/>
                <w:sz w:val="24"/>
                <w:szCs w:val="24"/>
              </w:rPr>
            </w:pPr>
            <w:r>
              <w:rPr>
                <w:rFonts w:ascii="Arial" w:hAnsi="Arial" w:cs="Arial"/>
                <w:sz w:val="24"/>
                <w:szCs w:val="24"/>
              </w:rPr>
              <w:t>3</w:t>
            </w:r>
            <w:r w:rsidR="00C72932">
              <w:rPr>
                <w:rFonts w:ascii="Arial" w:hAnsi="Arial" w:cs="Arial"/>
                <w:sz w:val="24"/>
                <w:szCs w:val="24"/>
              </w:rPr>
              <w:t>8</w:t>
            </w:r>
          </w:p>
        </w:tc>
      </w:tr>
      <w:tr w:rsidR="00B35782" w:rsidRPr="00814920" w14:paraId="1A51482D" w14:textId="77777777" w:rsidTr="00AB101A">
        <w:trPr>
          <w:trHeight w:val="339"/>
        </w:trPr>
        <w:tc>
          <w:tcPr>
            <w:tcW w:w="574" w:type="dxa"/>
            <w:shd w:val="clear" w:color="auto" w:fill="auto"/>
          </w:tcPr>
          <w:p w14:paraId="63E470C5"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4DC733F8" w14:textId="77777777" w:rsidR="00B35782" w:rsidRPr="00060F53" w:rsidRDefault="00B35782" w:rsidP="00B35782">
            <w:pPr>
              <w:rPr>
                <w:rFonts w:ascii="Arial" w:hAnsi="Arial" w:cs="Arial"/>
                <w:sz w:val="24"/>
                <w:szCs w:val="24"/>
              </w:rPr>
            </w:pPr>
          </w:p>
        </w:tc>
        <w:tc>
          <w:tcPr>
            <w:tcW w:w="1830" w:type="dxa"/>
            <w:shd w:val="clear" w:color="auto" w:fill="auto"/>
          </w:tcPr>
          <w:p w14:paraId="6E219B57" w14:textId="77777777" w:rsidR="00B35782" w:rsidRPr="00060F53" w:rsidRDefault="00B35782" w:rsidP="00B35782">
            <w:pPr>
              <w:jc w:val="right"/>
              <w:rPr>
                <w:rFonts w:ascii="Arial" w:hAnsi="Arial" w:cs="Arial"/>
                <w:sz w:val="24"/>
                <w:szCs w:val="24"/>
              </w:rPr>
            </w:pPr>
          </w:p>
        </w:tc>
      </w:tr>
      <w:tr w:rsidR="00B35782" w:rsidRPr="00814920" w14:paraId="26D03BBE" w14:textId="77777777" w:rsidTr="00AB101A">
        <w:trPr>
          <w:trHeight w:val="1304"/>
        </w:trPr>
        <w:tc>
          <w:tcPr>
            <w:tcW w:w="574" w:type="dxa"/>
            <w:shd w:val="clear" w:color="auto" w:fill="auto"/>
          </w:tcPr>
          <w:p w14:paraId="3B4AABA8"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3AA8268C" w14:textId="77777777" w:rsidR="00B35782" w:rsidRPr="00060F53" w:rsidRDefault="00B35782" w:rsidP="00B35782">
            <w:pPr>
              <w:tabs>
                <w:tab w:val="left" w:pos="408"/>
                <w:tab w:val="left" w:pos="1023"/>
                <w:tab w:val="right" w:pos="6531"/>
              </w:tabs>
              <w:rPr>
                <w:rFonts w:ascii="Arial" w:hAnsi="Arial" w:cs="Arial"/>
                <w:sz w:val="24"/>
                <w:szCs w:val="24"/>
              </w:rPr>
            </w:pPr>
            <w:r w:rsidRPr="00060F53">
              <w:rPr>
                <w:rFonts w:ascii="Arial" w:hAnsi="Arial" w:cs="Arial"/>
                <w:sz w:val="24"/>
                <w:szCs w:val="24"/>
              </w:rPr>
              <w:t xml:space="preserve">Part B -       </w:t>
            </w:r>
            <w:r w:rsidR="00F119D5">
              <w:rPr>
                <w:rFonts w:ascii="Arial" w:hAnsi="Arial" w:cs="Arial"/>
                <w:sz w:val="24"/>
                <w:szCs w:val="24"/>
              </w:rPr>
              <w:t xml:space="preserve"> </w:t>
            </w:r>
            <w:r w:rsidR="00060F53">
              <w:rPr>
                <w:rFonts w:ascii="Arial" w:hAnsi="Arial" w:cs="Arial"/>
                <w:sz w:val="24"/>
                <w:szCs w:val="24"/>
              </w:rPr>
              <w:t xml:space="preserve"> </w:t>
            </w:r>
            <w:r w:rsidR="00F119D5">
              <w:rPr>
                <w:rFonts w:ascii="Arial" w:hAnsi="Arial" w:cs="Arial"/>
                <w:sz w:val="24"/>
                <w:szCs w:val="24"/>
              </w:rPr>
              <w:t xml:space="preserve"> </w:t>
            </w:r>
            <w:r w:rsidRPr="00060F53">
              <w:rPr>
                <w:rFonts w:ascii="Arial" w:hAnsi="Arial" w:cs="Arial"/>
                <w:sz w:val="24"/>
                <w:szCs w:val="24"/>
              </w:rPr>
              <w:t>Statement of Responsibilities</w:t>
            </w:r>
          </w:p>
          <w:p w14:paraId="5FDB8C85" w14:textId="77777777" w:rsidR="00B35782" w:rsidRPr="00060F53" w:rsidRDefault="00B35782" w:rsidP="00B35782">
            <w:pPr>
              <w:tabs>
                <w:tab w:val="left" w:pos="408"/>
                <w:tab w:val="left" w:pos="1023"/>
                <w:tab w:val="right" w:pos="6531"/>
              </w:tabs>
              <w:rPr>
                <w:rFonts w:ascii="Arial" w:hAnsi="Arial" w:cs="Arial"/>
                <w:sz w:val="24"/>
                <w:szCs w:val="24"/>
              </w:rPr>
            </w:pPr>
            <w:r w:rsidRPr="00060F53">
              <w:rPr>
                <w:rFonts w:ascii="Arial" w:hAnsi="Arial" w:cs="Arial"/>
                <w:sz w:val="24"/>
                <w:szCs w:val="24"/>
              </w:rPr>
              <w:t xml:space="preserve">                   </w:t>
            </w:r>
            <w:r w:rsidR="00F119D5">
              <w:rPr>
                <w:rFonts w:ascii="Arial" w:hAnsi="Arial" w:cs="Arial"/>
                <w:sz w:val="24"/>
                <w:szCs w:val="24"/>
              </w:rPr>
              <w:t xml:space="preserve"> </w:t>
            </w:r>
            <w:r w:rsidR="00060F53">
              <w:rPr>
                <w:rFonts w:ascii="Arial" w:hAnsi="Arial" w:cs="Arial"/>
                <w:sz w:val="24"/>
                <w:szCs w:val="24"/>
              </w:rPr>
              <w:t xml:space="preserve">  </w:t>
            </w:r>
            <w:r w:rsidRPr="00060F53">
              <w:rPr>
                <w:rFonts w:ascii="Arial" w:hAnsi="Arial" w:cs="Arial"/>
                <w:sz w:val="24"/>
                <w:szCs w:val="24"/>
              </w:rPr>
              <w:t>Independent Auditors Statement</w:t>
            </w:r>
          </w:p>
          <w:p w14:paraId="04AAA4FC" w14:textId="77777777" w:rsidR="00B35782" w:rsidRPr="00060F53" w:rsidRDefault="00B35782" w:rsidP="00B35782">
            <w:pPr>
              <w:tabs>
                <w:tab w:val="left" w:pos="408"/>
                <w:tab w:val="left" w:pos="1023"/>
                <w:tab w:val="right" w:pos="6531"/>
              </w:tabs>
              <w:rPr>
                <w:rFonts w:ascii="Arial" w:hAnsi="Arial" w:cs="Arial"/>
                <w:sz w:val="24"/>
                <w:szCs w:val="24"/>
              </w:rPr>
            </w:pPr>
            <w:r w:rsidRPr="00060F53">
              <w:rPr>
                <w:rFonts w:ascii="Arial" w:hAnsi="Arial" w:cs="Arial"/>
                <w:sz w:val="24"/>
                <w:szCs w:val="24"/>
              </w:rPr>
              <w:t xml:space="preserve">                 </w:t>
            </w:r>
            <w:r w:rsidR="00F119D5">
              <w:rPr>
                <w:rFonts w:ascii="Arial" w:hAnsi="Arial" w:cs="Arial"/>
                <w:sz w:val="24"/>
                <w:szCs w:val="24"/>
              </w:rPr>
              <w:t xml:space="preserve"> </w:t>
            </w:r>
            <w:r w:rsidRPr="00060F53">
              <w:rPr>
                <w:rFonts w:ascii="Arial" w:hAnsi="Arial" w:cs="Arial"/>
                <w:sz w:val="24"/>
                <w:szCs w:val="24"/>
              </w:rPr>
              <w:t xml:space="preserve"> </w:t>
            </w:r>
            <w:r w:rsidR="00060F53">
              <w:rPr>
                <w:rFonts w:ascii="Arial" w:hAnsi="Arial" w:cs="Arial"/>
                <w:sz w:val="24"/>
                <w:szCs w:val="24"/>
              </w:rPr>
              <w:t xml:space="preserve">  </w:t>
            </w:r>
            <w:r w:rsidRPr="00060F53">
              <w:rPr>
                <w:rFonts w:ascii="Arial" w:hAnsi="Arial" w:cs="Arial"/>
                <w:sz w:val="24"/>
                <w:szCs w:val="24"/>
              </w:rPr>
              <w:t xml:space="preserve"> Statement of Accounts </w:t>
            </w:r>
            <w:r w:rsidR="00D57009">
              <w:rPr>
                <w:rFonts w:ascii="Arial" w:hAnsi="Arial" w:cs="Arial"/>
                <w:sz w:val="24"/>
                <w:szCs w:val="24"/>
              </w:rPr>
              <w:t>2021/22</w:t>
            </w:r>
          </w:p>
          <w:p w14:paraId="218802C8" w14:textId="77777777" w:rsidR="00B35782" w:rsidRPr="00060F53" w:rsidRDefault="00B35782" w:rsidP="00060F53">
            <w:pPr>
              <w:rPr>
                <w:rFonts w:ascii="Arial" w:hAnsi="Arial" w:cs="Arial"/>
                <w:sz w:val="24"/>
                <w:szCs w:val="24"/>
              </w:rPr>
            </w:pPr>
            <w:r w:rsidRPr="00060F53">
              <w:rPr>
                <w:rFonts w:ascii="Arial" w:hAnsi="Arial" w:cs="Arial"/>
                <w:sz w:val="24"/>
                <w:szCs w:val="24"/>
              </w:rPr>
              <w:tab/>
              <w:t xml:space="preserve">   </w:t>
            </w:r>
            <w:r w:rsidR="00F119D5">
              <w:rPr>
                <w:rFonts w:ascii="Arial" w:hAnsi="Arial" w:cs="Arial"/>
                <w:sz w:val="24"/>
                <w:szCs w:val="24"/>
              </w:rPr>
              <w:t xml:space="preserve"> </w:t>
            </w:r>
            <w:r w:rsidRPr="00060F53">
              <w:rPr>
                <w:rFonts w:ascii="Arial" w:hAnsi="Arial" w:cs="Arial"/>
                <w:sz w:val="24"/>
                <w:szCs w:val="24"/>
              </w:rPr>
              <w:t xml:space="preserve">      </w:t>
            </w:r>
            <w:r w:rsidR="00060F53">
              <w:rPr>
                <w:rFonts w:ascii="Arial" w:hAnsi="Arial" w:cs="Arial"/>
                <w:sz w:val="24"/>
                <w:szCs w:val="24"/>
              </w:rPr>
              <w:t xml:space="preserve"> </w:t>
            </w:r>
            <w:r w:rsidRPr="00060F53">
              <w:rPr>
                <w:rFonts w:ascii="Arial" w:hAnsi="Arial" w:cs="Arial"/>
                <w:sz w:val="24"/>
                <w:szCs w:val="24"/>
              </w:rPr>
              <w:t>Notes to the Accounts</w:t>
            </w:r>
          </w:p>
        </w:tc>
        <w:tc>
          <w:tcPr>
            <w:tcW w:w="1830" w:type="dxa"/>
            <w:shd w:val="clear" w:color="auto" w:fill="auto"/>
          </w:tcPr>
          <w:p w14:paraId="79DF8513" w14:textId="77777777" w:rsidR="00B35782" w:rsidRPr="00060F53" w:rsidRDefault="00CC0670" w:rsidP="00B35782">
            <w:pPr>
              <w:jc w:val="right"/>
              <w:rPr>
                <w:rFonts w:ascii="Arial" w:hAnsi="Arial" w:cs="Arial"/>
                <w:sz w:val="24"/>
                <w:szCs w:val="24"/>
              </w:rPr>
            </w:pPr>
            <w:r>
              <w:rPr>
                <w:rFonts w:ascii="Arial" w:hAnsi="Arial" w:cs="Arial"/>
                <w:sz w:val="24"/>
                <w:szCs w:val="24"/>
              </w:rPr>
              <w:t>7</w:t>
            </w:r>
            <w:r w:rsidR="00C72932">
              <w:rPr>
                <w:rFonts w:ascii="Arial" w:hAnsi="Arial" w:cs="Arial"/>
                <w:sz w:val="24"/>
                <w:szCs w:val="24"/>
              </w:rPr>
              <w:t>7</w:t>
            </w:r>
          </w:p>
          <w:p w14:paraId="0F01229D" w14:textId="77777777" w:rsidR="00B35782" w:rsidRPr="00060F53" w:rsidRDefault="00C72932" w:rsidP="00B35782">
            <w:pPr>
              <w:jc w:val="right"/>
              <w:rPr>
                <w:rFonts w:ascii="Arial" w:hAnsi="Arial" w:cs="Arial"/>
                <w:sz w:val="24"/>
                <w:szCs w:val="24"/>
              </w:rPr>
            </w:pPr>
            <w:r>
              <w:rPr>
                <w:rFonts w:ascii="Arial" w:hAnsi="Arial" w:cs="Arial"/>
                <w:sz w:val="24"/>
                <w:szCs w:val="24"/>
              </w:rPr>
              <w:t>78</w:t>
            </w:r>
          </w:p>
          <w:p w14:paraId="3999AC7D" w14:textId="77777777" w:rsidR="00B35782" w:rsidRPr="00060F53" w:rsidRDefault="00F54769" w:rsidP="00B35782">
            <w:pPr>
              <w:jc w:val="right"/>
              <w:rPr>
                <w:rFonts w:ascii="Arial" w:hAnsi="Arial" w:cs="Arial"/>
                <w:sz w:val="24"/>
                <w:szCs w:val="24"/>
              </w:rPr>
            </w:pPr>
            <w:r>
              <w:rPr>
                <w:rFonts w:ascii="Arial" w:hAnsi="Arial" w:cs="Arial"/>
                <w:sz w:val="24"/>
                <w:szCs w:val="24"/>
              </w:rPr>
              <w:t>8</w:t>
            </w:r>
            <w:r w:rsidR="00C72932">
              <w:rPr>
                <w:rFonts w:ascii="Arial" w:hAnsi="Arial" w:cs="Arial"/>
                <w:sz w:val="24"/>
                <w:szCs w:val="24"/>
              </w:rPr>
              <w:t>1</w:t>
            </w:r>
          </w:p>
          <w:p w14:paraId="577B0DE0" w14:textId="77777777" w:rsidR="00B35782" w:rsidRPr="00060F53" w:rsidRDefault="004004F9" w:rsidP="00F54769">
            <w:pPr>
              <w:jc w:val="right"/>
              <w:rPr>
                <w:rFonts w:ascii="Arial" w:hAnsi="Arial" w:cs="Arial"/>
                <w:sz w:val="24"/>
                <w:szCs w:val="24"/>
              </w:rPr>
            </w:pPr>
            <w:r w:rsidRPr="004004F9">
              <w:rPr>
                <w:rFonts w:ascii="Arial" w:hAnsi="Arial" w:cs="Arial"/>
                <w:sz w:val="24"/>
                <w:szCs w:val="24"/>
              </w:rPr>
              <w:t>8</w:t>
            </w:r>
            <w:r w:rsidR="00C72932">
              <w:rPr>
                <w:rFonts w:ascii="Arial" w:hAnsi="Arial" w:cs="Arial"/>
                <w:sz w:val="24"/>
                <w:szCs w:val="24"/>
              </w:rPr>
              <w:t>4</w:t>
            </w:r>
          </w:p>
        </w:tc>
      </w:tr>
      <w:tr w:rsidR="00F119D5" w:rsidRPr="00814920" w14:paraId="546478BA" w14:textId="77777777" w:rsidTr="00AB101A">
        <w:trPr>
          <w:gridAfter w:val="3"/>
          <w:wAfter w:w="8955" w:type="dxa"/>
          <w:trHeight w:val="322"/>
        </w:trPr>
        <w:tc>
          <w:tcPr>
            <w:tcW w:w="574" w:type="dxa"/>
            <w:shd w:val="clear" w:color="auto" w:fill="auto"/>
          </w:tcPr>
          <w:p w14:paraId="1D90BB0C" w14:textId="77777777" w:rsidR="00F119D5" w:rsidRPr="00060F53" w:rsidRDefault="00F119D5" w:rsidP="00B35782">
            <w:pPr>
              <w:rPr>
                <w:rFonts w:ascii="Arial" w:hAnsi="Arial" w:cs="Arial"/>
                <w:sz w:val="24"/>
                <w:szCs w:val="24"/>
              </w:rPr>
            </w:pPr>
          </w:p>
        </w:tc>
      </w:tr>
      <w:tr w:rsidR="00B35782" w:rsidRPr="00814920" w14:paraId="2B8E543F" w14:textId="77777777" w:rsidTr="00AB101A">
        <w:trPr>
          <w:trHeight w:val="2965"/>
        </w:trPr>
        <w:tc>
          <w:tcPr>
            <w:tcW w:w="574" w:type="dxa"/>
            <w:shd w:val="clear" w:color="auto" w:fill="auto"/>
          </w:tcPr>
          <w:p w14:paraId="2D784858"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7A7C2A76" w14:textId="77777777" w:rsidR="00B35782" w:rsidRPr="00060F53" w:rsidRDefault="00B35782" w:rsidP="00B35782">
            <w:pPr>
              <w:tabs>
                <w:tab w:val="left" w:pos="408"/>
                <w:tab w:val="left" w:pos="1023"/>
                <w:tab w:val="right" w:pos="6531"/>
              </w:tabs>
              <w:rPr>
                <w:rFonts w:ascii="Arial" w:hAnsi="Arial" w:cs="Arial"/>
                <w:sz w:val="24"/>
                <w:szCs w:val="24"/>
              </w:rPr>
            </w:pPr>
            <w:r w:rsidRPr="00060F53">
              <w:rPr>
                <w:rFonts w:ascii="Arial" w:hAnsi="Arial" w:cs="Arial"/>
                <w:sz w:val="24"/>
                <w:szCs w:val="24"/>
              </w:rPr>
              <w:t xml:space="preserve">Part C -  </w:t>
            </w:r>
            <w:r w:rsidR="00060F53">
              <w:rPr>
                <w:rFonts w:ascii="Arial" w:hAnsi="Arial" w:cs="Arial"/>
                <w:sz w:val="24"/>
                <w:szCs w:val="24"/>
              </w:rPr>
              <w:t xml:space="preserve"> </w:t>
            </w:r>
            <w:r w:rsidRPr="00060F53">
              <w:rPr>
                <w:rFonts w:ascii="Arial" w:hAnsi="Arial" w:cs="Arial"/>
                <w:sz w:val="24"/>
                <w:szCs w:val="24"/>
              </w:rPr>
              <w:t xml:space="preserve">   </w:t>
            </w:r>
            <w:r w:rsidR="00F119D5">
              <w:rPr>
                <w:rFonts w:ascii="Arial" w:hAnsi="Arial" w:cs="Arial"/>
                <w:sz w:val="24"/>
                <w:szCs w:val="24"/>
              </w:rPr>
              <w:t xml:space="preserve">  </w:t>
            </w:r>
            <w:r w:rsidRPr="00060F53">
              <w:rPr>
                <w:rFonts w:ascii="Arial" w:hAnsi="Arial" w:cs="Arial"/>
                <w:sz w:val="24"/>
                <w:szCs w:val="24"/>
              </w:rPr>
              <w:t xml:space="preserve">  Investment Report</w:t>
            </w:r>
          </w:p>
          <w:p w14:paraId="0875F08C" w14:textId="77777777" w:rsidR="00B35782" w:rsidRPr="00060F53" w:rsidRDefault="00B35782" w:rsidP="00B35782">
            <w:pPr>
              <w:tabs>
                <w:tab w:val="left" w:pos="408"/>
                <w:tab w:val="left" w:pos="1023"/>
                <w:tab w:val="right" w:pos="6531"/>
              </w:tabs>
              <w:rPr>
                <w:rFonts w:ascii="Arial" w:hAnsi="Arial" w:cs="Arial"/>
                <w:sz w:val="24"/>
                <w:szCs w:val="24"/>
              </w:rPr>
            </w:pPr>
            <w:r w:rsidRPr="00060F53">
              <w:rPr>
                <w:rFonts w:ascii="Arial" w:hAnsi="Arial" w:cs="Arial"/>
                <w:sz w:val="24"/>
                <w:szCs w:val="24"/>
              </w:rPr>
              <w:t xml:space="preserve">           </w:t>
            </w:r>
            <w:r w:rsidR="00F119D5">
              <w:rPr>
                <w:rFonts w:ascii="Arial" w:hAnsi="Arial" w:cs="Arial"/>
                <w:sz w:val="24"/>
                <w:szCs w:val="24"/>
              </w:rPr>
              <w:t xml:space="preserve">  </w:t>
            </w:r>
            <w:r w:rsidRPr="00060F53">
              <w:rPr>
                <w:rFonts w:ascii="Arial" w:hAnsi="Arial" w:cs="Arial"/>
                <w:sz w:val="24"/>
                <w:szCs w:val="24"/>
              </w:rPr>
              <w:t xml:space="preserve">    </w:t>
            </w:r>
            <w:r w:rsidR="00060F53">
              <w:rPr>
                <w:rFonts w:ascii="Arial" w:hAnsi="Arial" w:cs="Arial"/>
                <w:sz w:val="24"/>
                <w:szCs w:val="24"/>
              </w:rPr>
              <w:t xml:space="preserve"> </w:t>
            </w:r>
            <w:r w:rsidRPr="00060F53">
              <w:rPr>
                <w:rFonts w:ascii="Arial" w:hAnsi="Arial" w:cs="Arial"/>
                <w:sz w:val="24"/>
                <w:szCs w:val="24"/>
              </w:rPr>
              <w:t xml:space="preserve">    Budget Forecast</w:t>
            </w:r>
          </w:p>
          <w:p w14:paraId="2F99F21E" w14:textId="77777777" w:rsidR="00B35782" w:rsidRPr="00060F53" w:rsidRDefault="00B35782" w:rsidP="00B35782">
            <w:pPr>
              <w:tabs>
                <w:tab w:val="left" w:pos="408"/>
                <w:tab w:val="left" w:pos="1023"/>
                <w:tab w:val="right" w:pos="6531"/>
              </w:tabs>
              <w:rPr>
                <w:rFonts w:ascii="Arial" w:hAnsi="Arial" w:cs="Arial"/>
                <w:sz w:val="24"/>
                <w:szCs w:val="24"/>
              </w:rPr>
            </w:pPr>
            <w:r w:rsidRPr="00060F53">
              <w:rPr>
                <w:rFonts w:ascii="Arial" w:hAnsi="Arial" w:cs="Arial"/>
                <w:sz w:val="24"/>
                <w:szCs w:val="24"/>
              </w:rPr>
              <w:tab/>
            </w:r>
            <w:r w:rsidR="00F119D5">
              <w:rPr>
                <w:rFonts w:ascii="Arial" w:hAnsi="Arial" w:cs="Arial"/>
                <w:sz w:val="24"/>
                <w:szCs w:val="24"/>
              </w:rPr>
              <w:t xml:space="preserve">   </w:t>
            </w:r>
            <w:r w:rsidRPr="00060F53">
              <w:rPr>
                <w:rFonts w:ascii="Arial" w:hAnsi="Arial" w:cs="Arial"/>
                <w:sz w:val="24"/>
                <w:szCs w:val="24"/>
              </w:rPr>
              <w:tab/>
            </w:r>
            <w:r w:rsidR="00F119D5">
              <w:rPr>
                <w:rFonts w:ascii="Arial" w:hAnsi="Arial" w:cs="Arial"/>
                <w:sz w:val="24"/>
                <w:szCs w:val="24"/>
              </w:rPr>
              <w:t xml:space="preserve">  </w:t>
            </w:r>
            <w:r w:rsidRPr="00060F53">
              <w:rPr>
                <w:rFonts w:ascii="Arial" w:hAnsi="Arial" w:cs="Arial"/>
                <w:sz w:val="24"/>
                <w:szCs w:val="24"/>
              </w:rPr>
              <w:t xml:space="preserve"> </w:t>
            </w:r>
            <w:r w:rsidR="00060F53">
              <w:rPr>
                <w:rFonts w:ascii="Arial" w:hAnsi="Arial" w:cs="Arial"/>
                <w:sz w:val="24"/>
                <w:szCs w:val="24"/>
              </w:rPr>
              <w:t xml:space="preserve"> </w:t>
            </w:r>
            <w:r w:rsidRPr="00060F53">
              <w:rPr>
                <w:rFonts w:ascii="Arial" w:hAnsi="Arial" w:cs="Arial"/>
                <w:sz w:val="24"/>
                <w:szCs w:val="24"/>
              </w:rPr>
              <w:t xml:space="preserve">   Investment Strategy</w:t>
            </w:r>
          </w:p>
          <w:p w14:paraId="3FEA38C6" w14:textId="77777777" w:rsidR="00B35782" w:rsidRPr="00060F53" w:rsidRDefault="00B35782" w:rsidP="00B35782">
            <w:pPr>
              <w:tabs>
                <w:tab w:val="left" w:pos="408"/>
                <w:tab w:val="left" w:pos="1023"/>
                <w:tab w:val="right" w:pos="6531"/>
              </w:tabs>
              <w:rPr>
                <w:rFonts w:ascii="Arial" w:hAnsi="Arial" w:cs="Arial"/>
                <w:sz w:val="24"/>
                <w:szCs w:val="24"/>
              </w:rPr>
            </w:pPr>
            <w:r w:rsidRPr="00060F53">
              <w:rPr>
                <w:rFonts w:ascii="Arial" w:hAnsi="Arial" w:cs="Arial"/>
                <w:sz w:val="24"/>
                <w:szCs w:val="24"/>
              </w:rPr>
              <w:tab/>
            </w:r>
            <w:r w:rsidRPr="00060F53">
              <w:rPr>
                <w:rFonts w:ascii="Arial" w:hAnsi="Arial" w:cs="Arial"/>
                <w:sz w:val="24"/>
                <w:szCs w:val="24"/>
              </w:rPr>
              <w:tab/>
            </w:r>
            <w:r w:rsidR="00F119D5">
              <w:rPr>
                <w:rFonts w:ascii="Arial" w:hAnsi="Arial" w:cs="Arial"/>
                <w:sz w:val="24"/>
                <w:szCs w:val="24"/>
              </w:rPr>
              <w:t xml:space="preserve">  </w:t>
            </w:r>
            <w:r w:rsidRPr="00060F53">
              <w:rPr>
                <w:rFonts w:ascii="Arial" w:hAnsi="Arial" w:cs="Arial"/>
                <w:sz w:val="24"/>
                <w:szCs w:val="24"/>
              </w:rPr>
              <w:t xml:space="preserve">  </w:t>
            </w:r>
            <w:r w:rsidR="00060F53">
              <w:rPr>
                <w:rFonts w:ascii="Arial" w:hAnsi="Arial" w:cs="Arial"/>
                <w:sz w:val="24"/>
                <w:szCs w:val="24"/>
              </w:rPr>
              <w:t xml:space="preserve"> </w:t>
            </w:r>
            <w:r w:rsidRPr="00060F53">
              <w:rPr>
                <w:rFonts w:ascii="Arial" w:hAnsi="Arial" w:cs="Arial"/>
                <w:sz w:val="24"/>
                <w:szCs w:val="24"/>
              </w:rPr>
              <w:t xml:space="preserve">  Investment Fund Management</w:t>
            </w:r>
          </w:p>
          <w:p w14:paraId="1790CF89" w14:textId="77777777" w:rsidR="00B35782" w:rsidRPr="00060F53" w:rsidRDefault="00B35782" w:rsidP="00B35782">
            <w:pPr>
              <w:tabs>
                <w:tab w:val="left" w:pos="408"/>
                <w:tab w:val="left" w:pos="1023"/>
                <w:tab w:val="right" w:pos="6531"/>
              </w:tabs>
              <w:rPr>
                <w:rFonts w:ascii="Arial" w:hAnsi="Arial" w:cs="Arial"/>
                <w:sz w:val="24"/>
                <w:szCs w:val="24"/>
              </w:rPr>
            </w:pPr>
            <w:r w:rsidRPr="00060F53">
              <w:rPr>
                <w:rFonts w:ascii="Arial" w:hAnsi="Arial" w:cs="Arial"/>
                <w:sz w:val="24"/>
                <w:szCs w:val="24"/>
              </w:rPr>
              <w:tab/>
              <w:t xml:space="preserve">         </w:t>
            </w:r>
            <w:r w:rsidR="00F119D5">
              <w:rPr>
                <w:rFonts w:ascii="Arial" w:hAnsi="Arial" w:cs="Arial"/>
                <w:sz w:val="24"/>
                <w:szCs w:val="24"/>
              </w:rPr>
              <w:t xml:space="preserve">  </w:t>
            </w:r>
            <w:r w:rsidRPr="00060F53">
              <w:rPr>
                <w:rFonts w:ascii="Arial" w:hAnsi="Arial" w:cs="Arial"/>
                <w:sz w:val="24"/>
                <w:szCs w:val="24"/>
              </w:rPr>
              <w:t xml:space="preserve">  </w:t>
            </w:r>
            <w:r w:rsidR="00060F53">
              <w:rPr>
                <w:rFonts w:ascii="Arial" w:hAnsi="Arial" w:cs="Arial"/>
                <w:sz w:val="24"/>
                <w:szCs w:val="24"/>
              </w:rPr>
              <w:t xml:space="preserve"> </w:t>
            </w:r>
            <w:r w:rsidRPr="00060F53">
              <w:rPr>
                <w:rFonts w:ascii="Arial" w:hAnsi="Arial" w:cs="Arial"/>
                <w:sz w:val="24"/>
                <w:szCs w:val="24"/>
              </w:rPr>
              <w:t xml:space="preserve">  Valuation of Investments</w:t>
            </w:r>
          </w:p>
          <w:p w14:paraId="297678D0" w14:textId="77777777" w:rsidR="00B35782" w:rsidRPr="00060F53" w:rsidRDefault="00B35782" w:rsidP="00B35782">
            <w:pPr>
              <w:tabs>
                <w:tab w:val="left" w:pos="408"/>
                <w:tab w:val="left" w:pos="1023"/>
                <w:tab w:val="right" w:pos="6531"/>
              </w:tabs>
              <w:rPr>
                <w:rFonts w:ascii="Arial" w:hAnsi="Arial" w:cs="Arial"/>
                <w:sz w:val="24"/>
                <w:szCs w:val="24"/>
              </w:rPr>
            </w:pPr>
            <w:r w:rsidRPr="00060F53">
              <w:rPr>
                <w:rFonts w:ascii="Arial" w:hAnsi="Arial" w:cs="Arial"/>
                <w:sz w:val="24"/>
                <w:szCs w:val="24"/>
              </w:rPr>
              <w:tab/>
            </w:r>
            <w:r w:rsidRPr="00060F53">
              <w:rPr>
                <w:rFonts w:ascii="Arial" w:hAnsi="Arial" w:cs="Arial"/>
                <w:sz w:val="24"/>
                <w:szCs w:val="24"/>
              </w:rPr>
              <w:tab/>
            </w:r>
            <w:r w:rsidR="00F119D5">
              <w:rPr>
                <w:rFonts w:ascii="Arial" w:hAnsi="Arial" w:cs="Arial"/>
                <w:sz w:val="24"/>
                <w:szCs w:val="24"/>
              </w:rPr>
              <w:t xml:space="preserve">  </w:t>
            </w:r>
            <w:r w:rsidRPr="00060F53">
              <w:rPr>
                <w:rFonts w:ascii="Arial" w:hAnsi="Arial" w:cs="Arial"/>
                <w:sz w:val="24"/>
                <w:szCs w:val="24"/>
              </w:rPr>
              <w:t xml:space="preserve">  </w:t>
            </w:r>
            <w:r w:rsidR="00060F53">
              <w:rPr>
                <w:rFonts w:ascii="Arial" w:hAnsi="Arial" w:cs="Arial"/>
                <w:sz w:val="24"/>
                <w:szCs w:val="24"/>
              </w:rPr>
              <w:t xml:space="preserve"> </w:t>
            </w:r>
            <w:r w:rsidRPr="00060F53">
              <w:rPr>
                <w:rFonts w:ascii="Arial" w:hAnsi="Arial" w:cs="Arial"/>
                <w:sz w:val="24"/>
                <w:szCs w:val="24"/>
              </w:rPr>
              <w:t xml:space="preserve">  Distribution of Investments</w:t>
            </w:r>
          </w:p>
          <w:p w14:paraId="41058653" w14:textId="77777777" w:rsidR="00B35782" w:rsidRPr="00060F53" w:rsidRDefault="00B35782" w:rsidP="00B35782">
            <w:pPr>
              <w:tabs>
                <w:tab w:val="left" w:pos="408"/>
                <w:tab w:val="left" w:pos="1023"/>
                <w:tab w:val="right" w:pos="6531"/>
              </w:tabs>
              <w:rPr>
                <w:rFonts w:ascii="Arial" w:hAnsi="Arial" w:cs="Arial"/>
                <w:sz w:val="24"/>
                <w:szCs w:val="24"/>
              </w:rPr>
            </w:pPr>
            <w:r w:rsidRPr="00060F53">
              <w:rPr>
                <w:rFonts w:ascii="Arial" w:hAnsi="Arial" w:cs="Arial"/>
                <w:sz w:val="24"/>
                <w:szCs w:val="24"/>
              </w:rPr>
              <w:t xml:space="preserve">                </w:t>
            </w:r>
            <w:r w:rsidR="00F119D5">
              <w:rPr>
                <w:rFonts w:ascii="Arial" w:hAnsi="Arial" w:cs="Arial"/>
                <w:sz w:val="24"/>
                <w:szCs w:val="24"/>
              </w:rPr>
              <w:t xml:space="preserve">  </w:t>
            </w:r>
            <w:r w:rsidRPr="00060F53">
              <w:rPr>
                <w:rFonts w:ascii="Arial" w:hAnsi="Arial" w:cs="Arial"/>
                <w:sz w:val="24"/>
                <w:szCs w:val="24"/>
              </w:rPr>
              <w:t xml:space="preserve">  </w:t>
            </w:r>
            <w:r w:rsidR="00060F53">
              <w:rPr>
                <w:rFonts w:ascii="Arial" w:hAnsi="Arial" w:cs="Arial"/>
                <w:sz w:val="24"/>
                <w:szCs w:val="24"/>
              </w:rPr>
              <w:t xml:space="preserve"> </w:t>
            </w:r>
            <w:r w:rsidRPr="00060F53">
              <w:rPr>
                <w:rFonts w:ascii="Arial" w:hAnsi="Arial" w:cs="Arial"/>
                <w:sz w:val="24"/>
                <w:szCs w:val="24"/>
              </w:rPr>
              <w:t xml:space="preserve"> Investment Returns  </w:t>
            </w:r>
          </w:p>
          <w:p w14:paraId="0BFEF1ED" w14:textId="77777777" w:rsidR="00B35782" w:rsidRPr="00060F53" w:rsidRDefault="00B35782" w:rsidP="00B35782">
            <w:pPr>
              <w:tabs>
                <w:tab w:val="left" w:pos="408"/>
                <w:tab w:val="left" w:pos="1023"/>
                <w:tab w:val="right" w:pos="6531"/>
              </w:tabs>
              <w:rPr>
                <w:rFonts w:ascii="Arial" w:hAnsi="Arial" w:cs="Arial"/>
                <w:sz w:val="24"/>
                <w:szCs w:val="24"/>
              </w:rPr>
            </w:pPr>
            <w:r w:rsidRPr="00060F53">
              <w:rPr>
                <w:rFonts w:ascii="Arial" w:hAnsi="Arial" w:cs="Arial"/>
                <w:sz w:val="24"/>
                <w:szCs w:val="24"/>
              </w:rPr>
              <w:tab/>
              <w:t xml:space="preserve">          </w:t>
            </w:r>
            <w:r w:rsidR="00F119D5">
              <w:rPr>
                <w:rFonts w:ascii="Arial" w:hAnsi="Arial" w:cs="Arial"/>
                <w:sz w:val="24"/>
                <w:szCs w:val="24"/>
              </w:rPr>
              <w:t xml:space="preserve">  </w:t>
            </w:r>
            <w:r w:rsidRPr="00060F53">
              <w:rPr>
                <w:rFonts w:ascii="Arial" w:hAnsi="Arial" w:cs="Arial"/>
                <w:sz w:val="24"/>
                <w:szCs w:val="24"/>
              </w:rPr>
              <w:t xml:space="preserve">  </w:t>
            </w:r>
            <w:r w:rsidR="00060F53">
              <w:rPr>
                <w:rFonts w:ascii="Arial" w:hAnsi="Arial" w:cs="Arial"/>
                <w:sz w:val="24"/>
                <w:szCs w:val="24"/>
              </w:rPr>
              <w:t xml:space="preserve"> </w:t>
            </w:r>
            <w:r w:rsidRPr="00060F53">
              <w:rPr>
                <w:rFonts w:ascii="Arial" w:hAnsi="Arial" w:cs="Arial"/>
                <w:sz w:val="24"/>
                <w:szCs w:val="24"/>
              </w:rPr>
              <w:t xml:space="preserve"> Market Commentary                  </w:t>
            </w:r>
          </w:p>
          <w:p w14:paraId="4E93C76C" w14:textId="77777777" w:rsidR="00F119D5" w:rsidRDefault="00B35782" w:rsidP="00060F53">
            <w:pPr>
              <w:tabs>
                <w:tab w:val="left" w:pos="408"/>
                <w:tab w:val="left" w:pos="1023"/>
                <w:tab w:val="right" w:pos="6531"/>
              </w:tabs>
              <w:rPr>
                <w:rFonts w:ascii="Arial" w:hAnsi="Arial" w:cs="Arial"/>
                <w:sz w:val="24"/>
                <w:szCs w:val="24"/>
              </w:rPr>
            </w:pPr>
            <w:r w:rsidRPr="00060F53">
              <w:rPr>
                <w:rFonts w:ascii="Arial" w:hAnsi="Arial" w:cs="Arial"/>
                <w:sz w:val="24"/>
                <w:szCs w:val="24"/>
              </w:rPr>
              <w:tab/>
              <w:t xml:space="preserve">       </w:t>
            </w:r>
            <w:r w:rsidR="00F119D5">
              <w:rPr>
                <w:rFonts w:ascii="Arial" w:hAnsi="Arial" w:cs="Arial"/>
                <w:sz w:val="24"/>
                <w:szCs w:val="24"/>
              </w:rPr>
              <w:t xml:space="preserve">  </w:t>
            </w:r>
            <w:r w:rsidRPr="00060F53">
              <w:rPr>
                <w:rFonts w:ascii="Arial" w:hAnsi="Arial" w:cs="Arial"/>
                <w:sz w:val="24"/>
                <w:szCs w:val="24"/>
              </w:rPr>
              <w:t xml:space="preserve">      </w:t>
            </w:r>
            <w:r w:rsidR="00060F53">
              <w:rPr>
                <w:rFonts w:ascii="Arial" w:hAnsi="Arial" w:cs="Arial"/>
                <w:sz w:val="24"/>
                <w:szCs w:val="24"/>
              </w:rPr>
              <w:t xml:space="preserve"> </w:t>
            </w:r>
            <w:r w:rsidRPr="00060F53">
              <w:rPr>
                <w:rFonts w:ascii="Arial" w:hAnsi="Arial" w:cs="Arial"/>
                <w:sz w:val="24"/>
                <w:szCs w:val="24"/>
              </w:rPr>
              <w:t>Investment Performance of the Fund</w:t>
            </w:r>
          </w:p>
          <w:p w14:paraId="1656482A" w14:textId="77777777" w:rsidR="003B1DBC" w:rsidRDefault="003B1DBC" w:rsidP="00060F53">
            <w:pPr>
              <w:tabs>
                <w:tab w:val="left" w:pos="408"/>
                <w:tab w:val="left" w:pos="1023"/>
                <w:tab w:val="right" w:pos="6531"/>
              </w:tabs>
              <w:rPr>
                <w:rFonts w:ascii="Arial" w:hAnsi="Arial" w:cs="Arial"/>
                <w:sz w:val="24"/>
                <w:szCs w:val="24"/>
              </w:rPr>
            </w:pPr>
            <w:r>
              <w:rPr>
                <w:rFonts w:ascii="Arial" w:hAnsi="Arial" w:cs="Arial"/>
                <w:sz w:val="24"/>
                <w:szCs w:val="24"/>
              </w:rPr>
              <w:t xml:space="preserve">                      Environmental &amp; Social Governance </w:t>
            </w:r>
          </w:p>
          <w:p w14:paraId="071B2324" w14:textId="77777777" w:rsidR="00F119D5" w:rsidRDefault="00F119D5" w:rsidP="00060F53">
            <w:pPr>
              <w:tabs>
                <w:tab w:val="left" w:pos="408"/>
                <w:tab w:val="left" w:pos="1023"/>
                <w:tab w:val="right" w:pos="6531"/>
              </w:tabs>
              <w:rPr>
                <w:rFonts w:ascii="Arial" w:hAnsi="Arial" w:cs="Arial"/>
                <w:sz w:val="24"/>
                <w:szCs w:val="24"/>
              </w:rPr>
            </w:pPr>
          </w:p>
          <w:p w14:paraId="371FD22D" w14:textId="77777777" w:rsidR="00B35782" w:rsidRDefault="00F119D5" w:rsidP="00060F53">
            <w:pPr>
              <w:tabs>
                <w:tab w:val="left" w:pos="408"/>
                <w:tab w:val="left" w:pos="1023"/>
                <w:tab w:val="right" w:pos="6531"/>
              </w:tabs>
              <w:rPr>
                <w:rFonts w:ascii="Arial" w:hAnsi="Arial" w:cs="Arial"/>
                <w:sz w:val="24"/>
                <w:szCs w:val="24"/>
              </w:rPr>
            </w:pPr>
            <w:r>
              <w:rPr>
                <w:rFonts w:ascii="Arial" w:hAnsi="Arial" w:cs="Arial"/>
                <w:sz w:val="24"/>
                <w:szCs w:val="24"/>
              </w:rPr>
              <w:t>Part D -</w:t>
            </w:r>
            <w:r w:rsidR="00B35782" w:rsidRPr="00060F53">
              <w:rPr>
                <w:rFonts w:ascii="Arial" w:hAnsi="Arial" w:cs="Arial"/>
                <w:sz w:val="24"/>
                <w:szCs w:val="24"/>
              </w:rPr>
              <w:tab/>
            </w:r>
            <w:r>
              <w:rPr>
                <w:rFonts w:ascii="Arial" w:hAnsi="Arial" w:cs="Arial"/>
                <w:sz w:val="24"/>
                <w:szCs w:val="24"/>
              </w:rPr>
              <w:t xml:space="preserve">       Actuarial Report</w:t>
            </w:r>
          </w:p>
          <w:p w14:paraId="5ACEE7BB" w14:textId="77777777" w:rsidR="00F119D5" w:rsidRDefault="00F119D5" w:rsidP="00060F53">
            <w:pPr>
              <w:tabs>
                <w:tab w:val="left" w:pos="408"/>
                <w:tab w:val="left" w:pos="1023"/>
                <w:tab w:val="right" w:pos="6531"/>
              </w:tabs>
              <w:rPr>
                <w:rFonts w:ascii="Arial" w:hAnsi="Arial" w:cs="Arial"/>
                <w:sz w:val="24"/>
                <w:szCs w:val="24"/>
              </w:rPr>
            </w:pPr>
            <w:r>
              <w:rPr>
                <w:rFonts w:ascii="Arial" w:hAnsi="Arial" w:cs="Arial"/>
                <w:sz w:val="24"/>
                <w:szCs w:val="24"/>
              </w:rPr>
              <w:t xml:space="preserve">                      Actuarial Position</w:t>
            </w:r>
          </w:p>
          <w:p w14:paraId="4E9CD38A" w14:textId="77777777" w:rsidR="00F119D5" w:rsidRDefault="00F119D5" w:rsidP="00060F53">
            <w:pPr>
              <w:tabs>
                <w:tab w:val="left" w:pos="408"/>
                <w:tab w:val="left" w:pos="1023"/>
                <w:tab w:val="right" w:pos="6531"/>
              </w:tabs>
              <w:rPr>
                <w:rFonts w:ascii="Arial" w:hAnsi="Arial" w:cs="Arial"/>
                <w:sz w:val="24"/>
                <w:szCs w:val="24"/>
              </w:rPr>
            </w:pPr>
            <w:r>
              <w:rPr>
                <w:rFonts w:ascii="Arial" w:hAnsi="Arial" w:cs="Arial"/>
                <w:sz w:val="24"/>
                <w:szCs w:val="24"/>
              </w:rPr>
              <w:t xml:space="preserve">                      Valuation Assumptions</w:t>
            </w:r>
          </w:p>
          <w:p w14:paraId="716C3078" w14:textId="77777777" w:rsidR="00F119D5" w:rsidRDefault="00F119D5" w:rsidP="00060F53">
            <w:pPr>
              <w:tabs>
                <w:tab w:val="left" w:pos="408"/>
                <w:tab w:val="left" w:pos="1023"/>
                <w:tab w:val="right" w:pos="6531"/>
              </w:tabs>
              <w:rPr>
                <w:rFonts w:ascii="Arial" w:hAnsi="Arial" w:cs="Arial"/>
                <w:sz w:val="24"/>
                <w:szCs w:val="24"/>
              </w:rPr>
            </w:pPr>
            <w:r>
              <w:rPr>
                <w:rFonts w:ascii="Arial" w:hAnsi="Arial" w:cs="Arial"/>
                <w:sz w:val="24"/>
                <w:szCs w:val="24"/>
              </w:rPr>
              <w:t xml:space="preserve">                      Certificate of the Actuary</w:t>
            </w:r>
          </w:p>
          <w:p w14:paraId="5E8C558A" w14:textId="77777777" w:rsidR="00F119D5" w:rsidRDefault="00F119D5" w:rsidP="00060F53">
            <w:pPr>
              <w:tabs>
                <w:tab w:val="left" w:pos="408"/>
                <w:tab w:val="left" w:pos="1023"/>
                <w:tab w:val="right" w:pos="6531"/>
              </w:tabs>
              <w:rPr>
                <w:rFonts w:ascii="Arial" w:hAnsi="Arial" w:cs="Arial"/>
                <w:sz w:val="24"/>
                <w:szCs w:val="24"/>
              </w:rPr>
            </w:pPr>
          </w:p>
          <w:p w14:paraId="48BA8957" w14:textId="77777777" w:rsidR="00F119D5" w:rsidRDefault="00F119D5" w:rsidP="00060F53">
            <w:pPr>
              <w:tabs>
                <w:tab w:val="left" w:pos="408"/>
                <w:tab w:val="left" w:pos="1023"/>
                <w:tab w:val="right" w:pos="6531"/>
              </w:tabs>
              <w:rPr>
                <w:rFonts w:ascii="Arial" w:hAnsi="Arial" w:cs="Arial"/>
                <w:sz w:val="24"/>
                <w:szCs w:val="24"/>
              </w:rPr>
            </w:pPr>
            <w:r>
              <w:rPr>
                <w:rFonts w:ascii="Arial" w:hAnsi="Arial" w:cs="Arial"/>
                <w:sz w:val="24"/>
                <w:szCs w:val="24"/>
              </w:rPr>
              <w:t>Appendices – Investment Strategy Statement</w:t>
            </w:r>
          </w:p>
          <w:p w14:paraId="3733B243" w14:textId="77777777" w:rsidR="00F119D5" w:rsidRDefault="00F119D5" w:rsidP="00060F53">
            <w:pPr>
              <w:tabs>
                <w:tab w:val="left" w:pos="408"/>
                <w:tab w:val="left" w:pos="1023"/>
                <w:tab w:val="right" w:pos="6531"/>
              </w:tabs>
              <w:rPr>
                <w:rFonts w:ascii="Arial" w:hAnsi="Arial" w:cs="Arial"/>
                <w:sz w:val="24"/>
                <w:szCs w:val="24"/>
              </w:rPr>
            </w:pPr>
            <w:r>
              <w:rPr>
                <w:rFonts w:ascii="Arial" w:hAnsi="Arial" w:cs="Arial"/>
                <w:sz w:val="24"/>
                <w:szCs w:val="24"/>
              </w:rPr>
              <w:t xml:space="preserve">                       Funding Strategy Statement</w:t>
            </w:r>
          </w:p>
          <w:p w14:paraId="554A7E25" w14:textId="77777777" w:rsidR="00F119D5" w:rsidRDefault="00F119D5" w:rsidP="00060F53">
            <w:pPr>
              <w:tabs>
                <w:tab w:val="left" w:pos="408"/>
                <w:tab w:val="left" w:pos="1023"/>
                <w:tab w:val="right" w:pos="6531"/>
              </w:tabs>
              <w:rPr>
                <w:rFonts w:ascii="Arial" w:hAnsi="Arial" w:cs="Arial"/>
                <w:sz w:val="24"/>
                <w:szCs w:val="24"/>
              </w:rPr>
            </w:pPr>
            <w:r>
              <w:rPr>
                <w:rFonts w:ascii="Arial" w:hAnsi="Arial" w:cs="Arial"/>
                <w:sz w:val="24"/>
                <w:szCs w:val="24"/>
              </w:rPr>
              <w:t xml:space="preserve">                       Governance Statement</w:t>
            </w:r>
          </w:p>
          <w:p w14:paraId="25D6280F" w14:textId="77777777" w:rsidR="00F119D5" w:rsidRDefault="00F119D5" w:rsidP="00060F53">
            <w:pPr>
              <w:tabs>
                <w:tab w:val="left" w:pos="408"/>
                <w:tab w:val="left" w:pos="1023"/>
                <w:tab w:val="right" w:pos="6531"/>
              </w:tabs>
              <w:rPr>
                <w:rFonts w:ascii="Arial" w:hAnsi="Arial" w:cs="Arial"/>
                <w:sz w:val="24"/>
                <w:szCs w:val="24"/>
              </w:rPr>
            </w:pPr>
            <w:r>
              <w:rPr>
                <w:rFonts w:ascii="Arial" w:hAnsi="Arial" w:cs="Arial"/>
                <w:sz w:val="24"/>
                <w:szCs w:val="24"/>
              </w:rPr>
              <w:t xml:space="preserve">                       Communications Policy </w:t>
            </w:r>
          </w:p>
          <w:p w14:paraId="23CBA064" w14:textId="77777777" w:rsidR="00F119D5" w:rsidRDefault="00F119D5" w:rsidP="00060F53">
            <w:pPr>
              <w:tabs>
                <w:tab w:val="left" w:pos="408"/>
                <w:tab w:val="left" w:pos="1023"/>
                <w:tab w:val="right" w:pos="6531"/>
              </w:tabs>
              <w:rPr>
                <w:rFonts w:ascii="Arial" w:hAnsi="Arial" w:cs="Arial"/>
                <w:sz w:val="24"/>
                <w:szCs w:val="24"/>
              </w:rPr>
            </w:pPr>
            <w:r>
              <w:rPr>
                <w:rFonts w:ascii="Arial" w:hAnsi="Arial" w:cs="Arial"/>
                <w:sz w:val="24"/>
                <w:szCs w:val="24"/>
              </w:rPr>
              <w:t xml:space="preserve">                       ESG Policy</w:t>
            </w:r>
          </w:p>
          <w:p w14:paraId="55D4E71B" w14:textId="77777777" w:rsidR="00F119D5" w:rsidRDefault="00F119D5" w:rsidP="00060F53">
            <w:pPr>
              <w:tabs>
                <w:tab w:val="left" w:pos="408"/>
                <w:tab w:val="left" w:pos="1023"/>
                <w:tab w:val="right" w:pos="6531"/>
              </w:tabs>
              <w:rPr>
                <w:rFonts w:ascii="Arial" w:hAnsi="Arial" w:cs="Arial"/>
                <w:sz w:val="24"/>
                <w:szCs w:val="24"/>
              </w:rPr>
            </w:pPr>
            <w:r>
              <w:rPr>
                <w:rFonts w:ascii="Arial" w:hAnsi="Arial" w:cs="Arial"/>
                <w:sz w:val="24"/>
                <w:szCs w:val="24"/>
              </w:rPr>
              <w:t xml:space="preserve">                       Glossary</w:t>
            </w:r>
          </w:p>
          <w:p w14:paraId="63B2DB49" w14:textId="77777777" w:rsidR="00F119D5" w:rsidRDefault="00F119D5" w:rsidP="00060F53">
            <w:pPr>
              <w:tabs>
                <w:tab w:val="left" w:pos="408"/>
                <w:tab w:val="left" w:pos="1023"/>
                <w:tab w:val="right" w:pos="6531"/>
              </w:tabs>
              <w:rPr>
                <w:rFonts w:ascii="Arial" w:hAnsi="Arial" w:cs="Arial"/>
                <w:sz w:val="24"/>
                <w:szCs w:val="24"/>
              </w:rPr>
            </w:pPr>
            <w:r>
              <w:rPr>
                <w:rFonts w:ascii="Arial" w:hAnsi="Arial" w:cs="Arial"/>
                <w:sz w:val="24"/>
                <w:szCs w:val="24"/>
              </w:rPr>
              <w:t xml:space="preserve">  </w:t>
            </w:r>
          </w:p>
          <w:p w14:paraId="5F936F9C" w14:textId="77777777" w:rsidR="00F119D5" w:rsidRPr="00060F53" w:rsidRDefault="00F119D5" w:rsidP="00060F53">
            <w:pPr>
              <w:tabs>
                <w:tab w:val="left" w:pos="408"/>
                <w:tab w:val="left" w:pos="1023"/>
                <w:tab w:val="right" w:pos="6531"/>
              </w:tabs>
              <w:rPr>
                <w:rFonts w:ascii="Arial" w:hAnsi="Arial" w:cs="Arial"/>
                <w:sz w:val="24"/>
                <w:szCs w:val="24"/>
              </w:rPr>
            </w:pPr>
          </w:p>
        </w:tc>
        <w:tc>
          <w:tcPr>
            <w:tcW w:w="1830" w:type="dxa"/>
            <w:shd w:val="clear" w:color="auto" w:fill="auto"/>
          </w:tcPr>
          <w:p w14:paraId="362DA9AF" w14:textId="77777777" w:rsidR="00B35782" w:rsidRPr="00060F53" w:rsidRDefault="00CC0670" w:rsidP="00B35782">
            <w:pPr>
              <w:jc w:val="right"/>
              <w:rPr>
                <w:rFonts w:ascii="Arial" w:hAnsi="Arial" w:cs="Arial"/>
                <w:sz w:val="24"/>
                <w:szCs w:val="24"/>
              </w:rPr>
            </w:pPr>
            <w:r>
              <w:rPr>
                <w:rFonts w:ascii="Arial" w:hAnsi="Arial" w:cs="Arial"/>
                <w:sz w:val="24"/>
                <w:szCs w:val="24"/>
              </w:rPr>
              <w:t>1</w:t>
            </w:r>
            <w:r w:rsidR="00C72932">
              <w:rPr>
                <w:rFonts w:ascii="Arial" w:hAnsi="Arial" w:cs="Arial"/>
                <w:sz w:val="24"/>
                <w:szCs w:val="24"/>
              </w:rPr>
              <w:t>19</w:t>
            </w:r>
          </w:p>
          <w:p w14:paraId="10D37BA3" w14:textId="77777777" w:rsidR="00B35782" w:rsidRPr="00060F53" w:rsidRDefault="00CC0670" w:rsidP="00B35782">
            <w:pPr>
              <w:jc w:val="right"/>
              <w:rPr>
                <w:rFonts w:ascii="Arial" w:hAnsi="Arial" w:cs="Arial"/>
                <w:sz w:val="24"/>
                <w:szCs w:val="24"/>
              </w:rPr>
            </w:pPr>
            <w:r>
              <w:rPr>
                <w:rFonts w:ascii="Arial" w:hAnsi="Arial" w:cs="Arial"/>
                <w:sz w:val="24"/>
                <w:szCs w:val="24"/>
              </w:rPr>
              <w:t>1</w:t>
            </w:r>
            <w:r w:rsidR="00C72932">
              <w:rPr>
                <w:rFonts w:ascii="Arial" w:hAnsi="Arial" w:cs="Arial"/>
                <w:sz w:val="24"/>
                <w:szCs w:val="24"/>
              </w:rPr>
              <w:t>19</w:t>
            </w:r>
          </w:p>
          <w:p w14:paraId="1C3AE69F" w14:textId="77777777" w:rsidR="00B35782" w:rsidRPr="00060F53" w:rsidRDefault="00CC0670" w:rsidP="00B35782">
            <w:pPr>
              <w:jc w:val="right"/>
              <w:rPr>
                <w:rFonts w:ascii="Arial" w:hAnsi="Arial" w:cs="Arial"/>
                <w:sz w:val="24"/>
                <w:szCs w:val="24"/>
              </w:rPr>
            </w:pPr>
            <w:r>
              <w:rPr>
                <w:rFonts w:ascii="Arial" w:hAnsi="Arial" w:cs="Arial"/>
                <w:sz w:val="24"/>
                <w:szCs w:val="24"/>
              </w:rPr>
              <w:t>1</w:t>
            </w:r>
            <w:r w:rsidR="00F54769">
              <w:rPr>
                <w:rFonts w:ascii="Arial" w:hAnsi="Arial" w:cs="Arial"/>
                <w:sz w:val="24"/>
                <w:szCs w:val="24"/>
              </w:rPr>
              <w:t>2</w:t>
            </w:r>
            <w:r w:rsidR="00C72932">
              <w:rPr>
                <w:rFonts w:ascii="Arial" w:hAnsi="Arial" w:cs="Arial"/>
                <w:sz w:val="24"/>
                <w:szCs w:val="24"/>
              </w:rPr>
              <w:t>0</w:t>
            </w:r>
          </w:p>
          <w:p w14:paraId="1AAE2367" w14:textId="77777777" w:rsidR="00B35782" w:rsidRPr="00060F53" w:rsidRDefault="00CC0670" w:rsidP="00B35782">
            <w:pPr>
              <w:jc w:val="right"/>
              <w:rPr>
                <w:rFonts w:ascii="Arial" w:hAnsi="Arial" w:cs="Arial"/>
                <w:sz w:val="24"/>
                <w:szCs w:val="24"/>
              </w:rPr>
            </w:pPr>
            <w:r>
              <w:rPr>
                <w:rFonts w:ascii="Arial" w:hAnsi="Arial" w:cs="Arial"/>
                <w:sz w:val="24"/>
                <w:szCs w:val="24"/>
              </w:rPr>
              <w:t>1</w:t>
            </w:r>
            <w:r w:rsidR="00F54769">
              <w:rPr>
                <w:rFonts w:ascii="Arial" w:hAnsi="Arial" w:cs="Arial"/>
                <w:sz w:val="24"/>
                <w:szCs w:val="24"/>
              </w:rPr>
              <w:t>2</w:t>
            </w:r>
            <w:r w:rsidR="00C72932">
              <w:rPr>
                <w:rFonts w:ascii="Arial" w:hAnsi="Arial" w:cs="Arial"/>
                <w:sz w:val="24"/>
                <w:szCs w:val="24"/>
              </w:rPr>
              <w:t>0</w:t>
            </w:r>
          </w:p>
          <w:p w14:paraId="2590DE64" w14:textId="77777777" w:rsidR="00B35782" w:rsidRPr="00060F53" w:rsidRDefault="00CC0670" w:rsidP="00B35782">
            <w:pPr>
              <w:jc w:val="right"/>
              <w:rPr>
                <w:rFonts w:ascii="Arial" w:hAnsi="Arial" w:cs="Arial"/>
                <w:sz w:val="24"/>
                <w:szCs w:val="24"/>
              </w:rPr>
            </w:pPr>
            <w:r>
              <w:rPr>
                <w:rFonts w:ascii="Arial" w:hAnsi="Arial" w:cs="Arial"/>
                <w:sz w:val="24"/>
                <w:szCs w:val="24"/>
              </w:rPr>
              <w:t>1</w:t>
            </w:r>
            <w:r w:rsidR="00F54769">
              <w:rPr>
                <w:rFonts w:ascii="Arial" w:hAnsi="Arial" w:cs="Arial"/>
                <w:sz w:val="24"/>
                <w:szCs w:val="24"/>
              </w:rPr>
              <w:t>2</w:t>
            </w:r>
            <w:r w:rsidR="00C72932">
              <w:rPr>
                <w:rFonts w:ascii="Arial" w:hAnsi="Arial" w:cs="Arial"/>
                <w:sz w:val="24"/>
                <w:szCs w:val="24"/>
              </w:rPr>
              <w:t>1</w:t>
            </w:r>
          </w:p>
          <w:p w14:paraId="41B0701B" w14:textId="77777777" w:rsidR="00B35782" w:rsidRPr="00060F53" w:rsidRDefault="00CC0670" w:rsidP="00B35782">
            <w:pPr>
              <w:jc w:val="right"/>
              <w:rPr>
                <w:rFonts w:ascii="Arial" w:hAnsi="Arial" w:cs="Arial"/>
                <w:sz w:val="24"/>
                <w:szCs w:val="24"/>
              </w:rPr>
            </w:pPr>
            <w:r>
              <w:rPr>
                <w:rFonts w:ascii="Arial" w:hAnsi="Arial" w:cs="Arial"/>
                <w:sz w:val="24"/>
                <w:szCs w:val="24"/>
              </w:rPr>
              <w:t>12</w:t>
            </w:r>
            <w:r w:rsidR="00C72932">
              <w:rPr>
                <w:rFonts w:ascii="Arial" w:hAnsi="Arial" w:cs="Arial"/>
                <w:sz w:val="24"/>
                <w:szCs w:val="24"/>
              </w:rPr>
              <w:t>2</w:t>
            </w:r>
          </w:p>
          <w:p w14:paraId="28C9841E" w14:textId="77777777" w:rsidR="00B35782" w:rsidRPr="00060F53" w:rsidRDefault="00CC0670" w:rsidP="00B35782">
            <w:pPr>
              <w:jc w:val="right"/>
              <w:rPr>
                <w:rFonts w:ascii="Arial" w:hAnsi="Arial" w:cs="Arial"/>
                <w:sz w:val="24"/>
                <w:szCs w:val="24"/>
              </w:rPr>
            </w:pPr>
            <w:r>
              <w:rPr>
                <w:rFonts w:ascii="Arial" w:hAnsi="Arial" w:cs="Arial"/>
                <w:sz w:val="24"/>
                <w:szCs w:val="24"/>
              </w:rPr>
              <w:t>12</w:t>
            </w:r>
            <w:r w:rsidR="00C72932">
              <w:rPr>
                <w:rFonts w:ascii="Arial" w:hAnsi="Arial" w:cs="Arial"/>
                <w:sz w:val="24"/>
                <w:szCs w:val="24"/>
              </w:rPr>
              <w:t>3</w:t>
            </w:r>
          </w:p>
          <w:p w14:paraId="55DE313D" w14:textId="77777777" w:rsidR="00B35782" w:rsidRPr="00060F53" w:rsidRDefault="003B1DBC" w:rsidP="00B35782">
            <w:pPr>
              <w:jc w:val="right"/>
              <w:rPr>
                <w:rFonts w:ascii="Arial" w:hAnsi="Arial" w:cs="Arial"/>
                <w:sz w:val="24"/>
                <w:szCs w:val="24"/>
              </w:rPr>
            </w:pPr>
            <w:r>
              <w:rPr>
                <w:rFonts w:ascii="Arial" w:hAnsi="Arial" w:cs="Arial"/>
                <w:sz w:val="24"/>
                <w:szCs w:val="24"/>
              </w:rPr>
              <w:t>1</w:t>
            </w:r>
            <w:r w:rsidR="004004F9">
              <w:rPr>
                <w:rFonts w:ascii="Arial" w:hAnsi="Arial" w:cs="Arial"/>
                <w:sz w:val="24"/>
                <w:szCs w:val="24"/>
              </w:rPr>
              <w:t>2</w:t>
            </w:r>
            <w:r w:rsidR="00C72932">
              <w:rPr>
                <w:rFonts w:ascii="Arial" w:hAnsi="Arial" w:cs="Arial"/>
                <w:sz w:val="24"/>
                <w:szCs w:val="24"/>
              </w:rPr>
              <w:t>4</w:t>
            </w:r>
          </w:p>
          <w:p w14:paraId="4813CFCB" w14:textId="77777777" w:rsidR="003B1DBC" w:rsidRDefault="003B1DBC" w:rsidP="00B35782">
            <w:pPr>
              <w:jc w:val="right"/>
              <w:rPr>
                <w:rFonts w:ascii="Arial" w:hAnsi="Arial" w:cs="Arial"/>
                <w:sz w:val="24"/>
                <w:szCs w:val="24"/>
              </w:rPr>
            </w:pPr>
            <w:r>
              <w:rPr>
                <w:rFonts w:ascii="Arial" w:hAnsi="Arial" w:cs="Arial"/>
                <w:sz w:val="24"/>
                <w:szCs w:val="24"/>
              </w:rPr>
              <w:t>1</w:t>
            </w:r>
            <w:r w:rsidR="004004F9">
              <w:rPr>
                <w:rFonts w:ascii="Arial" w:hAnsi="Arial" w:cs="Arial"/>
                <w:sz w:val="24"/>
                <w:szCs w:val="24"/>
              </w:rPr>
              <w:t>2</w:t>
            </w:r>
            <w:r w:rsidR="00C72932">
              <w:rPr>
                <w:rFonts w:ascii="Arial" w:hAnsi="Arial" w:cs="Arial"/>
                <w:sz w:val="24"/>
                <w:szCs w:val="24"/>
              </w:rPr>
              <w:t>4</w:t>
            </w:r>
          </w:p>
          <w:p w14:paraId="3B178865" w14:textId="77777777" w:rsidR="009F05E2" w:rsidRDefault="009F05E2" w:rsidP="00B35782">
            <w:pPr>
              <w:jc w:val="right"/>
              <w:rPr>
                <w:rFonts w:ascii="Arial" w:hAnsi="Arial" w:cs="Arial"/>
                <w:sz w:val="24"/>
                <w:szCs w:val="24"/>
              </w:rPr>
            </w:pPr>
            <w:r>
              <w:rPr>
                <w:rFonts w:ascii="Arial" w:hAnsi="Arial" w:cs="Arial"/>
                <w:sz w:val="24"/>
                <w:szCs w:val="24"/>
              </w:rPr>
              <w:t>12</w:t>
            </w:r>
            <w:r w:rsidR="00C72932">
              <w:rPr>
                <w:rFonts w:ascii="Arial" w:hAnsi="Arial" w:cs="Arial"/>
                <w:sz w:val="24"/>
                <w:szCs w:val="24"/>
              </w:rPr>
              <w:t>5</w:t>
            </w:r>
          </w:p>
          <w:p w14:paraId="10D868E1" w14:textId="77777777" w:rsidR="00F119D5" w:rsidRDefault="00F119D5" w:rsidP="00B35782">
            <w:pPr>
              <w:jc w:val="right"/>
              <w:rPr>
                <w:rFonts w:ascii="Arial" w:hAnsi="Arial" w:cs="Arial"/>
                <w:sz w:val="24"/>
                <w:szCs w:val="24"/>
              </w:rPr>
            </w:pPr>
          </w:p>
          <w:p w14:paraId="593C3F93" w14:textId="77777777" w:rsidR="00F119D5" w:rsidRDefault="003B1DBC" w:rsidP="00B35782">
            <w:pPr>
              <w:jc w:val="right"/>
              <w:rPr>
                <w:rFonts w:ascii="Arial" w:hAnsi="Arial" w:cs="Arial"/>
                <w:sz w:val="24"/>
                <w:szCs w:val="24"/>
              </w:rPr>
            </w:pPr>
            <w:r>
              <w:rPr>
                <w:rFonts w:ascii="Arial" w:hAnsi="Arial" w:cs="Arial"/>
                <w:sz w:val="24"/>
                <w:szCs w:val="24"/>
              </w:rPr>
              <w:t>1</w:t>
            </w:r>
            <w:r w:rsidR="004004F9">
              <w:rPr>
                <w:rFonts w:ascii="Arial" w:hAnsi="Arial" w:cs="Arial"/>
                <w:sz w:val="24"/>
                <w:szCs w:val="24"/>
              </w:rPr>
              <w:t>2</w:t>
            </w:r>
            <w:r w:rsidR="00C72932">
              <w:rPr>
                <w:rFonts w:ascii="Arial" w:hAnsi="Arial" w:cs="Arial"/>
                <w:sz w:val="24"/>
                <w:szCs w:val="24"/>
              </w:rPr>
              <w:t>6</w:t>
            </w:r>
          </w:p>
          <w:p w14:paraId="775FE14F" w14:textId="77777777" w:rsidR="00F119D5" w:rsidRDefault="003B1DBC" w:rsidP="00B35782">
            <w:pPr>
              <w:jc w:val="right"/>
              <w:rPr>
                <w:rFonts w:ascii="Arial" w:hAnsi="Arial" w:cs="Arial"/>
                <w:sz w:val="24"/>
                <w:szCs w:val="24"/>
              </w:rPr>
            </w:pPr>
            <w:r>
              <w:rPr>
                <w:rFonts w:ascii="Arial" w:hAnsi="Arial" w:cs="Arial"/>
                <w:sz w:val="24"/>
                <w:szCs w:val="24"/>
              </w:rPr>
              <w:t>1</w:t>
            </w:r>
            <w:r w:rsidR="004004F9">
              <w:rPr>
                <w:rFonts w:ascii="Arial" w:hAnsi="Arial" w:cs="Arial"/>
                <w:sz w:val="24"/>
                <w:szCs w:val="24"/>
              </w:rPr>
              <w:t>2</w:t>
            </w:r>
            <w:r w:rsidR="00C72932">
              <w:rPr>
                <w:rFonts w:ascii="Arial" w:hAnsi="Arial" w:cs="Arial"/>
                <w:sz w:val="24"/>
                <w:szCs w:val="24"/>
              </w:rPr>
              <w:t>6</w:t>
            </w:r>
          </w:p>
          <w:p w14:paraId="34539E05" w14:textId="77777777" w:rsidR="00F119D5" w:rsidRDefault="008D739E" w:rsidP="00B35782">
            <w:pPr>
              <w:jc w:val="right"/>
              <w:rPr>
                <w:rFonts w:ascii="Arial" w:hAnsi="Arial" w:cs="Arial"/>
                <w:sz w:val="24"/>
                <w:szCs w:val="24"/>
              </w:rPr>
            </w:pPr>
            <w:r>
              <w:rPr>
                <w:rFonts w:ascii="Arial" w:hAnsi="Arial" w:cs="Arial"/>
                <w:sz w:val="24"/>
                <w:szCs w:val="24"/>
              </w:rPr>
              <w:t>1</w:t>
            </w:r>
            <w:r w:rsidR="00DA1FE8">
              <w:rPr>
                <w:rFonts w:ascii="Arial" w:hAnsi="Arial" w:cs="Arial"/>
                <w:sz w:val="24"/>
                <w:szCs w:val="24"/>
              </w:rPr>
              <w:t>2</w:t>
            </w:r>
            <w:r w:rsidR="00C72932">
              <w:rPr>
                <w:rFonts w:ascii="Arial" w:hAnsi="Arial" w:cs="Arial"/>
                <w:sz w:val="24"/>
                <w:szCs w:val="24"/>
              </w:rPr>
              <w:t>7</w:t>
            </w:r>
          </w:p>
          <w:p w14:paraId="06E1E549" w14:textId="77777777" w:rsidR="005227C7" w:rsidRDefault="00F54769" w:rsidP="00B35782">
            <w:pPr>
              <w:jc w:val="right"/>
              <w:rPr>
                <w:rFonts w:ascii="Arial" w:hAnsi="Arial" w:cs="Arial"/>
                <w:sz w:val="24"/>
                <w:szCs w:val="24"/>
              </w:rPr>
            </w:pPr>
            <w:r>
              <w:rPr>
                <w:rFonts w:ascii="Arial" w:hAnsi="Arial" w:cs="Arial"/>
                <w:sz w:val="24"/>
                <w:szCs w:val="24"/>
              </w:rPr>
              <w:t>13</w:t>
            </w:r>
            <w:r w:rsidR="00C72932">
              <w:rPr>
                <w:rFonts w:ascii="Arial" w:hAnsi="Arial" w:cs="Arial"/>
                <w:sz w:val="24"/>
                <w:szCs w:val="24"/>
              </w:rPr>
              <w:t>2</w:t>
            </w:r>
          </w:p>
          <w:p w14:paraId="2325CF3A" w14:textId="77777777" w:rsidR="00F54769" w:rsidRDefault="00F54769" w:rsidP="00B35782">
            <w:pPr>
              <w:jc w:val="right"/>
              <w:rPr>
                <w:rFonts w:ascii="Arial" w:hAnsi="Arial" w:cs="Arial"/>
                <w:sz w:val="24"/>
                <w:szCs w:val="24"/>
              </w:rPr>
            </w:pPr>
          </w:p>
          <w:p w14:paraId="7C8BB643" w14:textId="77777777" w:rsidR="005227C7" w:rsidRDefault="005227C7" w:rsidP="00B35782">
            <w:pPr>
              <w:jc w:val="right"/>
              <w:rPr>
                <w:rFonts w:ascii="Arial" w:hAnsi="Arial" w:cs="Arial"/>
                <w:sz w:val="24"/>
                <w:szCs w:val="24"/>
              </w:rPr>
            </w:pPr>
            <w:r>
              <w:rPr>
                <w:rFonts w:ascii="Arial" w:hAnsi="Arial" w:cs="Arial"/>
                <w:sz w:val="24"/>
                <w:szCs w:val="24"/>
              </w:rPr>
              <w:t>1</w:t>
            </w:r>
            <w:r w:rsidR="004004F9">
              <w:rPr>
                <w:rFonts w:ascii="Arial" w:hAnsi="Arial" w:cs="Arial"/>
                <w:sz w:val="24"/>
                <w:szCs w:val="24"/>
              </w:rPr>
              <w:t>4</w:t>
            </w:r>
            <w:r w:rsidR="00C72932">
              <w:rPr>
                <w:rFonts w:ascii="Arial" w:hAnsi="Arial" w:cs="Arial"/>
                <w:sz w:val="24"/>
                <w:szCs w:val="24"/>
              </w:rPr>
              <w:t>6</w:t>
            </w:r>
          </w:p>
          <w:p w14:paraId="16DC3283" w14:textId="77777777" w:rsidR="00F119D5" w:rsidRDefault="005227C7" w:rsidP="00B35782">
            <w:pPr>
              <w:jc w:val="right"/>
              <w:rPr>
                <w:rFonts w:ascii="Arial" w:hAnsi="Arial" w:cs="Arial"/>
                <w:sz w:val="24"/>
                <w:szCs w:val="24"/>
              </w:rPr>
            </w:pPr>
            <w:r>
              <w:rPr>
                <w:rFonts w:ascii="Arial" w:hAnsi="Arial" w:cs="Arial"/>
                <w:sz w:val="24"/>
                <w:szCs w:val="24"/>
              </w:rPr>
              <w:t>1</w:t>
            </w:r>
            <w:r w:rsidR="004004F9">
              <w:rPr>
                <w:rFonts w:ascii="Arial" w:hAnsi="Arial" w:cs="Arial"/>
                <w:sz w:val="24"/>
                <w:szCs w:val="24"/>
              </w:rPr>
              <w:t>5</w:t>
            </w:r>
            <w:r w:rsidR="00C72932">
              <w:rPr>
                <w:rFonts w:ascii="Arial" w:hAnsi="Arial" w:cs="Arial"/>
                <w:sz w:val="24"/>
                <w:szCs w:val="24"/>
              </w:rPr>
              <w:t>3</w:t>
            </w:r>
          </w:p>
          <w:p w14:paraId="188A7CF8" w14:textId="77777777" w:rsidR="00F119D5" w:rsidRDefault="00E9620F" w:rsidP="00B35782">
            <w:pPr>
              <w:jc w:val="right"/>
              <w:rPr>
                <w:rFonts w:ascii="Arial" w:hAnsi="Arial" w:cs="Arial"/>
                <w:sz w:val="24"/>
                <w:szCs w:val="24"/>
              </w:rPr>
            </w:pPr>
            <w:r>
              <w:rPr>
                <w:rFonts w:ascii="Arial" w:hAnsi="Arial" w:cs="Arial"/>
                <w:sz w:val="24"/>
                <w:szCs w:val="24"/>
              </w:rPr>
              <w:t>19</w:t>
            </w:r>
            <w:r w:rsidR="00C72932">
              <w:rPr>
                <w:rFonts w:ascii="Arial" w:hAnsi="Arial" w:cs="Arial"/>
                <w:sz w:val="24"/>
                <w:szCs w:val="24"/>
              </w:rPr>
              <w:t>5</w:t>
            </w:r>
          </w:p>
          <w:p w14:paraId="13E90479" w14:textId="77777777" w:rsidR="005227C7" w:rsidRDefault="00E9620F" w:rsidP="00B35782">
            <w:pPr>
              <w:jc w:val="right"/>
              <w:rPr>
                <w:rFonts w:ascii="Arial" w:hAnsi="Arial" w:cs="Arial"/>
                <w:sz w:val="24"/>
                <w:szCs w:val="24"/>
              </w:rPr>
            </w:pPr>
            <w:r>
              <w:rPr>
                <w:rFonts w:ascii="Arial" w:hAnsi="Arial" w:cs="Arial"/>
                <w:sz w:val="24"/>
                <w:szCs w:val="24"/>
              </w:rPr>
              <w:t>2</w:t>
            </w:r>
            <w:r w:rsidR="00F54769">
              <w:rPr>
                <w:rFonts w:ascii="Arial" w:hAnsi="Arial" w:cs="Arial"/>
                <w:sz w:val="24"/>
                <w:szCs w:val="24"/>
              </w:rPr>
              <w:t>2</w:t>
            </w:r>
            <w:r w:rsidR="00C72932">
              <w:rPr>
                <w:rFonts w:ascii="Arial" w:hAnsi="Arial" w:cs="Arial"/>
                <w:sz w:val="24"/>
                <w:szCs w:val="24"/>
              </w:rPr>
              <w:t>1</w:t>
            </w:r>
          </w:p>
          <w:p w14:paraId="6D5D4948" w14:textId="77777777" w:rsidR="005227C7" w:rsidRDefault="004004F9" w:rsidP="00B35782">
            <w:pPr>
              <w:jc w:val="right"/>
              <w:rPr>
                <w:rFonts w:ascii="Arial" w:hAnsi="Arial" w:cs="Arial"/>
                <w:sz w:val="24"/>
                <w:szCs w:val="24"/>
              </w:rPr>
            </w:pPr>
            <w:r>
              <w:rPr>
                <w:rFonts w:ascii="Arial" w:hAnsi="Arial" w:cs="Arial"/>
                <w:sz w:val="24"/>
                <w:szCs w:val="24"/>
              </w:rPr>
              <w:t>2</w:t>
            </w:r>
            <w:r w:rsidR="00E9620F">
              <w:rPr>
                <w:rFonts w:ascii="Arial" w:hAnsi="Arial" w:cs="Arial"/>
                <w:sz w:val="24"/>
                <w:szCs w:val="24"/>
              </w:rPr>
              <w:t>3</w:t>
            </w:r>
            <w:r w:rsidR="00C72932">
              <w:rPr>
                <w:rFonts w:ascii="Arial" w:hAnsi="Arial" w:cs="Arial"/>
                <w:sz w:val="24"/>
                <w:szCs w:val="24"/>
              </w:rPr>
              <w:t>5</w:t>
            </w:r>
          </w:p>
          <w:p w14:paraId="2ED13942" w14:textId="77777777" w:rsidR="005227C7" w:rsidRPr="00060F53" w:rsidRDefault="004004F9" w:rsidP="00F54769">
            <w:pPr>
              <w:jc w:val="right"/>
              <w:rPr>
                <w:rFonts w:ascii="Arial" w:hAnsi="Arial" w:cs="Arial"/>
                <w:sz w:val="24"/>
                <w:szCs w:val="24"/>
              </w:rPr>
            </w:pPr>
            <w:r>
              <w:rPr>
                <w:rFonts w:ascii="Arial" w:hAnsi="Arial" w:cs="Arial"/>
                <w:sz w:val="24"/>
                <w:szCs w:val="24"/>
              </w:rPr>
              <w:t>2</w:t>
            </w:r>
            <w:r w:rsidR="00DA1FE8">
              <w:rPr>
                <w:rFonts w:ascii="Arial" w:hAnsi="Arial" w:cs="Arial"/>
                <w:sz w:val="24"/>
                <w:szCs w:val="24"/>
              </w:rPr>
              <w:t>4</w:t>
            </w:r>
            <w:r w:rsidR="00C72932">
              <w:rPr>
                <w:rFonts w:ascii="Arial" w:hAnsi="Arial" w:cs="Arial"/>
                <w:sz w:val="24"/>
                <w:szCs w:val="24"/>
              </w:rPr>
              <w:t>7</w:t>
            </w:r>
          </w:p>
        </w:tc>
      </w:tr>
      <w:tr w:rsidR="00F119D5" w:rsidRPr="00814920" w14:paraId="264BEEF5" w14:textId="77777777" w:rsidTr="00F119D5">
        <w:trPr>
          <w:gridAfter w:val="2"/>
          <w:wAfter w:w="7578" w:type="dxa"/>
          <w:trHeight w:val="322"/>
        </w:trPr>
        <w:tc>
          <w:tcPr>
            <w:tcW w:w="574" w:type="dxa"/>
            <w:shd w:val="clear" w:color="auto" w:fill="auto"/>
          </w:tcPr>
          <w:p w14:paraId="0E42C25E" w14:textId="77777777" w:rsidR="00F119D5" w:rsidRPr="00060F53" w:rsidRDefault="00F119D5" w:rsidP="00B35782">
            <w:pPr>
              <w:rPr>
                <w:rFonts w:ascii="Arial" w:hAnsi="Arial" w:cs="Arial"/>
                <w:sz w:val="24"/>
                <w:szCs w:val="24"/>
              </w:rPr>
            </w:pPr>
          </w:p>
        </w:tc>
        <w:tc>
          <w:tcPr>
            <w:tcW w:w="1377" w:type="dxa"/>
            <w:shd w:val="clear" w:color="auto" w:fill="auto"/>
          </w:tcPr>
          <w:p w14:paraId="32273C95" w14:textId="77777777" w:rsidR="00F119D5" w:rsidRPr="00060F53" w:rsidRDefault="00F119D5" w:rsidP="00B35782">
            <w:pPr>
              <w:jc w:val="right"/>
              <w:rPr>
                <w:rFonts w:ascii="Arial" w:hAnsi="Arial" w:cs="Arial"/>
                <w:sz w:val="24"/>
                <w:szCs w:val="24"/>
              </w:rPr>
            </w:pPr>
            <w:r>
              <w:rPr>
                <w:rFonts w:ascii="Arial" w:hAnsi="Arial" w:cs="Arial"/>
                <w:sz w:val="24"/>
                <w:szCs w:val="24"/>
              </w:rPr>
              <w:t xml:space="preserve"> </w:t>
            </w:r>
          </w:p>
        </w:tc>
      </w:tr>
    </w:tbl>
    <w:p w14:paraId="4A1AE3C7" w14:textId="77777777" w:rsidR="00FB6AC2" w:rsidRDefault="00FB6AC2" w:rsidP="005E4F16">
      <w:pPr>
        <w:tabs>
          <w:tab w:val="left" w:pos="567"/>
          <w:tab w:val="right" w:pos="9072"/>
        </w:tabs>
        <w:rPr>
          <w:rFonts w:ascii="Arial" w:hAnsi="Arial"/>
        </w:rPr>
      </w:pPr>
    </w:p>
    <w:p w14:paraId="04A11AAB" w14:textId="77777777" w:rsidR="00124CA7" w:rsidRPr="003D7DFA" w:rsidRDefault="00124CA7" w:rsidP="005E4F16">
      <w:pPr>
        <w:tabs>
          <w:tab w:val="left" w:pos="567"/>
          <w:tab w:val="right" w:pos="9072"/>
        </w:tabs>
        <w:rPr>
          <w:rFonts w:ascii="Arial" w:hAnsi="Arial"/>
        </w:rPr>
      </w:pPr>
    </w:p>
    <w:p w14:paraId="3388CFA3" w14:textId="77777777" w:rsidR="00902B91" w:rsidRPr="0097434C" w:rsidRDefault="00902B91" w:rsidP="005E4F16">
      <w:pPr>
        <w:ind w:right="566"/>
        <w:outlineLvl w:val="0"/>
        <w:rPr>
          <w:rFonts w:ascii="Arial" w:hAnsi="Arial"/>
          <w:b/>
        </w:rPr>
      </w:pPr>
      <w:r w:rsidRPr="0097434C">
        <w:rPr>
          <w:rFonts w:ascii="Arial" w:hAnsi="Arial"/>
          <w:b/>
        </w:rPr>
        <w:lastRenderedPageBreak/>
        <w:t>Introduction</w:t>
      </w:r>
    </w:p>
    <w:p w14:paraId="22927EED" w14:textId="77777777" w:rsidR="00902B91" w:rsidRPr="003812B2" w:rsidRDefault="00902B91" w:rsidP="005E4F16">
      <w:pPr>
        <w:ind w:right="566"/>
        <w:rPr>
          <w:rFonts w:ascii="Arial" w:hAnsi="Arial"/>
          <w:sz w:val="24"/>
        </w:rPr>
      </w:pPr>
    </w:p>
    <w:p w14:paraId="691C1459" w14:textId="77777777" w:rsidR="00902B91" w:rsidRPr="0097434C" w:rsidRDefault="00902B91" w:rsidP="005E4F16">
      <w:pPr>
        <w:ind w:right="26"/>
        <w:jc w:val="both"/>
        <w:rPr>
          <w:rFonts w:ascii="Arial" w:hAnsi="Arial"/>
          <w:sz w:val="24"/>
        </w:rPr>
      </w:pPr>
      <w:r w:rsidRPr="0097434C">
        <w:rPr>
          <w:rFonts w:ascii="Arial" w:hAnsi="Arial"/>
          <w:sz w:val="24"/>
        </w:rPr>
        <w:t>The purpose of the Annual Report is to provide information for contributors and other interested parties on the management and administration of the Pension Fund during the year.</w:t>
      </w:r>
    </w:p>
    <w:p w14:paraId="75459AC2" w14:textId="77777777" w:rsidR="00902B91" w:rsidRPr="0097434C" w:rsidRDefault="00902B91" w:rsidP="005E4F16">
      <w:pPr>
        <w:ind w:right="26"/>
        <w:jc w:val="both"/>
        <w:rPr>
          <w:rFonts w:ascii="Arial" w:hAnsi="Arial"/>
          <w:sz w:val="24"/>
        </w:rPr>
      </w:pPr>
    </w:p>
    <w:p w14:paraId="0A4EEB0F" w14:textId="77777777" w:rsidR="00902B91" w:rsidRPr="0097434C" w:rsidRDefault="00246776" w:rsidP="005E4F16">
      <w:pPr>
        <w:ind w:right="26"/>
        <w:jc w:val="both"/>
        <w:rPr>
          <w:rFonts w:ascii="Arial" w:hAnsi="Arial"/>
          <w:sz w:val="24"/>
        </w:rPr>
      </w:pPr>
      <w:r>
        <w:rPr>
          <w:rFonts w:ascii="Arial" w:hAnsi="Arial"/>
          <w:sz w:val="24"/>
        </w:rPr>
        <w:t xml:space="preserve">The report for </w:t>
      </w:r>
      <w:r w:rsidR="00D57009">
        <w:rPr>
          <w:rFonts w:ascii="Arial" w:hAnsi="Arial"/>
          <w:sz w:val="24"/>
        </w:rPr>
        <w:t>2021/22</w:t>
      </w:r>
      <w:r w:rsidR="001046D5">
        <w:rPr>
          <w:rFonts w:ascii="Arial" w:hAnsi="Arial"/>
          <w:sz w:val="24"/>
        </w:rPr>
        <w:t xml:space="preserve"> </w:t>
      </w:r>
      <w:r w:rsidR="00902B91" w:rsidRPr="0097434C">
        <w:rPr>
          <w:rFonts w:ascii="Arial" w:hAnsi="Arial"/>
          <w:sz w:val="24"/>
        </w:rPr>
        <w:t xml:space="preserve">includes the accounts for the year, an outline of the City &amp; County </w:t>
      </w:r>
      <w:r w:rsidR="00B4408B">
        <w:rPr>
          <w:rFonts w:ascii="Arial" w:hAnsi="Arial"/>
          <w:sz w:val="24"/>
        </w:rPr>
        <w:t>of Swansea</w:t>
      </w:r>
      <w:r w:rsidR="00902B91" w:rsidRPr="0097434C">
        <w:rPr>
          <w:rFonts w:ascii="Arial" w:hAnsi="Arial"/>
          <w:sz w:val="24"/>
        </w:rPr>
        <w:t xml:space="preserve"> Pension </w:t>
      </w:r>
      <w:r w:rsidR="00A32A17">
        <w:rPr>
          <w:rFonts w:ascii="Arial" w:hAnsi="Arial"/>
          <w:sz w:val="24"/>
        </w:rPr>
        <w:t>Fund</w:t>
      </w:r>
      <w:r w:rsidR="00902B91" w:rsidRPr="0097434C">
        <w:rPr>
          <w:rFonts w:ascii="Arial" w:hAnsi="Arial"/>
          <w:sz w:val="24"/>
        </w:rPr>
        <w:t xml:space="preserve"> together with details of membership and changes to basic scheme details that have either taken place during the year or are proposed for the future.  In addition, the report includes the Actuarial Statement applicable for the year and a report on Investments and Investment performance for the year.</w:t>
      </w:r>
    </w:p>
    <w:p w14:paraId="109C4531" w14:textId="77777777" w:rsidR="00902B91" w:rsidRPr="0097434C" w:rsidRDefault="00902B91" w:rsidP="005E4F16">
      <w:pPr>
        <w:ind w:right="26"/>
        <w:jc w:val="both"/>
        <w:rPr>
          <w:rFonts w:ascii="Arial" w:hAnsi="Arial"/>
          <w:sz w:val="24"/>
        </w:rPr>
      </w:pPr>
    </w:p>
    <w:p w14:paraId="561718C1" w14:textId="77777777" w:rsidR="00902B91" w:rsidRDefault="00471288" w:rsidP="005E4F16">
      <w:pPr>
        <w:ind w:right="26"/>
        <w:jc w:val="both"/>
        <w:rPr>
          <w:rFonts w:ascii="Arial" w:hAnsi="Arial"/>
          <w:sz w:val="24"/>
        </w:rPr>
      </w:pPr>
      <w:r>
        <w:rPr>
          <w:rFonts w:ascii="Arial" w:hAnsi="Arial"/>
          <w:color w:val="000000"/>
          <w:sz w:val="24"/>
        </w:rPr>
        <w:t xml:space="preserve">The accounts included in the report have been prepared in accordance with the </w:t>
      </w:r>
      <w:r w:rsidRPr="001261D6">
        <w:rPr>
          <w:rFonts w:ascii="Arial" w:hAnsi="Arial"/>
          <w:i/>
          <w:color w:val="000000"/>
          <w:sz w:val="24"/>
        </w:rPr>
        <w:t xml:space="preserve">Code of Practice on Local Authority Accounting in the United Kingdom </w:t>
      </w:r>
      <w:r w:rsidR="00D57009">
        <w:rPr>
          <w:rFonts w:ascii="Arial" w:hAnsi="Arial"/>
          <w:i/>
          <w:color w:val="000000"/>
          <w:sz w:val="24"/>
        </w:rPr>
        <w:t>2021/22</w:t>
      </w:r>
      <w:r>
        <w:rPr>
          <w:rFonts w:ascii="Arial" w:hAnsi="Arial"/>
          <w:color w:val="000000"/>
          <w:sz w:val="24"/>
        </w:rPr>
        <w:t xml:space="preserve"> which is based upon International Financial Reporting Standards (IFRS), as amended for the UK public sector.</w:t>
      </w:r>
    </w:p>
    <w:p w14:paraId="4F1D878B" w14:textId="77777777" w:rsidR="00471288" w:rsidRPr="0097434C" w:rsidRDefault="00471288" w:rsidP="005E4F16">
      <w:pPr>
        <w:ind w:right="26"/>
        <w:jc w:val="both"/>
        <w:rPr>
          <w:rFonts w:ascii="Arial" w:hAnsi="Arial"/>
          <w:sz w:val="24"/>
        </w:rPr>
      </w:pPr>
    </w:p>
    <w:p w14:paraId="3AE5BAC2" w14:textId="77777777" w:rsidR="003812B2" w:rsidRDefault="00902B91" w:rsidP="005E4F16">
      <w:pPr>
        <w:ind w:right="26"/>
        <w:jc w:val="both"/>
        <w:outlineLvl w:val="0"/>
        <w:rPr>
          <w:rFonts w:ascii="Arial" w:hAnsi="Arial"/>
          <w:sz w:val="24"/>
        </w:rPr>
      </w:pPr>
      <w:r w:rsidRPr="0097434C">
        <w:rPr>
          <w:rFonts w:ascii="Arial" w:hAnsi="Arial"/>
          <w:sz w:val="24"/>
        </w:rPr>
        <w:t xml:space="preserve">The key statistics for the Fund are illustrated in the three year profile of the Fund on page </w:t>
      </w:r>
      <w:r w:rsidR="00E56229">
        <w:rPr>
          <w:rFonts w:ascii="Arial" w:hAnsi="Arial"/>
          <w:sz w:val="24"/>
        </w:rPr>
        <w:t>3</w:t>
      </w:r>
      <w:r w:rsidR="003812B2">
        <w:rPr>
          <w:rFonts w:ascii="Arial" w:hAnsi="Arial"/>
          <w:sz w:val="24"/>
        </w:rPr>
        <w:t>.</w:t>
      </w:r>
    </w:p>
    <w:p w14:paraId="1A3A8776" w14:textId="77777777" w:rsidR="00301B60" w:rsidRDefault="00301B60" w:rsidP="005E4F16">
      <w:pPr>
        <w:ind w:right="26"/>
        <w:jc w:val="both"/>
        <w:outlineLvl w:val="0"/>
        <w:rPr>
          <w:rFonts w:ascii="Arial" w:hAnsi="Arial"/>
          <w:sz w:val="24"/>
        </w:rPr>
      </w:pPr>
    </w:p>
    <w:p w14:paraId="526B6B52" w14:textId="77777777" w:rsidR="00301B60" w:rsidRDefault="00301B60" w:rsidP="005E4F16">
      <w:pPr>
        <w:ind w:right="26"/>
        <w:jc w:val="both"/>
        <w:outlineLvl w:val="0"/>
        <w:rPr>
          <w:rFonts w:ascii="Arial" w:hAnsi="Arial"/>
          <w:sz w:val="24"/>
        </w:rPr>
      </w:pPr>
    </w:p>
    <w:p w14:paraId="7E00FE21" w14:textId="77777777" w:rsidR="00301B60" w:rsidRDefault="00301B60" w:rsidP="005E4F16">
      <w:pPr>
        <w:ind w:right="26"/>
        <w:jc w:val="both"/>
        <w:outlineLvl w:val="0"/>
        <w:rPr>
          <w:rFonts w:ascii="Arial" w:hAnsi="Arial"/>
          <w:sz w:val="24"/>
        </w:rPr>
      </w:pPr>
    </w:p>
    <w:p w14:paraId="072233EC" w14:textId="77777777" w:rsidR="00301B60" w:rsidRDefault="00301B60" w:rsidP="005E4F16">
      <w:pPr>
        <w:ind w:right="26"/>
        <w:jc w:val="both"/>
        <w:outlineLvl w:val="0"/>
        <w:rPr>
          <w:rFonts w:ascii="Arial" w:hAnsi="Arial"/>
          <w:sz w:val="24"/>
        </w:rPr>
      </w:pPr>
    </w:p>
    <w:p w14:paraId="462EA8FE" w14:textId="77777777" w:rsidR="00301B60" w:rsidRDefault="00301B60" w:rsidP="005E4F16">
      <w:pPr>
        <w:ind w:right="26"/>
        <w:jc w:val="both"/>
        <w:outlineLvl w:val="0"/>
        <w:rPr>
          <w:rFonts w:ascii="Arial" w:hAnsi="Arial"/>
          <w:sz w:val="24"/>
        </w:rPr>
      </w:pPr>
    </w:p>
    <w:p w14:paraId="07160453" w14:textId="77777777" w:rsidR="00301B60" w:rsidRDefault="00301B60" w:rsidP="005E4F16">
      <w:pPr>
        <w:ind w:right="26"/>
        <w:jc w:val="both"/>
        <w:outlineLvl w:val="0"/>
        <w:rPr>
          <w:rFonts w:ascii="Arial" w:hAnsi="Arial"/>
          <w:sz w:val="24"/>
        </w:rPr>
      </w:pPr>
    </w:p>
    <w:p w14:paraId="72B094C7" w14:textId="77777777" w:rsidR="00301B60" w:rsidRDefault="00301B60" w:rsidP="005E4F16">
      <w:pPr>
        <w:ind w:right="26"/>
        <w:jc w:val="both"/>
        <w:outlineLvl w:val="0"/>
        <w:rPr>
          <w:rFonts w:ascii="Arial" w:hAnsi="Arial"/>
          <w:sz w:val="24"/>
        </w:rPr>
      </w:pPr>
    </w:p>
    <w:p w14:paraId="7B489212" w14:textId="77777777" w:rsidR="00301B60" w:rsidRDefault="00301B60" w:rsidP="005E4F16">
      <w:pPr>
        <w:ind w:right="26"/>
        <w:jc w:val="both"/>
        <w:outlineLvl w:val="0"/>
        <w:rPr>
          <w:rFonts w:ascii="Arial" w:hAnsi="Arial"/>
          <w:sz w:val="24"/>
        </w:rPr>
      </w:pPr>
    </w:p>
    <w:p w14:paraId="2A18BF71" w14:textId="77777777" w:rsidR="00301B60" w:rsidRDefault="00301B60" w:rsidP="005E4F16">
      <w:pPr>
        <w:ind w:right="26"/>
        <w:jc w:val="both"/>
        <w:outlineLvl w:val="0"/>
        <w:rPr>
          <w:rFonts w:ascii="Arial" w:hAnsi="Arial"/>
          <w:sz w:val="24"/>
        </w:rPr>
      </w:pPr>
    </w:p>
    <w:p w14:paraId="1275121E" w14:textId="77777777" w:rsidR="00301B60" w:rsidRDefault="00301B60" w:rsidP="005E4F16">
      <w:pPr>
        <w:ind w:right="26"/>
        <w:jc w:val="both"/>
        <w:outlineLvl w:val="0"/>
        <w:rPr>
          <w:rFonts w:ascii="Arial" w:hAnsi="Arial"/>
          <w:sz w:val="24"/>
        </w:rPr>
      </w:pPr>
    </w:p>
    <w:p w14:paraId="3044C7FD" w14:textId="77777777" w:rsidR="00301B60" w:rsidRDefault="00301B60" w:rsidP="005E4F16">
      <w:pPr>
        <w:ind w:right="26"/>
        <w:jc w:val="both"/>
        <w:outlineLvl w:val="0"/>
        <w:rPr>
          <w:rFonts w:ascii="Arial" w:hAnsi="Arial"/>
          <w:sz w:val="24"/>
        </w:rPr>
      </w:pPr>
    </w:p>
    <w:p w14:paraId="59B90C80" w14:textId="77777777" w:rsidR="00301B60" w:rsidRDefault="00301B60" w:rsidP="005E4F16">
      <w:pPr>
        <w:ind w:right="26"/>
        <w:jc w:val="both"/>
        <w:outlineLvl w:val="0"/>
        <w:rPr>
          <w:rFonts w:ascii="Arial" w:hAnsi="Arial"/>
          <w:sz w:val="24"/>
        </w:rPr>
      </w:pPr>
    </w:p>
    <w:p w14:paraId="2B21714E" w14:textId="77777777" w:rsidR="00301B60" w:rsidRDefault="00301B60" w:rsidP="005E4F16">
      <w:pPr>
        <w:ind w:right="26"/>
        <w:jc w:val="both"/>
        <w:outlineLvl w:val="0"/>
        <w:rPr>
          <w:rFonts w:ascii="Arial" w:hAnsi="Arial"/>
          <w:sz w:val="24"/>
        </w:rPr>
      </w:pPr>
    </w:p>
    <w:p w14:paraId="3D0478E8" w14:textId="77777777" w:rsidR="00301B60" w:rsidRDefault="00301B60" w:rsidP="005E4F16">
      <w:pPr>
        <w:ind w:right="26"/>
        <w:jc w:val="both"/>
        <w:outlineLvl w:val="0"/>
        <w:rPr>
          <w:rFonts w:ascii="Arial" w:hAnsi="Arial"/>
          <w:sz w:val="24"/>
        </w:rPr>
      </w:pPr>
    </w:p>
    <w:p w14:paraId="6F9F1F44" w14:textId="77777777" w:rsidR="00301B60" w:rsidRDefault="00301B60" w:rsidP="005E4F16">
      <w:pPr>
        <w:ind w:right="26"/>
        <w:jc w:val="both"/>
        <w:outlineLvl w:val="0"/>
        <w:rPr>
          <w:rFonts w:ascii="Arial" w:hAnsi="Arial"/>
          <w:sz w:val="24"/>
        </w:rPr>
      </w:pPr>
    </w:p>
    <w:p w14:paraId="467F5C61" w14:textId="77777777" w:rsidR="00301B60" w:rsidRDefault="00301B60" w:rsidP="005E4F16">
      <w:pPr>
        <w:ind w:right="26"/>
        <w:jc w:val="both"/>
        <w:outlineLvl w:val="0"/>
        <w:rPr>
          <w:rFonts w:ascii="Arial" w:hAnsi="Arial"/>
          <w:sz w:val="24"/>
        </w:rPr>
      </w:pPr>
    </w:p>
    <w:p w14:paraId="1F07C5A4" w14:textId="77777777" w:rsidR="00301B60" w:rsidRDefault="00301B60" w:rsidP="005E4F16">
      <w:pPr>
        <w:ind w:right="26"/>
        <w:jc w:val="both"/>
        <w:outlineLvl w:val="0"/>
        <w:rPr>
          <w:rFonts w:ascii="Arial" w:hAnsi="Arial"/>
          <w:sz w:val="24"/>
        </w:rPr>
      </w:pPr>
    </w:p>
    <w:p w14:paraId="0835D43C" w14:textId="77777777" w:rsidR="00124CA7" w:rsidRDefault="00124CA7" w:rsidP="005E4F16">
      <w:pPr>
        <w:ind w:right="26"/>
        <w:jc w:val="both"/>
        <w:outlineLvl w:val="0"/>
        <w:rPr>
          <w:rFonts w:ascii="Arial" w:hAnsi="Arial"/>
          <w:sz w:val="24"/>
        </w:rPr>
      </w:pPr>
    </w:p>
    <w:p w14:paraId="141BC95B" w14:textId="77777777" w:rsidR="00124CA7" w:rsidRDefault="00124CA7" w:rsidP="005E4F16">
      <w:pPr>
        <w:ind w:right="26"/>
        <w:jc w:val="both"/>
        <w:outlineLvl w:val="0"/>
        <w:rPr>
          <w:rFonts w:ascii="Arial" w:hAnsi="Arial"/>
          <w:sz w:val="24"/>
        </w:rPr>
      </w:pPr>
    </w:p>
    <w:p w14:paraId="09086D72" w14:textId="77777777" w:rsidR="00124CA7" w:rsidRDefault="00124CA7" w:rsidP="005E4F16">
      <w:pPr>
        <w:ind w:right="26"/>
        <w:jc w:val="both"/>
        <w:outlineLvl w:val="0"/>
        <w:rPr>
          <w:rFonts w:ascii="Arial" w:hAnsi="Arial"/>
          <w:sz w:val="24"/>
        </w:rPr>
      </w:pPr>
    </w:p>
    <w:p w14:paraId="235B6989" w14:textId="77777777" w:rsidR="00124CA7" w:rsidRDefault="00124CA7" w:rsidP="005E4F16">
      <w:pPr>
        <w:ind w:right="26"/>
        <w:jc w:val="both"/>
        <w:outlineLvl w:val="0"/>
        <w:rPr>
          <w:rFonts w:ascii="Arial" w:hAnsi="Arial"/>
          <w:sz w:val="24"/>
        </w:rPr>
      </w:pPr>
    </w:p>
    <w:p w14:paraId="04EC6C50" w14:textId="77777777" w:rsidR="00124CA7" w:rsidRDefault="00124CA7" w:rsidP="005E4F16">
      <w:pPr>
        <w:ind w:right="26"/>
        <w:jc w:val="both"/>
        <w:outlineLvl w:val="0"/>
        <w:rPr>
          <w:rFonts w:ascii="Arial" w:hAnsi="Arial"/>
          <w:sz w:val="24"/>
        </w:rPr>
      </w:pPr>
    </w:p>
    <w:p w14:paraId="7D03EDBC" w14:textId="77777777" w:rsidR="00124CA7" w:rsidRDefault="00124CA7" w:rsidP="005E4F16">
      <w:pPr>
        <w:ind w:right="26"/>
        <w:jc w:val="both"/>
        <w:outlineLvl w:val="0"/>
        <w:rPr>
          <w:rFonts w:ascii="Arial" w:hAnsi="Arial"/>
          <w:sz w:val="24"/>
        </w:rPr>
      </w:pPr>
    </w:p>
    <w:p w14:paraId="1AC439BD" w14:textId="77777777" w:rsidR="00124CA7" w:rsidRDefault="00124CA7" w:rsidP="005E4F16">
      <w:pPr>
        <w:ind w:right="26"/>
        <w:jc w:val="both"/>
        <w:outlineLvl w:val="0"/>
        <w:rPr>
          <w:rFonts w:ascii="Arial" w:hAnsi="Arial"/>
          <w:sz w:val="24"/>
        </w:rPr>
      </w:pPr>
    </w:p>
    <w:p w14:paraId="74E7C59F" w14:textId="77777777" w:rsidR="00124CA7" w:rsidRDefault="00124CA7" w:rsidP="005E4F16">
      <w:pPr>
        <w:ind w:right="26"/>
        <w:jc w:val="both"/>
        <w:outlineLvl w:val="0"/>
        <w:rPr>
          <w:rFonts w:ascii="Arial" w:hAnsi="Arial"/>
          <w:sz w:val="24"/>
        </w:rPr>
      </w:pPr>
    </w:p>
    <w:p w14:paraId="7A956D47" w14:textId="77777777" w:rsidR="00124CA7" w:rsidRDefault="00124CA7" w:rsidP="005E4F16">
      <w:pPr>
        <w:ind w:right="26"/>
        <w:jc w:val="both"/>
        <w:outlineLvl w:val="0"/>
        <w:rPr>
          <w:rFonts w:ascii="Arial" w:hAnsi="Arial"/>
          <w:sz w:val="24"/>
        </w:rPr>
      </w:pPr>
    </w:p>
    <w:p w14:paraId="518E3B32" w14:textId="77777777" w:rsidR="00124CA7" w:rsidRDefault="00124CA7" w:rsidP="005E4F16">
      <w:pPr>
        <w:ind w:right="26"/>
        <w:jc w:val="both"/>
        <w:outlineLvl w:val="0"/>
        <w:rPr>
          <w:rFonts w:ascii="Arial" w:hAnsi="Arial"/>
          <w:sz w:val="24"/>
        </w:rPr>
      </w:pPr>
    </w:p>
    <w:p w14:paraId="5881D77C" w14:textId="77777777" w:rsidR="00124CA7" w:rsidRDefault="00124CA7" w:rsidP="005E4F16">
      <w:pPr>
        <w:ind w:right="26"/>
        <w:jc w:val="both"/>
        <w:outlineLvl w:val="0"/>
        <w:rPr>
          <w:rFonts w:ascii="Arial" w:hAnsi="Arial"/>
          <w:sz w:val="24"/>
        </w:rPr>
      </w:pPr>
    </w:p>
    <w:p w14:paraId="0834A696" w14:textId="77777777" w:rsidR="00124CA7" w:rsidRDefault="00124CA7" w:rsidP="005E4F16">
      <w:pPr>
        <w:ind w:right="26"/>
        <w:jc w:val="both"/>
        <w:outlineLvl w:val="0"/>
        <w:rPr>
          <w:rFonts w:ascii="Arial" w:hAnsi="Arial"/>
          <w:sz w:val="24"/>
        </w:rPr>
      </w:pPr>
    </w:p>
    <w:p w14:paraId="66E7899A" w14:textId="77777777" w:rsidR="00124CA7" w:rsidRDefault="00124CA7" w:rsidP="005E4F16">
      <w:pPr>
        <w:ind w:right="26"/>
        <w:jc w:val="both"/>
        <w:outlineLvl w:val="0"/>
        <w:rPr>
          <w:rFonts w:ascii="Arial" w:hAnsi="Arial"/>
          <w:sz w:val="24"/>
        </w:rPr>
      </w:pPr>
    </w:p>
    <w:p w14:paraId="5B96D33A" w14:textId="77777777" w:rsidR="00301B60" w:rsidRDefault="00301B60" w:rsidP="005E4F16">
      <w:pPr>
        <w:ind w:right="26"/>
        <w:jc w:val="both"/>
        <w:outlineLvl w:val="0"/>
        <w:rPr>
          <w:rFonts w:ascii="Arial" w:hAnsi="Arial"/>
          <w:sz w:val="24"/>
        </w:rPr>
      </w:pPr>
    </w:p>
    <w:p w14:paraId="443242B1" w14:textId="77777777" w:rsidR="00902B91" w:rsidRPr="003812B2" w:rsidRDefault="00902B91" w:rsidP="005E4F16">
      <w:pPr>
        <w:rPr>
          <w:rFonts w:ascii="Arial" w:hAnsi="Arial"/>
          <w:b/>
        </w:rPr>
      </w:pPr>
      <w:r w:rsidRPr="003812B2">
        <w:rPr>
          <w:rFonts w:ascii="Arial" w:hAnsi="Arial"/>
          <w:b/>
        </w:rPr>
        <w:lastRenderedPageBreak/>
        <w:t>Three Year Profile of Statistics of the Fund</w:t>
      </w:r>
    </w:p>
    <w:p w14:paraId="57356C59" w14:textId="77777777" w:rsidR="00902B91" w:rsidRPr="003812B2" w:rsidRDefault="00902B91" w:rsidP="005E4F16">
      <w:pPr>
        <w:rPr>
          <w:rFonts w:ascii="Arial" w:hAnsi="Arial"/>
        </w:rPr>
      </w:pPr>
    </w:p>
    <w:p w14:paraId="378A6953" w14:textId="77777777" w:rsidR="00902B91" w:rsidRPr="003812B2" w:rsidRDefault="00902B91" w:rsidP="005E4F16">
      <w:pPr>
        <w:rPr>
          <w:rFonts w:ascii="Arial" w:hAnsi="Arial"/>
        </w:rPr>
      </w:pPr>
    </w:p>
    <w:tbl>
      <w:tblPr>
        <w:tblW w:w="0" w:type="auto"/>
        <w:jc w:val="center"/>
        <w:tblLayout w:type="fixed"/>
        <w:tblLook w:val="0000" w:firstRow="0" w:lastRow="0" w:firstColumn="0" w:lastColumn="0" w:noHBand="0" w:noVBand="0"/>
      </w:tblPr>
      <w:tblGrid>
        <w:gridCol w:w="2693"/>
        <w:gridCol w:w="1736"/>
        <w:gridCol w:w="2303"/>
        <w:gridCol w:w="1773"/>
      </w:tblGrid>
      <w:tr w:rsidR="00AB42C3" w:rsidRPr="003812B2" w14:paraId="62AC7B4B" w14:textId="77777777">
        <w:trPr>
          <w:jc w:val="center"/>
        </w:trPr>
        <w:tc>
          <w:tcPr>
            <w:tcW w:w="2693" w:type="dxa"/>
          </w:tcPr>
          <w:p w14:paraId="53F76A92" w14:textId="77777777" w:rsidR="00AB42C3" w:rsidRPr="00D263C2" w:rsidRDefault="00AB42C3" w:rsidP="005E4F16">
            <w:pPr>
              <w:rPr>
                <w:rFonts w:ascii="Arial" w:hAnsi="Arial"/>
                <w:sz w:val="24"/>
              </w:rPr>
            </w:pPr>
          </w:p>
        </w:tc>
        <w:tc>
          <w:tcPr>
            <w:tcW w:w="1736" w:type="dxa"/>
          </w:tcPr>
          <w:p w14:paraId="55C03F93" w14:textId="77777777" w:rsidR="00AB42C3" w:rsidRPr="00D263C2" w:rsidRDefault="00D57009" w:rsidP="0073197C">
            <w:pPr>
              <w:jc w:val="right"/>
              <w:rPr>
                <w:rFonts w:ascii="Arial" w:hAnsi="Arial"/>
                <w:b/>
                <w:sz w:val="24"/>
              </w:rPr>
            </w:pPr>
            <w:r>
              <w:rPr>
                <w:rFonts w:ascii="Arial" w:hAnsi="Arial"/>
                <w:b/>
                <w:sz w:val="24"/>
              </w:rPr>
              <w:t>2019/20</w:t>
            </w:r>
          </w:p>
        </w:tc>
        <w:tc>
          <w:tcPr>
            <w:tcW w:w="2303" w:type="dxa"/>
          </w:tcPr>
          <w:p w14:paraId="4B53D0C1" w14:textId="77777777" w:rsidR="00AB42C3" w:rsidRPr="00D263C2" w:rsidRDefault="00D57009" w:rsidP="0029760F">
            <w:pPr>
              <w:jc w:val="right"/>
              <w:rPr>
                <w:rFonts w:ascii="Arial" w:hAnsi="Arial"/>
                <w:b/>
                <w:sz w:val="24"/>
              </w:rPr>
            </w:pPr>
            <w:r>
              <w:rPr>
                <w:rFonts w:ascii="Arial" w:hAnsi="Arial"/>
                <w:b/>
                <w:sz w:val="24"/>
              </w:rPr>
              <w:t>2020/21</w:t>
            </w:r>
          </w:p>
        </w:tc>
        <w:tc>
          <w:tcPr>
            <w:tcW w:w="1773" w:type="dxa"/>
          </w:tcPr>
          <w:p w14:paraId="697C5A98" w14:textId="77777777" w:rsidR="00AB42C3" w:rsidRPr="00D263C2" w:rsidRDefault="00D57009" w:rsidP="0029760F">
            <w:pPr>
              <w:jc w:val="right"/>
              <w:rPr>
                <w:rFonts w:ascii="Arial" w:hAnsi="Arial"/>
                <w:b/>
                <w:sz w:val="24"/>
              </w:rPr>
            </w:pPr>
            <w:r>
              <w:rPr>
                <w:rFonts w:ascii="Arial" w:hAnsi="Arial"/>
                <w:b/>
                <w:sz w:val="24"/>
              </w:rPr>
              <w:t>2021/22</w:t>
            </w:r>
          </w:p>
        </w:tc>
      </w:tr>
      <w:tr w:rsidR="00AB42C3" w:rsidRPr="003812B2" w14:paraId="659836A6" w14:textId="77777777">
        <w:trPr>
          <w:jc w:val="center"/>
        </w:trPr>
        <w:tc>
          <w:tcPr>
            <w:tcW w:w="2693" w:type="dxa"/>
          </w:tcPr>
          <w:p w14:paraId="0E02D2AD" w14:textId="77777777" w:rsidR="00AB42C3" w:rsidRPr="00D263C2" w:rsidRDefault="00AB42C3" w:rsidP="005E4F16">
            <w:pPr>
              <w:rPr>
                <w:rFonts w:ascii="Arial" w:hAnsi="Arial"/>
                <w:sz w:val="24"/>
              </w:rPr>
            </w:pPr>
          </w:p>
        </w:tc>
        <w:tc>
          <w:tcPr>
            <w:tcW w:w="1736" w:type="dxa"/>
          </w:tcPr>
          <w:p w14:paraId="1D58F5F1" w14:textId="77777777" w:rsidR="00AB42C3" w:rsidRPr="00D263C2" w:rsidRDefault="00AB42C3" w:rsidP="006766B0">
            <w:pPr>
              <w:jc w:val="right"/>
              <w:rPr>
                <w:rFonts w:ascii="Arial" w:hAnsi="Arial"/>
                <w:b/>
                <w:sz w:val="24"/>
              </w:rPr>
            </w:pPr>
            <w:r w:rsidRPr="00D263C2">
              <w:rPr>
                <w:rFonts w:ascii="Arial" w:hAnsi="Arial"/>
                <w:b/>
                <w:sz w:val="24"/>
              </w:rPr>
              <w:t>£’000</w:t>
            </w:r>
          </w:p>
        </w:tc>
        <w:tc>
          <w:tcPr>
            <w:tcW w:w="2303" w:type="dxa"/>
          </w:tcPr>
          <w:p w14:paraId="78DFCFC7" w14:textId="77777777" w:rsidR="00AB42C3" w:rsidRPr="00D263C2" w:rsidRDefault="00AB42C3" w:rsidP="006766B0">
            <w:pPr>
              <w:jc w:val="right"/>
              <w:rPr>
                <w:rFonts w:ascii="Arial" w:hAnsi="Arial"/>
                <w:b/>
                <w:sz w:val="24"/>
              </w:rPr>
            </w:pPr>
            <w:r w:rsidRPr="00D263C2">
              <w:rPr>
                <w:rFonts w:ascii="Arial" w:hAnsi="Arial"/>
                <w:b/>
                <w:sz w:val="24"/>
              </w:rPr>
              <w:t>£’000</w:t>
            </w:r>
          </w:p>
        </w:tc>
        <w:tc>
          <w:tcPr>
            <w:tcW w:w="1773" w:type="dxa"/>
          </w:tcPr>
          <w:p w14:paraId="3D32EC18" w14:textId="77777777" w:rsidR="00AB42C3" w:rsidRPr="00D263C2" w:rsidRDefault="00AB42C3" w:rsidP="005E4F16">
            <w:pPr>
              <w:jc w:val="right"/>
              <w:rPr>
                <w:rFonts w:ascii="Arial" w:hAnsi="Arial"/>
                <w:b/>
                <w:sz w:val="24"/>
              </w:rPr>
            </w:pPr>
            <w:r w:rsidRPr="00D263C2">
              <w:rPr>
                <w:rFonts w:ascii="Arial" w:hAnsi="Arial"/>
                <w:b/>
                <w:sz w:val="24"/>
              </w:rPr>
              <w:t>£’000</w:t>
            </w:r>
          </w:p>
        </w:tc>
      </w:tr>
      <w:tr w:rsidR="00AB42C3" w:rsidRPr="003812B2" w14:paraId="2CC6644B" w14:textId="77777777">
        <w:trPr>
          <w:jc w:val="center"/>
        </w:trPr>
        <w:tc>
          <w:tcPr>
            <w:tcW w:w="2693" w:type="dxa"/>
          </w:tcPr>
          <w:p w14:paraId="1B7567A8" w14:textId="77777777" w:rsidR="00AB42C3" w:rsidRPr="00D263C2" w:rsidRDefault="00AB42C3" w:rsidP="005E4F16">
            <w:pPr>
              <w:rPr>
                <w:rFonts w:ascii="Arial" w:hAnsi="Arial"/>
              </w:rPr>
            </w:pPr>
          </w:p>
        </w:tc>
        <w:tc>
          <w:tcPr>
            <w:tcW w:w="1736" w:type="dxa"/>
          </w:tcPr>
          <w:p w14:paraId="02165A59" w14:textId="77777777" w:rsidR="00AB42C3" w:rsidRPr="00D263C2" w:rsidRDefault="00AB42C3" w:rsidP="006766B0">
            <w:pPr>
              <w:jc w:val="right"/>
              <w:rPr>
                <w:rFonts w:ascii="Arial" w:hAnsi="Arial"/>
              </w:rPr>
            </w:pPr>
          </w:p>
        </w:tc>
        <w:tc>
          <w:tcPr>
            <w:tcW w:w="2303" w:type="dxa"/>
          </w:tcPr>
          <w:p w14:paraId="2E94B24B" w14:textId="77777777" w:rsidR="00AB42C3" w:rsidRPr="00D263C2" w:rsidRDefault="00AB42C3" w:rsidP="006766B0">
            <w:pPr>
              <w:jc w:val="right"/>
              <w:rPr>
                <w:rFonts w:ascii="Arial" w:hAnsi="Arial"/>
              </w:rPr>
            </w:pPr>
          </w:p>
        </w:tc>
        <w:tc>
          <w:tcPr>
            <w:tcW w:w="1773" w:type="dxa"/>
          </w:tcPr>
          <w:p w14:paraId="1988B64D" w14:textId="77777777" w:rsidR="00AB42C3" w:rsidRPr="00D263C2" w:rsidRDefault="00AB42C3" w:rsidP="005E4F16">
            <w:pPr>
              <w:jc w:val="right"/>
              <w:rPr>
                <w:rFonts w:ascii="Arial" w:hAnsi="Arial"/>
              </w:rPr>
            </w:pPr>
          </w:p>
        </w:tc>
      </w:tr>
      <w:tr w:rsidR="00AB42C3" w:rsidRPr="003812B2" w14:paraId="3673E981" w14:textId="77777777">
        <w:trPr>
          <w:jc w:val="center"/>
        </w:trPr>
        <w:tc>
          <w:tcPr>
            <w:tcW w:w="2693" w:type="dxa"/>
            <w:tcBorders>
              <w:top w:val="single" w:sz="6" w:space="0" w:color="auto"/>
            </w:tcBorders>
          </w:tcPr>
          <w:p w14:paraId="52024D30" w14:textId="77777777" w:rsidR="00AB42C3" w:rsidRPr="00D263C2" w:rsidRDefault="00AB42C3" w:rsidP="005E4F16">
            <w:pPr>
              <w:rPr>
                <w:rFonts w:ascii="Arial" w:hAnsi="Arial"/>
              </w:rPr>
            </w:pPr>
          </w:p>
        </w:tc>
        <w:tc>
          <w:tcPr>
            <w:tcW w:w="1736" w:type="dxa"/>
            <w:tcBorders>
              <w:top w:val="single" w:sz="6" w:space="0" w:color="auto"/>
            </w:tcBorders>
          </w:tcPr>
          <w:p w14:paraId="3D581044" w14:textId="77777777" w:rsidR="00AB42C3" w:rsidRPr="00D263C2" w:rsidRDefault="00AB42C3" w:rsidP="006766B0">
            <w:pPr>
              <w:jc w:val="right"/>
              <w:rPr>
                <w:rFonts w:ascii="Arial" w:hAnsi="Arial"/>
              </w:rPr>
            </w:pPr>
          </w:p>
        </w:tc>
        <w:tc>
          <w:tcPr>
            <w:tcW w:w="2303" w:type="dxa"/>
            <w:tcBorders>
              <w:top w:val="single" w:sz="6" w:space="0" w:color="auto"/>
            </w:tcBorders>
          </w:tcPr>
          <w:p w14:paraId="7674D4C5" w14:textId="77777777" w:rsidR="00AB42C3" w:rsidRPr="00D263C2" w:rsidRDefault="00AB42C3" w:rsidP="006766B0">
            <w:pPr>
              <w:jc w:val="right"/>
              <w:rPr>
                <w:rFonts w:ascii="Arial" w:hAnsi="Arial"/>
              </w:rPr>
            </w:pPr>
          </w:p>
        </w:tc>
        <w:tc>
          <w:tcPr>
            <w:tcW w:w="1773" w:type="dxa"/>
            <w:tcBorders>
              <w:top w:val="single" w:sz="6" w:space="0" w:color="auto"/>
            </w:tcBorders>
          </w:tcPr>
          <w:p w14:paraId="7B13821F" w14:textId="77777777" w:rsidR="00AB42C3" w:rsidRPr="00D263C2" w:rsidRDefault="00AB42C3" w:rsidP="005E4F16">
            <w:pPr>
              <w:jc w:val="right"/>
              <w:rPr>
                <w:rFonts w:ascii="Arial" w:hAnsi="Arial"/>
              </w:rPr>
            </w:pPr>
          </w:p>
        </w:tc>
      </w:tr>
      <w:tr w:rsidR="00AB42C3" w:rsidRPr="003812B2" w14:paraId="64C71701" w14:textId="77777777">
        <w:trPr>
          <w:jc w:val="center"/>
        </w:trPr>
        <w:tc>
          <w:tcPr>
            <w:tcW w:w="2693" w:type="dxa"/>
          </w:tcPr>
          <w:p w14:paraId="17D1D8A6" w14:textId="77777777" w:rsidR="00AB42C3" w:rsidRPr="00D263C2" w:rsidRDefault="00AB42C3" w:rsidP="005E4F16">
            <w:pPr>
              <w:rPr>
                <w:rFonts w:ascii="Arial" w:hAnsi="Arial"/>
                <w:b/>
              </w:rPr>
            </w:pPr>
            <w:r w:rsidRPr="00D263C2">
              <w:rPr>
                <w:rFonts w:ascii="Arial" w:hAnsi="Arial"/>
                <w:b/>
              </w:rPr>
              <w:t>Income</w:t>
            </w:r>
          </w:p>
        </w:tc>
        <w:tc>
          <w:tcPr>
            <w:tcW w:w="1736" w:type="dxa"/>
          </w:tcPr>
          <w:p w14:paraId="68712986" w14:textId="77777777" w:rsidR="00AB42C3" w:rsidRPr="00D263C2" w:rsidRDefault="00AB42C3" w:rsidP="006766B0">
            <w:pPr>
              <w:jc w:val="right"/>
              <w:rPr>
                <w:rFonts w:ascii="Arial" w:hAnsi="Arial"/>
                <w:b/>
              </w:rPr>
            </w:pPr>
          </w:p>
        </w:tc>
        <w:tc>
          <w:tcPr>
            <w:tcW w:w="2303" w:type="dxa"/>
          </w:tcPr>
          <w:p w14:paraId="5852F5FC" w14:textId="77777777" w:rsidR="00AB42C3" w:rsidRPr="00D263C2" w:rsidRDefault="00AB42C3" w:rsidP="006766B0">
            <w:pPr>
              <w:jc w:val="right"/>
              <w:rPr>
                <w:rFonts w:ascii="Arial" w:hAnsi="Arial"/>
                <w:b/>
              </w:rPr>
            </w:pPr>
          </w:p>
        </w:tc>
        <w:tc>
          <w:tcPr>
            <w:tcW w:w="1773" w:type="dxa"/>
          </w:tcPr>
          <w:p w14:paraId="01B3AB81" w14:textId="77777777" w:rsidR="00AB42C3" w:rsidRPr="00D263C2" w:rsidRDefault="00AB42C3" w:rsidP="005E4F16">
            <w:pPr>
              <w:jc w:val="right"/>
              <w:rPr>
                <w:rFonts w:ascii="Arial" w:hAnsi="Arial"/>
                <w:b/>
              </w:rPr>
            </w:pPr>
          </w:p>
        </w:tc>
      </w:tr>
      <w:tr w:rsidR="00AB42C3" w:rsidRPr="003812B2" w14:paraId="0C307932" w14:textId="77777777">
        <w:trPr>
          <w:jc w:val="center"/>
        </w:trPr>
        <w:tc>
          <w:tcPr>
            <w:tcW w:w="2693" w:type="dxa"/>
          </w:tcPr>
          <w:p w14:paraId="44CA6279" w14:textId="77777777" w:rsidR="00AB42C3" w:rsidRPr="00D263C2" w:rsidRDefault="00AB42C3" w:rsidP="005E4F16">
            <w:pPr>
              <w:rPr>
                <w:rFonts w:ascii="Arial" w:hAnsi="Arial"/>
              </w:rPr>
            </w:pPr>
          </w:p>
        </w:tc>
        <w:tc>
          <w:tcPr>
            <w:tcW w:w="1736" w:type="dxa"/>
          </w:tcPr>
          <w:p w14:paraId="23309606" w14:textId="77777777" w:rsidR="00AB42C3" w:rsidRPr="00D263C2" w:rsidRDefault="00AB42C3" w:rsidP="006766B0">
            <w:pPr>
              <w:jc w:val="right"/>
              <w:rPr>
                <w:rFonts w:ascii="Arial" w:hAnsi="Arial"/>
              </w:rPr>
            </w:pPr>
          </w:p>
        </w:tc>
        <w:tc>
          <w:tcPr>
            <w:tcW w:w="2303" w:type="dxa"/>
          </w:tcPr>
          <w:p w14:paraId="19F82465" w14:textId="77777777" w:rsidR="00AB42C3" w:rsidRPr="00D263C2" w:rsidRDefault="00AB42C3" w:rsidP="006766B0">
            <w:pPr>
              <w:jc w:val="right"/>
              <w:rPr>
                <w:rFonts w:ascii="Arial" w:hAnsi="Arial"/>
              </w:rPr>
            </w:pPr>
          </w:p>
        </w:tc>
        <w:tc>
          <w:tcPr>
            <w:tcW w:w="1773" w:type="dxa"/>
          </w:tcPr>
          <w:p w14:paraId="5F9903B7" w14:textId="77777777" w:rsidR="00AB42C3" w:rsidRPr="00D263C2" w:rsidRDefault="00AB42C3" w:rsidP="005E4F16">
            <w:pPr>
              <w:jc w:val="right"/>
              <w:rPr>
                <w:rFonts w:ascii="Arial" w:hAnsi="Arial"/>
              </w:rPr>
            </w:pPr>
          </w:p>
        </w:tc>
      </w:tr>
      <w:tr w:rsidR="00D57009" w:rsidRPr="003812B2" w14:paraId="1EFFCB1E" w14:textId="77777777" w:rsidTr="005F2919">
        <w:trPr>
          <w:trHeight w:val="538"/>
          <w:jc w:val="center"/>
        </w:trPr>
        <w:tc>
          <w:tcPr>
            <w:tcW w:w="2693" w:type="dxa"/>
          </w:tcPr>
          <w:p w14:paraId="3AA6345A" w14:textId="77777777" w:rsidR="00D57009" w:rsidRPr="00D263C2" w:rsidRDefault="00D57009" w:rsidP="00D57009">
            <w:pPr>
              <w:spacing w:after="86"/>
              <w:rPr>
                <w:rFonts w:ascii="Arial" w:hAnsi="Arial"/>
                <w:sz w:val="24"/>
              </w:rPr>
            </w:pPr>
            <w:r w:rsidRPr="00D263C2">
              <w:rPr>
                <w:rFonts w:ascii="Arial" w:hAnsi="Arial"/>
                <w:sz w:val="24"/>
              </w:rPr>
              <w:t>Contributions (Net)</w:t>
            </w:r>
          </w:p>
        </w:tc>
        <w:tc>
          <w:tcPr>
            <w:tcW w:w="1736" w:type="dxa"/>
          </w:tcPr>
          <w:p w14:paraId="15333B96" w14:textId="77777777" w:rsidR="00D57009" w:rsidRPr="00A377A4" w:rsidRDefault="00D57009" w:rsidP="00D57009">
            <w:pPr>
              <w:spacing w:after="86"/>
              <w:jc w:val="right"/>
              <w:rPr>
                <w:rFonts w:ascii="Arial" w:hAnsi="Arial"/>
                <w:sz w:val="24"/>
              </w:rPr>
            </w:pPr>
            <w:r>
              <w:rPr>
                <w:rFonts w:ascii="Arial" w:hAnsi="Arial"/>
                <w:sz w:val="24"/>
              </w:rPr>
              <w:t>99,701</w:t>
            </w:r>
          </w:p>
        </w:tc>
        <w:tc>
          <w:tcPr>
            <w:tcW w:w="2303" w:type="dxa"/>
          </w:tcPr>
          <w:p w14:paraId="6981A9A1" w14:textId="77777777" w:rsidR="00D57009" w:rsidRPr="00A377A4" w:rsidRDefault="00D57009" w:rsidP="00D57009">
            <w:pPr>
              <w:spacing w:after="86"/>
              <w:jc w:val="right"/>
              <w:rPr>
                <w:rFonts w:ascii="Arial" w:hAnsi="Arial"/>
                <w:sz w:val="24"/>
              </w:rPr>
            </w:pPr>
            <w:r>
              <w:rPr>
                <w:rFonts w:ascii="Arial" w:hAnsi="Arial"/>
                <w:sz w:val="24"/>
              </w:rPr>
              <w:t>102,012</w:t>
            </w:r>
          </w:p>
        </w:tc>
        <w:tc>
          <w:tcPr>
            <w:tcW w:w="1773" w:type="dxa"/>
          </w:tcPr>
          <w:p w14:paraId="2E5571E9" w14:textId="77777777" w:rsidR="00786B71" w:rsidRPr="00A377A4" w:rsidRDefault="00786B71" w:rsidP="00786B71">
            <w:pPr>
              <w:spacing w:after="86"/>
              <w:jc w:val="right"/>
              <w:rPr>
                <w:rFonts w:ascii="Arial" w:hAnsi="Arial"/>
                <w:sz w:val="24"/>
              </w:rPr>
            </w:pPr>
            <w:r>
              <w:rPr>
                <w:rFonts w:ascii="Arial" w:hAnsi="Arial"/>
                <w:sz w:val="24"/>
              </w:rPr>
              <w:t>107,528</w:t>
            </w:r>
          </w:p>
        </w:tc>
      </w:tr>
      <w:tr w:rsidR="00D57009" w:rsidRPr="003812B2" w14:paraId="425BBDC1" w14:textId="77777777">
        <w:trPr>
          <w:jc w:val="center"/>
        </w:trPr>
        <w:tc>
          <w:tcPr>
            <w:tcW w:w="2693" w:type="dxa"/>
          </w:tcPr>
          <w:p w14:paraId="561FFEB6" w14:textId="77777777" w:rsidR="00D57009" w:rsidRPr="00D263C2" w:rsidRDefault="00D57009" w:rsidP="00D57009">
            <w:pPr>
              <w:spacing w:after="86"/>
              <w:rPr>
                <w:rFonts w:ascii="Arial" w:hAnsi="Arial"/>
                <w:sz w:val="24"/>
              </w:rPr>
            </w:pPr>
            <w:r w:rsidRPr="00D263C2">
              <w:rPr>
                <w:rFonts w:ascii="Arial" w:hAnsi="Arial"/>
                <w:sz w:val="24"/>
              </w:rPr>
              <w:t>Transfer Values (Net)</w:t>
            </w:r>
          </w:p>
        </w:tc>
        <w:tc>
          <w:tcPr>
            <w:tcW w:w="1736" w:type="dxa"/>
          </w:tcPr>
          <w:p w14:paraId="247B6A87" w14:textId="77777777" w:rsidR="00D57009" w:rsidRPr="00A377A4" w:rsidRDefault="00D57009" w:rsidP="00D57009">
            <w:pPr>
              <w:spacing w:after="86"/>
              <w:jc w:val="right"/>
              <w:rPr>
                <w:rFonts w:ascii="Arial" w:hAnsi="Arial"/>
                <w:sz w:val="24"/>
              </w:rPr>
            </w:pPr>
            <w:r>
              <w:rPr>
                <w:rFonts w:ascii="Arial" w:hAnsi="Arial"/>
                <w:sz w:val="24"/>
              </w:rPr>
              <w:t xml:space="preserve"> -</w:t>
            </w:r>
          </w:p>
        </w:tc>
        <w:tc>
          <w:tcPr>
            <w:tcW w:w="2303" w:type="dxa"/>
          </w:tcPr>
          <w:p w14:paraId="2DB291CA" w14:textId="77777777" w:rsidR="00D57009" w:rsidRPr="00A377A4" w:rsidRDefault="00D57009" w:rsidP="00D57009">
            <w:pPr>
              <w:spacing w:after="86"/>
              <w:jc w:val="right"/>
              <w:rPr>
                <w:rFonts w:ascii="Arial" w:hAnsi="Arial"/>
                <w:sz w:val="24"/>
              </w:rPr>
            </w:pPr>
            <w:r>
              <w:rPr>
                <w:rFonts w:ascii="Arial" w:hAnsi="Arial"/>
                <w:sz w:val="24"/>
              </w:rPr>
              <w:t>-</w:t>
            </w:r>
          </w:p>
        </w:tc>
        <w:tc>
          <w:tcPr>
            <w:tcW w:w="1773" w:type="dxa"/>
          </w:tcPr>
          <w:p w14:paraId="368FB692" w14:textId="77777777" w:rsidR="00D57009" w:rsidRPr="00A377A4" w:rsidRDefault="00786B71" w:rsidP="00D57009">
            <w:pPr>
              <w:spacing w:after="86"/>
              <w:jc w:val="right"/>
              <w:rPr>
                <w:rFonts w:ascii="Arial" w:hAnsi="Arial"/>
                <w:sz w:val="24"/>
              </w:rPr>
            </w:pPr>
            <w:r>
              <w:rPr>
                <w:rFonts w:ascii="Arial" w:hAnsi="Arial"/>
                <w:sz w:val="24"/>
              </w:rPr>
              <w:t>3,740</w:t>
            </w:r>
          </w:p>
        </w:tc>
      </w:tr>
      <w:tr w:rsidR="00D57009" w:rsidRPr="003812B2" w14:paraId="68FC5D2C" w14:textId="77777777">
        <w:trPr>
          <w:jc w:val="center"/>
        </w:trPr>
        <w:tc>
          <w:tcPr>
            <w:tcW w:w="2693" w:type="dxa"/>
          </w:tcPr>
          <w:p w14:paraId="548B703A" w14:textId="77777777" w:rsidR="00D57009" w:rsidRPr="00D263C2" w:rsidRDefault="00D57009" w:rsidP="00D57009">
            <w:pPr>
              <w:spacing w:after="86"/>
              <w:rPr>
                <w:rFonts w:ascii="Arial" w:hAnsi="Arial"/>
                <w:sz w:val="24"/>
              </w:rPr>
            </w:pPr>
          </w:p>
        </w:tc>
        <w:tc>
          <w:tcPr>
            <w:tcW w:w="1736" w:type="dxa"/>
          </w:tcPr>
          <w:p w14:paraId="045D361E" w14:textId="77777777" w:rsidR="00D57009" w:rsidRPr="00A377A4" w:rsidRDefault="00D57009" w:rsidP="00D57009">
            <w:pPr>
              <w:jc w:val="right"/>
              <w:rPr>
                <w:rFonts w:ascii="Arial" w:hAnsi="Arial"/>
                <w:sz w:val="24"/>
              </w:rPr>
            </w:pPr>
          </w:p>
        </w:tc>
        <w:tc>
          <w:tcPr>
            <w:tcW w:w="2303" w:type="dxa"/>
          </w:tcPr>
          <w:p w14:paraId="06F1D699" w14:textId="77777777" w:rsidR="00D57009" w:rsidRPr="00A377A4" w:rsidRDefault="00D57009" w:rsidP="00D57009">
            <w:pPr>
              <w:jc w:val="right"/>
              <w:rPr>
                <w:rFonts w:ascii="Arial" w:hAnsi="Arial"/>
                <w:sz w:val="24"/>
              </w:rPr>
            </w:pPr>
          </w:p>
        </w:tc>
        <w:tc>
          <w:tcPr>
            <w:tcW w:w="1773" w:type="dxa"/>
          </w:tcPr>
          <w:p w14:paraId="06C259D1" w14:textId="77777777" w:rsidR="00D57009" w:rsidRPr="00A377A4" w:rsidRDefault="00D57009" w:rsidP="00D57009">
            <w:pPr>
              <w:jc w:val="right"/>
              <w:rPr>
                <w:rFonts w:ascii="Arial" w:hAnsi="Arial"/>
                <w:sz w:val="24"/>
              </w:rPr>
            </w:pPr>
          </w:p>
        </w:tc>
      </w:tr>
      <w:tr w:rsidR="00D57009" w:rsidRPr="003812B2" w14:paraId="712BD5C4" w14:textId="77777777">
        <w:trPr>
          <w:jc w:val="center"/>
        </w:trPr>
        <w:tc>
          <w:tcPr>
            <w:tcW w:w="2693" w:type="dxa"/>
          </w:tcPr>
          <w:p w14:paraId="348F4E4E" w14:textId="77777777" w:rsidR="00D57009" w:rsidRPr="00D263C2" w:rsidRDefault="00D57009" w:rsidP="00D57009">
            <w:pPr>
              <w:rPr>
                <w:rFonts w:ascii="Arial" w:hAnsi="Arial"/>
                <w:sz w:val="24"/>
              </w:rPr>
            </w:pPr>
          </w:p>
        </w:tc>
        <w:tc>
          <w:tcPr>
            <w:tcW w:w="1736" w:type="dxa"/>
          </w:tcPr>
          <w:p w14:paraId="78BBE0B2" w14:textId="77777777" w:rsidR="00D57009" w:rsidRPr="00A377A4" w:rsidRDefault="00D57009" w:rsidP="00D57009">
            <w:pPr>
              <w:jc w:val="right"/>
              <w:rPr>
                <w:rFonts w:ascii="Arial" w:hAnsi="Arial"/>
                <w:sz w:val="24"/>
              </w:rPr>
            </w:pPr>
          </w:p>
        </w:tc>
        <w:tc>
          <w:tcPr>
            <w:tcW w:w="2303" w:type="dxa"/>
          </w:tcPr>
          <w:p w14:paraId="5AA80F1D" w14:textId="77777777" w:rsidR="00D57009" w:rsidRPr="00A377A4" w:rsidRDefault="00D57009" w:rsidP="00D57009">
            <w:pPr>
              <w:jc w:val="right"/>
              <w:rPr>
                <w:rFonts w:ascii="Arial" w:hAnsi="Arial"/>
                <w:sz w:val="24"/>
              </w:rPr>
            </w:pPr>
          </w:p>
        </w:tc>
        <w:tc>
          <w:tcPr>
            <w:tcW w:w="1773" w:type="dxa"/>
          </w:tcPr>
          <w:p w14:paraId="7C58AE83" w14:textId="77777777" w:rsidR="00D57009" w:rsidRPr="00A377A4" w:rsidRDefault="00D57009" w:rsidP="00D57009">
            <w:pPr>
              <w:jc w:val="right"/>
              <w:rPr>
                <w:rFonts w:ascii="Arial" w:hAnsi="Arial"/>
                <w:sz w:val="24"/>
              </w:rPr>
            </w:pPr>
          </w:p>
        </w:tc>
      </w:tr>
      <w:tr w:rsidR="00D57009" w:rsidRPr="003812B2" w14:paraId="6CE911AA" w14:textId="77777777" w:rsidTr="00D523A7">
        <w:trPr>
          <w:trHeight w:val="393"/>
          <w:jc w:val="center"/>
        </w:trPr>
        <w:tc>
          <w:tcPr>
            <w:tcW w:w="2693" w:type="dxa"/>
            <w:tcBorders>
              <w:top w:val="single" w:sz="6" w:space="0" w:color="auto"/>
            </w:tcBorders>
          </w:tcPr>
          <w:p w14:paraId="39B4BBE9" w14:textId="77777777" w:rsidR="00D57009" w:rsidRPr="00D263C2" w:rsidRDefault="00D57009" w:rsidP="00D57009">
            <w:pPr>
              <w:rPr>
                <w:rFonts w:ascii="Arial" w:hAnsi="Arial"/>
                <w:sz w:val="24"/>
              </w:rPr>
            </w:pPr>
          </w:p>
        </w:tc>
        <w:tc>
          <w:tcPr>
            <w:tcW w:w="1736" w:type="dxa"/>
            <w:tcBorders>
              <w:top w:val="single" w:sz="6" w:space="0" w:color="auto"/>
            </w:tcBorders>
          </w:tcPr>
          <w:p w14:paraId="6599AF49" w14:textId="77777777" w:rsidR="00D57009" w:rsidRPr="00A377A4" w:rsidRDefault="00D57009" w:rsidP="00D57009">
            <w:pPr>
              <w:jc w:val="right"/>
              <w:rPr>
                <w:rFonts w:ascii="Arial" w:hAnsi="Arial"/>
                <w:sz w:val="24"/>
              </w:rPr>
            </w:pPr>
          </w:p>
        </w:tc>
        <w:tc>
          <w:tcPr>
            <w:tcW w:w="2303" w:type="dxa"/>
            <w:tcBorders>
              <w:top w:val="single" w:sz="6" w:space="0" w:color="auto"/>
            </w:tcBorders>
          </w:tcPr>
          <w:p w14:paraId="53E674F6" w14:textId="77777777" w:rsidR="00D57009" w:rsidRPr="00A377A4" w:rsidRDefault="00D57009" w:rsidP="00D57009">
            <w:pPr>
              <w:jc w:val="right"/>
              <w:rPr>
                <w:rFonts w:ascii="Arial" w:hAnsi="Arial"/>
                <w:sz w:val="24"/>
              </w:rPr>
            </w:pPr>
          </w:p>
        </w:tc>
        <w:tc>
          <w:tcPr>
            <w:tcW w:w="1773" w:type="dxa"/>
            <w:tcBorders>
              <w:top w:val="single" w:sz="6" w:space="0" w:color="auto"/>
            </w:tcBorders>
          </w:tcPr>
          <w:p w14:paraId="4B21DB5B" w14:textId="77777777" w:rsidR="00D57009" w:rsidRPr="00A377A4" w:rsidRDefault="00D57009" w:rsidP="00D57009">
            <w:pPr>
              <w:jc w:val="right"/>
              <w:rPr>
                <w:rFonts w:ascii="Arial" w:hAnsi="Arial"/>
                <w:sz w:val="24"/>
              </w:rPr>
            </w:pPr>
          </w:p>
        </w:tc>
      </w:tr>
      <w:tr w:rsidR="00D57009" w:rsidRPr="003812B2" w14:paraId="1C4110AD" w14:textId="77777777" w:rsidTr="00D523A7">
        <w:trPr>
          <w:jc w:val="center"/>
        </w:trPr>
        <w:tc>
          <w:tcPr>
            <w:tcW w:w="2693" w:type="dxa"/>
          </w:tcPr>
          <w:p w14:paraId="44579E45" w14:textId="77777777" w:rsidR="00D57009" w:rsidRPr="00D263C2" w:rsidRDefault="00D57009" w:rsidP="00D57009">
            <w:pPr>
              <w:rPr>
                <w:rFonts w:ascii="Arial" w:hAnsi="Arial"/>
                <w:b/>
              </w:rPr>
            </w:pPr>
            <w:r w:rsidRPr="00D263C2">
              <w:rPr>
                <w:rFonts w:ascii="Arial" w:hAnsi="Arial"/>
                <w:b/>
              </w:rPr>
              <w:t>Expenditure</w:t>
            </w:r>
          </w:p>
        </w:tc>
        <w:tc>
          <w:tcPr>
            <w:tcW w:w="1736" w:type="dxa"/>
          </w:tcPr>
          <w:p w14:paraId="705F8C1D" w14:textId="77777777" w:rsidR="00D57009" w:rsidRPr="00A377A4" w:rsidRDefault="00D57009" w:rsidP="00D57009">
            <w:pPr>
              <w:jc w:val="right"/>
              <w:rPr>
                <w:rFonts w:ascii="Arial" w:hAnsi="Arial"/>
              </w:rPr>
            </w:pPr>
          </w:p>
        </w:tc>
        <w:tc>
          <w:tcPr>
            <w:tcW w:w="2303" w:type="dxa"/>
          </w:tcPr>
          <w:p w14:paraId="1C8F2694" w14:textId="77777777" w:rsidR="00D57009" w:rsidRPr="00A377A4" w:rsidRDefault="00D57009" w:rsidP="00D57009">
            <w:pPr>
              <w:jc w:val="right"/>
              <w:rPr>
                <w:rFonts w:ascii="Arial" w:hAnsi="Arial"/>
              </w:rPr>
            </w:pPr>
          </w:p>
        </w:tc>
        <w:tc>
          <w:tcPr>
            <w:tcW w:w="1773" w:type="dxa"/>
          </w:tcPr>
          <w:p w14:paraId="3AC7C0ED" w14:textId="77777777" w:rsidR="00D57009" w:rsidRPr="00A377A4" w:rsidRDefault="00D57009" w:rsidP="00D57009">
            <w:pPr>
              <w:jc w:val="right"/>
              <w:rPr>
                <w:rFonts w:ascii="Arial" w:hAnsi="Arial"/>
              </w:rPr>
            </w:pPr>
          </w:p>
        </w:tc>
      </w:tr>
      <w:tr w:rsidR="00D57009" w:rsidRPr="003812B2" w14:paraId="120CA9C1" w14:textId="77777777">
        <w:trPr>
          <w:jc w:val="center"/>
        </w:trPr>
        <w:tc>
          <w:tcPr>
            <w:tcW w:w="2693" w:type="dxa"/>
          </w:tcPr>
          <w:p w14:paraId="072988C1" w14:textId="77777777" w:rsidR="00D57009" w:rsidRPr="00D263C2" w:rsidRDefault="00D57009" w:rsidP="00D57009">
            <w:pPr>
              <w:rPr>
                <w:rFonts w:ascii="Arial" w:hAnsi="Arial"/>
                <w:sz w:val="24"/>
              </w:rPr>
            </w:pPr>
          </w:p>
        </w:tc>
        <w:tc>
          <w:tcPr>
            <w:tcW w:w="1736" w:type="dxa"/>
          </w:tcPr>
          <w:p w14:paraId="5F7007AA" w14:textId="77777777" w:rsidR="00D57009" w:rsidRPr="00A377A4" w:rsidRDefault="00D57009" w:rsidP="00D57009">
            <w:pPr>
              <w:jc w:val="right"/>
              <w:rPr>
                <w:rFonts w:ascii="Arial" w:hAnsi="Arial"/>
                <w:sz w:val="24"/>
              </w:rPr>
            </w:pPr>
          </w:p>
        </w:tc>
        <w:tc>
          <w:tcPr>
            <w:tcW w:w="2303" w:type="dxa"/>
          </w:tcPr>
          <w:p w14:paraId="67E2DD65" w14:textId="77777777" w:rsidR="00D57009" w:rsidRPr="00A377A4" w:rsidRDefault="00D57009" w:rsidP="00D57009">
            <w:pPr>
              <w:jc w:val="right"/>
              <w:rPr>
                <w:rFonts w:ascii="Arial" w:hAnsi="Arial"/>
                <w:sz w:val="24"/>
              </w:rPr>
            </w:pPr>
          </w:p>
        </w:tc>
        <w:tc>
          <w:tcPr>
            <w:tcW w:w="1773" w:type="dxa"/>
          </w:tcPr>
          <w:p w14:paraId="05546754" w14:textId="77777777" w:rsidR="00D57009" w:rsidRPr="00A377A4" w:rsidRDefault="00D57009" w:rsidP="00D57009">
            <w:pPr>
              <w:jc w:val="right"/>
              <w:rPr>
                <w:rFonts w:ascii="Arial" w:hAnsi="Arial"/>
                <w:sz w:val="24"/>
              </w:rPr>
            </w:pPr>
          </w:p>
        </w:tc>
      </w:tr>
      <w:tr w:rsidR="00D57009" w:rsidRPr="003812B2" w14:paraId="7EC2D82F" w14:textId="77777777">
        <w:trPr>
          <w:jc w:val="center"/>
        </w:trPr>
        <w:tc>
          <w:tcPr>
            <w:tcW w:w="2693" w:type="dxa"/>
          </w:tcPr>
          <w:p w14:paraId="0AD91959" w14:textId="77777777" w:rsidR="00D57009" w:rsidRPr="00D263C2" w:rsidRDefault="00D57009" w:rsidP="00D57009">
            <w:pPr>
              <w:spacing w:after="86"/>
              <w:rPr>
                <w:rFonts w:ascii="Arial" w:hAnsi="Arial"/>
                <w:sz w:val="24"/>
              </w:rPr>
            </w:pPr>
            <w:r w:rsidRPr="00D263C2">
              <w:rPr>
                <w:rFonts w:ascii="Arial" w:hAnsi="Arial"/>
                <w:sz w:val="24"/>
              </w:rPr>
              <w:t>Pensions and Benefits (Net)</w:t>
            </w:r>
          </w:p>
        </w:tc>
        <w:tc>
          <w:tcPr>
            <w:tcW w:w="1736" w:type="dxa"/>
          </w:tcPr>
          <w:p w14:paraId="45AE22B4" w14:textId="77777777" w:rsidR="00D57009" w:rsidRPr="00A377A4" w:rsidRDefault="00D57009" w:rsidP="00D57009">
            <w:pPr>
              <w:spacing w:after="86"/>
              <w:jc w:val="right"/>
              <w:rPr>
                <w:rFonts w:ascii="Arial" w:hAnsi="Arial"/>
                <w:sz w:val="24"/>
              </w:rPr>
            </w:pPr>
            <w:r>
              <w:rPr>
                <w:rFonts w:ascii="Arial" w:hAnsi="Arial"/>
                <w:sz w:val="24"/>
              </w:rPr>
              <w:t>82,172</w:t>
            </w:r>
          </w:p>
        </w:tc>
        <w:tc>
          <w:tcPr>
            <w:tcW w:w="2303" w:type="dxa"/>
          </w:tcPr>
          <w:p w14:paraId="44763625" w14:textId="77777777" w:rsidR="00D57009" w:rsidRPr="00A377A4" w:rsidRDefault="00D57009" w:rsidP="00D57009">
            <w:pPr>
              <w:spacing w:after="86"/>
              <w:jc w:val="right"/>
              <w:rPr>
                <w:rFonts w:ascii="Arial" w:hAnsi="Arial"/>
                <w:sz w:val="24"/>
              </w:rPr>
            </w:pPr>
            <w:r>
              <w:rPr>
                <w:rFonts w:ascii="Arial" w:hAnsi="Arial"/>
                <w:sz w:val="24"/>
              </w:rPr>
              <w:t>84,739</w:t>
            </w:r>
          </w:p>
        </w:tc>
        <w:tc>
          <w:tcPr>
            <w:tcW w:w="1773" w:type="dxa"/>
          </w:tcPr>
          <w:p w14:paraId="060812B8" w14:textId="77777777" w:rsidR="00D57009" w:rsidRPr="00A377A4" w:rsidRDefault="00786B71" w:rsidP="00D57009">
            <w:pPr>
              <w:spacing w:after="86"/>
              <w:jc w:val="right"/>
              <w:rPr>
                <w:rFonts w:ascii="Arial" w:hAnsi="Arial"/>
                <w:sz w:val="24"/>
              </w:rPr>
            </w:pPr>
            <w:r>
              <w:rPr>
                <w:rFonts w:ascii="Arial" w:hAnsi="Arial"/>
                <w:sz w:val="24"/>
              </w:rPr>
              <w:t>89,892</w:t>
            </w:r>
          </w:p>
        </w:tc>
      </w:tr>
      <w:tr w:rsidR="00D57009" w:rsidRPr="003812B2" w14:paraId="47667B9F" w14:textId="77777777">
        <w:trPr>
          <w:jc w:val="center"/>
        </w:trPr>
        <w:tc>
          <w:tcPr>
            <w:tcW w:w="2693" w:type="dxa"/>
          </w:tcPr>
          <w:p w14:paraId="13EC7DE2" w14:textId="77777777" w:rsidR="00D57009" w:rsidRPr="00D263C2" w:rsidRDefault="00D57009" w:rsidP="00D57009">
            <w:pPr>
              <w:spacing w:after="86"/>
              <w:rPr>
                <w:rFonts w:ascii="Arial" w:hAnsi="Arial"/>
                <w:sz w:val="24"/>
              </w:rPr>
            </w:pPr>
            <w:r w:rsidRPr="00D263C2">
              <w:rPr>
                <w:rFonts w:ascii="Arial" w:hAnsi="Arial"/>
                <w:sz w:val="24"/>
              </w:rPr>
              <w:t>Transfer Values (Net)</w:t>
            </w:r>
          </w:p>
        </w:tc>
        <w:tc>
          <w:tcPr>
            <w:tcW w:w="1736" w:type="dxa"/>
          </w:tcPr>
          <w:p w14:paraId="72A615D9" w14:textId="77777777" w:rsidR="00D57009" w:rsidRPr="00A377A4" w:rsidRDefault="00D57009" w:rsidP="00D57009">
            <w:pPr>
              <w:spacing w:after="86"/>
              <w:jc w:val="right"/>
              <w:rPr>
                <w:rFonts w:ascii="Arial" w:hAnsi="Arial"/>
                <w:sz w:val="24"/>
              </w:rPr>
            </w:pPr>
            <w:r>
              <w:rPr>
                <w:rFonts w:ascii="Arial" w:hAnsi="Arial"/>
                <w:sz w:val="24"/>
              </w:rPr>
              <w:t>2,828</w:t>
            </w:r>
          </w:p>
        </w:tc>
        <w:tc>
          <w:tcPr>
            <w:tcW w:w="2303" w:type="dxa"/>
          </w:tcPr>
          <w:p w14:paraId="68A1225C" w14:textId="77777777" w:rsidR="00D57009" w:rsidRDefault="00D57009" w:rsidP="00D57009">
            <w:pPr>
              <w:spacing w:after="86"/>
              <w:jc w:val="right"/>
              <w:rPr>
                <w:rFonts w:ascii="Arial" w:hAnsi="Arial"/>
                <w:sz w:val="24"/>
              </w:rPr>
            </w:pPr>
            <w:r>
              <w:rPr>
                <w:rFonts w:ascii="Arial" w:hAnsi="Arial"/>
                <w:sz w:val="24"/>
              </w:rPr>
              <w:t>842</w:t>
            </w:r>
          </w:p>
          <w:p w14:paraId="08B01F6F" w14:textId="77777777" w:rsidR="00D57009" w:rsidRPr="00A377A4" w:rsidRDefault="00D57009" w:rsidP="00D57009">
            <w:pPr>
              <w:spacing w:after="86"/>
              <w:jc w:val="right"/>
              <w:rPr>
                <w:rFonts w:ascii="Arial" w:hAnsi="Arial"/>
                <w:sz w:val="24"/>
              </w:rPr>
            </w:pPr>
          </w:p>
        </w:tc>
        <w:tc>
          <w:tcPr>
            <w:tcW w:w="1773" w:type="dxa"/>
          </w:tcPr>
          <w:p w14:paraId="67B28A09" w14:textId="77777777" w:rsidR="00D57009" w:rsidRPr="00A377A4" w:rsidRDefault="00786B71" w:rsidP="00D57009">
            <w:pPr>
              <w:spacing w:after="86"/>
              <w:jc w:val="right"/>
              <w:rPr>
                <w:rFonts w:ascii="Arial" w:hAnsi="Arial"/>
                <w:sz w:val="24"/>
              </w:rPr>
            </w:pPr>
            <w:r>
              <w:rPr>
                <w:rFonts w:ascii="Arial" w:hAnsi="Arial"/>
                <w:sz w:val="24"/>
              </w:rPr>
              <w:t>-</w:t>
            </w:r>
          </w:p>
        </w:tc>
      </w:tr>
      <w:tr w:rsidR="00D57009" w:rsidRPr="003812B2" w14:paraId="6FF3A5D6" w14:textId="77777777">
        <w:trPr>
          <w:jc w:val="center"/>
        </w:trPr>
        <w:tc>
          <w:tcPr>
            <w:tcW w:w="2693" w:type="dxa"/>
          </w:tcPr>
          <w:p w14:paraId="41A1625F" w14:textId="77777777" w:rsidR="00D57009" w:rsidRPr="00D263C2" w:rsidRDefault="00D57009" w:rsidP="00D57009">
            <w:pPr>
              <w:spacing w:after="86"/>
              <w:rPr>
                <w:rFonts w:ascii="Arial" w:hAnsi="Arial"/>
                <w:sz w:val="24"/>
              </w:rPr>
            </w:pPr>
            <w:r w:rsidRPr="00D263C2">
              <w:rPr>
                <w:rFonts w:ascii="Arial" w:hAnsi="Arial"/>
                <w:sz w:val="24"/>
              </w:rPr>
              <w:t>Other (Net)</w:t>
            </w:r>
          </w:p>
        </w:tc>
        <w:tc>
          <w:tcPr>
            <w:tcW w:w="1736" w:type="dxa"/>
          </w:tcPr>
          <w:p w14:paraId="6747A7A8" w14:textId="77777777" w:rsidR="00D57009" w:rsidRPr="00A377A4" w:rsidRDefault="00D57009" w:rsidP="00D57009">
            <w:pPr>
              <w:spacing w:after="86"/>
              <w:jc w:val="right"/>
              <w:rPr>
                <w:rFonts w:ascii="Arial" w:hAnsi="Arial"/>
                <w:sz w:val="24"/>
              </w:rPr>
            </w:pPr>
            <w:r>
              <w:rPr>
                <w:rFonts w:ascii="Arial" w:hAnsi="Arial"/>
                <w:sz w:val="24"/>
              </w:rPr>
              <w:t>9,808</w:t>
            </w:r>
          </w:p>
        </w:tc>
        <w:tc>
          <w:tcPr>
            <w:tcW w:w="2303" w:type="dxa"/>
          </w:tcPr>
          <w:p w14:paraId="42F7CD5E" w14:textId="77777777" w:rsidR="00D57009" w:rsidRPr="00A377A4" w:rsidRDefault="00D57009" w:rsidP="00D57009">
            <w:pPr>
              <w:spacing w:after="86"/>
              <w:jc w:val="right"/>
              <w:rPr>
                <w:rFonts w:ascii="Arial" w:hAnsi="Arial"/>
                <w:sz w:val="24"/>
              </w:rPr>
            </w:pPr>
            <w:r>
              <w:rPr>
                <w:rFonts w:ascii="Arial" w:hAnsi="Arial"/>
                <w:sz w:val="24"/>
              </w:rPr>
              <w:t>13,577</w:t>
            </w:r>
          </w:p>
        </w:tc>
        <w:tc>
          <w:tcPr>
            <w:tcW w:w="1773" w:type="dxa"/>
          </w:tcPr>
          <w:p w14:paraId="378E7A39" w14:textId="77777777" w:rsidR="00D57009" w:rsidRPr="00A377A4" w:rsidRDefault="00786B71" w:rsidP="00D57009">
            <w:pPr>
              <w:spacing w:after="86"/>
              <w:jc w:val="right"/>
              <w:rPr>
                <w:rFonts w:ascii="Arial" w:hAnsi="Arial"/>
                <w:sz w:val="24"/>
              </w:rPr>
            </w:pPr>
            <w:r>
              <w:rPr>
                <w:rFonts w:ascii="Arial" w:hAnsi="Arial"/>
                <w:sz w:val="24"/>
              </w:rPr>
              <w:t>16,67</w:t>
            </w:r>
            <w:r w:rsidR="00AE6CD0">
              <w:rPr>
                <w:rFonts w:ascii="Arial" w:hAnsi="Arial"/>
                <w:sz w:val="24"/>
              </w:rPr>
              <w:t>0</w:t>
            </w:r>
          </w:p>
        </w:tc>
      </w:tr>
      <w:tr w:rsidR="00D57009" w:rsidRPr="003812B2" w14:paraId="7BB13691" w14:textId="77777777">
        <w:trPr>
          <w:jc w:val="center"/>
        </w:trPr>
        <w:tc>
          <w:tcPr>
            <w:tcW w:w="2693" w:type="dxa"/>
          </w:tcPr>
          <w:p w14:paraId="712DE75E" w14:textId="77777777" w:rsidR="00D57009" w:rsidRPr="00D263C2" w:rsidRDefault="00D57009" w:rsidP="00D57009">
            <w:pPr>
              <w:spacing w:after="86"/>
              <w:rPr>
                <w:rFonts w:ascii="Arial" w:hAnsi="Arial"/>
                <w:sz w:val="24"/>
              </w:rPr>
            </w:pPr>
          </w:p>
        </w:tc>
        <w:tc>
          <w:tcPr>
            <w:tcW w:w="1736" w:type="dxa"/>
          </w:tcPr>
          <w:p w14:paraId="0911FF42" w14:textId="77777777" w:rsidR="00D57009" w:rsidRPr="00A377A4" w:rsidRDefault="00D57009" w:rsidP="00D57009">
            <w:pPr>
              <w:spacing w:after="86"/>
              <w:jc w:val="right"/>
              <w:rPr>
                <w:rFonts w:ascii="Arial" w:hAnsi="Arial"/>
                <w:sz w:val="24"/>
              </w:rPr>
            </w:pPr>
          </w:p>
        </w:tc>
        <w:tc>
          <w:tcPr>
            <w:tcW w:w="2303" w:type="dxa"/>
          </w:tcPr>
          <w:p w14:paraId="127A2F11" w14:textId="77777777" w:rsidR="00D57009" w:rsidRPr="00A377A4" w:rsidRDefault="00D57009" w:rsidP="00D57009">
            <w:pPr>
              <w:spacing w:after="86"/>
              <w:jc w:val="right"/>
              <w:rPr>
                <w:rFonts w:ascii="Arial" w:hAnsi="Arial"/>
                <w:sz w:val="24"/>
              </w:rPr>
            </w:pPr>
          </w:p>
        </w:tc>
        <w:tc>
          <w:tcPr>
            <w:tcW w:w="1773" w:type="dxa"/>
          </w:tcPr>
          <w:p w14:paraId="746C5978" w14:textId="77777777" w:rsidR="00D57009" w:rsidRPr="00A377A4" w:rsidRDefault="00D57009" w:rsidP="00D57009">
            <w:pPr>
              <w:spacing w:after="86"/>
              <w:jc w:val="right"/>
              <w:rPr>
                <w:rFonts w:ascii="Arial" w:hAnsi="Arial"/>
                <w:sz w:val="24"/>
              </w:rPr>
            </w:pPr>
          </w:p>
        </w:tc>
      </w:tr>
      <w:tr w:rsidR="00D57009" w:rsidRPr="003812B2" w14:paraId="5C9F402E" w14:textId="77777777" w:rsidTr="00D523A7">
        <w:trPr>
          <w:jc w:val="center"/>
        </w:trPr>
        <w:tc>
          <w:tcPr>
            <w:tcW w:w="2693" w:type="dxa"/>
          </w:tcPr>
          <w:p w14:paraId="5887611E" w14:textId="77777777" w:rsidR="00D57009" w:rsidRPr="00D263C2" w:rsidRDefault="00D57009" w:rsidP="00D57009">
            <w:pPr>
              <w:spacing w:after="86"/>
              <w:rPr>
                <w:rFonts w:ascii="Arial" w:hAnsi="Arial"/>
                <w:sz w:val="24"/>
              </w:rPr>
            </w:pPr>
            <w:r w:rsidRPr="00D263C2">
              <w:rPr>
                <w:rFonts w:ascii="Arial" w:hAnsi="Arial"/>
                <w:b/>
                <w:sz w:val="24"/>
              </w:rPr>
              <w:t>Net new money</w:t>
            </w:r>
          </w:p>
        </w:tc>
        <w:tc>
          <w:tcPr>
            <w:tcW w:w="1736" w:type="dxa"/>
            <w:tcBorders>
              <w:top w:val="single" w:sz="4" w:space="0" w:color="auto"/>
              <w:bottom w:val="double" w:sz="4" w:space="0" w:color="auto"/>
            </w:tcBorders>
          </w:tcPr>
          <w:p w14:paraId="5CA5B342" w14:textId="77777777" w:rsidR="00D57009" w:rsidRPr="00A377A4" w:rsidRDefault="00D57009" w:rsidP="00D57009">
            <w:pPr>
              <w:spacing w:after="86"/>
              <w:jc w:val="right"/>
              <w:rPr>
                <w:rFonts w:ascii="Arial" w:hAnsi="Arial"/>
                <w:sz w:val="24"/>
              </w:rPr>
            </w:pPr>
            <w:r>
              <w:rPr>
                <w:rFonts w:ascii="Arial" w:hAnsi="Arial"/>
                <w:sz w:val="24"/>
              </w:rPr>
              <w:t>4,893</w:t>
            </w:r>
          </w:p>
        </w:tc>
        <w:tc>
          <w:tcPr>
            <w:tcW w:w="2303" w:type="dxa"/>
            <w:tcBorders>
              <w:top w:val="single" w:sz="4" w:space="0" w:color="auto"/>
              <w:bottom w:val="double" w:sz="4" w:space="0" w:color="auto"/>
            </w:tcBorders>
          </w:tcPr>
          <w:p w14:paraId="5BDAD260" w14:textId="77777777" w:rsidR="00D57009" w:rsidRPr="00A377A4" w:rsidRDefault="00D57009" w:rsidP="00D57009">
            <w:pPr>
              <w:spacing w:after="86"/>
              <w:jc w:val="right"/>
              <w:rPr>
                <w:rFonts w:ascii="Arial" w:hAnsi="Arial"/>
                <w:sz w:val="24"/>
              </w:rPr>
            </w:pPr>
            <w:r>
              <w:rPr>
                <w:rFonts w:ascii="Arial" w:hAnsi="Arial"/>
                <w:sz w:val="24"/>
              </w:rPr>
              <w:t>2,854</w:t>
            </w:r>
          </w:p>
        </w:tc>
        <w:tc>
          <w:tcPr>
            <w:tcW w:w="1773" w:type="dxa"/>
            <w:tcBorders>
              <w:top w:val="single" w:sz="4" w:space="0" w:color="auto"/>
              <w:bottom w:val="double" w:sz="4" w:space="0" w:color="auto"/>
            </w:tcBorders>
          </w:tcPr>
          <w:p w14:paraId="74C5A030" w14:textId="77777777" w:rsidR="00D57009" w:rsidRPr="00A377A4" w:rsidRDefault="00891FA7" w:rsidP="00D57009">
            <w:pPr>
              <w:spacing w:after="86"/>
              <w:jc w:val="right"/>
              <w:rPr>
                <w:rFonts w:ascii="Arial" w:hAnsi="Arial"/>
                <w:sz w:val="24"/>
              </w:rPr>
            </w:pPr>
            <w:r>
              <w:rPr>
                <w:rFonts w:ascii="Arial" w:hAnsi="Arial"/>
                <w:sz w:val="24"/>
              </w:rPr>
              <w:t>4,70</w:t>
            </w:r>
            <w:r w:rsidR="00AE6CD0">
              <w:rPr>
                <w:rFonts w:ascii="Arial" w:hAnsi="Arial"/>
                <w:sz w:val="24"/>
              </w:rPr>
              <w:t>6</w:t>
            </w:r>
          </w:p>
        </w:tc>
      </w:tr>
      <w:tr w:rsidR="00D57009" w:rsidRPr="003812B2" w14:paraId="6678A350" w14:textId="77777777" w:rsidTr="00D523A7">
        <w:trPr>
          <w:jc w:val="center"/>
        </w:trPr>
        <w:tc>
          <w:tcPr>
            <w:tcW w:w="2693" w:type="dxa"/>
          </w:tcPr>
          <w:p w14:paraId="646E1088" w14:textId="77777777" w:rsidR="00D57009" w:rsidRPr="00D263C2" w:rsidRDefault="00D57009" w:rsidP="00D57009">
            <w:pPr>
              <w:rPr>
                <w:rFonts w:ascii="Arial" w:hAnsi="Arial"/>
                <w:b/>
                <w:sz w:val="24"/>
              </w:rPr>
            </w:pPr>
          </w:p>
        </w:tc>
        <w:tc>
          <w:tcPr>
            <w:tcW w:w="1736" w:type="dxa"/>
          </w:tcPr>
          <w:p w14:paraId="6D7D19DB" w14:textId="77777777" w:rsidR="00D57009" w:rsidRPr="00A377A4" w:rsidRDefault="00D57009" w:rsidP="00D57009">
            <w:pPr>
              <w:jc w:val="right"/>
              <w:rPr>
                <w:rFonts w:ascii="Arial" w:hAnsi="Arial"/>
                <w:sz w:val="24"/>
              </w:rPr>
            </w:pPr>
          </w:p>
        </w:tc>
        <w:tc>
          <w:tcPr>
            <w:tcW w:w="2303" w:type="dxa"/>
          </w:tcPr>
          <w:p w14:paraId="7355C856" w14:textId="77777777" w:rsidR="00D57009" w:rsidRPr="00A377A4" w:rsidRDefault="00D57009" w:rsidP="00D57009">
            <w:pPr>
              <w:jc w:val="right"/>
              <w:rPr>
                <w:rFonts w:ascii="Arial" w:hAnsi="Arial"/>
                <w:sz w:val="24"/>
              </w:rPr>
            </w:pPr>
          </w:p>
        </w:tc>
        <w:tc>
          <w:tcPr>
            <w:tcW w:w="1773" w:type="dxa"/>
          </w:tcPr>
          <w:p w14:paraId="3CF38D18" w14:textId="77777777" w:rsidR="00D57009" w:rsidRPr="00A377A4" w:rsidRDefault="00D57009" w:rsidP="00D57009">
            <w:pPr>
              <w:jc w:val="right"/>
              <w:rPr>
                <w:rFonts w:ascii="Arial" w:hAnsi="Arial"/>
                <w:sz w:val="24"/>
              </w:rPr>
            </w:pPr>
          </w:p>
        </w:tc>
      </w:tr>
      <w:tr w:rsidR="00D57009" w:rsidRPr="003812B2" w14:paraId="27510CAF" w14:textId="77777777">
        <w:trPr>
          <w:jc w:val="center"/>
        </w:trPr>
        <w:tc>
          <w:tcPr>
            <w:tcW w:w="2693" w:type="dxa"/>
          </w:tcPr>
          <w:p w14:paraId="3D1E2CD9" w14:textId="77777777" w:rsidR="00D57009" w:rsidRPr="00D263C2" w:rsidRDefault="00D57009" w:rsidP="00D57009">
            <w:pPr>
              <w:rPr>
                <w:rFonts w:ascii="Arial" w:hAnsi="Arial"/>
                <w:b/>
                <w:sz w:val="24"/>
              </w:rPr>
            </w:pPr>
          </w:p>
        </w:tc>
        <w:tc>
          <w:tcPr>
            <w:tcW w:w="1736" w:type="dxa"/>
          </w:tcPr>
          <w:p w14:paraId="49AB532E" w14:textId="77777777" w:rsidR="00D57009" w:rsidRPr="00D263C2" w:rsidRDefault="00D57009" w:rsidP="00D57009">
            <w:pPr>
              <w:jc w:val="right"/>
              <w:rPr>
                <w:rFonts w:ascii="Arial" w:hAnsi="Arial"/>
                <w:b/>
                <w:sz w:val="24"/>
              </w:rPr>
            </w:pPr>
            <w:r w:rsidRPr="00D263C2">
              <w:rPr>
                <w:rFonts w:ascii="Arial" w:hAnsi="Arial"/>
                <w:b/>
                <w:sz w:val="24"/>
              </w:rPr>
              <w:t>£’000</w:t>
            </w:r>
          </w:p>
        </w:tc>
        <w:tc>
          <w:tcPr>
            <w:tcW w:w="2303" w:type="dxa"/>
          </w:tcPr>
          <w:p w14:paraId="4CA2D717" w14:textId="77777777" w:rsidR="00D57009" w:rsidRPr="00D263C2" w:rsidRDefault="00D57009" w:rsidP="00D57009">
            <w:pPr>
              <w:jc w:val="right"/>
              <w:rPr>
                <w:rFonts w:ascii="Arial" w:hAnsi="Arial"/>
                <w:b/>
                <w:sz w:val="24"/>
              </w:rPr>
            </w:pPr>
            <w:r w:rsidRPr="00D263C2">
              <w:rPr>
                <w:rFonts w:ascii="Arial" w:hAnsi="Arial"/>
                <w:b/>
                <w:sz w:val="24"/>
              </w:rPr>
              <w:t>£’000</w:t>
            </w:r>
          </w:p>
        </w:tc>
        <w:tc>
          <w:tcPr>
            <w:tcW w:w="1773" w:type="dxa"/>
          </w:tcPr>
          <w:p w14:paraId="1E225CDB" w14:textId="77777777" w:rsidR="00D57009" w:rsidRPr="00D263C2" w:rsidRDefault="00D57009" w:rsidP="00D57009">
            <w:pPr>
              <w:jc w:val="right"/>
              <w:rPr>
                <w:rFonts w:ascii="Arial" w:hAnsi="Arial"/>
                <w:b/>
                <w:sz w:val="24"/>
              </w:rPr>
            </w:pPr>
            <w:r w:rsidRPr="00D263C2">
              <w:rPr>
                <w:rFonts w:ascii="Arial" w:hAnsi="Arial"/>
                <w:b/>
                <w:sz w:val="24"/>
              </w:rPr>
              <w:t>£’000</w:t>
            </w:r>
          </w:p>
        </w:tc>
      </w:tr>
      <w:tr w:rsidR="00D57009" w:rsidRPr="003812B2" w14:paraId="0961DA78" w14:textId="77777777">
        <w:trPr>
          <w:jc w:val="center"/>
        </w:trPr>
        <w:tc>
          <w:tcPr>
            <w:tcW w:w="2693" w:type="dxa"/>
          </w:tcPr>
          <w:p w14:paraId="6B606838" w14:textId="77777777" w:rsidR="00D57009" w:rsidRPr="00D263C2" w:rsidRDefault="00D57009" w:rsidP="00D57009">
            <w:pPr>
              <w:rPr>
                <w:rFonts w:ascii="Arial" w:hAnsi="Arial"/>
                <w:b/>
                <w:sz w:val="24"/>
              </w:rPr>
            </w:pPr>
          </w:p>
        </w:tc>
        <w:tc>
          <w:tcPr>
            <w:tcW w:w="1736" w:type="dxa"/>
          </w:tcPr>
          <w:p w14:paraId="6C8B1398" w14:textId="77777777" w:rsidR="00D57009" w:rsidRPr="00A377A4" w:rsidRDefault="00D57009" w:rsidP="00D57009">
            <w:pPr>
              <w:jc w:val="right"/>
              <w:rPr>
                <w:rFonts w:ascii="Arial" w:hAnsi="Arial"/>
                <w:sz w:val="24"/>
              </w:rPr>
            </w:pPr>
          </w:p>
        </w:tc>
        <w:tc>
          <w:tcPr>
            <w:tcW w:w="2303" w:type="dxa"/>
          </w:tcPr>
          <w:p w14:paraId="2E7B93BF" w14:textId="77777777" w:rsidR="00D57009" w:rsidRPr="00A377A4" w:rsidRDefault="00D57009" w:rsidP="00D57009">
            <w:pPr>
              <w:jc w:val="right"/>
              <w:rPr>
                <w:rFonts w:ascii="Arial" w:hAnsi="Arial"/>
                <w:sz w:val="24"/>
              </w:rPr>
            </w:pPr>
          </w:p>
        </w:tc>
        <w:tc>
          <w:tcPr>
            <w:tcW w:w="1773" w:type="dxa"/>
          </w:tcPr>
          <w:p w14:paraId="55DFE505" w14:textId="77777777" w:rsidR="00D57009" w:rsidRPr="00A377A4" w:rsidRDefault="00D57009" w:rsidP="00D57009">
            <w:pPr>
              <w:jc w:val="right"/>
              <w:rPr>
                <w:rFonts w:ascii="Arial" w:hAnsi="Arial"/>
                <w:sz w:val="24"/>
              </w:rPr>
            </w:pPr>
          </w:p>
        </w:tc>
      </w:tr>
      <w:tr w:rsidR="00D57009" w:rsidRPr="003812B2" w14:paraId="266AB33F" w14:textId="77777777" w:rsidTr="00797411">
        <w:trPr>
          <w:jc w:val="center"/>
        </w:trPr>
        <w:tc>
          <w:tcPr>
            <w:tcW w:w="2693" w:type="dxa"/>
            <w:tcBorders>
              <w:bottom w:val="single" w:sz="6" w:space="0" w:color="auto"/>
            </w:tcBorders>
          </w:tcPr>
          <w:p w14:paraId="0A06E56B" w14:textId="77777777" w:rsidR="00D57009" w:rsidRPr="00D263C2" w:rsidRDefault="00D57009" w:rsidP="00D57009">
            <w:pPr>
              <w:rPr>
                <w:rFonts w:ascii="Arial" w:hAnsi="Arial"/>
                <w:b/>
                <w:sz w:val="24"/>
              </w:rPr>
            </w:pPr>
            <w:r>
              <w:rPr>
                <w:rFonts w:ascii="Arial" w:hAnsi="Arial"/>
                <w:b/>
                <w:sz w:val="24"/>
              </w:rPr>
              <w:t>Net Asset Value</w:t>
            </w:r>
            <w:r w:rsidRPr="00D263C2">
              <w:rPr>
                <w:rFonts w:ascii="Arial" w:hAnsi="Arial"/>
                <w:b/>
                <w:sz w:val="24"/>
              </w:rPr>
              <w:t xml:space="preserve"> at 31 March</w:t>
            </w:r>
          </w:p>
        </w:tc>
        <w:tc>
          <w:tcPr>
            <w:tcW w:w="1736" w:type="dxa"/>
            <w:tcBorders>
              <w:bottom w:val="single" w:sz="6" w:space="0" w:color="auto"/>
            </w:tcBorders>
          </w:tcPr>
          <w:p w14:paraId="459BF9B6" w14:textId="77777777" w:rsidR="00D57009" w:rsidRPr="00A377A4" w:rsidRDefault="00D57009" w:rsidP="00D57009">
            <w:pPr>
              <w:jc w:val="right"/>
              <w:rPr>
                <w:rFonts w:ascii="Arial" w:hAnsi="Arial"/>
                <w:sz w:val="24"/>
              </w:rPr>
            </w:pPr>
            <w:r>
              <w:rPr>
                <w:rFonts w:ascii="Arial" w:hAnsi="Arial"/>
                <w:sz w:val="24"/>
              </w:rPr>
              <w:t>1,988,022</w:t>
            </w:r>
          </w:p>
        </w:tc>
        <w:tc>
          <w:tcPr>
            <w:tcW w:w="2303" w:type="dxa"/>
            <w:tcBorders>
              <w:bottom w:val="single" w:sz="6" w:space="0" w:color="auto"/>
            </w:tcBorders>
          </w:tcPr>
          <w:p w14:paraId="0BC78BAB" w14:textId="77777777" w:rsidR="00D57009" w:rsidRDefault="00D57009" w:rsidP="00D57009">
            <w:pPr>
              <w:jc w:val="right"/>
              <w:rPr>
                <w:rFonts w:ascii="Arial" w:hAnsi="Arial"/>
                <w:sz w:val="24"/>
              </w:rPr>
            </w:pPr>
            <w:r>
              <w:rPr>
                <w:rFonts w:ascii="Arial" w:hAnsi="Arial"/>
                <w:sz w:val="24"/>
              </w:rPr>
              <w:t>2,614,455</w:t>
            </w:r>
          </w:p>
          <w:p w14:paraId="0145DCB7" w14:textId="77777777" w:rsidR="00D57009" w:rsidRPr="00A377A4" w:rsidRDefault="00D57009" w:rsidP="00D57009">
            <w:pPr>
              <w:jc w:val="right"/>
              <w:rPr>
                <w:rFonts w:ascii="Arial" w:hAnsi="Arial"/>
                <w:sz w:val="24"/>
              </w:rPr>
            </w:pPr>
          </w:p>
        </w:tc>
        <w:tc>
          <w:tcPr>
            <w:tcW w:w="1773" w:type="dxa"/>
            <w:tcBorders>
              <w:bottom w:val="single" w:sz="6" w:space="0" w:color="auto"/>
            </w:tcBorders>
          </w:tcPr>
          <w:p w14:paraId="703117CB" w14:textId="77777777" w:rsidR="00D57009" w:rsidRPr="00A377A4" w:rsidRDefault="00D1201D" w:rsidP="00D57009">
            <w:pPr>
              <w:jc w:val="right"/>
              <w:rPr>
                <w:rFonts w:ascii="Arial" w:hAnsi="Arial"/>
                <w:sz w:val="24"/>
              </w:rPr>
            </w:pPr>
            <w:r>
              <w:rPr>
                <w:rFonts w:ascii="Arial" w:hAnsi="Arial"/>
                <w:sz w:val="24"/>
              </w:rPr>
              <w:t>2,</w:t>
            </w:r>
            <w:r w:rsidR="00FD643B">
              <w:rPr>
                <w:rFonts w:ascii="Arial" w:hAnsi="Arial"/>
                <w:sz w:val="24"/>
              </w:rPr>
              <w:t>924,232</w:t>
            </w:r>
          </w:p>
        </w:tc>
      </w:tr>
      <w:tr w:rsidR="00D57009" w:rsidRPr="003812B2" w14:paraId="602D6A66" w14:textId="77777777" w:rsidTr="00797411">
        <w:trPr>
          <w:jc w:val="center"/>
        </w:trPr>
        <w:tc>
          <w:tcPr>
            <w:tcW w:w="2693" w:type="dxa"/>
            <w:tcBorders>
              <w:top w:val="single" w:sz="6" w:space="0" w:color="auto"/>
            </w:tcBorders>
          </w:tcPr>
          <w:p w14:paraId="666B3780" w14:textId="77777777" w:rsidR="00D57009" w:rsidRPr="00D263C2" w:rsidRDefault="00D57009" w:rsidP="00D57009">
            <w:pPr>
              <w:rPr>
                <w:rFonts w:ascii="Arial" w:hAnsi="Arial"/>
                <w:b/>
                <w:sz w:val="24"/>
              </w:rPr>
            </w:pPr>
          </w:p>
        </w:tc>
        <w:tc>
          <w:tcPr>
            <w:tcW w:w="1736" w:type="dxa"/>
            <w:tcBorders>
              <w:top w:val="single" w:sz="6" w:space="0" w:color="auto"/>
            </w:tcBorders>
          </w:tcPr>
          <w:p w14:paraId="3A3D0B82" w14:textId="77777777" w:rsidR="00D57009" w:rsidRPr="00A377A4" w:rsidRDefault="00D57009" w:rsidP="00D57009">
            <w:pPr>
              <w:jc w:val="right"/>
              <w:rPr>
                <w:rFonts w:ascii="Arial" w:hAnsi="Arial"/>
                <w:sz w:val="24"/>
              </w:rPr>
            </w:pPr>
          </w:p>
        </w:tc>
        <w:tc>
          <w:tcPr>
            <w:tcW w:w="2303" w:type="dxa"/>
            <w:tcBorders>
              <w:top w:val="single" w:sz="6" w:space="0" w:color="auto"/>
            </w:tcBorders>
          </w:tcPr>
          <w:p w14:paraId="52EF442E" w14:textId="77777777" w:rsidR="00D57009" w:rsidRPr="00A377A4" w:rsidRDefault="00D57009" w:rsidP="00D57009">
            <w:pPr>
              <w:jc w:val="right"/>
              <w:rPr>
                <w:rFonts w:ascii="Arial" w:hAnsi="Arial"/>
                <w:sz w:val="24"/>
              </w:rPr>
            </w:pPr>
          </w:p>
        </w:tc>
        <w:tc>
          <w:tcPr>
            <w:tcW w:w="1773" w:type="dxa"/>
            <w:tcBorders>
              <w:top w:val="single" w:sz="6" w:space="0" w:color="auto"/>
            </w:tcBorders>
          </w:tcPr>
          <w:p w14:paraId="40177D44" w14:textId="77777777" w:rsidR="00D57009" w:rsidRPr="00A377A4" w:rsidRDefault="00D57009" w:rsidP="00D57009">
            <w:pPr>
              <w:jc w:val="right"/>
              <w:rPr>
                <w:rFonts w:ascii="Arial" w:hAnsi="Arial"/>
                <w:sz w:val="24"/>
              </w:rPr>
            </w:pPr>
          </w:p>
        </w:tc>
      </w:tr>
      <w:tr w:rsidR="00D57009" w:rsidRPr="003812B2" w14:paraId="1B081E1B" w14:textId="77777777" w:rsidTr="00D11175">
        <w:trPr>
          <w:trHeight w:val="718"/>
          <w:jc w:val="center"/>
        </w:trPr>
        <w:tc>
          <w:tcPr>
            <w:tcW w:w="2693" w:type="dxa"/>
          </w:tcPr>
          <w:p w14:paraId="4957BCF2" w14:textId="77777777" w:rsidR="00D57009" w:rsidRPr="00D263C2" w:rsidRDefault="00D57009" w:rsidP="00D57009">
            <w:pPr>
              <w:rPr>
                <w:rFonts w:ascii="Arial" w:hAnsi="Arial"/>
                <w:b/>
                <w:sz w:val="24"/>
              </w:rPr>
            </w:pPr>
            <w:r w:rsidRPr="00D263C2">
              <w:rPr>
                <w:rFonts w:ascii="Arial" w:hAnsi="Arial"/>
                <w:b/>
                <w:sz w:val="24"/>
              </w:rPr>
              <w:t>Number of Contributors</w:t>
            </w:r>
          </w:p>
        </w:tc>
        <w:tc>
          <w:tcPr>
            <w:tcW w:w="1736" w:type="dxa"/>
          </w:tcPr>
          <w:p w14:paraId="45F86D59" w14:textId="77777777" w:rsidR="00D57009" w:rsidRPr="00A377A4" w:rsidRDefault="00D57009" w:rsidP="00D57009">
            <w:pPr>
              <w:jc w:val="right"/>
              <w:rPr>
                <w:rFonts w:ascii="Arial" w:hAnsi="Arial"/>
                <w:sz w:val="24"/>
              </w:rPr>
            </w:pPr>
          </w:p>
        </w:tc>
        <w:tc>
          <w:tcPr>
            <w:tcW w:w="2303" w:type="dxa"/>
          </w:tcPr>
          <w:p w14:paraId="6687DC93" w14:textId="77777777" w:rsidR="00D57009" w:rsidRPr="00A377A4" w:rsidRDefault="00D57009" w:rsidP="00D57009">
            <w:pPr>
              <w:jc w:val="right"/>
              <w:rPr>
                <w:rFonts w:ascii="Arial" w:hAnsi="Arial"/>
                <w:sz w:val="24"/>
              </w:rPr>
            </w:pPr>
          </w:p>
        </w:tc>
        <w:tc>
          <w:tcPr>
            <w:tcW w:w="1773" w:type="dxa"/>
          </w:tcPr>
          <w:p w14:paraId="0525ED2A" w14:textId="77777777" w:rsidR="00D57009" w:rsidRPr="00A377A4" w:rsidRDefault="00D57009" w:rsidP="00D57009">
            <w:pPr>
              <w:jc w:val="right"/>
              <w:rPr>
                <w:rFonts w:ascii="Arial" w:hAnsi="Arial"/>
                <w:sz w:val="24"/>
              </w:rPr>
            </w:pPr>
          </w:p>
        </w:tc>
      </w:tr>
      <w:tr w:rsidR="00D57009" w:rsidRPr="00460CEB" w14:paraId="3D043519" w14:textId="77777777">
        <w:trPr>
          <w:jc w:val="center"/>
        </w:trPr>
        <w:tc>
          <w:tcPr>
            <w:tcW w:w="2693" w:type="dxa"/>
          </w:tcPr>
          <w:p w14:paraId="2177ADFA" w14:textId="77777777" w:rsidR="00D57009" w:rsidRPr="00D263C2" w:rsidRDefault="00D57009" w:rsidP="00D57009">
            <w:pPr>
              <w:rPr>
                <w:rFonts w:ascii="Arial" w:hAnsi="Arial"/>
                <w:b/>
                <w:sz w:val="24"/>
              </w:rPr>
            </w:pPr>
            <w:r w:rsidRPr="00D263C2">
              <w:rPr>
                <w:rFonts w:ascii="Arial" w:hAnsi="Arial"/>
                <w:b/>
                <w:sz w:val="24"/>
              </w:rPr>
              <w:t xml:space="preserve">at 31 March </w:t>
            </w:r>
          </w:p>
        </w:tc>
        <w:tc>
          <w:tcPr>
            <w:tcW w:w="1736" w:type="dxa"/>
          </w:tcPr>
          <w:p w14:paraId="075A2431" w14:textId="77777777" w:rsidR="00D57009" w:rsidRPr="00495B6B" w:rsidRDefault="00D57009" w:rsidP="00D57009">
            <w:pPr>
              <w:jc w:val="right"/>
              <w:rPr>
                <w:rFonts w:ascii="Arial" w:hAnsi="Arial"/>
                <w:sz w:val="24"/>
              </w:rPr>
            </w:pPr>
            <w:r>
              <w:rPr>
                <w:rFonts w:ascii="Arial" w:hAnsi="Arial"/>
                <w:sz w:val="24"/>
              </w:rPr>
              <w:t>20,050</w:t>
            </w:r>
          </w:p>
        </w:tc>
        <w:tc>
          <w:tcPr>
            <w:tcW w:w="2303" w:type="dxa"/>
          </w:tcPr>
          <w:p w14:paraId="282B3382" w14:textId="77777777" w:rsidR="00D57009" w:rsidRPr="00460CEB" w:rsidRDefault="00D57009" w:rsidP="00D57009">
            <w:pPr>
              <w:jc w:val="right"/>
              <w:rPr>
                <w:rFonts w:ascii="Arial" w:hAnsi="Arial"/>
                <w:sz w:val="24"/>
              </w:rPr>
            </w:pPr>
            <w:r w:rsidRPr="00460CEB">
              <w:rPr>
                <w:rFonts w:ascii="Arial" w:hAnsi="Arial"/>
                <w:sz w:val="24"/>
              </w:rPr>
              <w:t>20,388</w:t>
            </w:r>
          </w:p>
        </w:tc>
        <w:tc>
          <w:tcPr>
            <w:tcW w:w="1773" w:type="dxa"/>
          </w:tcPr>
          <w:p w14:paraId="1C63D58D" w14:textId="77777777" w:rsidR="00D57009" w:rsidRPr="00460CEB" w:rsidRDefault="00704822" w:rsidP="00D57009">
            <w:pPr>
              <w:jc w:val="right"/>
              <w:rPr>
                <w:rFonts w:ascii="Arial" w:hAnsi="Arial"/>
                <w:sz w:val="24"/>
              </w:rPr>
            </w:pPr>
            <w:r>
              <w:rPr>
                <w:rFonts w:ascii="Arial" w:hAnsi="Arial"/>
                <w:sz w:val="24"/>
              </w:rPr>
              <w:t>21,424</w:t>
            </w:r>
          </w:p>
        </w:tc>
      </w:tr>
      <w:tr w:rsidR="00D57009" w:rsidRPr="003812B2" w14:paraId="21290878" w14:textId="77777777">
        <w:trPr>
          <w:jc w:val="center"/>
        </w:trPr>
        <w:tc>
          <w:tcPr>
            <w:tcW w:w="2693" w:type="dxa"/>
          </w:tcPr>
          <w:p w14:paraId="6575E6BB" w14:textId="77777777" w:rsidR="00D57009" w:rsidRPr="00D263C2" w:rsidRDefault="00D57009" w:rsidP="00D57009">
            <w:pPr>
              <w:rPr>
                <w:rFonts w:ascii="Arial" w:hAnsi="Arial"/>
                <w:b/>
                <w:sz w:val="24"/>
              </w:rPr>
            </w:pPr>
          </w:p>
        </w:tc>
        <w:tc>
          <w:tcPr>
            <w:tcW w:w="1736" w:type="dxa"/>
          </w:tcPr>
          <w:p w14:paraId="77218E4A" w14:textId="77777777" w:rsidR="00D57009" w:rsidRPr="00495B6B" w:rsidRDefault="00D57009" w:rsidP="00D57009">
            <w:pPr>
              <w:jc w:val="right"/>
              <w:rPr>
                <w:rFonts w:ascii="Arial" w:hAnsi="Arial"/>
                <w:sz w:val="24"/>
              </w:rPr>
            </w:pPr>
          </w:p>
        </w:tc>
        <w:tc>
          <w:tcPr>
            <w:tcW w:w="2303" w:type="dxa"/>
          </w:tcPr>
          <w:p w14:paraId="5D5C9E79" w14:textId="77777777" w:rsidR="00D57009" w:rsidRPr="0073197C" w:rsidRDefault="00D57009" w:rsidP="00D57009">
            <w:pPr>
              <w:jc w:val="right"/>
              <w:rPr>
                <w:rFonts w:ascii="Arial" w:hAnsi="Arial"/>
                <w:sz w:val="24"/>
                <w:highlight w:val="yellow"/>
              </w:rPr>
            </w:pPr>
          </w:p>
        </w:tc>
        <w:tc>
          <w:tcPr>
            <w:tcW w:w="1773" w:type="dxa"/>
          </w:tcPr>
          <w:p w14:paraId="45386FE2" w14:textId="77777777" w:rsidR="00D57009" w:rsidRPr="0073197C" w:rsidRDefault="00D57009" w:rsidP="00D57009">
            <w:pPr>
              <w:jc w:val="right"/>
              <w:rPr>
                <w:rFonts w:ascii="Arial" w:hAnsi="Arial"/>
                <w:sz w:val="24"/>
                <w:highlight w:val="yellow"/>
              </w:rPr>
            </w:pPr>
          </w:p>
        </w:tc>
      </w:tr>
      <w:tr w:rsidR="00D57009" w:rsidRPr="003812B2" w14:paraId="0003725C" w14:textId="77777777">
        <w:trPr>
          <w:jc w:val="center"/>
        </w:trPr>
        <w:tc>
          <w:tcPr>
            <w:tcW w:w="2693" w:type="dxa"/>
          </w:tcPr>
          <w:p w14:paraId="3E36B57E" w14:textId="77777777" w:rsidR="00D57009" w:rsidRPr="00D263C2" w:rsidRDefault="00D57009" w:rsidP="00D57009">
            <w:pPr>
              <w:rPr>
                <w:rFonts w:ascii="Arial" w:hAnsi="Arial"/>
                <w:b/>
                <w:sz w:val="24"/>
              </w:rPr>
            </w:pPr>
            <w:r w:rsidRPr="00D263C2">
              <w:rPr>
                <w:rFonts w:ascii="Arial" w:hAnsi="Arial"/>
                <w:b/>
                <w:sz w:val="24"/>
              </w:rPr>
              <w:t>Number of Pensioners</w:t>
            </w:r>
          </w:p>
        </w:tc>
        <w:tc>
          <w:tcPr>
            <w:tcW w:w="1736" w:type="dxa"/>
          </w:tcPr>
          <w:p w14:paraId="53DD6AB4" w14:textId="77777777" w:rsidR="00D57009" w:rsidRPr="00495B6B" w:rsidRDefault="00D57009" w:rsidP="00D57009">
            <w:pPr>
              <w:jc w:val="right"/>
              <w:rPr>
                <w:rFonts w:ascii="Arial" w:hAnsi="Arial"/>
                <w:sz w:val="24"/>
              </w:rPr>
            </w:pPr>
          </w:p>
        </w:tc>
        <w:tc>
          <w:tcPr>
            <w:tcW w:w="2303" w:type="dxa"/>
          </w:tcPr>
          <w:p w14:paraId="7053639D" w14:textId="77777777" w:rsidR="00D57009" w:rsidRPr="0073197C" w:rsidRDefault="00D57009" w:rsidP="00D57009">
            <w:pPr>
              <w:jc w:val="right"/>
              <w:rPr>
                <w:rFonts w:ascii="Arial" w:hAnsi="Arial"/>
                <w:sz w:val="24"/>
                <w:highlight w:val="yellow"/>
              </w:rPr>
            </w:pPr>
          </w:p>
        </w:tc>
        <w:tc>
          <w:tcPr>
            <w:tcW w:w="1773" w:type="dxa"/>
          </w:tcPr>
          <w:p w14:paraId="4A217146" w14:textId="77777777" w:rsidR="00D57009" w:rsidRPr="0073197C" w:rsidRDefault="00D57009" w:rsidP="00D57009">
            <w:pPr>
              <w:jc w:val="right"/>
              <w:rPr>
                <w:rFonts w:ascii="Arial" w:hAnsi="Arial"/>
                <w:sz w:val="24"/>
                <w:highlight w:val="yellow"/>
              </w:rPr>
            </w:pPr>
          </w:p>
        </w:tc>
      </w:tr>
      <w:tr w:rsidR="00D57009" w:rsidRPr="00460CEB" w14:paraId="2EE537EE" w14:textId="77777777">
        <w:trPr>
          <w:jc w:val="center"/>
        </w:trPr>
        <w:tc>
          <w:tcPr>
            <w:tcW w:w="2693" w:type="dxa"/>
          </w:tcPr>
          <w:p w14:paraId="1F46E46D" w14:textId="77777777" w:rsidR="00D57009" w:rsidRPr="00D263C2" w:rsidRDefault="00D57009" w:rsidP="00D57009">
            <w:pPr>
              <w:rPr>
                <w:rFonts w:ascii="Arial" w:hAnsi="Arial"/>
                <w:b/>
                <w:sz w:val="24"/>
              </w:rPr>
            </w:pPr>
            <w:r w:rsidRPr="00D263C2">
              <w:rPr>
                <w:rFonts w:ascii="Arial" w:hAnsi="Arial"/>
                <w:b/>
                <w:sz w:val="24"/>
              </w:rPr>
              <w:t>at 31 March</w:t>
            </w:r>
          </w:p>
        </w:tc>
        <w:tc>
          <w:tcPr>
            <w:tcW w:w="1736" w:type="dxa"/>
          </w:tcPr>
          <w:p w14:paraId="7DB5FB7E" w14:textId="77777777" w:rsidR="00D57009" w:rsidRPr="00495B6B" w:rsidRDefault="00D57009" w:rsidP="00D57009">
            <w:pPr>
              <w:jc w:val="right"/>
              <w:rPr>
                <w:rFonts w:ascii="Arial" w:hAnsi="Arial"/>
                <w:sz w:val="24"/>
              </w:rPr>
            </w:pPr>
            <w:r>
              <w:rPr>
                <w:rFonts w:ascii="Arial" w:hAnsi="Arial"/>
                <w:sz w:val="24"/>
              </w:rPr>
              <w:t>13,610</w:t>
            </w:r>
          </w:p>
        </w:tc>
        <w:tc>
          <w:tcPr>
            <w:tcW w:w="2303" w:type="dxa"/>
          </w:tcPr>
          <w:p w14:paraId="497E0CE4" w14:textId="77777777" w:rsidR="00D57009" w:rsidRPr="00460CEB" w:rsidRDefault="00D57009" w:rsidP="00D57009">
            <w:pPr>
              <w:jc w:val="right"/>
              <w:rPr>
                <w:rFonts w:ascii="Arial" w:hAnsi="Arial"/>
                <w:sz w:val="24"/>
              </w:rPr>
            </w:pPr>
            <w:r w:rsidRPr="00460CEB">
              <w:rPr>
                <w:rFonts w:ascii="Arial" w:hAnsi="Arial"/>
                <w:sz w:val="24"/>
              </w:rPr>
              <w:t>13,864</w:t>
            </w:r>
          </w:p>
        </w:tc>
        <w:tc>
          <w:tcPr>
            <w:tcW w:w="1773" w:type="dxa"/>
          </w:tcPr>
          <w:p w14:paraId="03C16FA8" w14:textId="77777777" w:rsidR="00D57009" w:rsidRPr="00460CEB" w:rsidRDefault="00704822" w:rsidP="00D57009">
            <w:pPr>
              <w:jc w:val="right"/>
              <w:rPr>
                <w:rFonts w:ascii="Arial" w:hAnsi="Arial"/>
                <w:sz w:val="24"/>
              </w:rPr>
            </w:pPr>
            <w:r>
              <w:rPr>
                <w:rFonts w:ascii="Arial" w:hAnsi="Arial"/>
                <w:sz w:val="24"/>
              </w:rPr>
              <w:t>14,294</w:t>
            </w:r>
          </w:p>
        </w:tc>
      </w:tr>
      <w:tr w:rsidR="00D57009" w:rsidRPr="00B52C64" w14:paraId="4D4D87D6" w14:textId="77777777">
        <w:trPr>
          <w:jc w:val="center"/>
        </w:trPr>
        <w:tc>
          <w:tcPr>
            <w:tcW w:w="2693" w:type="dxa"/>
          </w:tcPr>
          <w:p w14:paraId="2A9F6C45" w14:textId="77777777" w:rsidR="00D57009" w:rsidRPr="00D263C2" w:rsidRDefault="00D57009" w:rsidP="00D57009">
            <w:pPr>
              <w:rPr>
                <w:rFonts w:ascii="Arial" w:hAnsi="Arial"/>
                <w:b/>
                <w:sz w:val="24"/>
              </w:rPr>
            </w:pPr>
          </w:p>
        </w:tc>
        <w:tc>
          <w:tcPr>
            <w:tcW w:w="1736" w:type="dxa"/>
          </w:tcPr>
          <w:p w14:paraId="41095F7E" w14:textId="77777777" w:rsidR="00D57009" w:rsidRPr="00495B6B" w:rsidRDefault="00D57009" w:rsidP="00D57009">
            <w:pPr>
              <w:jc w:val="right"/>
              <w:rPr>
                <w:rFonts w:ascii="Arial" w:hAnsi="Arial"/>
                <w:sz w:val="24"/>
              </w:rPr>
            </w:pPr>
          </w:p>
        </w:tc>
        <w:tc>
          <w:tcPr>
            <w:tcW w:w="2303" w:type="dxa"/>
          </w:tcPr>
          <w:p w14:paraId="1FA1491B" w14:textId="77777777" w:rsidR="00D57009" w:rsidRPr="00B52C64" w:rsidRDefault="00D57009" w:rsidP="00D57009">
            <w:pPr>
              <w:jc w:val="right"/>
              <w:rPr>
                <w:rFonts w:ascii="Arial" w:hAnsi="Arial"/>
                <w:sz w:val="24"/>
              </w:rPr>
            </w:pPr>
          </w:p>
        </w:tc>
        <w:tc>
          <w:tcPr>
            <w:tcW w:w="1773" w:type="dxa"/>
          </w:tcPr>
          <w:p w14:paraId="097E4C9B" w14:textId="77777777" w:rsidR="00D57009" w:rsidRPr="00B52C64" w:rsidRDefault="00D57009" w:rsidP="00D57009">
            <w:pPr>
              <w:jc w:val="right"/>
              <w:rPr>
                <w:rFonts w:ascii="Arial" w:hAnsi="Arial"/>
                <w:sz w:val="24"/>
              </w:rPr>
            </w:pPr>
          </w:p>
        </w:tc>
      </w:tr>
      <w:tr w:rsidR="00D57009" w:rsidRPr="00B52C64" w14:paraId="348F5485" w14:textId="77777777">
        <w:trPr>
          <w:jc w:val="center"/>
        </w:trPr>
        <w:tc>
          <w:tcPr>
            <w:tcW w:w="2693" w:type="dxa"/>
          </w:tcPr>
          <w:p w14:paraId="3260F90E" w14:textId="77777777" w:rsidR="00D57009" w:rsidRPr="00D263C2" w:rsidRDefault="00D57009" w:rsidP="00D57009">
            <w:pPr>
              <w:rPr>
                <w:rFonts w:ascii="Arial" w:hAnsi="Arial"/>
                <w:b/>
                <w:sz w:val="24"/>
              </w:rPr>
            </w:pPr>
            <w:r w:rsidRPr="00D263C2">
              <w:rPr>
                <w:rFonts w:ascii="Arial" w:hAnsi="Arial"/>
                <w:b/>
                <w:sz w:val="24"/>
              </w:rPr>
              <w:t xml:space="preserve">Number of Deferred </w:t>
            </w:r>
            <w:r>
              <w:rPr>
                <w:rFonts w:ascii="Arial" w:hAnsi="Arial"/>
                <w:b/>
                <w:sz w:val="24"/>
              </w:rPr>
              <w:t>Members</w:t>
            </w:r>
            <w:r w:rsidRPr="00D263C2">
              <w:rPr>
                <w:rFonts w:ascii="Arial" w:hAnsi="Arial"/>
                <w:b/>
                <w:sz w:val="24"/>
              </w:rPr>
              <w:t xml:space="preserve"> at 31 March</w:t>
            </w:r>
          </w:p>
        </w:tc>
        <w:tc>
          <w:tcPr>
            <w:tcW w:w="1736" w:type="dxa"/>
          </w:tcPr>
          <w:p w14:paraId="4D3F5F88" w14:textId="77777777" w:rsidR="00D57009" w:rsidRPr="00495B6B" w:rsidRDefault="00D57009" w:rsidP="00D57009">
            <w:pPr>
              <w:jc w:val="right"/>
              <w:rPr>
                <w:rFonts w:ascii="Arial" w:hAnsi="Arial"/>
                <w:sz w:val="24"/>
              </w:rPr>
            </w:pPr>
            <w:r>
              <w:rPr>
                <w:rFonts w:ascii="Arial" w:hAnsi="Arial"/>
                <w:sz w:val="24"/>
              </w:rPr>
              <w:t>11,838</w:t>
            </w:r>
          </w:p>
        </w:tc>
        <w:tc>
          <w:tcPr>
            <w:tcW w:w="2303" w:type="dxa"/>
          </w:tcPr>
          <w:p w14:paraId="1340CF42" w14:textId="77777777" w:rsidR="00D57009" w:rsidRPr="00B52C64" w:rsidRDefault="00D57009" w:rsidP="00D57009">
            <w:pPr>
              <w:jc w:val="right"/>
              <w:rPr>
                <w:rFonts w:ascii="Arial" w:hAnsi="Arial"/>
                <w:sz w:val="24"/>
              </w:rPr>
            </w:pPr>
            <w:r w:rsidRPr="00B52C64">
              <w:rPr>
                <w:rFonts w:ascii="Arial" w:hAnsi="Arial"/>
                <w:sz w:val="24"/>
              </w:rPr>
              <w:t>11,8</w:t>
            </w:r>
            <w:r>
              <w:rPr>
                <w:rFonts w:ascii="Arial" w:hAnsi="Arial"/>
                <w:sz w:val="24"/>
              </w:rPr>
              <w:t>29</w:t>
            </w:r>
          </w:p>
        </w:tc>
        <w:tc>
          <w:tcPr>
            <w:tcW w:w="1773" w:type="dxa"/>
          </w:tcPr>
          <w:p w14:paraId="385BCB34" w14:textId="77777777" w:rsidR="00D57009" w:rsidRPr="00B52C64" w:rsidRDefault="00704822" w:rsidP="00D57009">
            <w:pPr>
              <w:jc w:val="right"/>
              <w:rPr>
                <w:rFonts w:ascii="Arial" w:hAnsi="Arial"/>
                <w:sz w:val="24"/>
              </w:rPr>
            </w:pPr>
            <w:r>
              <w:rPr>
                <w:rFonts w:ascii="Arial" w:hAnsi="Arial"/>
                <w:sz w:val="24"/>
              </w:rPr>
              <w:t>12,263</w:t>
            </w:r>
          </w:p>
        </w:tc>
      </w:tr>
      <w:tr w:rsidR="00D57009" w:rsidRPr="003812B2" w14:paraId="0AE862E7" w14:textId="77777777" w:rsidTr="00797411">
        <w:trPr>
          <w:jc w:val="center"/>
        </w:trPr>
        <w:tc>
          <w:tcPr>
            <w:tcW w:w="2693" w:type="dxa"/>
            <w:tcBorders>
              <w:bottom w:val="single" w:sz="6" w:space="0" w:color="auto"/>
            </w:tcBorders>
          </w:tcPr>
          <w:p w14:paraId="79AA48DB" w14:textId="77777777" w:rsidR="00D57009" w:rsidRPr="00D263C2" w:rsidRDefault="00D57009" w:rsidP="00D57009">
            <w:pPr>
              <w:rPr>
                <w:rFonts w:ascii="Arial" w:hAnsi="Arial"/>
                <w:sz w:val="24"/>
              </w:rPr>
            </w:pPr>
          </w:p>
        </w:tc>
        <w:tc>
          <w:tcPr>
            <w:tcW w:w="1736" w:type="dxa"/>
            <w:tcBorders>
              <w:bottom w:val="single" w:sz="6" w:space="0" w:color="auto"/>
            </w:tcBorders>
          </w:tcPr>
          <w:p w14:paraId="14B9F1E5" w14:textId="77777777" w:rsidR="00D57009" w:rsidRPr="00D263C2" w:rsidRDefault="00D57009" w:rsidP="00D57009">
            <w:pPr>
              <w:jc w:val="right"/>
              <w:rPr>
                <w:rFonts w:ascii="Arial" w:hAnsi="Arial"/>
                <w:sz w:val="24"/>
              </w:rPr>
            </w:pPr>
          </w:p>
        </w:tc>
        <w:tc>
          <w:tcPr>
            <w:tcW w:w="2303" w:type="dxa"/>
            <w:tcBorders>
              <w:bottom w:val="single" w:sz="6" w:space="0" w:color="auto"/>
            </w:tcBorders>
          </w:tcPr>
          <w:p w14:paraId="3C81AD3E" w14:textId="77777777" w:rsidR="00D57009" w:rsidRPr="00D263C2" w:rsidRDefault="00D57009" w:rsidP="00D57009">
            <w:pPr>
              <w:jc w:val="right"/>
              <w:rPr>
                <w:rFonts w:ascii="Arial" w:hAnsi="Arial"/>
                <w:sz w:val="24"/>
              </w:rPr>
            </w:pPr>
          </w:p>
        </w:tc>
        <w:tc>
          <w:tcPr>
            <w:tcW w:w="1773" w:type="dxa"/>
            <w:tcBorders>
              <w:bottom w:val="single" w:sz="6" w:space="0" w:color="auto"/>
            </w:tcBorders>
          </w:tcPr>
          <w:p w14:paraId="55DFEF33" w14:textId="77777777" w:rsidR="00D57009" w:rsidRPr="00D263C2" w:rsidRDefault="00D57009" w:rsidP="00D57009">
            <w:pPr>
              <w:jc w:val="right"/>
              <w:rPr>
                <w:rFonts w:ascii="Arial" w:hAnsi="Arial"/>
                <w:sz w:val="24"/>
              </w:rPr>
            </w:pPr>
          </w:p>
        </w:tc>
      </w:tr>
      <w:tr w:rsidR="00D57009" w:rsidRPr="003812B2" w14:paraId="6B8D7922" w14:textId="77777777" w:rsidTr="00797411">
        <w:trPr>
          <w:jc w:val="center"/>
        </w:trPr>
        <w:tc>
          <w:tcPr>
            <w:tcW w:w="2693" w:type="dxa"/>
            <w:tcBorders>
              <w:top w:val="single" w:sz="6" w:space="0" w:color="auto"/>
            </w:tcBorders>
          </w:tcPr>
          <w:p w14:paraId="1026F690" w14:textId="77777777" w:rsidR="00D57009" w:rsidRPr="00D263C2" w:rsidRDefault="00D57009" w:rsidP="00D57009">
            <w:pPr>
              <w:rPr>
                <w:rFonts w:ascii="Arial" w:hAnsi="Arial"/>
                <w:sz w:val="24"/>
              </w:rPr>
            </w:pPr>
          </w:p>
        </w:tc>
        <w:tc>
          <w:tcPr>
            <w:tcW w:w="1736" w:type="dxa"/>
            <w:tcBorders>
              <w:top w:val="single" w:sz="6" w:space="0" w:color="auto"/>
            </w:tcBorders>
          </w:tcPr>
          <w:p w14:paraId="41CDA018" w14:textId="77777777" w:rsidR="00D57009" w:rsidRPr="00D263C2" w:rsidRDefault="00D57009" w:rsidP="00D57009">
            <w:pPr>
              <w:jc w:val="right"/>
              <w:rPr>
                <w:rFonts w:ascii="Arial" w:hAnsi="Arial"/>
                <w:sz w:val="24"/>
              </w:rPr>
            </w:pPr>
          </w:p>
        </w:tc>
        <w:tc>
          <w:tcPr>
            <w:tcW w:w="2303" w:type="dxa"/>
            <w:tcBorders>
              <w:top w:val="single" w:sz="6" w:space="0" w:color="auto"/>
            </w:tcBorders>
          </w:tcPr>
          <w:p w14:paraId="088391E3" w14:textId="77777777" w:rsidR="00D57009" w:rsidRPr="00D263C2" w:rsidRDefault="00D57009" w:rsidP="00D57009">
            <w:pPr>
              <w:jc w:val="right"/>
              <w:rPr>
                <w:rFonts w:ascii="Arial" w:hAnsi="Arial"/>
                <w:sz w:val="24"/>
              </w:rPr>
            </w:pPr>
          </w:p>
        </w:tc>
        <w:tc>
          <w:tcPr>
            <w:tcW w:w="1773" w:type="dxa"/>
            <w:tcBorders>
              <w:top w:val="single" w:sz="6" w:space="0" w:color="auto"/>
            </w:tcBorders>
          </w:tcPr>
          <w:p w14:paraId="3A806AC9" w14:textId="77777777" w:rsidR="00D57009" w:rsidRPr="00D263C2" w:rsidRDefault="00D57009" w:rsidP="00D57009">
            <w:pPr>
              <w:jc w:val="right"/>
              <w:rPr>
                <w:rFonts w:ascii="Arial" w:hAnsi="Arial"/>
                <w:sz w:val="24"/>
              </w:rPr>
            </w:pPr>
          </w:p>
        </w:tc>
      </w:tr>
    </w:tbl>
    <w:p w14:paraId="2D6CFE92" w14:textId="77777777" w:rsidR="00902B91" w:rsidRPr="003812B2" w:rsidRDefault="00902B91" w:rsidP="005E4F16">
      <w:pPr>
        <w:rPr>
          <w:rFonts w:ascii="Arial" w:hAnsi="Arial"/>
          <w:sz w:val="24"/>
          <w:szCs w:val="24"/>
        </w:rPr>
      </w:pPr>
    </w:p>
    <w:p w14:paraId="496EEC33" w14:textId="77777777" w:rsidR="00360779" w:rsidRPr="00D263C2" w:rsidRDefault="00902B91" w:rsidP="00360779">
      <w:pPr>
        <w:jc w:val="center"/>
        <w:outlineLvl w:val="0"/>
        <w:rPr>
          <w:rFonts w:ascii="Arial" w:hAnsi="Arial"/>
          <w:b/>
        </w:rPr>
      </w:pPr>
      <w:r w:rsidRPr="009F424B">
        <w:rPr>
          <w:rFonts w:ascii="Arial" w:hAnsi="Arial"/>
          <w:color w:val="FF0000"/>
        </w:rPr>
        <w:br w:type="page"/>
      </w:r>
      <w:r w:rsidR="00360779" w:rsidRPr="00D263C2">
        <w:rPr>
          <w:rFonts w:ascii="Arial" w:hAnsi="Arial"/>
          <w:b/>
        </w:rPr>
        <w:lastRenderedPageBreak/>
        <w:t>PART A</w:t>
      </w:r>
    </w:p>
    <w:p w14:paraId="3F682D1B" w14:textId="77777777" w:rsidR="00360779" w:rsidRPr="0092250C" w:rsidRDefault="00360779" w:rsidP="00360779">
      <w:pPr>
        <w:jc w:val="center"/>
        <w:rPr>
          <w:rFonts w:ascii="Arial" w:hAnsi="Arial"/>
          <w:b/>
          <w:sz w:val="24"/>
          <w:szCs w:val="24"/>
        </w:rPr>
      </w:pPr>
    </w:p>
    <w:p w14:paraId="1A9730B7" w14:textId="77777777" w:rsidR="00360779" w:rsidRPr="00D263C2" w:rsidRDefault="00360779" w:rsidP="00360779">
      <w:pPr>
        <w:jc w:val="center"/>
        <w:outlineLvl w:val="0"/>
        <w:rPr>
          <w:rFonts w:ascii="Arial" w:hAnsi="Arial"/>
          <w:b/>
        </w:rPr>
      </w:pPr>
      <w:r w:rsidRPr="00D263C2">
        <w:rPr>
          <w:rFonts w:ascii="Arial" w:hAnsi="Arial"/>
          <w:b/>
        </w:rPr>
        <w:t>ADMINISTRATION REPORT</w:t>
      </w:r>
    </w:p>
    <w:p w14:paraId="35349008" w14:textId="77777777" w:rsidR="00360779" w:rsidRPr="0092250C" w:rsidRDefault="00360779" w:rsidP="00360779">
      <w:pPr>
        <w:rPr>
          <w:rFonts w:ascii="Arial" w:hAnsi="Arial"/>
          <w:sz w:val="24"/>
          <w:szCs w:val="24"/>
        </w:rPr>
      </w:pPr>
    </w:p>
    <w:p w14:paraId="3C865B8C" w14:textId="77777777" w:rsidR="00704822" w:rsidRDefault="00704822" w:rsidP="00704822">
      <w:pPr>
        <w:ind w:right="26"/>
        <w:jc w:val="both"/>
        <w:rPr>
          <w:rFonts w:ascii="Arial" w:hAnsi="Arial"/>
          <w:sz w:val="24"/>
        </w:rPr>
      </w:pPr>
      <w:r>
        <w:rPr>
          <w:rFonts w:ascii="Arial" w:hAnsi="Arial"/>
          <w:sz w:val="24"/>
        </w:rPr>
        <w:t xml:space="preserve">The Pension Fund is governed by Regulations exercised by powers conferred under the Superannuation Act 1972, and includes employees </w:t>
      </w:r>
      <w:r w:rsidRPr="00704822">
        <w:rPr>
          <w:rFonts w:ascii="Arial" w:hAnsi="Arial"/>
          <w:color w:val="000000"/>
          <w:sz w:val="24"/>
        </w:rPr>
        <w:t>of</w:t>
      </w:r>
      <w:r>
        <w:rPr>
          <w:rFonts w:ascii="Arial" w:hAnsi="Arial"/>
          <w:color w:val="FF0000"/>
          <w:sz w:val="24"/>
        </w:rPr>
        <w:t xml:space="preserve"> </w:t>
      </w:r>
      <w:r>
        <w:rPr>
          <w:rFonts w:ascii="Arial" w:hAnsi="Arial"/>
          <w:sz w:val="24"/>
        </w:rPr>
        <w:t>Swansea Council, Neath Port Talbot County Borough Council and other bodies listed in Appendix 1.</w:t>
      </w:r>
    </w:p>
    <w:p w14:paraId="0972DF22" w14:textId="77777777" w:rsidR="00704822" w:rsidRDefault="00704822" w:rsidP="00704822">
      <w:pPr>
        <w:ind w:right="26"/>
        <w:jc w:val="both"/>
        <w:rPr>
          <w:rFonts w:ascii="Arial" w:hAnsi="Arial"/>
          <w:sz w:val="24"/>
        </w:rPr>
      </w:pPr>
    </w:p>
    <w:p w14:paraId="16E6C397" w14:textId="77777777" w:rsidR="00704822" w:rsidRDefault="00704822" w:rsidP="00704822">
      <w:pPr>
        <w:ind w:right="26"/>
        <w:jc w:val="both"/>
        <w:rPr>
          <w:rFonts w:ascii="Arial" w:hAnsi="Arial"/>
          <w:sz w:val="24"/>
        </w:rPr>
      </w:pPr>
      <w:r>
        <w:rPr>
          <w:rFonts w:ascii="Arial" w:hAnsi="Arial"/>
          <w:sz w:val="24"/>
        </w:rPr>
        <w:t>Pension administration continues to adapt to the increased complexity of the Scheme, resulting from the change in the LGPS with effect from 1</w:t>
      </w:r>
      <w:r>
        <w:rPr>
          <w:rFonts w:ascii="Arial" w:hAnsi="Arial"/>
          <w:sz w:val="24"/>
          <w:vertAlign w:val="superscript"/>
        </w:rPr>
        <w:t>st</w:t>
      </w:r>
      <w:r>
        <w:rPr>
          <w:rFonts w:ascii="Arial" w:hAnsi="Arial"/>
          <w:sz w:val="24"/>
        </w:rPr>
        <w:t xml:space="preserve"> April 2014, from a Final Salary scheme, to a Career Average Revalued Earnings (CARE) scheme and other overriding legislation.  This report encapsulates the service delivery of the pension Fund to its members and employers.</w:t>
      </w:r>
    </w:p>
    <w:p w14:paraId="2DEA4016" w14:textId="77777777" w:rsidR="00704822" w:rsidRDefault="00704822" w:rsidP="00704822">
      <w:pPr>
        <w:ind w:right="26"/>
        <w:jc w:val="both"/>
        <w:rPr>
          <w:rFonts w:ascii="Arial" w:hAnsi="Arial"/>
          <w:sz w:val="24"/>
        </w:rPr>
      </w:pPr>
    </w:p>
    <w:p w14:paraId="0EA969BB" w14:textId="77777777" w:rsidR="00704822" w:rsidRDefault="00704822" w:rsidP="00704822">
      <w:pPr>
        <w:jc w:val="both"/>
        <w:rPr>
          <w:rFonts w:ascii="Arial" w:hAnsi="Arial"/>
          <w:sz w:val="24"/>
        </w:rPr>
      </w:pPr>
      <w:r>
        <w:rPr>
          <w:rFonts w:ascii="Arial" w:hAnsi="Arial"/>
          <w:sz w:val="24"/>
        </w:rPr>
        <w:t xml:space="preserve">The benefits payable and the employees’ rates of contribution are set out in the Local Government Pensions Scheme Regulations 2013 (as amended) and </w:t>
      </w:r>
      <w:r>
        <w:rPr>
          <w:rFonts w:ascii="Arial" w:hAnsi="Arial" w:cs="Arial"/>
          <w:color w:val="333333"/>
          <w:sz w:val="24"/>
          <w:szCs w:val="24"/>
        </w:rPr>
        <w:t>the Local Government Pension Scheme (Transitional Provisions, Savings and Amendment) Regulations 2014</w:t>
      </w:r>
      <w:r>
        <w:rPr>
          <w:rFonts w:ascii="Arial" w:hAnsi="Arial"/>
          <w:sz w:val="24"/>
        </w:rPr>
        <w:t xml:space="preserve">.  The rates of contribution by employing authorities are based on actuarial valuation and are set out in Part D.  </w:t>
      </w:r>
    </w:p>
    <w:p w14:paraId="1449E754" w14:textId="77777777" w:rsidR="00704822" w:rsidRDefault="00704822" w:rsidP="00704822">
      <w:pPr>
        <w:jc w:val="both"/>
        <w:rPr>
          <w:rFonts w:ascii="Arial" w:hAnsi="Arial"/>
          <w:sz w:val="24"/>
        </w:rPr>
      </w:pPr>
    </w:p>
    <w:p w14:paraId="723C446D" w14:textId="77777777" w:rsidR="00704822" w:rsidRDefault="00704822" w:rsidP="00704822">
      <w:pPr>
        <w:jc w:val="both"/>
        <w:rPr>
          <w:rFonts w:ascii="Arial" w:hAnsi="Arial"/>
          <w:sz w:val="24"/>
        </w:rPr>
      </w:pPr>
      <w:r>
        <w:rPr>
          <w:rFonts w:ascii="Arial" w:hAnsi="Arial"/>
          <w:sz w:val="24"/>
        </w:rPr>
        <w:t xml:space="preserve">The sole responsibility of the Pension Section team is that of the administration of the Fund; we are a separate entity to the Finance Department whose responsibilities include overseeing the investment portfolio of the Fund.  To oversee the administration of the Fund the Section comprises of 20 full-time equivalent post holders, which includes the recently established McCloud Team and is inclusive of the Pension Manager; our work ethos has always been to review working practices with the aim of enhancing our service delivery to our members, employers and third parties.       </w:t>
      </w:r>
    </w:p>
    <w:p w14:paraId="0D19EB4F" w14:textId="77777777" w:rsidR="00704822" w:rsidRDefault="00704822" w:rsidP="00704822">
      <w:pPr>
        <w:jc w:val="both"/>
        <w:rPr>
          <w:rFonts w:ascii="Arial" w:hAnsi="Arial"/>
          <w:sz w:val="24"/>
        </w:rPr>
      </w:pPr>
    </w:p>
    <w:p w14:paraId="3664E3C8" w14:textId="77777777" w:rsidR="00704822" w:rsidRDefault="00704822" w:rsidP="00704822">
      <w:pPr>
        <w:jc w:val="both"/>
        <w:rPr>
          <w:rFonts w:ascii="Arial" w:hAnsi="Arial"/>
          <w:sz w:val="24"/>
        </w:rPr>
      </w:pPr>
      <w:r>
        <w:rPr>
          <w:rFonts w:ascii="Arial" w:hAnsi="Arial"/>
          <w:sz w:val="24"/>
        </w:rPr>
        <w:t>The principal benefits provided by the Fund include:</w:t>
      </w:r>
    </w:p>
    <w:p w14:paraId="57833E54" w14:textId="77777777" w:rsidR="00704822" w:rsidRDefault="00704822" w:rsidP="00704822">
      <w:pPr>
        <w:rPr>
          <w:rFonts w:ascii="Arial" w:hAnsi="Arial"/>
          <w:sz w:val="24"/>
        </w:rPr>
      </w:pPr>
    </w:p>
    <w:p w14:paraId="60FB1214" w14:textId="77777777" w:rsidR="00704822" w:rsidRDefault="00704822" w:rsidP="0073304A">
      <w:pPr>
        <w:pStyle w:val="ListParagraph"/>
        <w:numPr>
          <w:ilvl w:val="0"/>
          <w:numId w:val="106"/>
        </w:numPr>
      </w:pPr>
      <w:r>
        <w:rPr>
          <w:sz w:val="24"/>
        </w:rPr>
        <w:t>Retirement pensions</w:t>
      </w:r>
    </w:p>
    <w:p w14:paraId="1AF162E2" w14:textId="77777777" w:rsidR="00704822" w:rsidRDefault="00704822" w:rsidP="0073304A">
      <w:pPr>
        <w:pStyle w:val="ListParagraph"/>
        <w:numPr>
          <w:ilvl w:val="0"/>
          <w:numId w:val="106"/>
        </w:numPr>
      </w:pPr>
      <w:r>
        <w:rPr>
          <w:sz w:val="24"/>
        </w:rPr>
        <w:t>Tax free lump sums on retirement</w:t>
      </w:r>
    </w:p>
    <w:p w14:paraId="396B34DE" w14:textId="77777777" w:rsidR="00704822" w:rsidRDefault="00704822" w:rsidP="0073304A">
      <w:pPr>
        <w:pStyle w:val="ListParagraph"/>
        <w:numPr>
          <w:ilvl w:val="0"/>
          <w:numId w:val="106"/>
        </w:numPr>
      </w:pPr>
      <w:r>
        <w:rPr>
          <w:sz w:val="24"/>
        </w:rPr>
        <w:t>Lump sum death benefits</w:t>
      </w:r>
    </w:p>
    <w:p w14:paraId="60D80E66" w14:textId="77777777" w:rsidR="00704822" w:rsidRDefault="00704822" w:rsidP="0073304A">
      <w:pPr>
        <w:pStyle w:val="ListParagraph"/>
        <w:numPr>
          <w:ilvl w:val="0"/>
          <w:numId w:val="106"/>
        </w:numPr>
      </w:pPr>
      <w:r>
        <w:rPr>
          <w:sz w:val="24"/>
        </w:rPr>
        <w:t>Survivors’ pensions (including Children)</w:t>
      </w:r>
    </w:p>
    <w:p w14:paraId="5BAD5285" w14:textId="77777777" w:rsidR="00704822" w:rsidRDefault="00704822" w:rsidP="0073304A">
      <w:pPr>
        <w:pStyle w:val="ListParagraph"/>
        <w:numPr>
          <w:ilvl w:val="0"/>
          <w:numId w:val="106"/>
        </w:numPr>
      </w:pPr>
      <w:r>
        <w:rPr>
          <w:sz w:val="24"/>
        </w:rPr>
        <w:t>Deferred benefits, refunds or transfers of pension rights</w:t>
      </w:r>
    </w:p>
    <w:p w14:paraId="23438EA3" w14:textId="77777777" w:rsidR="00704822" w:rsidRDefault="00704822" w:rsidP="0073304A">
      <w:pPr>
        <w:pStyle w:val="ListParagraph"/>
        <w:numPr>
          <w:ilvl w:val="0"/>
          <w:numId w:val="107"/>
        </w:numPr>
        <w:jc w:val="both"/>
        <w:rPr>
          <w:sz w:val="24"/>
        </w:rPr>
      </w:pPr>
      <w:r>
        <w:rPr>
          <w:sz w:val="24"/>
        </w:rPr>
        <w:t>Pensions and lump sums payable on premature retirement due to ill health and early retirement/redundancy.</w:t>
      </w:r>
    </w:p>
    <w:p w14:paraId="71C3C047" w14:textId="77777777" w:rsidR="00704822" w:rsidRDefault="00704822" w:rsidP="00704822">
      <w:pPr>
        <w:rPr>
          <w:rFonts w:ascii="Arial" w:hAnsi="Arial"/>
          <w:sz w:val="24"/>
        </w:rPr>
      </w:pPr>
    </w:p>
    <w:p w14:paraId="7DB4656A" w14:textId="77777777" w:rsidR="00704822" w:rsidRDefault="00704822" w:rsidP="00704822">
      <w:pPr>
        <w:jc w:val="both"/>
        <w:rPr>
          <w:rFonts w:ascii="Arial" w:hAnsi="Arial"/>
          <w:sz w:val="24"/>
          <w:szCs w:val="24"/>
        </w:rPr>
      </w:pPr>
      <w:r>
        <w:rPr>
          <w:rFonts w:ascii="Arial" w:hAnsi="Arial"/>
          <w:sz w:val="24"/>
          <w:szCs w:val="24"/>
        </w:rPr>
        <w:t>The Pensioner Payroll is administered in-house by Swansea Council payroll system and pensions are paid monthly, in arrears, on the last banking day of each month.</w:t>
      </w:r>
    </w:p>
    <w:p w14:paraId="0CA39D01" w14:textId="77777777" w:rsidR="00704822" w:rsidRDefault="00704822" w:rsidP="00704822">
      <w:pPr>
        <w:ind w:right="26"/>
        <w:jc w:val="both"/>
        <w:rPr>
          <w:rFonts w:ascii="Arial" w:hAnsi="Arial" w:cs="Arial"/>
          <w:sz w:val="24"/>
          <w:szCs w:val="24"/>
        </w:rPr>
      </w:pPr>
    </w:p>
    <w:p w14:paraId="7BCAEED3" w14:textId="77777777" w:rsidR="00704822" w:rsidRDefault="00704822" w:rsidP="00704822">
      <w:pPr>
        <w:ind w:right="26"/>
        <w:jc w:val="both"/>
        <w:rPr>
          <w:rFonts w:ascii="Arial" w:hAnsi="Arial" w:cs="Arial"/>
          <w:color w:val="000000"/>
          <w:sz w:val="24"/>
          <w:szCs w:val="24"/>
        </w:rPr>
      </w:pPr>
      <w:r>
        <w:rPr>
          <w:rFonts w:ascii="Arial" w:hAnsi="Arial" w:cs="Arial"/>
          <w:sz w:val="24"/>
          <w:szCs w:val="24"/>
        </w:rPr>
        <w:t xml:space="preserve">Where applicable member pensions are subject to an annual increase under the Pensions Increase Act </w:t>
      </w:r>
      <w:r>
        <w:rPr>
          <w:rFonts w:ascii="Arial" w:hAnsi="Arial" w:cs="Arial"/>
          <w:sz w:val="24"/>
          <w:szCs w:val="24"/>
          <w:lang w:val="en"/>
        </w:rPr>
        <w:t>each April, in line with the official rate of inflation, the Consumer Price Index (CPI) as at the previous 30 September</w:t>
      </w:r>
      <w:r>
        <w:rPr>
          <w:rFonts w:ascii="Arial" w:hAnsi="Arial" w:cs="Arial"/>
          <w:sz w:val="24"/>
          <w:szCs w:val="24"/>
        </w:rPr>
        <w:t>.  T</w:t>
      </w:r>
      <w:r>
        <w:rPr>
          <w:rFonts w:ascii="Arial" w:hAnsi="Arial" w:cs="Arial"/>
          <w:sz w:val="24"/>
          <w:szCs w:val="24"/>
          <w:lang w:val="en"/>
        </w:rPr>
        <w:t>he rate for the year ending September 2020 was 0.5</w:t>
      </w:r>
      <w:r w:rsidRPr="006C1AA2">
        <w:rPr>
          <w:rStyle w:val="Strong"/>
          <w:rFonts w:ascii="Arial" w:hAnsi="Arial" w:cs="Arial"/>
          <w:b w:val="0"/>
          <w:bCs w:val="0"/>
          <w:sz w:val="24"/>
          <w:szCs w:val="24"/>
          <w:lang w:val="en"/>
        </w:rPr>
        <w:t>% to</w:t>
      </w:r>
      <w:r w:rsidRPr="006C1AA2">
        <w:rPr>
          <w:rFonts w:ascii="Arial" w:hAnsi="Arial" w:cs="Arial"/>
          <w:b/>
          <w:bCs/>
          <w:sz w:val="24"/>
          <w:szCs w:val="24"/>
        </w:rPr>
        <w:t xml:space="preserve"> </w:t>
      </w:r>
      <w:r w:rsidRPr="006C1AA2">
        <w:rPr>
          <w:rFonts w:ascii="Arial" w:hAnsi="Arial" w:cs="Arial"/>
          <w:sz w:val="24"/>
          <w:szCs w:val="24"/>
        </w:rPr>
        <w:t>appli</w:t>
      </w:r>
      <w:r>
        <w:rPr>
          <w:rFonts w:ascii="Arial" w:hAnsi="Arial" w:cs="Arial"/>
          <w:sz w:val="24"/>
          <w:szCs w:val="24"/>
        </w:rPr>
        <w:t>ed from 12 April 2021 to qualifying pensions.</w:t>
      </w:r>
    </w:p>
    <w:p w14:paraId="33390F16" w14:textId="77777777" w:rsidR="00704822" w:rsidRDefault="00704822" w:rsidP="00704822">
      <w:pPr>
        <w:ind w:right="26"/>
        <w:jc w:val="both"/>
        <w:rPr>
          <w:rFonts w:ascii="Arial" w:hAnsi="Arial"/>
          <w:sz w:val="24"/>
        </w:rPr>
      </w:pPr>
    </w:p>
    <w:p w14:paraId="2F049157" w14:textId="77777777" w:rsidR="00704822" w:rsidRDefault="00704822" w:rsidP="00704822">
      <w:pPr>
        <w:ind w:right="26"/>
        <w:jc w:val="both"/>
        <w:rPr>
          <w:rFonts w:ascii="Arial" w:hAnsi="Arial"/>
          <w:sz w:val="24"/>
        </w:rPr>
      </w:pPr>
      <w:r>
        <w:rPr>
          <w:rFonts w:ascii="Arial" w:hAnsi="Arial"/>
          <w:sz w:val="24"/>
        </w:rPr>
        <w:lastRenderedPageBreak/>
        <w:t>The benefits are statutory and are effectively guaranteed by Parliament.  They do not depend on investment performance but the actuary will take account of how well the investments perform in setting the employers’ contribution rate in the actuarial valuation.</w:t>
      </w:r>
    </w:p>
    <w:p w14:paraId="5D4881FB" w14:textId="77777777" w:rsidR="00704822" w:rsidRDefault="00704822" w:rsidP="00704822">
      <w:pPr>
        <w:ind w:right="26"/>
        <w:jc w:val="both"/>
        <w:rPr>
          <w:rFonts w:ascii="Arial" w:hAnsi="Arial"/>
          <w:sz w:val="24"/>
        </w:rPr>
      </w:pPr>
    </w:p>
    <w:p w14:paraId="41AF700C" w14:textId="77777777" w:rsidR="00704822" w:rsidRDefault="00704822" w:rsidP="00704822">
      <w:pPr>
        <w:ind w:right="26"/>
        <w:jc w:val="both"/>
        <w:rPr>
          <w:rFonts w:ascii="Arial" w:hAnsi="Arial"/>
          <w:sz w:val="24"/>
        </w:rPr>
      </w:pPr>
      <w:r>
        <w:rPr>
          <w:rFonts w:ascii="Arial" w:hAnsi="Arial"/>
          <w:sz w:val="24"/>
        </w:rPr>
        <w:t xml:space="preserve">The LGPS 2014 Scheme did not affect the provisions for elected member pensions in Wales as their pension arrangement continues on a career average revalued earning basis. </w:t>
      </w:r>
    </w:p>
    <w:p w14:paraId="026A4B7D" w14:textId="77777777" w:rsidR="00704822" w:rsidRDefault="00704822" w:rsidP="00704822">
      <w:pPr>
        <w:rPr>
          <w:rFonts w:ascii="Arial" w:hAnsi="Arial"/>
          <w:b/>
          <w:szCs w:val="28"/>
        </w:rPr>
      </w:pPr>
    </w:p>
    <w:p w14:paraId="42DEA6B1" w14:textId="77777777" w:rsidR="00704822" w:rsidRDefault="00704822" w:rsidP="00704822">
      <w:pPr>
        <w:rPr>
          <w:rFonts w:ascii="Arial" w:hAnsi="Arial"/>
          <w:szCs w:val="28"/>
        </w:rPr>
      </w:pPr>
      <w:r>
        <w:rPr>
          <w:rFonts w:ascii="Arial" w:hAnsi="Arial"/>
          <w:b/>
          <w:szCs w:val="28"/>
        </w:rPr>
        <w:t>Membership</w:t>
      </w:r>
    </w:p>
    <w:p w14:paraId="72ADBB8D" w14:textId="77777777" w:rsidR="00704822" w:rsidRDefault="00704822" w:rsidP="00704822">
      <w:pPr>
        <w:rPr>
          <w:rFonts w:ascii="Arial" w:hAnsi="Arial"/>
          <w:sz w:val="22"/>
          <w:szCs w:val="22"/>
        </w:rPr>
      </w:pPr>
    </w:p>
    <w:p w14:paraId="0E010C9B" w14:textId="77777777" w:rsidR="00704822" w:rsidRDefault="00704822" w:rsidP="00704822">
      <w:pPr>
        <w:jc w:val="both"/>
        <w:rPr>
          <w:rFonts w:ascii="Arial" w:hAnsi="Arial"/>
          <w:sz w:val="24"/>
        </w:rPr>
      </w:pPr>
      <w:r>
        <w:rPr>
          <w:rFonts w:ascii="Arial" w:hAnsi="Arial"/>
          <w:sz w:val="24"/>
        </w:rPr>
        <w:t xml:space="preserve">Membership of the Fund is largely comprised of: </w:t>
      </w:r>
    </w:p>
    <w:p w14:paraId="594D5DDD" w14:textId="77777777" w:rsidR="00704822" w:rsidRDefault="00704822" w:rsidP="00704822">
      <w:pPr>
        <w:jc w:val="both"/>
        <w:rPr>
          <w:rFonts w:ascii="Arial" w:hAnsi="Arial"/>
          <w:sz w:val="22"/>
          <w:szCs w:val="22"/>
        </w:rPr>
      </w:pPr>
    </w:p>
    <w:p w14:paraId="0816D309" w14:textId="77777777" w:rsidR="00704822" w:rsidRDefault="00704822" w:rsidP="0073304A">
      <w:pPr>
        <w:numPr>
          <w:ilvl w:val="0"/>
          <w:numId w:val="108"/>
        </w:numPr>
        <w:ind w:left="709" w:hanging="357"/>
        <w:jc w:val="both"/>
        <w:rPr>
          <w:rFonts w:ascii="Arial" w:hAnsi="Arial"/>
          <w:sz w:val="24"/>
        </w:rPr>
      </w:pPr>
      <w:r>
        <w:rPr>
          <w:rFonts w:ascii="Arial" w:hAnsi="Arial"/>
          <w:sz w:val="24"/>
        </w:rPr>
        <w:t xml:space="preserve">Active members - contributors who are still working and paying money into the Fund </w:t>
      </w:r>
    </w:p>
    <w:p w14:paraId="6EAABB63" w14:textId="77777777" w:rsidR="00704822" w:rsidRDefault="00704822" w:rsidP="0073304A">
      <w:pPr>
        <w:numPr>
          <w:ilvl w:val="0"/>
          <w:numId w:val="108"/>
        </w:numPr>
        <w:ind w:left="709" w:right="26"/>
        <w:jc w:val="both"/>
        <w:rPr>
          <w:rFonts w:ascii="Arial" w:hAnsi="Arial"/>
          <w:sz w:val="24"/>
        </w:rPr>
      </w:pPr>
      <w:r>
        <w:rPr>
          <w:rFonts w:ascii="Arial" w:hAnsi="Arial"/>
          <w:sz w:val="24"/>
        </w:rPr>
        <w:t>Deferred members – former members who have elected to retain their pension rights in the Scheme until such a time as they become payable</w:t>
      </w:r>
    </w:p>
    <w:p w14:paraId="26E3AADF" w14:textId="77777777" w:rsidR="00704822" w:rsidRDefault="00704822" w:rsidP="0073304A">
      <w:pPr>
        <w:pStyle w:val="ListParagraph"/>
        <w:numPr>
          <w:ilvl w:val="0"/>
          <w:numId w:val="108"/>
        </w:numPr>
        <w:ind w:left="709" w:right="424"/>
        <w:jc w:val="both"/>
        <w:rPr>
          <w:sz w:val="24"/>
        </w:rPr>
      </w:pPr>
      <w:r>
        <w:rPr>
          <w:sz w:val="24"/>
        </w:rPr>
        <w:t xml:space="preserve">Pensioner members – in receipt of their pension </w:t>
      </w:r>
    </w:p>
    <w:p w14:paraId="071EE1B1" w14:textId="77777777" w:rsidR="00704822" w:rsidRDefault="00704822" w:rsidP="0073304A">
      <w:pPr>
        <w:pStyle w:val="ListParagraph"/>
        <w:numPr>
          <w:ilvl w:val="0"/>
          <w:numId w:val="108"/>
        </w:numPr>
        <w:ind w:left="709" w:right="424"/>
        <w:jc w:val="both"/>
        <w:rPr>
          <w:sz w:val="24"/>
        </w:rPr>
      </w:pPr>
      <w:r>
        <w:rPr>
          <w:sz w:val="24"/>
        </w:rPr>
        <w:t>Survivor members (including children) – in receipt of a pension in respect of a former member</w:t>
      </w:r>
    </w:p>
    <w:p w14:paraId="46C4EB03" w14:textId="77777777" w:rsidR="00704822" w:rsidRDefault="00704822" w:rsidP="00704822">
      <w:pPr>
        <w:ind w:right="424"/>
        <w:jc w:val="both"/>
        <w:rPr>
          <w:sz w:val="22"/>
          <w:szCs w:val="22"/>
        </w:rPr>
      </w:pPr>
      <w:r>
        <w:rPr>
          <w:sz w:val="24"/>
        </w:rPr>
        <w:t xml:space="preserve"> </w:t>
      </w:r>
    </w:p>
    <w:p w14:paraId="0B78B646" w14:textId="77777777" w:rsidR="00704822" w:rsidRDefault="00704822" w:rsidP="00704822">
      <w:pPr>
        <w:ind w:right="26"/>
        <w:jc w:val="both"/>
        <w:rPr>
          <w:rFonts w:ascii="Arial" w:hAnsi="Arial"/>
          <w:sz w:val="24"/>
        </w:rPr>
      </w:pPr>
      <w:r>
        <w:rPr>
          <w:rFonts w:ascii="Arial" w:hAnsi="Arial"/>
          <w:sz w:val="24"/>
        </w:rPr>
        <w:t xml:space="preserve">Membership of the Scheme is automatic and is open to all employees irrespective of the number of hours or weeks worked.  Where an employee is not eligible for automatic entry </w:t>
      </w:r>
      <w:r w:rsidRPr="00704822">
        <w:rPr>
          <w:rFonts w:ascii="Arial" w:hAnsi="Arial"/>
          <w:color w:val="000000"/>
          <w:sz w:val="24"/>
        </w:rPr>
        <w:t>under auto-enrolment legislation</w:t>
      </w:r>
      <w:r>
        <w:rPr>
          <w:rFonts w:ascii="Arial" w:hAnsi="Arial"/>
          <w:sz w:val="24"/>
        </w:rPr>
        <w:t>, they may elect to join the Scheme if they so wish.  All employees also have the right to choose a personal pension as an alternative or in addition to membership of the LGPS.</w:t>
      </w:r>
    </w:p>
    <w:p w14:paraId="30F54949" w14:textId="77777777" w:rsidR="00704822" w:rsidRDefault="00704822" w:rsidP="00704822">
      <w:pPr>
        <w:ind w:right="26"/>
        <w:jc w:val="both"/>
        <w:rPr>
          <w:rFonts w:ascii="Arial" w:hAnsi="Arial"/>
          <w:sz w:val="22"/>
          <w:szCs w:val="22"/>
        </w:rPr>
      </w:pPr>
    </w:p>
    <w:p w14:paraId="4D0955A7" w14:textId="77777777" w:rsidR="00704822" w:rsidRDefault="00704822" w:rsidP="00704822">
      <w:pPr>
        <w:ind w:right="26"/>
        <w:jc w:val="both"/>
        <w:rPr>
          <w:rFonts w:ascii="Arial" w:hAnsi="Arial"/>
          <w:sz w:val="24"/>
        </w:rPr>
      </w:pPr>
      <w:r>
        <w:rPr>
          <w:rFonts w:ascii="Arial" w:hAnsi="Arial"/>
          <w:sz w:val="24"/>
        </w:rPr>
        <w:t xml:space="preserve">Membership of the Fund continues to grow and the latest statistics at </w:t>
      </w:r>
      <w:r w:rsidRPr="006C2E2C">
        <w:rPr>
          <w:rFonts w:ascii="Arial" w:hAnsi="Arial"/>
          <w:sz w:val="24"/>
        </w:rPr>
        <w:t xml:space="preserve">Appendix </w:t>
      </w:r>
      <w:r w:rsidR="00C70D60" w:rsidRPr="006C2E2C">
        <w:rPr>
          <w:rFonts w:ascii="Arial" w:hAnsi="Arial"/>
          <w:sz w:val="24"/>
        </w:rPr>
        <w:t>1</w:t>
      </w:r>
      <w:r>
        <w:rPr>
          <w:rFonts w:ascii="Arial" w:hAnsi="Arial"/>
          <w:sz w:val="24"/>
        </w:rPr>
        <w:t xml:space="preserve"> show the total membership of the Fund in 2021/22.  </w:t>
      </w:r>
    </w:p>
    <w:p w14:paraId="7A27C33A" w14:textId="77777777" w:rsidR="00704822" w:rsidRDefault="00704822" w:rsidP="00704822">
      <w:pPr>
        <w:ind w:right="26"/>
        <w:jc w:val="both"/>
        <w:rPr>
          <w:rFonts w:ascii="Arial" w:hAnsi="Arial"/>
          <w:sz w:val="22"/>
          <w:szCs w:val="22"/>
        </w:rPr>
      </w:pPr>
    </w:p>
    <w:p w14:paraId="627986EC" w14:textId="77777777" w:rsidR="00704822" w:rsidRDefault="00704822" w:rsidP="00704822">
      <w:pPr>
        <w:ind w:right="26"/>
        <w:jc w:val="both"/>
        <w:rPr>
          <w:rFonts w:ascii="Arial" w:hAnsi="Arial"/>
          <w:sz w:val="24"/>
        </w:rPr>
      </w:pPr>
      <w:r>
        <w:rPr>
          <w:rFonts w:ascii="Arial" w:hAnsi="Arial"/>
          <w:sz w:val="24"/>
        </w:rPr>
        <w:t xml:space="preserve">Memberships are monitored to assess trends and events; publications and employer engagement are utilised to ensure a robust membership and working partnership. </w:t>
      </w:r>
    </w:p>
    <w:p w14:paraId="6B39F981" w14:textId="77777777" w:rsidR="00704822" w:rsidRDefault="00704822" w:rsidP="00704822">
      <w:pPr>
        <w:ind w:right="424"/>
        <w:rPr>
          <w:rFonts w:ascii="Arial" w:hAnsi="Arial"/>
          <w:sz w:val="24"/>
          <w:szCs w:val="24"/>
        </w:rPr>
      </w:pPr>
    </w:p>
    <w:p w14:paraId="2A25A7AD" w14:textId="77777777" w:rsidR="00135E52" w:rsidRDefault="00135E52" w:rsidP="00704822">
      <w:pPr>
        <w:outlineLvl w:val="0"/>
        <w:rPr>
          <w:rFonts w:ascii="Arial" w:hAnsi="Arial"/>
          <w:b/>
        </w:rPr>
      </w:pPr>
    </w:p>
    <w:p w14:paraId="019E5B36" w14:textId="77777777" w:rsidR="00135E52" w:rsidRDefault="00135E52" w:rsidP="00704822">
      <w:pPr>
        <w:outlineLvl w:val="0"/>
        <w:rPr>
          <w:rFonts w:ascii="Arial" w:hAnsi="Arial"/>
          <w:b/>
        </w:rPr>
      </w:pPr>
    </w:p>
    <w:p w14:paraId="331DE569" w14:textId="77777777" w:rsidR="00135E52" w:rsidRDefault="00135E52" w:rsidP="00704822">
      <w:pPr>
        <w:outlineLvl w:val="0"/>
        <w:rPr>
          <w:rFonts w:ascii="Arial" w:hAnsi="Arial"/>
          <w:b/>
        </w:rPr>
      </w:pPr>
    </w:p>
    <w:p w14:paraId="1CF6A8DE" w14:textId="77777777" w:rsidR="00135E52" w:rsidRDefault="00135E52" w:rsidP="00704822">
      <w:pPr>
        <w:outlineLvl w:val="0"/>
        <w:rPr>
          <w:rFonts w:ascii="Arial" w:hAnsi="Arial"/>
          <w:b/>
        </w:rPr>
      </w:pPr>
    </w:p>
    <w:p w14:paraId="3DB902B6" w14:textId="77777777" w:rsidR="00135E52" w:rsidRDefault="00135E52" w:rsidP="00704822">
      <w:pPr>
        <w:outlineLvl w:val="0"/>
        <w:rPr>
          <w:rFonts w:ascii="Arial" w:hAnsi="Arial"/>
          <w:b/>
        </w:rPr>
      </w:pPr>
    </w:p>
    <w:p w14:paraId="7DA9C8D5" w14:textId="77777777" w:rsidR="00135E52" w:rsidRDefault="00135E52" w:rsidP="00704822">
      <w:pPr>
        <w:outlineLvl w:val="0"/>
        <w:rPr>
          <w:rFonts w:ascii="Arial" w:hAnsi="Arial"/>
          <w:b/>
        </w:rPr>
      </w:pPr>
    </w:p>
    <w:p w14:paraId="758A8B43" w14:textId="77777777" w:rsidR="00135E52" w:rsidRDefault="00135E52" w:rsidP="00704822">
      <w:pPr>
        <w:outlineLvl w:val="0"/>
        <w:rPr>
          <w:rFonts w:ascii="Arial" w:hAnsi="Arial"/>
          <w:b/>
        </w:rPr>
      </w:pPr>
    </w:p>
    <w:p w14:paraId="5F0D7B28" w14:textId="77777777" w:rsidR="00135E52" w:rsidRDefault="00135E52" w:rsidP="00704822">
      <w:pPr>
        <w:outlineLvl w:val="0"/>
        <w:rPr>
          <w:rFonts w:ascii="Arial" w:hAnsi="Arial"/>
          <w:b/>
        </w:rPr>
      </w:pPr>
    </w:p>
    <w:p w14:paraId="233A8413" w14:textId="77777777" w:rsidR="00135E52" w:rsidRDefault="00135E52" w:rsidP="00704822">
      <w:pPr>
        <w:outlineLvl w:val="0"/>
        <w:rPr>
          <w:rFonts w:ascii="Arial" w:hAnsi="Arial"/>
          <w:b/>
        </w:rPr>
      </w:pPr>
    </w:p>
    <w:p w14:paraId="16E99EE0" w14:textId="77777777" w:rsidR="00135E52" w:rsidRDefault="00135E52" w:rsidP="00704822">
      <w:pPr>
        <w:outlineLvl w:val="0"/>
        <w:rPr>
          <w:rFonts w:ascii="Arial" w:hAnsi="Arial"/>
          <w:b/>
        </w:rPr>
      </w:pPr>
    </w:p>
    <w:p w14:paraId="1B80C647" w14:textId="77777777" w:rsidR="00135E52" w:rsidRDefault="00135E52" w:rsidP="00704822">
      <w:pPr>
        <w:outlineLvl w:val="0"/>
        <w:rPr>
          <w:rFonts w:ascii="Arial" w:hAnsi="Arial"/>
          <w:b/>
        </w:rPr>
      </w:pPr>
    </w:p>
    <w:p w14:paraId="36434F89" w14:textId="77777777" w:rsidR="00135E52" w:rsidRDefault="00135E52" w:rsidP="00704822">
      <w:pPr>
        <w:outlineLvl w:val="0"/>
        <w:rPr>
          <w:rFonts w:ascii="Arial" w:hAnsi="Arial"/>
          <w:b/>
        </w:rPr>
      </w:pPr>
    </w:p>
    <w:p w14:paraId="4F4F0805" w14:textId="77777777" w:rsidR="00135E52" w:rsidRDefault="00135E52" w:rsidP="00704822">
      <w:pPr>
        <w:outlineLvl w:val="0"/>
        <w:rPr>
          <w:rFonts w:ascii="Arial" w:hAnsi="Arial"/>
          <w:b/>
        </w:rPr>
      </w:pPr>
    </w:p>
    <w:p w14:paraId="25F38C13" w14:textId="77777777" w:rsidR="00135E52" w:rsidRDefault="00135E52" w:rsidP="00704822">
      <w:pPr>
        <w:outlineLvl w:val="0"/>
        <w:rPr>
          <w:rFonts w:ascii="Arial" w:hAnsi="Arial"/>
          <w:b/>
        </w:rPr>
      </w:pPr>
    </w:p>
    <w:p w14:paraId="0B5169BB" w14:textId="77777777" w:rsidR="00704822" w:rsidRDefault="00704822" w:rsidP="00704822">
      <w:pPr>
        <w:outlineLvl w:val="0"/>
        <w:rPr>
          <w:rFonts w:ascii="Arial" w:hAnsi="Arial"/>
          <w:b/>
        </w:rPr>
      </w:pPr>
      <w:r>
        <w:rPr>
          <w:rFonts w:ascii="Arial" w:hAnsi="Arial"/>
          <w:b/>
        </w:rPr>
        <w:lastRenderedPageBreak/>
        <w:t>Premature Retirement - Pension Costs</w:t>
      </w:r>
    </w:p>
    <w:p w14:paraId="4D51E095" w14:textId="77777777" w:rsidR="00704822" w:rsidRDefault="00704822" w:rsidP="00704822">
      <w:pPr>
        <w:rPr>
          <w:rFonts w:ascii="Arial" w:hAnsi="Arial"/>
          <w:sz w:val="24"/>
        </w:rPr>
      </w:pPr>
    </w:p>
    <w:p w14:paraId="59219011" w14:textId="77777777" w:rsidR="00704822" w:rsidRDefault="00704822" w:rsidP="00704822">
      <w:pPr>
        <w:jc w:val="both"/>
        <w:rPr>
          <w:rFonts w:ascii="Arial" w:hAnsi="Arial"/>
          <w:b/>
          <w:sz w:val="24"/>
        </w:rPr>
      </w:pPr>
      <w:r>
        <w:rPr>
          <w:rFonts w:ascii="Arial" w:hAnsi="Arial"/>
          <w:b/>
          <w:sz w:val="24"/>
        </w:rPr>
        <w:t>(a)</w:t>
      </w:r>
      <w:r>
        <w:rPr>
          <w:rFonts w:ascii="Arial" w:hAnsi="Arial"/>
          <w:b/>
          <w:sz w:val="24"/>
        </w:rPr>
        <w:tab/>
        <w:t>Ill Health Retirement</w:t>
      </w:r>
    </w:p>
    <w:p w14:paraId="77A0B124" w14:textId="77777777" w:rsidR="00704822" w:rsidRDefault="00704822" w:rsidP="00704822">
      <w:pPr>
        <w:jc w:val="both"/>
        <w:rPr>
          <w:rFonts w:ascii="Arial" w:hAnsi="Arial"/>
          <w:b/>
          <w:sz w:val="22"/>
          <w:szCs w:val="22"/>
        </w:rPr>
      </w:pPr>
    </w:p>
    <w:p w14:paraId="6AB8B187" w14:textId="77777777" w:rsidR="00704822" w:rsidRDefault="00704822" w:rsidP="00704822">
      <w:pPr>
        <w:ind w:left="720" w:hanging="720"/>
        <w:jc w:val="both"/>
        <w:rPr>
          <w:rFonts w:ascii="Arial" w:hAnsi="Arial"/>
          <w:sz w:val="24"/>
        </w:rPr>
      </w:pPr>
      <w:r>
        <w:rPr>
          <w:rFonts w:ascii="Arial" w:hAnsi="Arial"/>
          <w:sz w:val="24"/>
        </w:rPr>
        <w:tab/>
        <w:t xml:space="preserve">Employers do not have to pay separately for the Pension Fund costs for ill health, as the cost is included in the employer’s </w:t>
      </w:r>
      <w:r w:rsidRPr="00704822">
        <w:rPr>
          <w:rFonts w:ascii="Arial" w:hAnsi="Arial"/>
          <w:color w:val="000000"/>
          <w:sz w:val="24"/>
        </w:rPr>
        <w:t>contribution</w:t>
      </w:r>
      <w:r>
        <w:rPr>
          <w:rFonts w:ascii="Arial" w:hAnsi="Arial"/>
          <w:color w:val="FF0000"/>
          <w:sz w:val="24"/>
        </w:rPr>
        <w:t xml:space="preserve"> </w:t>
      </w:r>
      <w:r>
        <w:rPr>
          <w:rFonts w:ascii="Arial" w:hAnsi="Arial"/>
          <w:sz w:val="24"/>
        </w:rPr>
        <w:t xml:space="preserve">rate as a percentage for such cases; however, the actuarial </w:t>
      </w:r>
      <w:r w:rsidRPr="00704822">
        <w:rPr>
          <w:rFonts w:ascii="Arial" w:hAnsi="Arial"/>
          <w:color w:val="000000"/>
          <w:sz w:val="24"/>
        </w:rPr>
        <w:t>costs</w:t>
      </w:r>
      <w:r>
        <w:rPr>
          <w:rFonts w:ascii="Arial" w:hAnsi="Arial"/>
          <w:sz w:val="24"/>
        </w:rPr>
        <w:t xml:space="preserve"> of ill health retirees from current service are calculated for reporting purposes and for the past two years this was:</w:t>
      </w:r>
    </w:p>
    <w:p w14:paraId="4A7F8732" w14:textId="77777777" w:rsidR="00704822" w:rsidRDefault="00704822" w:rsidP="00704822">
      <w:pPr>
        <w:ind w:left="720" w:hanging="720"/>
        <w:rPr>
          <w:rFonts w:ascii="Arial" w:hAnsi="Arial"/>
          <w:sz w:val="24"/>
        </w:rPr>
      </w:pPr>
    </w:p>
    <w:tbl>
      <w:tblPr>
        <w:tblW w:w="94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772"/>
        <w:gridCol w:w="1133"/>
        <w:gridCol w:w="1700"/>
        <w:gridCol w:w="1133"/>
        <w:gridCol w:w="1667"/>
      </w:tblGrid>
      <w:tr w:rsidR="00704822" w14:paraId="74D81BF6" w14:textId="77777777" w:rsidTr="00704822">
        <w:trPr>
          <w:jc w:val="center"/>
        </w:trPr>
        <w:tc>
          <w:tcPr>
            <w:tcW w:w="3775" w:type="dxa"/>
            <w:tcBorders>
              <w:top w:val="nil"/>
              <w:left w:val="nil"/>
              <w:bottom w:val="single" w:sz="4" w:space="0" w:color="auto"/>
              <w:right w:val="single" w:sz="4" w:space="0" w:color="auto"/>
            </w:tcBorders>
          </w:tcPr>
          <w:p w14:paraId="19726C5F" w14:textId="77777777" w:rsidR="00704822" w:rsidRDefault="00704822">
            <w:pPr>
              <w:rPr>
                <w:rFonts w:ascii="Arial" w:hAnsi="Arial"/>
                <w:b/>
                <w:sz w:val="24"/>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55B43EDE" w14:textId="77777777" w:rsidR="00704822" w:rsidRDefault="00704822">
            <w:pPr>
              <w:tabs>
                <w:tab w:val="center" w:pos="1238"/>
              </w:tabs>
              <w:rPr>
                <w:rFonts w:ascii="Arial" w:hAnsi="Arial"/>
                <w:b/>
                <w:sz w:val="24"/>
              </w:rPr>
            </w:pPr>
            <w:r>
              <w:rPr>
                <w:rFonts w:ascii="Arial" w:hAnsi="Arial"/>
                <w:b/>
                <w:sz w:val="24"/>
              </w:rPr>
              <w:tab/>
              <w:t>2020/21</w:t>
            </w:r>
          </w:p>
        </w:tc>
        <w:tc>
          <w:tcPr>
            <w:tcW w:w="2802" w:type="dxa"/>
            <w:gridSpan w:val="2"/>
            <w:tcBorders>
              <w:top w:val="single" w:sz="4" w:space="0" w:color="auto"/>
              <w:left w:val="single" w:sz="4" w:space="0" w:color="auto"/>
              <w:bottom w:val="single" w:sz="4" w:space="0" w:color="auto"/>
              <w:right w:val="single" w:sz="4" w:space="0" w:color="auto"/>
            </w:tcBorders>
            <w:hideMark/>
          </w:tcPr>
          <w:p w14:paraId="7EDCB9FD" w14:textId="77777777" w:rsidR="00704822" w:rsidRDefault="00704822">
            <w:pPr>
              <w:jc w:val="center"/>
              <w:rPr>
                <w:rFonts w:ascii="Arial" w:hAnsi="Arial"/>
                <w:b/>
                <w:sz w:val="24"/>
              </w:rPr>
            </w:pPr>
            <w:r>
              <w:rPr>
                <w:rFonts w:ascii="Arial" w:hAnsi="Arial"/>
                <w:b/>
                <w:sz w:val="24"/>
              </w:rPr>
              <w:t>2021/22</w:t>
            </w:r>
          </w:p>
        </w:tc>
      </w:tr>
      <w:tr w:rsidR="00704822" w14:paraId="0162ABB1"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21B5B2B7" w14:textId="77777777" w:rsidR="00704822" w:rsidRDefault="00704822">
            <w:pPr>
              <w:rPr>
                <w:rFonts w:ascii="Arial" w:hAnsi="Arial"/>
                <w:b/>
                <w:sz w:val="24"/>
              </w:rPr>
            </w:pPr>
            <w:r>
              <w:rPr>
                <w:rFonts w:ascii="Arial" w:hAnsi="Arial"/>
                <w:b/>
                <w:sz w:val="24"/>
              </w:rPr>
              <w:t>Ill-Health Retirement</w:t>
            </w:r>
          </w:p>
        </w:tc>
        <w:tc>
          <w:tcPr>
            <w:tcW w:w="1134" w:type="dxa"/>
            <w:tcBorders>
              <w:top w:val="single" w:sz="4" w:space="0" w:color="auto"/>
              <w:left w:val="single" w:sz="4" w:space="0" w:color="auto"/>
              <w:bottom w:val="single" w:sz="4" w:space="0" w:color="auto"/>
              <w:right w:val="single" w:sz="4" w:space="0" w:color="auto"/>
            </w:tcBorders>
            <w:hideMark/>
          </w:tcPr>
          <w:p w14:paraId="5295E42E" w14:textId="77777777" w:rsidR="00704822" w:rsidRDefault="00704822">
            <w:pPr>
              <w:jc w:val="center"/>
              <w:rPr>
                <w:rFonts w:ascii="Arial" w:hAnsi="Arial"/>
                <w:b/>
                <w:sz w:val="24"/>
              </w:rPr>
            </w:pPr>
            <w:r>
              <w:rPr>
                <w:rFonts w:ascii="Arial" w:hAnsi="Arial"/>
                <w:b/>
                <w:sz w:val="24"/>
              </w:rPr>
              <w:t>No. of</w:t>
            </w:r>
          </w:p>
          <w:p w14:paraId="5B5FA069" w14:textId="77777777" w:rsidR="00704822" w:rsidRDefault="00704822">
            <w:pPr>
              <w:jc w:val="center"/>
              <w:rPr>
                <w:rFonts w:ascii="Arial" w:hAnsi="Arial"/>
                <w:sz w:val="24"/>
              </w:rPr>
            </w:pPr>
            <w:r>
              <w:rPr>
                <w:rFonts w:ascii="Arial" w:hAnsi="Arial"/>
                <w:b/>
                <w:sz w:val="24"/>
              </w:rPr>
              <w:t>Cases</w:t>
            </w:r>
          </w:p>
        </w:tc>
        <w:tc>
          <w:tcPr>
            <w:tcW w:w="1701" w:type="dxa"/>
            <w:tcBorders>
              <w:top w:val="single" w:sz="4" w:space="0" w:color="auto"/>
              <w:left w:val="single" w:sz="4" w:space="0" w:color="auto"/>
              <w:bottom w:val="single" w:sz="4" w:space="0" w:color="auto"/>
              <w:right w:val="single" w:sz="4" w:space="0" w:color="auto"/>
            </w:tcBorders>
            <w:hideMark/>
          </w:tcPr>
          <w:p w14:paraId="7E99C4F7" w14:textId="77777777" w:rsidR="00704822" w:rsidRDefault="00704822">
            <w:pPr>
              <w:jc w:val="center"/>
              <w:rPr>
                <w:rFonts w:ascii="Arial" w:hAnsi="Arial"/>
                <w:b/>
                <w:sz w:val="24"/>
              </w:rPr>
            </w:pPr>
            <w:r>
              <w:rPr>
                <w:rFonts w:ascii="Arial" w:hAnsi="Arial"/>
                <w:b/>
                <w:sz w:val="24"/>
              </w:rPr>
              <w:t>Cost</w:t>
            </w:r>
          </w:p>
          <w:p w14:paraId="6C263C5A" w14:textId="77777777" w:rsidR="00704822" w:rsidRDefault="00704822">
            <w:pPr>
              <w:jc w:val="center"/>
              <w:rPr>
                <w:rFonts w:ascii="Arial" w:hAnsi="Arial"/>
                <w:sz w:val="24"/>
              </w:rPr>
            </w:pPr>
            <w:r>
              <w:rPr>
                <w:rFonts w:ascii="Arial" w:hAnsi="Arial"/>
                <w:b/>
                <w:sz w:val="24"/>
              </w:rPr>
              <w:t>£</w:t>
            </w:r>
          </w:p>
        </w:tc>
        <w:tc>
          <w:tcPr>
            <w:tcW w:w="1134" w:type="dxa"/>
            <w:tcBorders>
              <w:top w:val="single" w:sz="4" w:space="0" w:color="auto"/>
              <w:left w:val="single" w:sz="4" w:space="0" w:color="auto"/>
              <w:bottom w:val="single" w:sz="4" w:space="0" w:color="auto"/>
              <w:right w:val="single" w:sz="4" w:space="0" w:color="auto"/>
            </w:tcBorders>
            <w:hideMark/>
          </w:tcPr>
          <w:p w14:paraId="11E63605" w14:textId="77777777" w:rsidR="00704822" w:rsidRDefault="00704822">
            <w:pPr>
              <w:jc w:val="center"/>
              <w:rPr>
                <w:rFonts w:ascii="Arial" w:hAnsi="Arial"/>
                <w:b/>
                <w:sz w:val="24"/>
              </w:rPr>
            </w:pPr>
            <w:r>
              <w:rPr>
                <w:rFonts w:ascii="Arial" w:hAnsi="Arial"/>
                <w:b/>
                <w:sz w:val="24"/>
              </w:rPr>
              <w:t>No. of</w:t>
            </w:r>
          </w:p>
          <w:p w14:paraId="47B311E4" w14:textId="77777777" w:rsidR="00704822" w:rsidRDefault="00704822">
            <w:pPr>
              <w:jc w:val="center"/>
              <w:rPr>
                <w:rFonts w:ascii="Arial" w:hAnsi="Arial"/>
                <w:sz w:val="24"/>
              </w:rPr>
            </w:pPr>
            <w:r>
              <w:rPr>
                <w:rFonts w:ascii="Arial" w:hAnsi="Arial"/>
                <w:b/>
                <w:sz w:val="24"/>
              </w:rPr>
              <w:t>Cases</w:t>
            </w:r>
          </w:p>
        </w:tc>
        <w:tc>
          <w:tcPr>
            <w:tcW w:w="1668" w:type="dxa"/>
            <w:tcBorders>
              <w:top w:val="single" w:sz="4" w:space="0" w:color="auto"/>
              <w:left w:val="single" w:sz="4" w:space="0" w:color="auto"/>
              <w:bottom w:val="single" w:sz="4" w:space="0" w:color="auto"/>
              <w:right w:val="single" w:sz="4" w:space="0" w:color="auto"/>
            </w:tcBorders>
            <w:hideMark/>
          </w:tcPr>
          <w:p w14:paraId="3BC23AE2" w14:textId="77777777" w:rsidR="00704822" w:rsidRDefault="00704822">
            <w:pPr>
              <w:jc w:val="center"/>
              <w:rPr>
                <w:rFonts w:ascii="Arial" w:hAnsi="Arial"/>
                <w:b/>
                <w:sz w:val="24"/>
              </w:rPr>
            </w:pPr>
            <w:r>
              <w:rPr>
                <w:rFonts w:ascii="Arial" w:hAnsi="Arial"/>
                <w:b/>
                <w:sz w:val="24"/>
              </w:rPr>
              <w:t>Cost</w:t>
            </w:r>
          </w:p>
          <w:p w14:paraId="2559CEE3" w14:textId="77777777" w:rsidR="00704822" w:rsidRDefault="00704822">
            <w:pPr>
              <w:jc w:val="center"/>
              <w:rPr>
                <w:rFonts w:ascii="Arial" w:hAnsi="Arial"/>
                <w:sz w:val="24"/>
              </w:rPr>
            </w:pPr>
            <w:r>
              <w:rPr>
                <w:rFonts w:ascii="Arial" w:hAnsi="Arial"/>
                <w:b/>
                <w:sz w:val="24"/>
              </w:rPr>
              <w:t>£</w:t>
            </w:r>
          </w:p>
        </w:tc>
      </w:tr>
      <w:tr w:rsidR="00704822" w14:paraId="03C5A121" w14:textId="77777777" w:rsidTr="00704822">
        <w:trPr>
          <w:jc w:val="center"/>
        </w:trPr>
        <w:tc>
          <w:tcPr>
            <w:tcW w:w="3775" w:type="dxa"/>
            <w:tcBorders>
              <w:top w:val="single" w:sz="4" w:space="0" w:color="auto"/>
              <w:left w:val="single" w:sz="4" w:space="0" w:color="auto"/>
              <w:bottom w:val="single" w:sz="6" w:space="0" w:color="auto"/>
              <w:right w:val="single" w:sz="6" w:space="0" w:color="auto"/>
            </w:tcBorders>
            <w:hideMark/>
          </w:tcPr>
          <w:p w14:paraId="416154E1" w14:textId="77777777" w:rsidR="00704822" w:rsidRDefault="00704822">
            <w:pPr>
              <w:rPr>
                <w:rFonts w:ascii="Arial" w:hAnsi="Arial"/>
                <w:sz w:val="24"/>
              </w:rPr>
            </w:pPr>
            <w:r>
              <w:rPr>
                <w:rFonts w:ascii="Arial" w:hAnsi="Arial"/>
                <w:sz w:val="24"/>
              </w:rPr>
              <w:t>City &amp; County of Swansea</w:t>
            </w:r>
          </w:p>
        </w:tc>
        <w:tc>
          <w:tcPr>
            <w:tcW w:w="1134" w:type="dxa"/>
            <w:tcBorders>
              <w:top w:val="single" w:sz="4" w:space="0" w:color="auto"/>
              <w:left w:val="single" w:sz="4" w:space="0" w:color="auto"/>
              <w:bottom w:val="single" w:sz="6" w:space="0" w:color="auto"/>
              <w:right w:val="single" w:sz="6" w:space="0" w:color="auto"/>
            </w:tcBorders>
            <w:hideMark/>
          </w:tcPr>
          <w:p w14:paraId="4E0222B1" w14:textId="77777777" w:rsidR="00704822" w:rsidRDefault="00704822">
            <w:pPr>
              <w:jc w:val="center"/>
              <w:rPr>
                <w:rFonts w:ascii="Arial" w:hAnsi="Arial"/>
                <w:sz w:val="24"/>
              </w:rPr>
            </w:pPr>
            <w:r>
              <w:rPr>
                <w:rFonts w:ascii="Arial" w:hAnsi="Arial"/>
                <w:sz w:val="24"/>
              </w:rPr>
              <w:t>29</w:t>
            </w:r>
          </w:p>
        </w:tc>
        <w:tc>
          <w:tcPr>
            <w:tcW w:w="1701" w:type="dxa"/>
            <w:tcBorders>
              <w:top w:val="single" w:sz="4" w:space="0" w:color="auto"/>
              <w:left w:val="single" w:sz="6" w:space="0" w:color="auto"/>
              <w:bottom w:val="single" w:sz="6" w:space="0" w:color="auto"/>
              <w:right w:val="single" w:sz="4" w:space="0" w:color="auto"/>
            </w:tcBorders>
            <w:hideMark/>
          </w:tcPr>
          <w:p w14:paraId="42F9B545" w14:textId="77777777" w:rsidR="00704822" w:rsidRDefault="00704822" w:rsidP="00704822">
            <w:pPr>
              <w:jc w:val="right"/>
              <w:rPr>
                <w:rFonts w:ascii="Arial" w:hAnsi="Arial"/>
                <w:sz w:val="24"/>
              </w:rPr>
            </w:pPr>
            <w:r>
              <w:rPr>
                <w:rFonts w:ascii="Arial" w:hAnsi="Arial"/>
                <w:sz w:val="24"/>
              </w:rPr>
              <w:t>3,176,18</w:t>
            </w:r>
            <w:r w:rsidR="00C70D60">
              <w:rPr>
                <w:rFonts w:ascii="Arial" w:hAnsi="Arial"/>
                <w:sz w:val="24"/>
              </w:rPr>
              <w:t>6</w:t>
            </w:r>
          </w:p>
        </w:tc>
        <w:tc>
          <w:tcPr>
            <w:tcW w:w="1134" w:type="dxa"/>
            <w:tcBorders>
              <w:top w:val="single" w:sz="4" w:space="0" w:color="auto"/>
              <w:left w:val="single" w:sz="4" w:space="0" w:color="auto"/>
              <w:bottom w:val="single" w:sz="6" w:space="0" w:color="auto"/>
              <w:right w:val="single" w:sz="6" w:space="0" w:color="auto"/>
            </w:tcBorders>
            <w:hideMark/>
          </w:tcPr>
          <w:p w14:paraId="00ABF129" w14:textId="77777777" w:rsidR="00704822" w:rsidRDefault="00704822">
            <w:pPr>
              <w:jc w:val="center"/>
              <w:rPr>
                <w:rFonts w:ascii="Arial" w:hAnsi="Arial"/>
                <w:sz w:val="24"/>
              </w:rPr>
            </w:pPr>
            <w:r>
              <w:rPr>
                <w:rFonts w:ascii="Arial" w:hAnsi="Arial"/>
                <w:sz w:val="24"/>
              </w:rPr>
              <w:t>25</w:t>
            </w:r>
          </w:p>
        </w:tc>
        <w:tc>
          <w:tcPr>
            <w:tcW w:w="1668" w:type="dxa"/>
            <w:tcBorders>
              <w:top w:val="single" w:sz="4" w:space="0" w:color="auto"/>
              <w:left w:val="single" w:sz="6" w:space="0" w:color="auto"/>
              <w:bottom w:val="single" w:sz="6" w:space="0" w:color="auto"/>
              <w:right w:val="single" w:sz="4" w:space="0" w:color="auto"/>
            </w:tcBorders>
            <w:hideMark/>
          </w:tcPr>
          <w:p w14:paraId="5F4F643F" w14:textId="77777777" w:rsidR="00704822" w:rsidRDefault="00704822" w:rsidP="00704822">
            <w:pPr>
              <w:jc w:val="right"/>
              <w:rPr>
                <w:rFonts w:ascii="Arial" w:hAnsi="Arial"/>
                <w:sz w:val="24"/>
              </w:rPr>
            </w:pPr>
            <w:r>
              <w:rPr>
                <w:rFonts w:ascii="Arial" w:hAnsi="Arial"/>
                <w:sz w:val="24"/>
              </w:rPr>
              <w:t>1,575,9</w:t>
            </w:r>
            <w:r w:rsidR="00C70D60">
              <w:rPr>
                <w:rFonts w:ascii="Arial" w:hAnsi="Arial"/>
                <w:sz w:val="24"/>
              </w:rPr>
              <w:t>80</w:t>
            </w:r>
          </w:p>
        </w:tc>
      </w:tr>
      <w:tr w:rsidR="00704822" w14:paraId="716EAA09" w14:textId="77777777" w:rsidTr="00704822">
        <w:trPr>
          <w:jc w:val="center"/>
        </w:trPr>
        <w:tc>
          <w:tcPr>
            <w:tcW w:w="3775" w:type="dxa"/>
            <w:tcBorders>
              <w:top w:val="single" w:sz="6" w:space="0" w:color="auto"/>
              <w:left w:val="single" w:sz="4" w:space="0" w:color="auto"/>
              <w:bottom w:val="single" w:sz="6" w:space="0" w:color="auto"/>
              <w:right w:val="single" w:sz="6" w:space="0" w:color="auto"/>
            </w:tcBorders>
            <w:hideMark/>
          </w:tcPr>
          <w:p w14:paraId="4FC31E91" w14:textId="77777777" w:rsidR="00704822" w:rsidRDefault="00704822">
            <w:pPr>
              <w:rPr>
                <w:rFonts w:ascii="Arial" w:hAnsi="Arial"/>
                <w:sz w:val="24"/>
              </w:rPr>
            </w:pPr>
            <w:r>
              <w:rPr>
                <w:rFonts w:ascii="Arial" w:hAnsi="Arial"/>
                <w:sz w:val="24"/>
              </w:rPr>
              <w:t>Neath Port Talbot CBC</w:t>
            </w:r>
          </w:p>
        </w:tc>
        <w:tc>
          <w:tcPr>
            <w:tcW w:w="1134" w:type="dxa"/>
            <w:tcBorders>
              <w:top w:val="single" w:sz="6" w:space="0" w:color="auto"/>
              <w:left w:val="single" w:sz="4" w:space="0" w:color="auto"/>
              <w:bottom w:val="single" w:sz="6" w:space="0" w:color="auto"/>
              <w:right w:val="single" w:sz="6" w:space="0" w:color="auto"/>
            </w:tcBorders>
            <w:hideMark/>
          </w:tcPr>
          <w:p w14:paraId="0B7887A1" w14:textId="77777777" w:rsidR="00704822" w:rsidRDefault="00704822">
            <w:pPr>
              <w:jc w:val="center"/>
              <w:rPr>
                <w:rFonts w:ascii="Arial" w:hAnsi="Arial"/>
                <w:sz w:val="24"/>
              </w:rPr>
            </w:pPr>
            <w:r>
              <w:rPr>
                <w:rFonts w:ascii="Arial" w:hAnsi="Arial"/>
                <w:sz w:val="24"/>
              </w:rPr>
              <w:t>11</w:t>
            </w:r>
          </w:p>
        </w:tc>
        <w:tc>
          <w:tcPr>
            <w:tcW w:w="1701" w:type="dxa"/>
            <w:tcBorders>
              <w:top w:val="single" w:sz="6" w:space="0" w:color="auto"/>
              <w:left w:val="single" w:sz="6" w:space="0" w:color="auto"/>
              <w:bottom w:val="single" w:sz="6" w:space="0" w:color="auto"/>
              <w:right w:val="single" w:sz="4" w:space="0" w:color="auto"/>
            </w:tcBorders>
            <w:hideMark/>
          </w:tcPr>
          <w:p w14:paraId="29F7F4FF" w14:textId="77777777" w:rsidR="00704822" w:rsidRDefault="00704822" w:rsidP="00704822">
            <w:pPr>
              <w:jc w:val="right"/>
              <w:rPr>
                <w:rFonts w:ascii="Arial" w:hAnsi="Arial"/>
                <w:sz w:val="24"/>
              </w:rPr>
            </w:pPr>
            <w:r>
              <w:rPr>
                <w:rFonts w:ascii="Arial" w:hAnsi="Arial"/>
                <w:sz w:val="24"/>
              </w:rPr>
              <w:t>818,680</w:t>
            </w:r>
          </w:p>
        </w:tc>
        <w:tc>
          <w:tcPr>
            <w:tcW w:w="1134" w:type="dxa"/>
            <w:tcBorders>
              <w:top w:val="single" w:sz="6" w:space="0" w:color="auto"/>
              <w:left w:val="single" w:sz="4" w:space="0" w:color="auto"/>
              <w:bottom w:val="single" w:sz="6" w:space="0" w:color="auto"/>
              <w:right w:val="single" w:sz="6" w:space="0" w:color="auto"/>
            </w:tcBorders>
            <w:hideMark/>
          </w:tcPr>
          <w:p w14:paraId="287E9562" w14:textId="77777777" w:rsidR="00704822" w:rsidRDefault="00704822">
            <w:pPr>
              <w:jc w:val="center"/>
              <w:rPr>
                <w:rFonts w:ascii="Arial" w:hAnsi="Arial"/>
                <w:sz w:val="24"/>
              </w:rPr>
            </w:pPr>
            <w:r>
              <w:rPr>
                <w:rFonts w:ascii="Arial" w:hAnsi="Arial"/>
                <w:sz w:val="24"/>
              </w:rPr>
              <w:t>27</w:t>
            </w:r>
          </w:p>
        </w:tc>
        <w:tc>
          <w:tcPr>
            <w:tcW w:w="1668" w:type="dxa"/>
            <w:tcBorders>
              <w:top w:val="single" w:sz="6" w:space="0" w:color="auto"/>
              <w:left w:val="single" w:sz="6" w:space="0" w:color="auto"/>
              <w:bottom w:val="single" w:sz="6" w:space="0" w:color="auto"/>
              <w:right w:val="single" w:sz="4" w:space="0" w:color="auto"/>
            </w:tcBorders>
            <w:hideMark/>
          </w:tcPr>
          <w:p w14:paraId="1B3593AA" w14:textId="77777777" w:rsidR="00704822" w:rsidRDefault="00704822" w:rsidP="00704822">
            <w:pPr>
              <w:jc w:val="right"/>
              <w:rPr>
                <w:rFonts w:ascii="Arial" w:hAnsi="Arial"/>
                <w:sz w:val="24"/>
              </w:rPr>
            </w:pPr>
            <w:r>
              <w:rPr>
                <w:rFonts w:ascii="Arial" w:hAnsi="Arial"/>
                <w:sz w:val="24"/>
              </w:rPr>
              <w:t>1,474,19</w:t>
            </w:r>
            <w:r w:rsidR="00C70D60">
              <w:rPr>
                <w:rFonts w:ascii="Arial" w:hAnsi="Arial"/>
                <w:sz w:val="24"/>
              </w:rPr>
              <w:t>0</w:t>
            </w:r>
          </w:p>
        </w:tc>
      </w:tr>
      <w:tr w:rsidR="00704822" w14:paraId="5A738692" w14:textId="77777777" w:rsidTr="00704822">
        <w:trPr>
          <w:jc w:val="center"/>
        </w:trPr>
        <w:tc>
          <w:tcPr>
            <w:tcW w:w="3775" w:type="dxa"/>
            <w:tcBorders>
              <w:top w:val="single" w:sz="6" w:space="0" w:color="auto"/>
              <w:left w:val="single" w:sz="4" w:space="0" w:color="auto"/>
              <w:bottom w:val="single" w:sz="6" w:space="0" w:color="auto"/>
              <w:right w:val="single" w:sz="6" w:space="0" w:color="auto"/>
            </w:tcBorders>
            <w:hideMark/>
          </w:tcPr>
          <w:p w14:paraId="3D7E0DD6" w14:textId="77777777" w:rsidR="00704822" w:rsidRDefault="00704822">
            <w:pPr>
              <w:rPr>
                <w:rFonts w:ascii="Arial" w:hAnsi="Arial"/>
                <w:sz w:val="24"/>
              </w:rPr>
            </w:pPr>
            <w:r>
              <w:rPr>
                <w:rFonts w:ascii="Arial" w:hAnsi="Arial"/>
                <w:sz w:val="24"/>
              </w:rPr>
              <w:t>Tai Tarian</w:t>
            </w:r>
          </w:p>
        </w:tc>
        <w:tc>
          <w:tcPr>
            <w:tcW w:w="1134" w:type="dxa"/>
            <w:tcBorders>
              <w:top w:val="single" w:sz="6" w:space="0" w:color="auto"/>
              <w:left w:val="single" w:sz="4" w:space="0" w:color="auto"/>
              <w:bottom w:val="single" w:sz="6" w:space="0" w:color="auto"/>
              <w:right w:val="single" w:sz="6" w:space="0" w:color="auto"/>
            </w:tcBorders>
            <w:hideMark/>
          </w:tcPr>
          <w:p w14:paraId="27E59A3E" w14:textId="77777777" w:rsidR="00704822" w:rsidRDefault="00704822">
            <w:pPr>
              <w:jc w:val="center"/>
              <w:rPr>
                <w:rFonts w:ascii="Arial" w:hAnsi="Arial"/>
                <w:sz w:val="24"/>
              </w:rPr>
            </w:pPr>
            <w:r>
              <w:rPr>
                <w:rFonts w:ascii="Arial" w:hAnsi="Arial"/>
                <w:sz w:val="24"/>
              </w:rPr>
              <w:t>2</w:t>
            </w:r>
          </w:p>
        </w:tc>
        <w:tc>
          <w:tcPr>
            <w:tcW w:w="1701" w:type="dxa"/>
            <w:tcBorders>
              <w:top w:val="single" w:sz="6" w:space="0" w:color="auto"/>
              <w:left w:val="single" w:sz="6" w:space="0" w:color="auto"/>
              <w:bottom w:val="single" w:sz="6" w:space="0" w:color="auto"/>
              <w:right w:val="single" w:sz="4" w:space="0" w:color="auto"/>
            </w:tcBorders>
            <w:hideMark/>
          </w:tcPr>
          <w:p w14:paraId="2E5B0BA6" w14:textId="77777777" w:rsidR="00704822" w:rsidRDefault="00704822" w:rsidP="00704822">
            <w:pPr>
              <w:jc w:val="right"/>
              <w:rPr>
                <w:rFonts w:ascii="Arial" w:hAnsi="Arial"/>
                <w:sz w:val="24"/>
              </w:rPr>
            </w:pPr>
            <w:r>
              <w:rPr>
                <w:rFonts w:ascii="Arial" w:hAnsi="Arial"/>
                <w:sz w:val="24"/>
              </w:rPr>
              <w:t>77,303</w:t>
            </w:r>
          </w:p>
        </w:tc>
        <w:tc>
          <w:tcPr>
            <w:tcW w:w="1134" w:type="dxa"/>
            <w:tcBorders>
              <w:top w:val="single" w:sz="6" w:space="0" w:color="auto"/>
              <w:left w:val="single" w:sz="4" w:space="0" w:color="auto"/>
              <w:bottom w:val="single" w:sz="6" w:space="0" w:color="auto"/>
              <w:right w:val="single" w:sz="6" w:space="0" w:color="auto"/>
            </w:tcBorders>
            <w:hideMark/>
          </w:tcPr>
          <w:p w14:paraId="75DAB1F3" w14:textId="77777777" w:rsidR="00704822" w:rsidRDefault="00704822">
            <w:pPr>
              <w:jc w:val="center"/>
              <w:rPr>
                <w:rFonts w:ascii="Arial" w:hAnsi="Arial"/>
                <w:sz w:val="24"/>
              </w:rPr>
            </w:pPr>
            <w:r>
              <w:rPr>
                <w:rFonts w:ascii="Arial" w:hAnsi="Arial"/>
                <w:sz w:val="24"/>
              </w:rPr>
              <w:t>4</w:t>
            </w:r>
          </w:p>
        </w:tc>
        <w:tc>
          <w:tcPr>
            <w:tcW w:w="1668" w:type="dxa"/>
            <w:tcBorders>
              <w:top w:val="single" w:sz="6" w:space="0" w:color="auto"/>
              <w:left w:val="single" w:sz="6" w:space="0" w:color="auto"/>
              <w:bottom w:val="single" w:sz="6" w:space="0" w:color="auto"/>
              <w:right w:val="single" w:sz="4" w:space="0" w:color="auto"/>
            </w:tcBorders>
            <w:hideMark/>
          </w:tcPr>
          <w:p w14:paraId="61E99E87" w14:textId="77777777" w:rsidR="00704822" w:rsidRDefault="00704822" w:rsidP="00704822">
            <w:pPr>
              <w:jc w:val="right"/>
              <w:rPr>
                <w:rFonts w:ascii="Arial" w:hAnsi="Arial"/>
                <w:sz w:val="24"/>
              </w:rPr>
            </w:pPr>
            <w:r>
              <w:rPr>
                <w:rFonts w:ascii="Arial" w:hAnsi="Arial"/>
                <w:sz w:val="24"/>
              </w:rPr>
              <w:t>113,825</w:t>
            </w:r>
          </w:p>
        </w:tc>
      </w:tr>
      <w:tr w:rsidR="00704822" w14:paraId="4500C090"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1CFE6D9A" w14:textId="77777777" w:rsidR="00704822" w:rsidRDefault="00704822">
            <w:pPr>
              <w:rPr>
                <w:rFonts w:ascii="Arial" w:hAnsi="Arial"/>
                <w:sz w:val="24"/>
              </w:rPr>
            </w:pPr>
            <w:r>
              <w:rPr>
                <w:rFonts w:ascii="Arial" w:hAnsi="Arial"/>
                <w:sz w:val="24"/>
              </w:rPr>
              <w:t>Gower College</w:t>
            </w:r>
          </w:p>
        </w:tc>
        <w:tc>
          <w:tcPr>
            <w:tcW w:w="1134" w:type="dxa"/>
            <w:tcBorders>
              <w:top w:val="single" w:sz="6" w:space="0" w:color="auto"/>
              <w:left w:val="single" w:sz="4" w:space="0" w:color="auto"/>
              <w:bottom w:val="single" w:sz="4" w:space="0" w:color="auto"/>
              <w:right w:val="single" w:sz="6" w:space="0" w:color="auto"/>
            </w:tcBorders>
            <w:hideMark/>
          </w:tcPr>
          <w:p w14:paraId="67BF6943" w14:textId="77777777" w:rsidR="00704822" w:rsidRDefault="00704822">
            <w:pPr>
              <w:jc w:val="center"/>
              <w:rPr>
                <w:rFonts w:ascii="Arial" w:hAnsi="Arial"/>
                <w:sz w:val="24"/>
              </w:rPr>
            </w:pPr>
            <w:r>
              <w:rPr>
                <w:rFonts w:ascii="Arial" w:hAnsi="Arial"/>
                <w:sz w:val="24"/>
              </w:rPr>
              <w:t>1</w:t>
            </w:r>
          </w:p>
        </w:tc>
        <w:tc>
          <w:tcPr>
            <w:tcW w:w="1701" w:type="dxa"/>
            <w:tcBorders>
              <w:top w:val="single" w:sz="6" w:space="0" w:color="auto"/>
              <w:left w:val="single" w:sz="6" w:space="0" w:color="auto"/>
              <w:bottom w:val="single" w:sz="4" w:space="0" w:color="auto"/>
              <w:right w:val="single" w:sz="4" w:space="0" w:color="auto"/>
            </w:tcBorders>
            <w:hideMark/>
          </w:tcPr>
          <w:p w14:paraId="353611A6" w14:textId="77777777" w:rsidR="00704822" w:rsidRDefault="00704822" w:rsidP="00704822">
            <w:pPr>
              <w:jc w:val="right"/>
              <w:rPr>
                <w:rFonts w:ascii="Arial" w:hAnsi="Arial"/>
                <w:sz w:val="24"/>
              </w:rPr>
            </w:pPr>
            <w:r>
              <w:rPr>
                <w:rFonts w:ascii="Arial" w:hAnsi="Arial"/>
                <w:sz w:val="24"/>
              </w:rPr>
              <w:t>124,11</w:t>
            </w:r>
            <w:r w:rsidR="00C70D60">
              <w:rPr>
                <w:rFonts w:ascii="Arial" w:hAnsi="Arial"/>
                <w:sz w:val="24"/>
              </w:rPr>
              <w:t>1</w:t>
            </w:r>
          </w:p>
        </w:tc>
        <w:tc>
          <w:tcPr>
            <w:tcW w:w="1134" w:type="dxa"/>
            <w:tcBorders>
              <w:top w:val="single" w:sz="6" w:space="0" w:color="auto"/>
              <w:left w:val="single" w:sz="4" w:space="0" w:color="auto"/>
              <w:bottom w:val="single" w:sz="4" w:space="0" w:color="auto"/>
              <w:right w:val="single" w:sz="6" w:space="0" w:color="auto"/>
            </w:tcBorders>
            <w:hideMark/>
          </w:tcPr>
          <w:p w14:paraId="764FCCC4" w14:textId="77777777" w:rsidR="00704822" w:rsidRDefault="00704822">
            <w:pPr>
              <w:jc w:val="center"/>
              <w:rPr>
                <w:rFonts w:ascii="Arial" w:hAnsi="Arial"/>
                <w:sz w:val="24"/>
              </w:rPr>
            </w:pPr>
            <w:r>
              <w:rPr>
                <w:rFonts w:ascii="Arial" w:hAnsi="Arial"/>
                <w:sz w:val="24"/>
              </w:rPr>
              <w:t>2</w:t>
            </w:r>
          </w:p>
        </w:tc>
        <w:tc>
          <w:tcPr>
            <w:tcW w:w="1668" w:type="dxa"/>
            <w:tcBorders>
              <w:top w:val="single" w:sz="6" w:space="0" w:color="auto"/>
              <w:left w:val="single" w:sz="6" w:space="0" w:color="auto"/>
              <w:bottom w:val="single" w:sz="4" w:space="0" w:color="auto"/>
              <w:right w:val="single" w:sz="4" w:space="0" w:color="auto"/>
            </w:tcBorders>
            <w:hideMark/>
          </w:tcPr>
          <w:p w14:paraId="6E6F75A2" w14:textId="77777777" w:rsidR="00704822" w:rsidRDefault="00704822" w:rsidP="00C70D60">
            <w:pPr>
              <w:jc w:val="right"/>
              <w:rPr>
                <w:rFonts w:ascii="Arial" w:hAnsi="Arial"/>
                <w:sz w:val="24"/>
              </w:rPr>
            </w:pPr>
            <w:r>
              <w:rPr>
                <w:rFonts w:ascii="Arial" w:hAnsi="Arial"/>
                <w:sz w:val="24"/>
              </w:rPr>
              <w:t>54,35</w:t>
            </w:r>
            <w:r w:rsidR="00C70D60">
              <w:rPr>
                <w:rFonts w:ascii="Arial" w:hAnsi="Arial"/>
                <w:sz w:val="24"/>
              </w:rPr>
              <w:t>2</w:t>
            </w:r>
          </w:p>
        </w:tc>
      </w:tr>
      <w:tr w:rsidR="00704822" w14:paraId="57032513"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48E81FC4" w14:textId="77777777" w:rsidR="00704822" w:rsidRDefault="00704822">
            <w:pPr>
              <w:rPr>
                <w:rFonts w:ascii="Arial" w:hAnsi="Arial"/>
                <w:sz w:val="24"/>
              </w:rPr>
            </w:pPr>
            <w:r>
              <w:rPr>
                <w:rFonts w:ascii="Arial" w:hAnsi="Arial"/>
                <w:sz w:val="24"/>
              </w:rPr>
              <w:t>POBL Group</w:t>
            </w:r>
          </w:p>
        </w:tc>
        <w:tc>
          <w:tcPr>
            <w:tcW w:w="1134" w:type="dxa"/>
            <w:tcBorders>
              <w:top w:val="single" w:sz="6" w:space="0" w:color="auto"/>
              <w:left w:val="single" w:sz="4" w:space="0" w:color="auto"/>
              <w:bottom w:val="single" w:sz="4" w:space="0" w:color="auto"/>
              <w:right w:val="single" w:sz="6" w:space="0" w:color="auto"/>
            </w:tcBorders>
            <w:hideMark/>
          </w:tcPr>
          <w:p w14:paraId="0C1778AD" w14:textId="77777777" w:rsidR="00704822" w:rsidRDefault="00704822">
            <w:pPr>
              <w:jc w:val="center"/>
              <w:rPr>
                <w:rFonts w:ascii="Arial" w:hAnsi="Arial"/>
                <w:sz w:val="24"/>
              </w:rPr>
            </w:pPr>
            <w:r>
              <w:rPr>
                <w:rFonts w:ascii="Arial" w:hAnsi="Arial"/>
                <w:sz w:val="24"/>
              </w:rPr>
              <w:t>2</w:t>
            </w:r>
          </w:p>
        </w:tc>
        <w:tc>
          <w:tcPr>
            <w:tcW w:w="1701" w:type="dxa"/>
            <w:tcBorders>
              <w:top w:val="single" w:sz="6" w:space="0" w:color="auto"/>
              <w:left w:val="single" w:sz="6" w:space="0" w:color="auto"/>
              <w:bottom w:val="single" w:sz="4" w:space="0" w:color="auto"/>
              <w:right w:val="single" w:sz="4" w:space="0" w:color="auto"/>
            </w:tcBorders>
            <w:hideMark/>
          </w:tcPr>
          <w:p w14:paraId="7B7D297C" w14:textId="77777777" w:rsidR="00704822" w:rsidRDefault="00704822" w:rsidP="00704822">
            <w:pPr>
              <w:jc w:val="right"/>
              <w:rPr>
                <w:rFonts w:ascii="Arial" w:hAnsi="Arial"/>
                <w:sz w:val="24"/>
              </w:rPr>
            </w:pPr>
            <w:r>
              <w:rPr>
                <w:rFonts w:ascii="Arial" w:hAnsi="Arial"/>
                <w:sz w:val="24"/>
              </w:rPr>
              <w:t>20,16</w:t>
            </w:r>
            <w:r w:rsidR="00C70D60">
              <w:rPr>
                <w:rFonts w:ascii="Arial" w:hAnsi="Arial"/>
                <w:sz w:val="24"/>
              </w:rPr>
              <w:t>9</w:t>
            </w:r>
          </w:p>
        </w:tc>
        <w:tc>
          <w:tcPr>
            <w:tcW w:w="1134" w:type="dxa"/>
            <w:tcBorders>
              <w:top w:val="single" w:sz="6" w:space="0" w:color="auto"/>
              <w:left w:val="single" w:sz="4" w:space="0" w:color="auto"/>
              <w:bottom w:val="single" w:sz="4" w:space="0" w:color="auto"/>
              <w:right w:val="single" w:sz="6" w:space="0" w:color="auto"/>
            </w:tcBorders>
            <w:hideMark/>
          </w:tcPr>
          <w:p w14:paraId="0BAD736F" w14:textId="77777777" w:rsidR="00704822" w:rsidRDefault="00704822">
            <w:pPr>
              <w:jc w:val="center"/>
              <w:rPr>
                <w:rFonts w:ascii="Arial" w:hAnsi="Arial"/>
                <w:sz w:val="24"/>
              </w:rPr>
            </w:pPr>
            <w:r>
              <w:rPr>
                <w:rFonts w:ascii="Arial" w:hAnsi="Arial"/>
                <w:sz w:val="24"/>
              </w:rPr>
              <w:t>2</w:t>
            </w:r>
          </w:p>
        </w:tc>
        <w:tc>
          <w:tcPr>
            <w:tcW w:w="1668" w:type="dxa"/>
            <w:tcBorders>
              <w:top w:val="single" w:sz="6" w:space="0" w:color="auto"/>
              <w:left w:val="single" w:sz="6" w:space="0" w:color="auto"/>
              <w:bottom w:val="single" w:sz="4" w:space="0" w:color="auto"/>
              <w:right w:val="single" w:sz="4" w:space="0" w:color="auto"/>
            </w:tcBorders>
            <w:hideMark/>
          </w:tcPr>
          <w:p w14:paraId="183226B1" w14:textId="77777777" w:rsidR="00704822" w:rsidRDefault="00704822" w:rsidP="00C70D60">
            <w:pPr>
              <w:jc w:val="right"/>
              <w:rPr>
                <w:rFonts w:ascii="Arial" w:hAnsi="Arial"/>
                <w:sz w:val="24"/>
              </w:rPr>
            </w:pPr>
            <w:r>
              <w:rPr>
                <w:rFonts w:ascii="Arial" w:hAnsi="Arial"/>
                <w:sz w:val="24"/>
              </w:rPr>
              <w:t>9,996</w:t>
            </w:r>
          </w:p>
        </w:tc>
      </w:tr>
      <w:tr w:rsidR="00704822" w14:paraId="3FF76F5F"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2EB21C66" w14:textId="77777777" w:rsidR="00704822" w:rsidRDefault="00704822">
            <w:pPr>
              <w:rPr>
                <w:rFonts w:ascii="Arial" w:hAnsi="Arial"/>
                <w:sz w:val="24"/>
              </w:rPr>
            </w:pPr>
            <w:r>
              <w:rPr>
                <w:rFonts w:ascii="Arial" w:hAnsi="Arial"/>
                <w:sz w:val="24"/>
              </w:rPr>
              <w:t>University of Wales TSD</w:t>
            </w:r>
          </w:p>
        </w:tc>
        <w:tc>
          <w:tcPr>
            <w:tcW w:w="1134" w:type="dxa"/>
            <w:tcBorders>
              <w:top w:val="single" w:sz="6" w:space="0" w:color="auto"/>
              <w:left w:val="single" w:sz="4" w:space="0" w:color="auto"/>
              <w:bottom w:val="single" w:sz="4" w:space="0" w:color="auto"/>
              <w:right w:val="single" w:sz="6" w:space="0" w:color="auto"/>
            </w:tcBorders>
            <w:hideMark/>
          </w:tcPr>
          <w:p w14:paraId="01F84E60" w14:textId="77777777" w:rsidR="00704822" w:rsidRDefault="00704822">
            <w:pPr>
              <w:jc w:val="center"/>
              <w:rPr>
                <w:rFonts w:ascii="Arial" w:hAnsi="Arial"/>
                <w:sz w:val="24"/>
              </w:rPr>
            </w:pPr>
            <w:r>
              <w:rPr>
                <w:rFonts w:ascii="Arial" w:hAnsi="Arial"/>
                <w:sz w:val="24"/>
              </w:rPr>
              <w:t>1</w:t>
            </w:r>
          </w:p>
        </w:tc>
        <w:tc>
          <w:tcPr>
            <w:tcW w:w="1701" w:type="dxa"/>
            <w:tcBorders>
              <w:top w:val="single" w:sz="6" w:space="0" w:color="auto"/>
              <w:left w:val="single" w:sz="6" w:space="0" w:color="auto"/>
              <w:bottom w:val="single" w:sz="4" w:space="0" w:color="auto"/>
              <w:right w:val="single" w:sz="4" w:space="0" w:color="auto"/>
            </w:tcBorders>
            <w:hideMark/>
          </w:tcPr>
          <w:p w14:paraId="2DE359C5" w14:textId="77777777" w:rsidR="00704822" w:rsidRDefault="00704822" w:rsidP="00704822">
            <w:pPr>
              <w:jc w:val="right"/>
              <w:rPr>
                <w:rFonts w:ascii="Arial" w:hAnsi="Arial"/>
                <w:sz w:val="24"/>
              </w:rPr>
            </w:pPr>
            <w:r>
              <w:rPr>
                <w:rFonts w:ascii="Arial" w:hAnsi="Arial"/>
                <w:sz w:val="24"/>
              </w:rPr>
              <w:t>90,0</w:t>
            </w:r>
            <w:r w:rsidR="00C70D60">
              <w:rPr>
                <w:rFonts w:ascii="Arial" w:hAnsi="Arial"/>
                <w:sz w:val="24"/>
              </w:rPr>
              <w:t>30</w:t>
            </w:r>
          </w:p>
        </w:tc>
        <w:tc>
          <w:tcPr>
            <w:tcW w:w="1134" w:type="dxa"/>
            <w:tcBorders>
              <w:top w:val="single" w:sz="6" w:space="0" w:color="auto"/>
              <w:left w:val="single" w:sz="4" w:space="0" w:color="auto"/>
              <w:bottom w:val="single" w:sz="4" w:space="0" w:color="auto"/>
              <w:right w:val="single" w:sz="6" w:space="0" w:color="auto"/>
            </w:tcBorders>
            <w:hideMark/>
          </w:tcPr>
          <w:p w14:paraId="05F7AA72" w14:textId="77777777" w:rsidR="00704822" w:rsidRDefault="00704822">
            <w:pPr>
              <w:jc w:val="center"/>
              <w:rPr>
                <w:rFonts w:ascii="Arial" w:hAnsi="Arial"/>
                <w:sz w:val="24"/>
              </w:rPr>
            </w:pPr>
            <w:r>
              <w:rPr>
                <w:rFonts w:ascii="Arial" w:hAnsi="Arial"/>
                <w:sz w:val="24"/>
              </w:rPr>
              <w:t>1</w:t>
            </w:r>
          </w:p>
        </w:tc>
        <w:tc>
          <w:tcPr>
            <w:tcW w:w="1668" w:type="dxa"/>
            <w:tcBorders>
              <w:top w:val="single" w:sz="6" w:space="0" w:color="auto"/>
              <w:left w:val="single" w:sz="6" w:space="0" w:color="auto"/>
              <w:bottom w:val="single" w:sz="4" w:space="0" w:color="auto"/>
              <w:right w:val="single" w:sz="4" w:space="0" w:color="auto"/>
            </w:tcBorders>
            <w:hideMark/>
          </w:tcPr>
          <w:p w14:paraId="095293A9" w14:textId="77777777" w:rsidR="00704822" w:rsidRDefault="00704822" w:rsidP="00C70D60">
            <w:pPr>
              <w:jc w:val="right"/>
              <w:rPr>
                <w:rFonts w:ascii="Arial" w:hAnsi="Arial"/>
                <w:sz w:val="24"/>
              </w:rPr>
            </w:pPr>
            <w:r>
              <w:rPr>
                <w:rFonts w:ascii="Arial" w:hAnsi="Arial"/>
                <w:sz w:val="24"/>
              </w:rPr>
              <w:t>179</w:t>
            </w:r>
            <w:r w:rsidR="00C70D60">
              <w:rPr>
                <w:rFonts w:ascii="Arial" w:hAnsi="Arial"/>
                <w:sz w:val="24"/>
              </w:rPr>
              <w:t>,</w:t>
            </w:r>
            <w:r>
              <w:rPr>
                <w:rFonts w:ascii="Arial" w:hAnsi="Arial"/>
                <w:sz w:val="24"/>
              </w:rPr>
              <w:t>31</w:t>
            </w:r>
            <w:r w:rsidR="00C70D60">
              <w:rPr>
                <w:rFonts w:ascii="Arial" w:hAnsi="Arial"/>
                <w:sz w:val="24"/>
              </w:rPr>
              <w:t>9</w:t>
            </w:r>
          </w:p>
        </w:tc>
      </w:tr>
      <w:tr w:rsidR="00704822" w14:paraId="5ABBF643"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1278531A" w14:textId="77777777" w:rsidR="00704822" w:rsidRDefault="00704822">
            <w:pPr>
              <w:rPr>
                <w:rFonts w:ascii="Arial" w:hAnsi="Arial"/>
                <w:sz w:val="24"/>
              </w:rPr>
            </w:pPr>
            <w:r>
              <w:rPr>
                <w:rFonts w:ascii="Arial" w:hAnsi="Arial"/>
                <w:sz w:val="24"/>
              </w:rPr>
              <w:t>NPTC Group</w:t>
            </w:r>
          </w:p>
        </w:tc>
        <w:tc>
          <w:tcPr>
            <w:tcW w:w="1134" w:type="dxa"/>
            <w:tcBorders>
              <w:top w:val="single" w:sz="6" w:space="0" w:color="auto"/>
              <w:left w:val="single" w:sz="4" w:space="0" w:color="auto"/>
              <w:bottom w:val="single" w:sz="4" w:space="0" w:color="auto"/>
              <w:right w:val="single" w:sz="6" w:space="0" w:color="auto"/>
            </w:tcBorders>
            <w:hideMark/>
          </w:tcPr>
          <w:p w14:paraId="2D18B9C7" w14:textId="77777777" w:rsidR="00704822" w:rsidRDefault="00704822">
            <w:pPr>
              <w:jc w:val="center"/>
              <w:rPr>
                <w:rFonts w:ascii="Arial" w:hAnsi="Arial"/>
                <w:sz w:val="24"/>
              </w:rPr>
            </w:pPr>
            <w:r>
              <w:rPr>
                <w:rFonts w:ascii="Arial" w:hAnsi="Arial"/>
                <w:sz w:val="24"/>
              </w:rPr>
              <w:t>-</w:t>
            </w:r>
          </w:p>
        </w:tc>
        <w:tc>
          <w:tcPr>
            <w:tcW w:w="1701" w:type="dxa"/>
            <w:tcBorders>
              <w:top w:val="single" w:sz="6" w:space="0" w:color="auto"/>
              <w:left w:val="single" w:sz="6" w:space="0" w:color="auto"/>
              <w:bottom w:val="single" w:sz="4" w:space="0" w:color="auto"/>
              <w:right w:val="single" w:sz="4" w:space="0" w:color="auto"/>
            </w:tcBorders>
            <w:hideMark/>
          </w:tcPr>
          <w:p w14:paraId="289BDD03" w14:textId="77777777" w:rsidR="00704822" w:rsidRDefault="00704822" w:rsidP="00704822">
            <w:pPr>
              <w:jc w:val="right"/>
              <w:rPr>
                <w:rFonts w:ascii="Arial" w:hAnsi="Arial"/>
                <w:sz w:val="24"/>
              </w:rPr>
            </w:pPr>
            <w:r>
              <w:rPr>
                <w:rFonts w:ascii="Arial" w:hAnsi="Arial"/>
                <w:sz w:val="24"/>
              </w:rPr>
              <w:t>-</w:t>
            </w:r>
          </w:p>
        </w:tc>
        <w:tc>
          <w:tcPr>
            <w:tcW w:w="1134" w:type="dxa"/>
            <w:tcBorders>
              <w:top w:val="single" w:sz="6" w:space="0" w:color="auto"/>
              <w:left w:val="single" w:sz="4" w:space="0" w:color="auto"/>
              <w:bottom w:val="single" w:sz="4" w:space="0" w:color="auto"/>
              <w:right w:val="single" w:sz="6" w:space="0" w:color="auto"/>
            </w:tcBorders>
            <w:hideMark/>
          </w:tcPr>
          <w:p w14:paraId="7E7A8E22" w14:textId="77777777" w:rsidR="00704822" w:rsidRDefault="00704822">
            <w:pPr>
              <w:jc w:val="center"/>
              <w:rPr>
                <w:rFonts w:ascii="Arial" w:hAnsi="Arial"/>
                <w:sz w:val="24"/>
              </w:rPr>
            </w:pPr>
            <w:r>
              <w:rPr>
                <w:rFonts w:ascii="Arial" w:hAnsi="Arial"/>
                <w:sz w:val="24"/>
              </w:rPr>
              <w:t>1</w:t>
            </w:r>
          </w:p>
        </w:tc>
        <w:tc>
          <w:tcPr>
            <w:tcW w:w="1668" w:type="dxa"/>
            <w:tcBorders>
              <w:top w:val="single" w:sz="6" w:space="0" w:color="auto"/>
              <w:left w:val="single" w:sz="6" w:space="0" w:color="auto"/>
              <w:bottom w:val="single" w:sz="4" w:space="0" w:color="auto"/>
              <w:right w:val="single" w:sz="4" w:space="0" w:color="auto"/>
            </w:tcBorders>
            <w:hideMark/>
          </w:tcPr>
          <w:p w14:paraId="3EABAA95" w14:textId="77777777" w:rsidR="00704822" w:rsidRDefault="00704822" w:rsidP="00C70D60">
            <w:pPr>
              <w:jc w:val="right"/>
              <w:rPr>
                <w:rFonts w:ascii="Arial" w:hAnsi="Arial"/>
                <w:sz w:val="24"/>
              </w:rPr>
            </w:pPr>
            <w:r>
              <w:rPr>
                <w:rFonts w:ascii="Arial" w:hAnsi="Arial"/>
                <w:sz w:val="24"/>
              </w:rPr>
              <w:t>73,852</w:t>
            </w:r>
          </w:p>
        </w:tc>
      </w:tr>
      <w:tr w:rsidR="00704822" w14:paraId="6D1A54A4"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77E343E6" w14:textId="77777777" w:rsidR="00704822" w:rsidRDefault="00704822">
            <w:pPr>
              <w:rPr>
                <w:rFonts w:ascii="Arial" w:hAnsi="Arial"/>
                <w:sz w:val="24"/>
              </w:rPr>
            </w:pPr>
            <w:r>
              <w:rPr>
                <w:rFonts w:ascii="Arial" w:hAnsi="Arial"/>
                <w:sz w:val="24"/>
              </w:rPr>
              <w:t>The Wallich</w:t>
            </w:r>
          </w:p>
        </w:tc>
        <w:tc>
          <w:tcPr>
            <w:tcW w:w="1134" w:type="dxa"/>
            <w:tcBorders>
              <w:top w:val="single" w:sz="6" w:space="0" w:color="auto"/>
              <w:left w:val="single" w:sz="4" w:space="0" w:color="auto"/>
              <w:bottom w:val="single" w:sz="4" w:space="0" w:color="auto"/>
              <w:right w:val="single" w:sz="6" w:space="0" w:color="auto"/>
            </w:tcBorders>
            <w:hideMark/>
          </w:tcPr>
          <w:p w14:paraId="64B0CD68" w14:textId="77777777" w:rsidR="00704822" w:rsidRDefault="00704822">
            <w:pPr>
              <w:jc w:val="center"/>
              <w:rPr>
                <w:rFonts w:ascii="Arial" w:hAnsi="Arial"/>
                <w:sz w:val="24"/>
              </w:rPr>
            </w:pPr>
            <w:r>
              <w:rPr>
                <w:rFonts w:ascii="Arial" w:hAnsi="Arial"/>
                <w:sz w:val="24"/>
              </w:rPr>
              <w:t>2</w:t>
            </w:r>
          </w:p>
        </w:tc>
        <w:tc>
          <w:tcPr>
            <w:tcW w:w="1701" w:type="dxa"/>
            <w:tcBorders>
              <w:top w:val="single" w:sz="6" w:space="0" w:color="auto"/>
              <w:left w:val="single" w:sz="6" w:space="0" w:color="auto"/>
              <w:bottom w:val="single" w:sz="4" w:space="0" w:color="auto"/>
              <w:right w:val="single" w:sz="4" w:space="0" w:color="auto"/>
            </w:tcBorders>
            <w:hideMark/>
          </w:tcPr>
          <w:p w14:paraId="6DC4FC8C" w14:textId="77777777" w:rsidR="00704822" w:rsidRDefault="00704822" w:rsidP="00704822">
            <w:pPr>
              <w:jc w:val="right"/>
              <w:rPr>
                <w:rFonts w:ascii="Arial" w:hAnsi="Arial"/>
                <w:sz w:val="24"/>
              </w:rPr>
            </w:pPr>
            <w:r>
              <w:rPr>
                <w:rFonts w:ascii="Arial" w:hAnsi="Arial"/>
                <w:sz w:val="24"/>
              </w:rPr>
              <w:t>63,791</w:t>
            </w:r>
          </w:p>
        </w:tc>
        <w:tc>
          <w:tcPr>
            <w:tcW w:w="1134" w:type="dxa"/>
            <w:tcBorders>
              <w:top w:val="single" w:sz="6" w:space="0" w:color="auto"/>
              <w:left w:val="single" w:sz="4" w:space="0" w:color="auto"/>
              <w:bottom w:val="single" w:sz="4" w:space="0" w:color="auto"/>
              <w:right w:val="single" w:sz="6" w:space="0" w:color="auto"/>
            </w:tcBorders>
            <w:hideMark/>
          </w:tcPr>
          <w:p w14:paraId="39198B09" w14:textId="77777777" w:rsidR="00704822" w:rsidRDefault="00704822">
            <w:pPr>
              <w:jc w:val="center"/>
              <w:rPr>
                <w:rFonts w:ascii="Arial" w:hAnsi="Arial"/>
                <w:sz w:val="24"/>
              </w:rPr>
            </w:pPr>
            <w:r>
              <w:rPr>
                <w:rFonts w:ascii="Arial" w:hAnsi="Arial"/>
                <w:sz w:val="24"/>
              </w:rPr>
              <w:t>-</w:t>
            </w:r>
          </w:p>
        </w:tc>
        <w:tc>
          <w:tcPr>
            <w:tcW w:w="1668" w:type="dxa"/>
            <w:tcBorders>
              <w:top w:val="single" w:sz="6" w:space="0" w:color="auto"/>
              <w:left w:val="single" w:sz="6" w:space="0" w:color="auto"/>
              <w:bottom w:val="single" w:sz="4" w:space="0" w:color="auto"/>
              <w:right w:val="single" w:sz="4" w:space="0" w:color="auto"/>
            </w:tcBorders>
            <w:hideMark/>
          </w:tcPr>
          <w:p w14:paraId="23F79BA2" w14:textId="77777777" w:rsidR="00704822" w:rsidRDefault="00704822" w:rsidP="00C70D60">
            <w:pPr>
              <w:jc w:val="right"/>
              <w:rPr>
                <w:rFonts w:ascii="Arial" w:hAnsi="Arial"/>
                <w:sz w:val="24"/>
              </w:rPr>
            </w:pPr>
            <w:r>
              <w:rPr>
                <w:rFonts w:ascii="Arial" w:hAnsi="Arial"/>
                <w:sz w:val="24"/>
              </w:rPr>
              <w:t>-</w:t>
            </w:r>
          </w:p>
        </w:tc>
      </w:tr>
      <w:tr w:rsidR="00704822" w14:paraId="577AA024"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262DF9A9" w14:textId="77777777" w:rsidR="00704822" w:rsidRDefault="00704822">
            <w:pPr>
              <w:spacing w:before="60" w:after="60"/>
              <w:rPr>
                <w:rFonts w:ascii="Arial" w:hAnsi="Arial"/>
                <w:sz w:val="24"/>
              </w:rPr>
            </w:pPr>
            <w:r>
              <w:rPr>
                <w:rFonts w:ascii="Arial" w:hAnsi="Arial"/>
                <w:b/>
                <w:sz w:val="24"/>
              </w:rPr>
              <w:t>Total</w:t>
            </w:r>
          </w:p>
        </w:tc>
        <w:tc>
          <w:tcPr>
            <w:tcW w:w="1134" w:type="dxa"/>
            <w:tcBorders>
              <w:top w:val="single" w:sz="4" w:space="0" w:color="auto"/>
              <w:left w:val="single" w:sz="4" w:space="0" w:color="auto"/>
              <w:bottom w:val="single" w:sz="4" w:space="0" w:color="auto"/>
              <w:right w:val="single" w:sz="4" w:space="0" w:color="auto"/>
            </w:tcBorders>
            <w:hideMark/>
          </w:tcPr>
          <w:p w14:paraId="4CCF9964" w14:textId="77777777" w:rsidR="00704822" w:rsidRDefault="00704822">
            <w:pPr>
              <w:spacing w:before="60" w:after="60"/>
              <w:jc w:val="center"/>
              <w:rPr>
                <w:rFonts w:ascii="Arial" w:hAnsi="Arial"/>
                <w:b/>
                <w:sz w:val="24"/>
              </w:rPr>
            </w:pPr>
            <w:r>
              <w:rPr>
                <w:rFonts w:ascii="Arial" w:hAnsi="Arial"/>
                <w:b/>
                <w:sz w:val="24"/>
              </w:rPr>
              <w:t>48</w:t>
            </w:r>
          </w:p>
        </w:tc>
        <w:tc>
          <w:tcPr>
            <w:tcW w:w="1701" w:type="dxa"/>
            <w:tcBorders>
              <w:top w:val="single" w:sz="4" w:space="0" w:color="auto"/>
              <w:left w:val="single" w:sz="4" w:space="0" w:color="auto"/>
              <w:bottom w:val="single" w:sz="4" w:space="0" w:color="auto"/>
              <w:right w:val="single" w:sz="4" w:space="0" w:color="auto"/>
            </w:tcBorders>
            <w:hideMark/>
          </w:tcPr>
          <w:p w14:paraId="533C78BA" w14:textId="77777777" w:rsidR="00704822" w:rsidRDefault="00704822" w:rsidP="00704822">
            <w:pPr>
              <w:spacing w:before="60" w:after="60"/>
              <w:jc w:val="right"/>
              <w:rPr>
                <w:rFonts w:ascii="Arial" w:hAnsi="Arial"/>
                <w:b/>
                <w:sz w:val="24"/>
              </w:rPr>
            </w:pPr>
            <w:r>
              <w:rPr>
                <w:rFonts w:ascii="Arial" w:hAnsi="Arial"/>
                <w:b/>
                <w:sz w:val="24"/>
              </w:rPr>
              <w:t>4,370,2</w:t>
            </w:r>
            <w:r w:rsidR="00C70D60">
              <w:rPr>
                <w:rFonts w:ascii="Arial" w:hAnsi="Arial"/>
                <w:b/>
                <w:sz w:val="24"/>
              </w:rPr>
              <w:t>70</w:t>
            </w:r>
          </w:p>
        </w:tc>
        <w:tc>
          <w:tcPr>
            <w:tcW w:w="1134" w:type="dxa"/>
            <w:tcBorders>
              <w:top w:val="single" w:sz="4" w:space="0" w:color="auto"/>
              <w:left w:val="single" w:sz="4" w:space="0" w:color="auto"/>
              <w:bottom w:val="single" w:sz="4" w:space="0" w:color="auto"/>
              <w:right w:val="single" w:sz="4" w:space="0" w:color="auto"/>
            </w:tcBorders>
            <w:hideMark/>
          </w:tcPr>
          <w:p w14:paraId="51F06AE2" w14:textId="77777777" w:rsidR="00704822" w:rsidRDefault="00704822">
            <w:pPr>
              <w:spacing w:before="60" w:after="60"/>
              <w:jc w:val="center"/>
              <w:rPr>
                <w:rFonts w:ascii="Arial" w:hAnsi="Arial"/>
                <w:b/>
                <w:sz w:val="24"/>
              </w:rPr>
            </w:pPr>
            <w:r>
              <w:rPr>
                <w:rFonts w:ascii="Arial" w:hAnsi="Arial"/>
                <w:b/>
                <w:sz w:val="24"/>
              </w:rPr>
              <w:t>62</w:t>
            </w:r>
          </w:p>
        </w:tc>
        <w:tc>
          <w:tcPr>
            <w:tcW w:w="1668" w:type="dxa"/>
            <w:tcBorders>
              <w:top w:val="single" w:sz="4" w:space="0" w:color="auto"/>
              <w:left w:val="single" w:sz="4" w:space="0" w:color="auto"/>
              <w:bottom w:val="single" w:sz="4" w:space="0" w:color="auto"/>
              <w:right w:val="single" w:sz="4" w:space="0" w:color="auto"/>
            </w:tcBorders>
            <w:hideMark/>
          </w:tcPr>
          <w:p w14:paraId="0F414ED9" w14:textId="77777777" w:rsidR="00704822" w:rsidRDefault="00704822" w:rsidP="00C70D60">
            <w:pPr>
              <w:spacing w:before="60" w:after="60"/>
              <w:jc w:val="right"/>
              <w:rPr>
                <w:rFonts w:ascii="Arial" w:hAnsi="Arial"/>
                <w:b/>
                <w:sz w:val="24"/>
              </w:rPr>
            </w:pPr>
            <w:r>
              <w:rPr>
                <w:rFonts w:ascii="Arial" w:hAnsi="Arial"/>
                <w:b/>
                <w:sz w:val="24"/>
              </w:rPr>
              <w:t>3,481,514</w:t>
            </w:r>
          </w:p>
        </w:tc>
      </w:tr>
    </w:tbl>
    <w:p w14:paraId="165E5F98" w14:textId="77777777" w:rsidR="00C70D60" w:rsidRDefault="00704822" w:rsidP="00704822">
      <w:pPr>
        <w:jc w:val="both"/>
        <w:rPr>
          <w:rFonts w:ascii="Arial" w:hAnsi="Arial"/>
          <w:b/>
          <w:sz w:val="24"/>
        </w:rPr>
      </w:pPr>
      <w:r>
        <w:rPr>
          <w:rFonts w:ascii="Arial" w:hAnsi="Arial"/>
          <w:b/>
          <w:sz w:val="24"/>
        </w:rPr>
        <w:t xml:space="preserve"> </w:t>
      </w:r>
    </w:p>
    <w:p w14:paraId="3D860DE1" w14:textId="77777777" w:rsidR="00704822" w:rsidRDefault="00704822" w:rsidP="00704822">
      <w:pPr>
        <w:jc w:val="both"/>
        <w:rPr>
          <w:rFonts w:ascii="Arial" w:hAnsi="Arial"/>
          <w:b/>
          <w:sz w:val="24"/>
        </w:rPr>
      </w:pPr>
      <w:r>
        <w:rPr>
          <w:rFonts w:ascii="Arial" w:hAnsi="Arial"/>
          <w:b/>
          <w:sz w:val="24"/>
        </w:rPr>
        <w:t>(b)</w:t>
      </w:r>
      <w:r>
        <w:rPr>
          <w:rFonts w:ascii="Arial" w:hAnsi="Arial"/>
          <w:b/>
          <w:sz w:val="24"/>
        </w:rPr>
        <w:tab/>
        <w:t>Early Retirement</w:t>
      </w:r>
    </w:p>
    <w:p w14:paraId="5ACF4B66" w14:textId="77777777" w:rsidR="00704822" w:rsidRDefault="00704822" w:rsidP="00704822">
      <w:pPr>
        <w:jc w:val="both"/>
        <w:rPr>
          <w:rFonts w:ascii="Arial" w:hAnsi="Arial"/>
          <w:sz w:val="24"/>
        </w:rPr>
      </w:pPr>
    </w:p>
    <w:p w14:paraId="5D8C8003" w14:textId="77777777" w:rsidR="00704822" w:rsidRDefault="00704822" w:rsidP="00704822">
      <w:pPr>
        <w:ind w:left="720" w:right="26" w:hanging="720"/>
        <w:jc w:val="both"/>
        <w:rPr>
          <w:rFonts w:ascii="Arial" w:hAnsi="Arial"/>
          <w:b/>
          <w:sz w:val="24"/>
          <w:u w:val="single"/>
        </w:rPr>
      </w:pPr>
      <w:r>
        <w:rPr>
          <w:rFonts w:ascii="Arial" w:hAnsi="Arial"/>
          <w:sz w:val="24"/>
        </w:rPr>
        <w:tab/>
        <w:t xml:space="preserve">Employers are required to take immediate account of the costs of the financial strain on the Pension Fund where they grant early retirement.  The actuarial costs of early retirements for the past two years </w:t>
      </w:r>
      <w:r w:rsidRPr="00704822">
        <w:rPr>
          <w:rFonts w:ascii="Arial" w:hAnsi="Arial"/>
          <w:color w:val="000000"/>
          <w:sz w:val="24"/>
        </w:rPr>
        <w:t>are</w:t>
      </w:r>
      <w:r>
        <w:rPr>
          <w:rFonts w:ascii="Arial" w:hAnsi="Arial"/>
          <w:sz w:val="24"/>
        </w:rPr>
        <w:t xml:space="preserve"> as follows:</w:t>
      </w:r>
    </w:p>
    <w:p w14:paraId="7217EBDF" w14:textId="77777777" w:rsidR="00704822" w:rsidRDefault="00704822" w:rsidP="00704822">
      <w:pPr>
        <w:rPr>
          <w:rFonts w:ascii="Arial" w:hAnsi="Arial"/>
          <w:sz w:val="24"/>
        </w:rPr>
      </w:pPr>
    </w:p>
    <w:tbl>
      <w:tblPr>
        <w:tblW w:w="9000" w:type="dxa"/>
        <w:jc w:val="center"/>
        <w:tblCellMar>
          <w:left w:w="0" w:type="dxa"/>
          <w:right w:w="0" w:type="dxa"/>
        </w:tblCellMar>
        <w:tblLook w:val="04A0" w:firstRow="1" w:lastRow="0" w:firstColumn="1" w:lastColumn="0" w:noHBand="0" w:noVBand="1"/>
      </w:tblPr>
      <w:tblGrid>
        <w:gridCol w:w="3893"/>
        <w:gridCol w:w="996"/>
        <w:gridCol w:w="1618"/>
        <w:gridCol w:w="1009"/>
        <w:gridCol w:w="1484"/>
      </w:tblGrid>
      <w:tr w:rsidR="00704822" w14:paraId="6FFAFEA8" w14:textId="77777777" w:rsidTr="00704822">
        <w:trPr>
          <w:jc w:val="center"/>
        </w:trPr>
        <w:tc>
          <w:tcPr>
            <w:tcW w:w="9000" w:type="dxa"/>
            <w:gridSpan w:val="5"/>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hideMark/>
          </w:tcPr>
          <w:p w14:paraId="1AC0C2B9" w14:textId="77777777" w:rsidR="00704822" w:rsidRPr="00704822" w:rsidRDefault="00704822">
            <w:pPr>
              <w:jc w:val="center"/>
              <w:rPr>
                <w:rFonts w:ascii="Arial" w:eastAsia="Calibri" w:hAnsi="Arial" w:cs="Arial"/>
                <w:b/>
                <w:bCs/>
                <w:szCs w:val="28"/>
              </w:rPr>
            </w:pPr>
            <w:r>
              <w:rPr>
                <w:rFonts w:ascii="Arial" w:hAnsi="Arial" w:cs="Arial"/>
                <w:b/>
                <w:bCs/>
              </w:rPr>
              <w:t>Early Access to Pension</w:t>
            </w:r>
          </w:p>
        </w:tc>
      </w:tr>
      <w:tr w:rsidR="00704822" w14:paraId="5DB83C70" w14:textId="77777777" w:rsidTr="00704822">
        <w:trPr>
          <w:jc w:val="center"/>
        </w:trPr>
        <w:tc>
          <w:tcPr>
            <w:tcW w:w="9000" w:type="dxa"/>
            <w:gridSpan w:val="5"/>
            <w:tcBorders>
              <w:top w:val="nil"/>
              <w:left w:val="single" w:sz="12" w:space="0" w:color="auto"/>
              <w:bottom w:val="single" w:sz="8" w:space="0" w:color="auto"/>
              <w:right w:val="single" w:sz="12" w:space="0" w:color="auto"/>
            </w:tcBorders>
            <w:tcMar>
              <w:top w:w="0" w:type="dxa"/>
              <w:left w:w="108" w:type="dxa"/>
              <w:bottom w:w="0" w:type="dxa"/>
              <w:right w:w="108" w:type="dxa"/>
            </w:tcMar>
          </w:tcPr>
          <w:p w14:paraId="0B086FDE" w14:textId="77777777" w:rsidR="00704822" w:rsidRPr="00704822" w:rsidRDefault="00704822">
            <w:pPr>
              <w:jc w:val="center"/>
              <w:rPr>
                <w:rFonts w:ascii="Arial" w:eastAsia="Calibri" w:hAnsi="Arial" w:cs="Arial"/>
                <w:sz w:val="24"/>
                <w:szCs w:val="24"/>
              </w:rPr>
            </w:pPr>
          </w:p>
        </w:tc>
      </w:tr>
      <w:tr w:rsidR="00704822" w14:paraId="27E031DC" w14:textId="77777777" w:rsidTr="00704822">
        <w:trPr>
          <w:jc w:val="center"/>
        </w:trPr>
        <w:tc>
          <w:tcPr>
            <w:tcW w:w="3893" w:type="dxa"/>
            <w:tcBorders>
              <w:top w:val="nil"/>
              <w:left w:val="single" w:sz="12" w:space="0" w:color="auto"/>
              <w:bottom w:val="single" w:sz="8" w:space="0" w:color="auto"/>
              <w:right w:val="single" w:sz="8" w:space="0" w:color="auto"/>
            </w:tcBorders>
            <w:tcMar>
              <w:top w:w="0" w:type="dxa"/>
              <w:left w:w="108" w:type="dxa"/>
              <w:bottom w:w="0" w:type="dxa"/>
              <w:right w:w="108" w:type="dxa"/>
            </w:tcMar>
          </w:tcPr>
          <w:p w14:paraId="7FF375A4" w14:textId="77777777" w:rsidR="00704822" w:rsidRPr="00704822" w:rsidRDefault="00704822">
            <w:pPr>
              <w:rPr>
                <w:rFonts w:ascii="Arial" w:eastAsia="Calibri" w:hAnsi="Arial" w:cs="Arial"/>
                <w:b/>
                <w:bCs/>
                <w:sz w:val="24"/>
                <w:szCs w:val="24"/>
              </w:rPr>
            </w:pPr>
            <w:r>
              <w:rPr>
                <w:rFonts w:ascii="Arial" w:hAnsi="Arial" w:cs="Arial"/>
                <w:b/>
                <w:bCs/>
                <w:sz w:val="24"/>
                <w:szCs w:val="24"/>
              </w:rPr>
              <w:t>Employing Body</w:t>
            </w:r>
          </w:p>
          <w:p w14:paraId="39F5166E" w14:textId="77777777" w:rsidR="00704822" w:rsidRPr="00704822" w:rsidRDefault="00704822">
            <w:pPr>
              <w:rPr>
                <w:rFonts w:ascii="Arial" w:eastAsia="Calibri" w:hAnsi="Arial" w:cs="Arial"/>
                <w:sz w:val="24"/>
                <w:szCs w:val="24"/>
              </w:rPr>
            </w:pPr>
          </w:p>
        </w:tc>
        <w:tc>
          <w:tcPr>
            <w:tcW w:w="261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A6A4B90" w14:textId="77777777" w:rsidR="00704822" w:rsidRPr="00704822" w:rsidRDefault="00704822">
            <w:pPr>
              <w:jc w:val="center"/>
              <w:rPr>
                <w:rFonts w:ascii="Arial" w:eastAsia="Calibri" w:hAnsi="Arial" w:cs="Arial"/>
                <w:b/>
                <w:bCs/>
                <w:sz w:val="24"/>
                <w:szCs w:val="24"/>
              </w:rPr>
            </w:pPr>
            <w:r>
              <w:rPr>
                <w:rFonts w:ascii="Arial" w:hAnsi="Arial" w:cs="Arial"/>
                <w:b/>
                <w:bCs/>
                <w:sz w:val="24"/>
                <w:szCs w:val="24"/>
              </w:rPr>
              <w:t>2020/21</w:t>
            </w:r>
          </w:p>
        </w:tc>
        <w:tc>
          <w:tcPr>
            <w:tcW w:w="2493" w:type="dxa"/>
            <w:gridSpan w:val="2"/>
            <w:tcBorders>
              <w:top w:val="nil"/>
              <w:left w:val="nil"/>
              <w:bottom w:val="single" w:sz="8" w:space="0" w:color="auto"/>
              <w:right w:val="single" w:sz="12" w:space="0" w:color="auto"/>
            </w:tcBorders>
            <w:tcMar>
              <w:top w:w="0" w:type="dxa"/>
              <w:left w:w="108" w:type="dxa"/>
              <w:bottom w:w="0" w:type="dxa"/>
              <w:right w:w="108" w:type="dxa"/>
            </w:tcMar>
            <w:hideMark/>
          </w:tcPr>
          <w:p w14:paraId="2AE17F5F" w14:textId="77777777" w:rsidR="00704822" w:rsidRPr="00704822" w:rsidRDefault="00704822">
            <w:pPr>
              <w:jc w:val="center"/>
              <w:rPr>
                <w:rFonts w:ascii="Arial" w:eastAsia="Calibri" w:hAnsi="Arial" w:cs="Arial"/>
                <w:b/>
                <w:bCs/>
                <w:sz w:val="24"/>
                <w:szCs w:val="24"/>
              </w:rPr>
            </w:pPr>
            <w:r>
              <w:rPr>
                <w:rFonts w:ascii="Arial" w:hAnsi="Arial" w:cs="Arial"/>
                <w:b/>
                <w:bCs/>
                <w:sz w:val="24"/>
                <w:szCs w:val="24"/>
              </w:rPr>
              <w:t>2021/22</w:t>
            </w:r>
          </w:p>
        </w:tc>
      </w:tr>
      <w:tr w:rsidR="00704822" w14:paraId="55EEB31D" w14:textId="77777777" w:rsidTr="00704822">
        <w:trPr>
          <w:jc w:val="center"/>
        </w:trPr>
        <w:tc>
          <w:tcPr>
            <w:tcW w:w="3893" w:type="dxa"/>
            <w:tcBorders>
              <w:top w:val="nil"/>
              <w:left w:val="single" w:sz="12" w:space="0" w:color="auto"/>
              <w:bottom w:val="single" w:sz="8" w:space="0" w:color="auto"/>
              <w:right w:val="single" w:sz="8" w:space="0" w:color="auto"/>
            </w:tcBorders>
            <w:tcMar>
              <w:top w:w="0" w:type="dxa"/>
              <w:left w:w="108" w:type="dxa"/>
              <w:bottom w:w="0" w:type="dxa"/>
              <w:right w:w="108" w:type="dxa"/>
            </w:tcMar>
          </w:tcPr>
          <w:p w14:paraId="5EE5904C" w14:textId="77777777" w:rsidR="00704822" w:rsidRPr="00704822" w:rsidRDefault="00704822">
            <w:pPr>
              <w:rPr>
                <w:rFonts w:ascii="Arial" w:eastAsia="Calibri" w:hAnsi="Arial" w:cs="Arial"/>
                <w:sz w:val="24"/>
                <w:szCs w:val="24"/>
              </w:rPr>
            </w:pPr>
          </w:p>
          <w:p w14:paraId="27DDA979" w14:textId="77777777" w:rsidR="00704822" w:rsidRDefault="00704822">
            <w:pPr>
              <w:rPr>
                <w:rFonts w:ascii="Arial" w:hAnsi="Arial" w:cs="Arial"/>
                <w:sz w:val="24"/>
                <w:szCs w:val="24"/>
              </w:rPr>
            </w:pPr>
          </w:p>
          <w:p w14:paraId="7DBB5614" w14:textId="77777777" w:rsidR="00704822" w:rsidRPr="00704822" w:rsidRDefault="00704822">
            <w:pPr>
              <w:rPr>
                <w:rFonts w:ascii="Arial" w:eastAsia="Calibri" w:hAnsi="Arial" w:cs="Arial"/>
                <w:sz w:val="24"/>
                <w:szCs w:val="24"/>
              </w:rPr>
            </w:pP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16E23647" w14:textId="77777777" w:rsidR="00704822" w:rsidRPr="00704822" w:rsidRDefault="00704822">
            <w:pPr>
              <w:jc w:val="center"/>
              <w:rPr>
                <w:rFonts w:ascii="Arial" w:eastAsia="Calibri" w:hAnsi="Arial" w:cs="Arial"/>
                <w:b/>
                <w:bCs/>
                <w:sz w:val="24"/>
                <w:szCs w:val="24"/>
              </w:rPr>
            </w:pPr>
            <w:r>
              <w:rPr>
                <w:rFonts w:ascii="Arial" w:hAnsi="Arial" w:cs="Arial"/>
                <w:b/>
                <w:bCs/>
                <w:sz w:val="24"/>
                <w:szCs w:val="24"/>
              </w:rPr>
              <w:t>No. of</w:t>
            </w:r>
          </w:p>
          <w:p w14:paraId="7F4902C1" w14:textId="77777777" w:rsidR="00704822" w:rsidRPr="00704822" w:rsidRDefault="00704822">
            <w:pPr>
              <w:jc w:val="center"/>
              <w:rPr>
                <w:rFonts w:ascii="Arial" w:eastAsia="Calibri" w:hAnsi="Arial" w:cs="Arial"/>
                <w:b/>
                <w:bCs/>
                <w:sz w:val="24"/>
                <w:szCs w:val="24"/>
              </w:rPr>
            </w:pPr>
            <w:r>
              <w:rPr>
                <w:rFonts w:ascii="Arial" w:hAnsi="Arial" w:cs="Arial"/>
                <w:b/>
                <w:bCs/>
                <w:sz w:val="24"/>
                <w:szCs w:val="24"/>
              </w:rPr>
              <w:t>Cases</w:t>
            </w:r>
          </w:p>
        </w:tc>
        <w:tc>
          <w:tcPr>
            <w:tcW w:w="1618" w:type="dxa"/>
            <w:tcBorders>
              <w:top w:val="nil"/>
              <w:left w:val="nil"/>
              <w:bottom w:val="single" w:sz="8" w:space="0" w:color="auto"/>
              <w:right w:val="single" w:sz="8" w:space="0" w:color="auto"/>
            </w:tcBorders>
            <w:tcMar>
              <w:top w:w="0" w:type="dxa"/>
              <w:left w:w="108" w:type="dxa"/>
              <w:bottom w:w="0" w:type="dxa"/>
              <w:right w:w="108" w:type="dxa"/>
            </w:tcMar>
            <w:hideMark/>
          </w:tcPr>
          <w:p w14:paraId="2EFB9276" w14:textId="77777777" w:rsidR="00704822" w:rsidRPr="00704822" w:rsidRDefault="00704822">
            <w:pPr>
              <w:jc w:val="center"/>
              <w:rPr>
                <w:rFonts w:ascii="Arial" w:eastAsia="Calibri" w:hAnsi="Arial" w:cs="Arial"/>
                <w:b/>
                <w:bCs/>
                <w:sz w:val="24"/>
                <w:szCs w:val="24"/>
              </w:rPr>
            </w:pPr>
            <w:r>
              <w:rPr>
                <w:rFonts w:ascii="Arial" w:hAnsi="Arial" w:cs="Arial"/>
                <w:b/>
                <w:bCs/>
                <w:sz w:val="24"/>
                <w:szCs w:val="24"/>
              </w:rPr>
              <w:t>Cost</w:t>
            </w:r>
          </w:p>
          <w:p w14:paraId="042E8586" w14:textId="77777777" w:rsidR="00704822" w:rsidRPr="00704822" w:rsidRDefault="00704822">
            <w:pPr>
              <w:jc w:val="center"/>
              <w:rPr>
                <w:rFonts w:ascii="Arial" w:eastAsia="Calibri" w:hAnsi="Arial" w:cs="Arial"/>
                <w:sz w:val="24"/>
                <w:szCs w:val="24"/>
              </w:rPr>
            </w:pPr>
            <w:r>
              <w:rPr>
                <w:rFonts w:ascii="Arial" w:hAnsi="Arial" w:cs="Arial"/>
                <w:b/>
                <w:bCs/>
                <w:sz w:val="24"/>
                <w:szCs w:val="24"/>
              </w:rPr>
              <w:t>£</w:t>
            </w:r>
          </w:p>
        </w:tc>
        <w:tc>
          <w:tcPr>
            <w:tcW w:w="1009" w:type="dxa"/>
            <w:tcBorders>
              <w:top w:val="nil"/>
              <w:left w:val="nil"/>
              <w:bottom w:val="single" w:sz="8" w:space="0" w:color="auto"/>
              <w:right w:val="single" w:sz="8" w:space="0" w:color="auto"/>
            </w:tcBorders>
            <w:tcMar>
              <w:top w:w="0" w:type="dxa"/>
              <w:left w:w="108" w:type="dxa"/>
              <w:bottom w:w="0" w:type="dxa"/>
              <w:right w:w="108" w:type="dxa"/>
            </w:tcMar>
            <w:hideMark/>
          </w:tcPr>
          <w:p w14:paraId="07C51231" w14:textId="77777777" w:rsidR="00704822" w:rsidRPr="00704822" w:rsidRDefault="00704822">
            <w:pPr>
              <w:jc w:val="center"/>
              <w:rPr>
                <w:rFonts w:ascii="Arial" w:eastAsia="Calibri" w:hAnsi="Arial" w:cs="Arial"/>
                <w:b/>
                <w:bCs/>
                <w:sz w:val="24"/>
                <w:szCs w:val="24"/>
              </w:rPr>
            </w:pPr>
            <w:r>
              <w:rPr>
                <w:rFonts w:ascii="Arial" w:hAnsi="Arial" w:cs="Arial"/>
                <w:b/>
                <w:bCs/>
                <w:sz w:val="24"/>
                <w:szCs w:val="24"/>
              </w:rPr>
              <w:t>No. of</w:t>
            </w:r>
          </w:p>
          <w:p w14:paraId="2E57913B" w14:textId="77777777" w:rsidR="00704822" w:rsidRPr="00704822" w:rsidRDefault="00704822">
            <w:pPr>
              <w:jc w:val="center"/>
              <w:rPr>
                <w:rFonts w:ascii="Arial" w:eastAsia="Calibri" w:hAnsi="Arial" w:cs="Arial"/>
                <w:b/>
                <w:bCs/>
                <w:sz w:val="24"/>
                <w:szCs w:val="24"/>
              </w:rPr>
            </w:pPr>
            <w:r>
              <w:rPr>
                <w:rFonts w:ascii="Arial" w:hAnsi="Arial" w:cs="Arial"/>
                <w:b/>
                <w:bCs/>
                <w:sz w:val="24"/>
                <w:szCs w:val="24"/>
              </w:rPr>
              <w:t>Cases</w:t>
            </w:r>
          </w:p>
        </w:tc>
        <w:tc>
          <w:tcPr>
            <w:tcW w:w="1484" w:type="dxa"/>
            <w:tcBorders>
              <w:top w:val="nil"/>
              <w:left w:val="nil"/>
              <w:bottom w:val="single" w:sz="8" w:space="0" w:color="auto"/>
              <w:right w:val="single" w:sz="12" w:space="0" w:color="auto"/>
            </w:tcBorders>
            <w:tcMar>
              <w:top w:w="0" w:type="dxa"/>
              <w:left w:w="108" w:type="dxa"/>
              <w:bottom w:w="0" w:type="dxa"/>
              <w:right w:w="108" w:type="dxa"/>
            </w:tcMar>
            <w:hideMark/>
          </w:tcPr>
          <w:p w14:paraId="706B5D72" w14:textId="77777777" w:rsidR="00704822" w:rsidRPr="00704822" w:rsidRDefault="00704822">
            <w:pPr>
              <w:jc w:val="center"/>
              <w:rPr>
                <w:rFonts w:ascii="Arial" w:eastAsia="Calibri" w:hAnsi="Arial" w:cs="Arial"/>
                <w:b/>
                <w:bCs/>
                <w:sz w:val="24"/>
                <w:szCs w:val="24"/>
              </w:rPr>
            </w:pPr>
            <w:r>
              <w:rPr>
                <w:rFonts w:ascii="Arial" w:hAnsi="Arial" w:cs="Arial"/>
                <w:b/>
                <w:bCs/>
                <w:sz w:val="24"/>
                <w:szCs w:val="24"/>
              </w:rPr>
              <w:t>Cost</w:t>
            </w:r>
          </w:p>
          <w:p w14:paraId="61ECD686" w14:textId="77777777" w:rsidR="00704822" w:rsidRPr="00704822" w:rsidRDefault="00704822">
            <w:pPr>
              <w:jc w:val="center"/>
              <w:rPr>
                <w:rFonts w:ascii="Arial" w:eastAsia="Calibri" w:hAnsi="Arial" w:cs="Arial"/>
                <w:sz w:val="24"/>
                <w:szCs w:val="24"/>
              </w:rPr>
            </w:pPr>
            <w:r>
              <w:rPr>
                <w:rFonts w:ascii="Arial" w:hAnsi="Arial" w:cs="Arial"/>
                <w:b/>
                <w:bCs/>
                <w:sz w:val="24"/>
                <w:szCs w:val="24"/>
              </w:rPr>
              <w:t>£</w:t>
            </w:r>
          </w:p>
        </w:tc>
      </w:tr>
      <w:tr w:rsidR="00704822" w14:paraId="6888FED3" w14:textId="77777777" w:rsidTr="000A71DD">
        <w:trPr>
          <w:jc w:val="center"/>
        </w:trPr>
        <w:tc>
          <w:tcPr>
            <w:tcW w:w="3893"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415A309C" w14:textId="77777777" w:rsidR="00704822" w:rsidRPr="00704822" w:rsidRDefault="00704822">
            <w:pPr>
              <w:rPr>
                <w:rFonts w:ascii="Arial" w:eastAsia="Calibri" w:hAnsi="Arial" w:cs="Arial"/>
                <w:sz w:val="24"/>
                <w:szCs w:val="24"/>
              </w:rPr>
            </w:pPr>
            <w:r>
              <w:rPr>
                <w:rFonts w:ascii="Arial" w:hAnsi="Arial" w:cs="Arial"/>
                <w:sz w:val="24"/>
                <w:szCs w:val="24"/>
              </w:rPr>
              <w:t>City &amp; County of Swansea</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3C0798AE" w14:textId="77777777" w:rsidR="00704822" w:rsidRPr="00704822" w:rsidRDefault="00704822">
            <w:pPr>
              <w:jc w:val="center"/>
              <w:rPr>
                <w:rFonts w:ascii="Arial" w:eastAsia="Calibri" w:hAnsi="Arial" w:cs="Arial"/>
                <w:sz w:val="24"/>
                <w:szCs w:val="24"/>
              </w:rPr>
            </w:pPr>
            <w:r w:rsidRPr="00704822">
              <w:rPr>
                <w:rFonts w:ascii="Arial" w:eastAsia="Calibri" w:hAnsi="Arial" w:cs="Arial"/>
                <w:sz w:val="24"/>
                <w:szCs w:val="24"/>
              </w:rPr>
              <w:t>33</w:t>
            </w:r>
          </w:p>
        </w:tc>
        <w:tc>
          <w:tcPr>
            <w:tcW w:w="1618" w:type="dxa"/>
            <w:tcBorders>
              <w:top w:val="nil"/>
              <w:left w:val="nil"/>
              <w:bottom w:val="single" w:sz="8" w:space="0" w:color="auto"/>
              <w:right w:val="single" w:sz="12" w:space="0" w:color="auto"/>
            </w:tcBorders>
            <w:tcMar>
              <w:top w:w="0" w:type="dxa"/>
              <w:left w:w="108" w:type="dxa"/>
              <w:bottom w:w="0" w:type="dxa"/>
              <w:right w:w="108" w:type="dxa"/>
            </w:tcMar>
            <w:hideMark/>
          </w:tcPr>
          <w:p w14:paraId="0A79140B" w14:textId="77777777" w:rsidR="00704822" w:rsidRPr="00704822" w:rsidRDefault="00C70D60">
            <w:pPr>
              <w:jc w:val="right"/>
              <w:rPr>
                <w:rFonts w:ascii="Arial" w:eastAsia="Calibri" w:hAnsi="Arial" w:cs="Arial"/>
                <w:sz w:val="24"/>
                <w:szCs w:val="24"/>
              </w:rPr>
            </w:pPr>
            <w:r>
              <w:rPr>
                <w:rFonts w:ascii="Arial" w:eastAsia="Calibri" w:hAnsi="Arial" w:cs="Arial"/>
                <w:sz w:val="24"/>
                <w:szCs w:val="24"/>
              </w:rPr>
              <w:t>555,607</w:t>
            </w:r>
          </w:p>
        </w:tc>
        <w:tc>
          <w:tcPr>
            <w:tcW w:w="1009" w:type="dxa"/>
            <w:tcBorders>
              <w:top w:val="nil"/>
              <w:left w:val="nil"/>
              <w:bottom w:val="single" w:sz="8" w:space="0" w:color="auto"/>
              <w:right w:val="single" w:sz="8" w:space="0" w:color="auto"/>
            </w:tcBorders>
            <w:tcMar>
              <w:top w:w="0" w:type="dxa"/>
              <w:left w:w="108" w:type="dxa"/>
              <w:bottom w:w="0" w:type="dxa"/>
              <w:right w:w="108" w:type="dxa"/>
            </w:tcMar>
          </w:tcPr>
          <w:p w14:paraId="6202B2C0" w14:textId="77777777" w:rsidR="00704822" w:rsidRPr="00704822" w:rsidRDefault="000A71DD">
            <w:pPr>
              <w:jc w:val="center"/>
              <w:rPr>
                <w:rFonts w:ascii="Arial" w:eastAsia="Calibri" w:hAnsi="Arial" w:cs="Arial"/>
                <w:sz w:val="24"/>
                <w:szCs w:val="24"/>
              </w:rPr>
            </w:pPr>
            <w:r>
              <w:rPr>
                <w:rFonts w:ascii="Arial" w:eastAsia="Calibri" w:hAnsi="Arial" w:cs="Arial"/>
                <w:sz w:val="24"/>
                <w:szCs w:val="24"/>
              </w:rPr>
              <w:t>12</w:t>
            </w:r>
          </w:p>
        </w:tc>
        <w:tc>
          <w:tcPr>
            <w:tcW w:w="1484" w:type="dxa"/>
            <w:tcBorders>
              <w:top w:val="nil"/>
              <w:left w:val="nil"/>
              <w:bottom w:val="single" w:sz="8" w:space="0" w:color="auto"/>
              <w:right w:val="single" w:sz="12" w:space="0" w:color="auto"/>
            </w:tcBorders>
            <w:tcMar>
              <w:top w:w="0" w:type="dxa"/>
              <w:left w:w="108" w:type="dxa"/>
              <w:bottom w:w="0" w:type="dxa"/>
              <w:right w:w="108" w:type="dxa"/>
            </w:tcMar>
          </w:tcPr>
          <w:p w14:paraId="1C9057E7" w14:textId="77777777" w:rsidR="00704822" w:rsidRPr="00704822" w:rsidRDefault="000A71DD" w:rsidP="000A71DD">
            <w:pPr>
              <w:jc w:val="right"/>
              <w:rPr>
                <w:rFonts w:ascii="Arial" w:eastAsia="Calibri" w:hAnsi="Arial" w:cs="Arial"/>
                <w:sz w:val="24"/>
                <w:szCs w:val="24"/>
              </w:rPr>
            </w:pPr>
            <w:r>
              <w:rPr>
                <w:rFonts w:ascii="Arial" w:eastAsia="Calibri" w:hAnsi="Arial" w:cs="Arial"/>
                <w:sz w:val="24"/>
                <w:szCs w:val="24"/>
              </w:rPr>
              <w:t>595,154</w:t>
            </w:r>
          </w:p>
        </w:tc>
      </w:tr>
      <w:tr w:rsidR="00704822" w14:paraId="33ADD41B" w14:textId="77777777" w:rsidTr="000A71DD">
        <w:trPr>
          <w:jc w:val="center"/>
        </w:trPr>
        <w:tc>
          <w:tcPr>
            <w:tcW w:w="3893"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6AA4D08C" w14:textId="77777777" w:rsidR="00704822" w:rsidRPr="00704822" w:rsidRDefault="00704822">
            <w:pPr>
              <w:rPr>
                <w:rFonts w:ascii="Arial" w:eastAsia="Calibri" w:hAnsi="Arial" w:cs="Arial"/>
                <w:sz w:val="24"/>
                <w:szCs w:val="24"/>
              </w:rPr>
            </w:pPr>
            <w:r>
              <w:rPr>
                <w:rFonts w:ascii="Arial" w:hAnsi="Arial" w:cs="Arial"/>
                <w:sz w:val="24"/>
                <w:szCs w:val="24"/>
              </w:rPr>
              <w:t>Neath Port Talbot CBC</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4FE17A47" w14:textId="77777777" w:rsidR="00704822" w:rsidRPr="00704822" w:rsidRDefault="00704822">
            <w:pPr>
              <w:jc w:val="center"/>
              <w:rPr>
                <w:rFonts w:ascii="Arial" w:eastAsia="Calibri" w:hAnsi="Arial" w:cs="Arial"/>
                <w:sz w:val="24"/>
                <w:szCs w:val="24"/>
              </w:rPr>
            </w:pPr>
            <w:r w:rsidRPr="00704822">
              <w:rPr>
                <w:rFonts w:ascii="Arial" w:eastAsia="Calibri" w:hAnsi="Arial" w:cs="Arial"/>
                <w:sz w:val="24"/>
                <w:szCs w:val="24"/>
              </w:rPr>
              <w:t>45</w:t>
            </w:r>
          </w:p>
        </w:tc>
        <w:tc>
          <w:tcPr>
            <w:tcW w:w="1618" w:type="dxa"/>
            <w:tcBorders>
              <w:top w:val="nil"/>
              <w:left w:val="nil"/>
              <w:bottom w:val="single" w:sz="8" w:space="0" w:color="auto"/>
              <w:right w:val="single" w:sz="12" w:space="0" w:color="auto"/>
            </w:tcBorders>
            <w:tcMar>
              <w:top w:w="0" w:type="dxa"/>
              <w:left w:w="108" w:type="dxa"/>
              <w:bottom w:w="0" w:type="dxa"/>
              <w:right w:w="108" w:type="dxa"/>
            </w:tcMar>
          </w:tcPr>
          <w:p w14:paraId="181CD375" w14:textId="77777777" w:rsidR="00704822" w:rsidRPr="00704822" w:rsidRDefault="00C70D60">
            <w:pPr>
              <w:jc w:val="right"/>
              <w:rPr>
                <w:rFonts w:ascii="Arial" w:eastAsia="Calibri" w:hAnsi="Arial" w:cs="Arial"/>
                <w:sz w:val="24"/>
                <w:szCs w:val="24"/>
              </w:rPr>
            </w:pPr>
            <w:r>
              <w:rPr>
                <w:rFonts w:ascii="Arial" w:eastAsia="Calibri" w:hAnsi="Arial" w:cs="Arial"/>
                <w:sz w:val="24"/>
                <w:szCs w:val="24"/>
              </w:rPr>
              <w:t>492,104</w:t>
            </w:r>
          </w:p>
        </w:tc>
        <w:tc>
          <w:tcPr>
            <w:tcW w:w="1009" w:type="dxa"/>
            <w:tcBorders>
              <w:top w:val="nil"/>
              <w:left w:val="nil"/>
              <w:bottom w:val="single" w:sz="8" w:space="0" w:color="auto"/>
              <w:right w:val="single" w:sz="8" w:space="0" w:color="auto"/>
            </w:tcBorders>
            <w:tcMar>
              <w:top w:w="0" w:type="dxa"/>
              <w:left w:w="108" w:type="dxa"/>
              <w:bottom w:w="0" w:type="dxa"/>
              <w:right w:w="108" w:type="dxa"/>
            </w:tcMar>
          </w:tcPr>
          <w:p w14:paraId="24E8E4EE" w14:textId="77777777" w:rsidR="00704822" w:rsidRPr="00704822" w:rsidRDefault="000A71DD">
            <w:pPr>
              <w:jc w:val="center"/>
              <w:rPr>
                <w:rFonts w:ascii="Arial" w:eastAsia="Calibri" w:hAnsi="Arial" w:cs="Arial"/>
                <w:sz w:val="24"/>
                <w:szCs w:val="24"/>
              </w:rPr>
            </w:pPr>
            <w:r>
              <w:rPr>
                <w:rFonts w:ascii="Arial" w:eastAsia="Calibri" w:hAnsi="Arial" w:cs="Arial"/>
                <w:sz w:val="24"/>
                <w:szCs w:val="24"/>
              </w:rPr>
              <w:t>8</w:t>
            </w:r>
          </w:p>
        </w:tc>
        <w:tc>
          <w:tcPr>
            <w:tcW w:w="1484" w:type="dxa"/>
            <w:tcBorders>
              <w:top w:val="nil"/>
              <w:left w:val="nil"/>
              <w:bottom w:val="single" w:sz="8" w:space="0" w:color="auto"/>
              <w:right w:val="single" w:sz="12" w:space="0" w:color="auto"/>
            </w:tcBorders>
            <w:tcMar>
              <w:top w:w="0" w:type="dxa"/>
              <w:left w:w="108" w:type="dxa"/>
              <w:bottom w:w="0" w:type="dxa"/>
              <w:right w:w="108" w:type="dxa"/>
            </w:tcMar>
          </w:tcPr>
          <w:p w14:paraId="15A3457F" w14:textId="77777777" w:rsidR="00704822" w:rsidRPr="00704822" w:rsidRDefault="000A71DD" w:rsidP="000A71DD">
            <w:pPr>
              <w:jc w:val="right"/>
              <w:rPr>
                <w:rFonts w:ascii="Arial" w:eastAsia="Calibri" w:hAnsi="Arial" w:cs="Arial"/>
                <w:sz w:val="24"/>
                <w:szCs w:val="24"/>
              </w:rPr>
            </w:pPr>
            <w:r>
              <w:rPr>
                <w:rFonts w:ascii="Arial" w:eastAsia="Calibri" w:hAnsi="Arial" w:cs="Arial"/>
                <w:sz w:val="24"/>
                <w:szCs w:val="24"/>
              </w:rPr>
              <w:t>180,139</w:t>
            </w:r>
          </w:p>
        </w:tc>
      </w:tr>
      <w:tr w:rsidR="00704822" w14:paraId="6BBA82F7" w14:textId="77777777" w:rsidTr="000A71DD">
        <w:trPr>
          <w:jc w:val="center"/>
        </w:trPr>
        <w:tc>
          <w:tcPr>
            <w:tcW w:w="3893"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2EAEE7C7" w14:textId="77777777" w:rsidR="00704822" w:rsidRDefault="00704822">
            <w:pPr>
              <w:rPr>
                <w:rFonts w:ascii="Arial" w:hAnsi="Arial" w:cs="Arial"/>
                <w:sz w:val="24"/>
                <w:szCs w:val="24"/>
              </w:rPr>
            </w:pPr>
            <w:r>
              <w:rPr>
                <w:rFonts w:ascii="Arial" w:hAnsi="Arial" w:cs="Arial"/>
                <w:sz w:val="24"/>
                <w:szCs w:val="24"/>
              </w:rPr>
              <w:t>Gower College</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06FE7A37" w14:textId="77777777" w:rsidR="00704822" w:rsidRDefault="00704822">
            <w:pPr>
              <w:jc w:val="center"/>
              <w:rPr>
                <w:rFonts w:ascii="Arial" w:hAnsi="Arial" w:cs="Arial"/>
                <w:sz w:val="24"/>
                <w:szCs w:val="24"/>
              </w:rPr>
            </w:pPr>
            <w:r>
              <w:rPr>
                <w:rFonts w:ascii="Arial" w:hAnsi="Arial" w:cs="Arial"/>
                <w:sz w:val="24"/>
                <w:szCs w:val="24"/>
              </w:rPr>
              <w:t>4</w:t>
            </w:r>
          </w:p>
        </w:tc>
        <w:tc>
          <w:tcPr>
            <w:tcW w:w="1618" w:type="dxa"/>
            <w:tcBorders>
              <w:top w:val="nil"/>
              <w:left w:val="nil"/>
              <w:bottom w:val="single" w:sz="8" w:space="0" w:color="auto"/>
              <w:right w:val="single" w:sz="12" w:space="0" w:color="auto"/>
            </w:tcBorders>
            <w:tcMar>
              <w:top w:w="0" w:type="dxa"/>
              <w:left w:w="108" w:type="dxa"/>
              <w:bottom w:w="0" w:type="dxa"/>
              <w:right w:w="108" w:type="dxa"/>
            </w:tcMar>
          </w:tcPr>
          <w:p w14:paraId="6BA336F1" w14:textId="77777777" w:rsidR="00704822" w:rsidRPr="00704822" w:rsidRDefault="00C70D60">
            <w:pPr>
              <w:jc w:val="right"/>
              <w:rPr>
                <w:rFonts w:ascii="Arial" w:eastAsia="Calibri" w:hAnsi="Arial" w:cs="Arial"/>
                <w:sz w:val="24"/>
                <w:szCs w:val="24"/>
              </w:rPr>
            </w:pPr>
            <w:r>
              <w:rPr>
                <w:rFonts w:ascii="Arial" w:eastAsia="Calibri" w:hAnsi="Arial" w:cs="Arial"/>
                <w:sz w:val="24"/>
                <w:szCs w:val="24"/>
              </w:rPr>
              <w:t>79,187</w:t>
            </w:r>
          </w:p>
        </w:tc>
        <w:tc>
          <w:tcPr>
            <w:tcW w:w="1009" w:type="dxa"/>
            <w:tcBorders>
              <w:top w:val="nil"/>
              <w:left w:val="nil"/>
              <w:bottom w:val="single" w:sz="8" w:space="0" w:color="auto"/>
              <w:right w:val="single" w:sz="8" w:space="0" w:color="auto"/>
            </w:tcBorders>
            <w:tcMar>
              <w:top w:w="0" w:type="dxa"/>
              <w:left w:w="108" w:type="dxa"/>
              <w:bottom w:w="0" w:type="dxa"/>
              <w:right w:w="108" w:type="dxa"/>
            </w:tcMar>
          </w:tcPr>
          <w:p w14:paraId="6F7FA6C5" w14:textId="77777777" w:rsidR="00704822" w:rsidRPr="00704822" w:rsidRDefault="000A71DD">
            <w:pPr>
              <w:jc w:val="center"/>
              <w:rPr>
                <w:rFonts w:ascii="Arial" w:eastAsia="Calibri" w:hAnsi="Arial" w:cs="Arial"/>
                <w:sz w:val="24"/>
                <w:szCs w:val="24"/>
              </w:rPr>
            </w:pPr>
            <w:r>
              <w:rPr>
                <w:rFonts w:ascii="Arial" w:eastAsia="Calibri" w:hAnsi="Arial" w:cs="Arial"/>
                <w:sz w:val="24"/>
                <w:szCs w:val="24"/>
              </w:rPr>
              <w:t>1</w:t>
            </w:r>
          </w:p>
        </w:tc>
        <w:tc>
          <w:tcPr>
            <w:tcW w:w="1484" w:type="dxa"/>
            <w:tcBorders>
              <w:top w:val="nil"/>
              <w:left w:val="nil"/>
              <w:bottom w:val="single" w:sz="8" w:space="0" w:color="auto"/>
              <w:right w:val="single" w:sz="12" w:space="0" w:color="auto"/>
            </w:tcBorders>
            <w:tcMar>
              <w:top w:w="0" w:type="dxa"/>
              <w:left w:w="108" w:type="dxa"/>
              <w:bottom w:w="0" w:type="dxa"/>
              <w:right w:w="108" w:type="dxa"/>
            </w:tcMar>
          </w:tcPr>
          <w:p w14:paraId="0F2DD113" w14:textId="77777777" w:rsidR="000A71DD" w:rsidRPr="00704822" w:rsidRDefault="000A71DD" w:rsidP="000A71DD">
            <w:pPr>
              <w:jc w:val="right"/>
              <w:rPr>
                <w:rFonts w:ascii="Arial" w:eastAsia="Calibri" w:hAnsi="Arial" w:cs="Arial"/>
                <w:sz w:val="24"/>
                <w:szCs w:val="24"/>
              </w:rPr>
            </w:pPr>
            <w:r>
              <w:rPr>
                <w:rFonts w:ascii="Arial" w:eastAsia="Calibri" w:hAnsi="Arial" w:cs="Arial"/>
                <w:sz w:val="24"/>
                <w:szCs w:val="24"/>
              </w:rPr>
              <w:t>4,537</w:t>
            </w:r>
          </w:p>
        </w:tc>
      </w:tr>
      <w:tr w:rsidR="00704822" w14:paraId="29FAC56E" w14:textId="77777777" w:rsidTr="00704822">
        <w:trPr>
          <w:jc w:val="center"/>
        </w:trPr>
        <w:tc>
          <w:tcPr>
            <w:tcW w:w="3893"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14:paraId="6D3F3F5B" w14:textId="77777777" w:rsidR="00704822" w:rsidRPr="00704822" w:rsidRDefault="00704822">
            <w:pPr>
              <w:spacing w:before="60" w:after="60"/>
              <w:rPr>
                <w:rFonts w:ascii="Arial" w:eastAsia="Calibri" w:hAnsi="Arial" w:cs="Arial"/>
                <w:szCs w:val="28"/>
              </w:rPr>
            </w:pPr>
            <w:r>
              <w:rPr>
                <w:rFonts w:ascii="Arial" w:hAnsi="Arial" w:cs="Arial"/>
                <w:b/>
                <w:bCs/>
                <w:sz w:val="24"/>
                <w:szCs w:val="24"/>
              </w:rPr>
              <w:t>Total</w:t>
            </w:r>
          </w:p>
        </w:tc>
        <w:tc>
          <w:tcPr>
            <w:tcW w:w="996" w:type="dxa"/>
            <w:tcBorders>
              <w:top w:val="nil"/>
              <w:left w:val="nil"/>
              <w:bottom w:val="single" w:sz="12" w:space="0" w:color="auto"/>
              <w:right w:val="single" w:sz="8" w:space="0" w:color="auto"/>
            </w:tcBorders>
            <w:tcMar>
              <w:top w:w="0" w:type="dxa"/>
              <w:left w:w="108" w:type="dxa"/>
              <w:bottom w:w="0" w:type="dxa"/>
              <w:right w:w="108" w:type="dxa"/>
            </w:tcMar>
            <w:hideMark/>
          </w:tcPr>
          <w:p w14:paraId="2E6E6931" w14:textId="77777777" w:rsidR="00704822" w:rsidRPr="00704822" w:rsidRDefault="00704822">
            <w:pPr>
              <w:spacing w:before="60" w:after="60"/>
              <w:jc w:val="center"/>
              <w:rPr>
                <w:rFonts w:ascii="Arial" w:eastAsia="Calibri" w:hAnsi="Arial" w:cs="Arial"/>
                <w:b/>
                <w:bCs/>
                <w:sz w:val="24"/>
                <w:szCs w:val="24"/>
              </w:rPr>
            </w:pPr>
            <w:r w:rsidRPr="00704822">
              <w:rPr>
                <w:rFonts w:ascii="Arial" w:eastAsia="Calibri" w:hAnsi="Arial" w:cs="Arial"/>
                <w:b/>
                <w:bCs/>
                <w:sz w:val="24"/>
                <w:szCs w:val="24"/>
              </w:rPr>
              <w:t>82</w:t>
            </w:r>
          </w:p>
        </w:tc>
        <w:tc>
          <w:tcPr>
            <w:tcW w:w="1618" w:type="dxa"/>
            <w:tcBorders>
              <w:top w:val="nil"/>
              <w:left w:val="nil"/>
              <w:bottom w:val="single" w:sz="12" w:space="0" w:color="auto"/>
              <w:right w:val="single" w:sz="12" w:space="0" w:color="auto"/>
            </w:tcBorders>
            <w:tcMar>
              <w:top w:w="0" w:type="dxa"/>
              <w:left w:w="108" w:type="dxa"/>
              <w:bottom w:w="0" w:type="dxa"/>
              <w:right w:w="108" w:type="dxa"/>
            </w:tcMar>
            <w:hideMark/>
          </w:tcPr>
          <w:p w14:paraId="5CC63C43" w14:textId="77777777" w:rsidR="000A71DD" w:rsidRPr="00704822" w:rsidRDefault="000A71DD" w:rsidP="000A71DD">
            <w:pPr>
              <w:spacing w:before="60" w:after="60"/>
              <w:jc w:val="right"/>
              <w:rPr>
                <w:rFonts w:ascii="Arial" w:eastAsia="Calibri" w:hAnsi="Arial" w:cs="Arial"/>
                <w:b/>
                <w:bCs/>
                <w:sz w:val="24"/>
                <w:szCs w:val="24"/>
              </w:rPr>
            </w:pPr>
            <w:r>
              <w:rPr>
                <w:rFonts w:ascii="Arial" w:eastAsia="Calibri" w:hAnsi="Arial" w:cs="Arial"/>
                <w:b/>
                <w:bCs/>
                <w:sz w:val="24"/>
                <w:szCs w:val="24"/>
              </w:rPr>
              <w:t>1,126,898</w:t>
            </w:r>
          </w:p>
        </w:tc>
        <w:tc>
          <w:tcPr>
            <w:tcW w:w="1009" w:type="dxa"/>
            <w:tcBorders>
              <w:top w:val="nil"/>
              <w:left w:val="nil"/>
              <w:bottom w:val="single" w:sz="12" w:space="0" w:color="auto"/>
              <w:right w:val="single" w:sz="8" w:space="0" w:color="auto"/>
            </w:tcBorders>
            <w:tcMar>
              <w:top w:w="0" w:type="dxa"/>
              <w:left w:w="108" w:type="dxa"/>
              <w:bottom w:w="0" w:type="dxa"/>
              <w:right w:w="108" w:type="dxa"/>
            </w:tcMar>
            <w:hideMark/>
          </w:tcPr>
          <w:p w14:paraId="3C02D0C6" w14:textId="77777777" w:rsidR="00704822" w:rsidRPr="00704822" w:rsidRDefault="00704822">
            <w:pPr>
              <w:spacing w:before="60" w:after="60"/>
              <w:jc w:val="center"/>
              <w:rPr>
                <w:rFonts w:ascii="Arial" w:eastAsia="Calibri" w:hAnsi="Arial" w:cs="Arial"/>
                <w:b/>
                <w:bCs/>
                <w:sz w:val="24"/>
                <w:szCs w:val="24"/>
              </w:rPr>
            </w:pPr>
            <w:r w:rsidRPr="00704822">
              <w:rPr>
                <w:rFonts w:ascii="Arial" w:eastAsia="Calibri" w:hAnsi="Arial" w:cs="Arial"/>
                <w:b/>
                <w:bCs/>
                <w:sz w:val="24"/>
                <w:szCs w:val="24"/>
              </w:rPr>
              <w:t>2</w:t>
            </w:r>
            <w:r w:rsidR="000A71DD">
              <w:rPr>
                <w:rFonts w:ascii="Arial" w:eastAsia="Calibri" w:hAnsi="Arial" w:cs="Arial"/>
                <w:b/>
                <w:bCs/>
                <w:sz w:val="24"/>
                <w:szCs w:val="24"/>
              </w:rPr>
              <w:t>1</w:t>
            </w:r>
          </w:p>
        </w:tc>
        <w:tc>
          <w:tcPr>
            <w:tcW w:w="1484" w:type="dxa"/>
            <w:tcBorders>
              <w:top w:val="nil"/>
              <w:left w:val="nil"/>
              <w:bottom w:val="single" w:sz="12" w:space="0" w:color="auto"/>
              <w:right w:val="single" w:sz="12" w:space="0" w:color="auto"/>
            </w:tcBorders>
            <w:tcMar>
              <w:top w:w="0" w:type="dxa"/>
              <w:left w:w="108" w:type="dxa"/>
              <w:bottom w:w="0" w:type="dxa"/>
              <w:right w:w="108" w:type="dxa"/>
            </w:tcMar>
            <w:hideMark/>
          </w:tcPr>
          <w:p w14:paraId="53100E20" w14:textId="77777777" w:rsidR="00704822" w:rsidRPr="00704822" w:rsidRDefault="000A71DD">
            <w:pPr>
              <w:spacing w:before="60" w:after="60"/>
              <w:jc w:val="right"/>
              <w:rPr>
                <w:rFonts w:ascii="Arial" w:eastAsia="Calibri" w:hAnsi="Arial" w:cs="Arial"/>
                <w:b/>
                <w:bCs/>
                <w:sz w:val="24"/>
                <w:szCs w:val="24"/>
              </w:rPr>
            </w:pPr>
            <w:r>
              <w:rPr>
                <w:rFonts w:ascii="Arial" w:eastAsia="Calibri" w:hAnsi="Arial" w:cs="Arial"/>
                <w:b/>
                <w:bCs/>
                <w:sz w:val="24"/>
                <w:szCs w:val="24"/>
              </w:rPr>
              <w:t>779,830</w:t>
            </w:r>
          </w:p>
        </w:tc>
      </w:tr>
    </w:tbl>
    <w:p w14:paraId="1474E4B4" w14:textId="77777777" w:rsidR="00704822" w:rsidRDefault="00704822" w:rsidP="00704822">
      <w:pPr>
        <w:rPr>
          <w:rFonts w:ascii="Arial" w:hAnsi="Arial"/>
          <w:b/>
          <w:sz w:val="24"/>
        </w:rPr>
      </w:pPr>
    </w:p>
    <w:p w14:paraId="63769BC4" w14:textId="77777777" w:rsidR="00135E52" w:rsidRDefault="00135E52" w:rsidP="00704822">
      <w:pPr>
        <w:rPr>
          <w:rFonts w:ascii="Arial" w:hAnsi="Arial"/>
          <w:b/>
          <w:szCs w:val="28"/>
        </w:rPr>
      </w:pPr>
    </w:p>
    <w:p w14:paraId="584287E4" w14:textId="77777777" w:rsidR="00135E52" w:rsidRDefault="00135E52" w:rsidP="00704822">
      <w:pPr>
        <w:rPr>
          <w:rFonts w:ascii="Arial" w:hAnsi="Arial"/>
          <w:b/>
          <w:szCs w:val="28"/>
        </w:rPr>
      </w:pPr>
    </w:p>
    <w:p w14:paraId="0B641FEE" w14:textId="77777777" w:rsidR="00135E52" w:rsidRDefault="00135E52" w:rsidP="00704822">
      <w:pPr>
        <w:rPr>
          <w:rFonts w:ascii="Arial" w:hAnsi="Arial"/>
          <w:b/>
          <w:szCs w:val="28"/>
        </w:rPr>
      </w:pPr>
    </w:p>
    <w:p w14:paraId="1B29A8BB" w14:textId="77777777" w:rsidR="00135E52" w:rsidRDefault="00135E52" w:rsidP="00704822">
      <w:pPr>
        <w:rPr>
          <w:rFonts w:ascii="Arial" w:hAnsi="Arial"/>
          <w:b/>
          <w:szCs w:val="28"/>
        </w:rPr>
      </w:pPr>
    </w:p>
    <w:p w14:paraId="283ADB69" w14:textId="77777777" w:rsidR="00135E52" w:rsidRDefault="00135E52" w:rsidP="00704822">
      <w:pPr>
        <w:rPr>
          <w:rFonts w:ascii="Arial" w:hAnsi="Arial"/>
          <w:b/>
          <w:szCs w:val="28"/>
        </w:rPr>
      </w:pPr>
    </w:p>
    <w:p w14:paraId="75001DF0" w14:textId="77777777" w:rsidR="00135E52" w:rsidRDefault="00135E52" w:rsidP="00704822">
      <w:pPr>
        <w:rPr>
          <w:rFonts w:ascii="Arial" w:hAnsi="Arial"/>
          <w:b/>
          <w:szCs w:val="28"/>
        </w:rPr>
      </w:pPr>
    </w:p>
    <w:p w14:paraId="20897561" w14:textId="77777777" w:rsidR="00704822" w:rsidRDefault="00704822" w:rsidP="00704822">
      <w:pPr>
        <w:rPr>
          <w:rFonts w:ascii="Arial" w:hAnsi="Arial"/>
          <w:b/>
          <w:szCs w:val="28"/>
        </w:rPr>
      </w:pPr>
      <w:r>
        <w:rPr>
          <w:rFonts w:ascii="Arial" w:hAnsi="Arial"/>
          <w:b/>
          <w:szCs w:val="28"/>
        </w:rPr>
        <w:lastRenderedPageBreak/>
        <w:t>Administration</w:t>
      </w:r>
    </w:p>
    <w:p w14:paraId="5468C103" w14:textId="77777777" w:rsidR="00704822" w:rsidRDefault="00704822" w:rsidP="00704822">
      <w:pPr>
        <w:rPr>
          <w:rFonts w:ascii="Arial" w:hAnsi="Arial"/>
          <w:sz w:val="24"/>
          <w:szCs w:val="24"/>
        </w:rPr>
      </w:pPr>
    </w:p>
    <w:p w14:paraId="51C16176" w14:textId="77777777" w:rsidR="00704822" w:rsidRPr="008F79D4" w:rsidRDefault="00704822" w:rsidP="00704822">
      <w:pPr>
        <w:jc w:val="both"/>
        <w:rPr>
          <w:rFonts w:ascii="Arial" w:hAnsi="Arial" w:cs="Arial"/>
          <w:b/>
          <w:bCs/>
          <w:sz w:val="24"/>
          <w:szCs w:val="24"/>
        </w:rPr>
      </w:pPr>
      <w:r w:rsidRPr="008F79D4">
        <w:rPr>
          <w:rFonts w:ascii="Arial" w:hAnsi="Arial" w:cs="Arial"/>
          <w:b/>
          <w:bCs/>
          <w:sz w:val="24"/>
          <w:szCs w:val="24"/>
        </w:rPr>
        <w:t xml:space="preserve">COVID-19 Update </w:t>
      </w:r>
    </w:p>
    <w:p w14:paraId="02C4CFC0" w14:textId="77777777" w:rsidR="00704822" w:rsidRDefault="00704822" w:rsidP="00704822">
      <w:pPr>
        <w:jc w:val="both"/>
        <w:rPr>
          <w:rFonts w:ascii="Arial" w:hAnsi="Arial" w:cs="Arial"/>
          <w:sz w:val="24"/>
          <w:szCs w:val="24"/>
        </w:rPr>
      </w:pPr>
    </w:p>
    <w:p w14:paraId="5362B118" w14:textId="77777777" w:rsidR="00704822" w:rsidRDefault="00704822" w:rsidP="00704822">
      <w:pPr>
        <w:jc w:val="both"/>
        <w:rPr>
          <w:rFonts w:ascii="Arial" w:hAnsi="Arial" w:cs="Arial"/>
          <w:sz w:val="24"/>
          <w:szCs w:val="24"/>
        </w:rPr>
      </w:pPr>
      <w:r>
        <w:rPr>
          <w:rFonts w:ascii="Arial" w:hAnsi="Arial" w:cs="Arial"/>
          <w:sz w:val="24"/>
          <w:szCs w:val="24"/>
        </w:rPr>
        <w:t>The coronavirus pandemic continues to affect the visible operation of the Section and how processes and member engagement is addressed.  Staff members continue to adapt to homeworking to ensure the continuance of a full service-delivery.  To ensure that communication channels between the section and its employers, members and third parties has been maintained office attendance has continued on a weekly rota 5 days a week to oversee the printing requirement of member documentation, incoming and outgoing mail. The addition of Cisco Jabber (telephone software) to the laptops has allowed all staff members to make and receive telephone calls, which has proved to be an important improvement concerning member engagement as previously this was limited to three staff member who were in receipt of Swansea Council issue mobile phones.  Staff meetings and training sessions have continued via virtual methods. Modification to procedures such as accepting electronic documentation via Member Self Service (MSS) have contributed to ensuring a business as usual approach and avoiding any unnecessary delays in processing benefits.</w:t>
      </w:r>
    </w:p>
    <w:p w14:paraId="0C30D658" w14:textId="77777777" w:rsidR="00704822" w:rsidRDefault="00704822" w:rsidP="00704822">
      <w:pPr>
        <w:jc w:val="both"/>
        <w:rPr>
          <w:rFonts w:ascii="Arial" w:hAnsi="Arial"/>
          <w:sz w:val="24"/>
          <w:szCs w:val="24"/>
        </w:rPr>
      </w:pPr>
    </w:p>
    <w:p w14:paraId="489B924F" w14:textId="77777777" w:rsidR="00704822" w:rsidRDefault="00704822" w:rsidP="00704822">
      <w:pPr>
        <w:jc w:val="both"/>
        <w:rPr>
          <w:rFonts w:ascii="Arial" w:hAnsi="Arial"/>
          <w:sz w:val="24"/>
          <w:szCs w:val="24"/>
        </w:rPr>
      </w:pPr>
      <w:r>
        <w:rPr>
          <w:rFonts w:ascii="Arial" w:hAnsi="Arial"/>
          <w:sz w:val="24"/>
          <w:szCs w:val="24"/>
        </w:rPr>
        <w:t>All pension administration staff are trained in their area of work and have to successfully complete a training matrix, which for a full-time staff member is 12-months before they begin to work independently.  Work is recorded on the pension administration software using task management and workflows, which outline the process to be followed and contain checklist items.  All work, which results in a payment, is peer checked and approved before advancing to the payment stage.  The operational staff undertake regular training to ensure their knowledge, understanding of the LGPS is up-to-date, and the Local Government Authority are regularly reviewing and presenting on-line training events.  All staff are encouraged to appraise their own self-development with an aim of future progression.  Training needs are monitored via the annual appraisal process and monthly 1:2:1 meetings, a number of staff have already completed a professional qualification in Pension Administration and Management.</w:t>
      </w:r>
    </w:p>
    <w:p w14:paraId="1348BE36" w14:textId="77777777" w:rsidR="00704822" w:rsidRDefault="00704822" w:rsidP="00704822">
      <w:pPr>
        <w:jc w:val="both"/>
        <w:rPr>
          <w:rFonts w:ascii="Arial" w:hAnsi="Arial"/>
          <w:sz w:val="24"/>
          <w:szCs w:val="24"/>
        </w:rPr>
      </w:pPr>
    </w:p>
    <w:p w14:paraId="68B5EB77" w14:textId="77777777" w:rsidR="00704822" w:rsidRDefault="00704822" w:rsidP="00704822">
      <w:pPr>
        <w:jc w:val="both"/>
        <w:rPr>
          <w:rFonts w:ascii="Arial" w:hAnsi="Arial"/>
          <w:sz w:val="24"/>
          <w:szCs w:val="24"/>
        </w:rPr>
      </w:pPr>
      <w:r>
        <w:rPr>
          <w:rFonts w:ascii="Arial" w:hAnsi="Arial"/>
          <w:sz w:val="24"/>
          <w:szCs w:val="24"/>
        </w:rPr>
        <w:t xml:space="preserve">The continuance of the project to scan hardcopy member records continues and it is anticipated that the project will conclude late 2022; the administration of the Fund will be that of a paperless operation.   </w:t>
      </w:r>
    </w:p>
    <w:p w14:paraId="261729DF" w14:textId="77777777" w:rsidR="00704822" w:rsidRDefault="00704822" w:rsidP="00704822">
      <w:pPr>
        <w:jc w:val="both"/>
        <w:rPr>
          <w:rFonts w:ascii="Arial" w:hAnsi="Arial"/>
          <w:sz w:val="24"/>
          <w:szCs w:val="24"/>
        </w:rPr>
      </w:pPr>
    </w:p>
    <w:p w14:paraId="61AE0A3B" w14:textId="77777777" w:rsidR="00704822" w:rsidRDefault="00704822" w:rsidP="00704822">
      <w:pPr>
        <w:jc w:val="both"/>
        <w:rPr>
          <w:rFonts w:ascii="Arial" w:hAnsi="Arial"/>
          <w:b/>
          <w:sz w:val="24"/>
          <w:szCs w:val="24"/>
        </w:rPr>
      </w:pPr>
    </w:p>
    <w:p w14:paraId="6CCB5871" w14:textId="77777777" w:rsidR="00704822" w:rsidRDefault="00704822" w:rsidP="00704822">
      <w:pPr>
        <w:jc w:val="both"/>
        <w:rPr>
          <w:rFonts w:ascii="Arial" w:hAnsi="Arial"/>
          <w:b/>
          <w:sz w:val="24"/>
          <w:szCs w:val="24"/>
        </w:rPr>
      </w:pPr>
      <w:r>
        <w:rPr>
          <w:rFonts w:ascii="Arial" w:hAnsi="Arial"/>
          <w:b/>
          <w:sz w:val="24"/>
          <w:szCs w:val="24"/>
        </w:rPr>
        <w:t>IT systems</w:t>
      </w:r>
    </w:p>
    <w:p w14:paraId="500CCD2D" w14:textId="77777777" w:rsidR="00704822" w:rsidRDefault="00704822" w:rsidP="00704822">
      <w:pPr>
        <w:jc w:val="both"/>
        <w:rPr>
          <w:rFonts w:ascii="Arial" w:hAnsi="Arial"/>
          <w:sz w:val="24"/>
          <w:szCs w:val="24"/>
        </w:rPr>
      </w:pPr>
    </w:p>
    <w:p w14:paraId="1628275E" w14:textId="77777777" w:rsidR="00704822" w:rsidRDefault="00704822" w:rsidP="00704822">
      <w:pPr>
        <w:jc w:val="both"/>
        <w:rPr>
          <w:rFonts w:ascii="Arial" w:hAnsi="Arial"/>
          <w:sz w:val="24"/>
          <w:szCs w:val="24"/>
        </w:rPr>
      </w:pPr>
      <w:r>
        <w:rPr>
          <w:rFonts w:ascii="Arial" w:hAnsi="Arial"/>
          <w:sz w:val="24"/>
          <w:szCs w:val="24"/>
        </w:rPr>
        <w:t xml:space="preserve">The Pension Section administers the LGPS through the pension administration system </w:t>
      </w:r>
      <w:r>
        <w:rPr>
          <w:rFonts w:ascii="Arial" w:hAnsi="Arial"/>
          <w:i/>
          <w:sz w:val="24"/>
          <w:szCs w:val="24"/>
        </w:rPr>
        <w:t>altair</w:t>
      </w:r>
      <w:r>
        <w:rPr>
          <w:rFonts w:ascii="Arial" w:hAnsi="Arial"/>
          <w:sz w:val="24"/>
          <w:szCs w:val="24"/>
        </w:rPr>
        <w:t>, a</w:t>
      </w:r>
      <w:r>
        <w:rPr>
          <w:rFonts w:ascii="Arial" w:hAnsi="Arial"/>
          <w:i/>
          <w:sz w:val="24"/>
          <w:szCs w:val="24"/>
        </w:rPr>
        <w:t xml:space="preserve"> </w:t>
      </w:r>
      <w:r>
        <w:rPr>
          <w:rFonts w:ascii="Arial" w:hAnsi="Arial"/>
          <w:sz w:val="24"/>
          <w:szCs w:val="24"/>
        </w:rPr>
        <w:t>system which is subject to regular updates to ensure compatibility with published Regulations / Legislation and the needs of the service delivery.  This also includes document imaging and workflow procedures.  All member documentation is scanned and indexed to the appropriate member record with appropriate process checks to ensure accuracy.</w:t>
      </w:r>
    </w:p>
    <w:p w14:paraId="1D7B09D5" w14:textId="77777777" w:rsidR="00704822" w:rsidRDefault="00704822" w:rsidP="00704822">
      <w:pPr>
        <w:jc w:val="both"/>
        <w:rPr>
          <w:rFonts w:ascii="Arial" w:hAnsi="Arial"/>
          <w:sz w:val="24"/>
          <w:szCs w:val="24"/>
        </w:rPr>
      </w:pPr>
    </w:p>
    <w:p w14:paraId="1434EB33" w14:textId="77777777" w:rsidR="00704822" w:rsidRDefault="00704822" w:rsidP="00704822">
      <w:pPr>
        <w:jc w:val="both"/>
        <w:rPr>
          <w:rFonts w:ascii="Arial" w:hAnsi="Arial"/>
          <w:sz w:val="24"/>
          <w:szCs w:val="24"/>
        </w:rPr>
      </w:pPr>
      <w:r w:rsidRPr="00E5099E">
        <w:rPr>
          <w:rFonts w:ascii="Arial" w:hAnsi="Arial"/>
          <w:sz w:val="24"/>
          <w:szCs w:val="24"/>
        </w:rPr>
        <w:t xml:space="preserve">i-Connect has been in use for several years with </w:t>
      </w:r>
      <w:r w:rsidRPr="00E5099E">
        <w:rPr>
          <w:rFonts w:ascii="Arial" w:hAnsi="Arial"/>
          <w:sz w:val="24"/>
          <w:szCs w:val="24"/>
          <w:shd w:val="clear" w:color="auto" w:fill="FFFFFF"/>
        </w:rPr>
        <w:t>90.86%</w:t>
      </w:r>
      <w:r>
        <w:rPr>
          <w:rFonts w:ascii="Arial" w:hAnsi="Arial"/>
          <w:sz w:val="24"/>
          <w:szCs w:val="24"/>
        </w:rPr>
        <w:t xml:space="preserve"> of the Fund’s active membership now fully implemented.   </w:t>
      </w:r>
    </w:p>
    <w:p w14:paraId="4D2FCD8E" w14:textId="77777777" w:rsidR="00704822" w:rsidRDefault="00704822" w:rsidP="00704822">
      <w:pPr>
        <w:jc w:val="both"/>
        <w:rPr>
          <w:rFonts w:ascii="Arial" w:hAnsi="Arial" w:cs="Arial"/>
          <w:sz w:val="24"/>
          <w:szCs w:val="24"/>
        </w:rPr>
      </w:pPr>
    </w:p>
    <w:p w14:paraId="3DEDAC1C" w14:textId="77777777" w:rsidR="00704822" w:rsidRDefault="00704822" w:rsidP="00704822">
      <w:pPr>
        <w:jc w:val="both"/>
        <w:rPr>
          <w:rFonts w:ascii="Arial" w:hAnsi="Arial"/>
          <w:sz w:val="24"/>
          <w:szCs w:val="24"/>
        </w:rPr>
      </w:pPr>
      <w:r>
        <w:rPr>
          <w:rFonts w:ascii="Arial" w:hAnsi="Arial" w:cs="Arial"/>
          <w:sz w:val="24"/>
          <w:szCs w:val="24"/>
        </w:rPr>
        <w:t>The Pension Regulator continues to push towards full electronic data submissions from all employers.  The Fund has been proactive and signed up to the new i-Connect commercial model and invests/promotes the use of an electronic interface to our</w:t>
      </w:r>
      <w:r>
        <w:rPr>
          <w:rFonts w:ascii="Arial" w:hAnsi="Arial"/>
          <w:sz w:val="24"/>
          <w:szCs w:val="24"/>
        </w:rPr>
        <w:t xml:space="preserve"> employers.  The interface allows for the transfer of membership data from employers’ payroll systems to the pension administration system.  This benefits both Fund and employer as it enables clean data to be submitted in a timely manner thus improving the year-end submission and ensuring compliance with the requirements of LGPS 2014 and the Pensions Regulator’s Code of Practice for accurate record keeping. Smaller employers are being encouraged to use the on-line returns facility</w:t>
      </w:r>
      <w:r w:rsidRPr="00704822">
        <w:rPr>
          <w:rFonts w:ascii="Arial" w:hAnsi="Arial"/>
          <w:color w:val="000000"/>
          <w:sz w:val="24"/>
          <w:szCs w:val="24"/>
        </w:rPr>
        <w:t xml:space="preserve">; </w:t>
      </w:r>
      <w:r>
        <w:rPr>
          <w:rFonts w:ascii="Arial" w:hAnsi="Arial"/>
          <w:sz w:val="24"/>
          <w:szCs w:val="24"/>
        </w:rPr>
        <w:t xml:space="preserve">unfortunately, due to the pandemic progress has come to a halt. We are hoping to engage with these employers to support the transition in the very near future. </w:t>
      </w:r>
    </w:p>
    <w:p w14:paraId="61F07ABF" w14:textId="77777777" w:rsidR="00704822" w:rsidRDefault="00704822" w:rsidP="00704822">
      <w:pPr>
        <w:jc w:val="both"/>
        <w:rPr>
          <w:rFonts w:ascii="Arial" w:hAnsi="Arial"/>
          <w:sz w:val="24"/>
          <w:szCs w:val="24"/>
        </w:rPr>
      </w:pPr>
    </w:p>
    <w:p w14:paraId="61A1E3A7" w14:textId="77777777" w:rsidR="00704822" w:rsidRDefault="00704822" w:rsidP="00704822">
      <w:pPr>
        <w:jc w:val="both"/>
        <w:rPr>
          <w:rFonts w:ascii="Arial" w:hAnsi="Arial"/>
          <w:sz w:val="24"/>
          <w:szCs w:val="24"/>
        </w:rPr>
      </w:pPr>
      <w:r>
        <w:rPr>
          <w:rFonts w:ascii="Arial" w:hAnsi="Arial"/>
          <w:sz w:val="24"/>
          <w:szCs w:val="24"/>
        </w:rPr>
        <w:t xml:space="preserve">The Pension Fund continues to monitor </w:t>
      </w:r>
      <w:r w:rsidRPr="00704822">
        <w:rPr>
          <w:rFonts w:ascii="Arial" w:hAnsi="Arial"/>
          <w:color w:val="000000"/>
          <w:sz w:val="24"/>
          <w:szCs w:val="24"/>
        </w:rPr>
        <w:t>its</w:t>
      </w:r>
      <w:r>
        <w:rPr>
          <w:rFonts w:ascii="Arial" w:hAnsi="Arial"/>
          <w:sz w:val="24"/>
          <w:szCs w:val="24"/>
        </w:rPr>
        <w:t xml:space="preserve"> website </w:t>
      </w:r>
      <w:hyperlink r:id="rId11" w:history="1">
        <w:r>
          <w:rPr>
            <w:rStyle w:val="Hyperlink"/>
            <w:rFonts w:ascii="Arial" w:hAnsi="Arial"/>
            <w:sz w:val="24"/>
            <w:szCs w:val="24"/>
          </w:rPr>
          <w:t>www.swanseapensionfund.org.uk</w:t>
        </w:r>
      </w:hyperlink>
      <w:r>
        <w:rPr>
          <w:rFonts w:ascii="Arial" w:hAnsi="Arial"/>
          <w:sz w:val="24"/>
          <w:szCs w:val="24"/>
        </w:rPr>
        <w:t xml:space="preserve"> to ensure that information available to active, deferred and pensioner members is accurate and informative and adheres to national standards concerning accessibility.</w:t>
      </w:r>
    </w:p>
    <w:p w14:paraId="1AA75796" w14:textId="77777777" w:rsidR="00704822" w:rsidRDefault="00704822" w:rsidP="00704822">
      <w:pPr>
        <w:jc w:val="both"/>
        <w:rPr>
          <w:rFonts w:ascii="Arial" w:hAnsi="Arial"/>
          <w:sz w:val="24"/>
          <w:szCs w:val="24"/>
        </w:rPr>
      </w:pPr>
    </w:p>
    <w:p w14:paraId="20D7C7C5" w14:textId="77777777" w:rsidR="00704822" w:rsidRDefault="00704822" w:rsidP="00704822">
      <w:pPr>
        <w:jc w:val="both"/>
        <w:rPr>
          <w:rFonts w:ascii="Arial" w:hAnsi="Arial"/>
          <w:sz w:val="24"/>
          <w:szCs w:val="24"/>
        </w:rPr>
      </w:pPr>
      <w:r>
        <w:rPr>
          <w:rFonts w:ascii="Arial" w:hAnsi="Arial"/>
          <w:sz w:val="24"/>
          <w:szCs w:val="24"/>
        </w:rPr>
        <w:t xml:space="preserve">Along with the availability to view published policies, strategies, </w:t>
      </w:r>
      <w:r w:rsidRPr="00704822">
        <w:rPr>
          <w:rFonts w:ascii="Arial" w:hAnsi="Arial"/>
          <w:color w:val="000000"/>
          <w:sz w:val="24"/>
          <w:szCs w:val="24"/>
        </w:rPr>
        <w:t>and</w:t>
      </w:r>
      <w:r>
        <w:rPr>
          <w:rFonts w:ascii="Arial" w:hAnsi="Arial"/>
          <w:sz w:val="24"/>
          <w:szCs w:val="24"/>
        </w:rPr>
        <w:t xml:space="preserve"> statements, members are able to download forms and scheme literature</w:t>
      </w:r>
      <w:r>
        <w:rPr>
          <w:rFonts w:ascii="Arial" w:hAnsi="Arial"/>
          <w:color w:val="FF0000"/>
          <w:sz w:val="24"/>
          <w:szCs w:val="24"/>
        </w:rPr>
        <w:t xml:space="preserve">. </w:t>
      </w:r>
      <w:r w:rsidRPr="00704822">
        <w:rPr>
          <w:rFonts w:ascii="Arial" w:hAnsi="Arial"/>
          <w:color w:val="000000"/>
          <w:sz w:val="24"/>
          <w:szCs w:val="24"/>
        </w:rPr>
        <w:t>S</w:t>
      </w:r>
      <w:r>
        <w:rPr>
          <w:rFonts w:ascii="Arial" w:hAnsi="Arial"/>
          <w:sz w:val="24"/>
          <w:szCs w:val="24"/>
        </w:rPr>
        <w:t>cheme employers have been issued with login details to access the employer only site.  Latest news bulletins are available to view.</w:t>
      </w:r>
    </w:p>
    <w:p w14:paraId="1117A5D7" w14:textId="77777777" w:rsidR="00704822" w:rsidRDefault="00704822" w:rsidP="00704822">
      <w:pPr>
        <w:jc w:val="both"/>
        <w:rPr>
          <w:rFonts w:ascii="Arial" w:hAnsi="Arial"/>
          <w:sz w:val="24"/>
          <w:szCs w:val="24"/>
        </w:rPr>
      </w:pPr>
    </w:p>
    <w:p w14:paraId="5341D157" w14:textId="77777777" w:rsidR="00704822" w:rsidRDefault="00704822" w:rsidP="00704822">
      <w:pPr>
        <w:jc w:val="both"/>
        <w:rPr>
          <w:rFonts w:ascii="Arial" w:hAnsi="Arial"/>
          <w:sz w:val="24"/>
          <w:szCs w:val="24"/>
        </w:rPr>
      </w:pPr>
      <w:r>
        <w:rPr>
          <w:rFonts w:ascii="Arial" w:hAnsi="Arial"/>
          <w:sz w:val="24"/>
          <w:szCs w:val="24"/>
        </w:rPr>
        <w:t>‘My Pension Online’ the on-line digital service has recently been s</w:t>
      </w:r>
      <w:r>
        <w:rPr>
          <w:rFonts w:ascii="Arial" w:hAnsi="Arial" w:cs="Arial"/>
          <w:color w:val="000000"/>
          <w:sz w:val="24"/>
          <w:szCs w:val="24"/>
        </w:rPr>
        <w:t>ubject to an upgrade; member access is now more user friendly</w:t>
      </w:r>
      <w:r>
        <w:rPr>
          <w:rFonts w:ascii="Arial" w:hAnsi="Arial"/>
          <w:sz w:val="24"/>
          <w:szCs w:val="24"/>
        </w:rPr>
        <w:t>.  Members are able to view their member record, documentation and to undertake basic amendments such as change of address, death grant nomination and the calculation of retirement estimates</w:t>
      </w:r>
      <w:r>
        <w:rPr>
          <w:rFonts w:ascii="Arial" w:hAnsi="Arial" w:cs="Arial"/>
          <w:color w:val="000000"/>
          <w:sz w:val="24"/>
          <w:szCs w:val="24"/>
        </w:rPr>
        <w:t xml:space="preserve">. The </w:t>
      </w:r>
      <w:r>
        <w:rPr>
          <w:rFonts w:ascii="Arial" w:hAnsi="Arial"/>
          <w:sz w:val="24"/>
          <w:szCs w:val="24"/>
        </w:rPr>
        <w:t>Pension Section</w:t>
      </w:r>
      <w:r>
        <w:rPr>
          <w:rFonts w:ascii="Arial" w:hAnsi="Arial" w:cs="Arial"/>
          <w:color w:val="000000"/>
          <w:sz w:val="24"/>
          <w:szCs w:val="24"/>
        </w:rPr>
        <w:t xml:space="preserve"> is actively promoting the service and registration instructions are included within member communications.  We regularly review how many of our members are registered and aim to undertake further promotional communications in the very near future. As a Fund our aim is to reduce our carbon footprint.</w:t>
      </w:r>
      <w:r>
        <w:rPr>
          <w:rFonts w:ascii="Arial" w:hAnsi="Arial"/>
          <w:sz w:val="24"/>
          <w:szCs w:val="24"/>
        </w:rPr>
        <w:t xml:space="preserve"> </w:t>
      </w:r>
    </w:p>
    <w:p w14:paraId="1F08E534" w14:textId="77777777" w:rsidR="00704822" w:rsidRDefault="00704822" w:rsidP="00704822">
      <w:pPr>
        <w:jc w:val="both"/>
        <w:rPr>
          <w:rFonts w:ascii="Arial" w:hAnsi="Arial"/>
          <w:sz w:val="24"/>
          <w:szCs w:val="24"/>
        </w:rPr>
      </w:pPr>
    </w:p>
    <w:p w14:paraId="334DB344" w14:textId="77777777" w:rsidR="00704822" w:rsidRDefault="00704822" w:rsidP="00704822">
      <w:pPr>
        <w:jc w:val="both"/>
        <w:rPr>
          <w:rFonts w:ascii="Arial" w:hAnsi="Arial"/>
          <w:sz w:val="24"/>
          <w:szCs w:val="24"/>
        </w:rPr>
      </w:pPr>
      <w:r>
        <w:rPr>
          <w:rFonts w:ascii="Arial" w:hAnsi="Arial"/>
          <w:sz w:val="24"/>
          <w:szCs w:val="24"/>
        </w:rPr>
        <w:t>Percentage of members already registered for My Pension Online based on membership status:</w:t>
      </w:r>
    </w:p>
    <w:p w14:paraId="46E2F418" w14:textId="77777777" w:rsidR="00704822" w:rsidRDefault="00704822" w:rsidP="00704822">
      <w:pPr>
        <w:jc w:val="both"/>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245"/>
        <w:gridCol w:w="2268"/>
        <w:gridCol w:w="2263"/>
      </w:tblGrid>
      <w:tr w:rsidR="00704822" w:rsidRPr="001310EB" w14:paraId="50F29075"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tcPr>
          <w:p w14:paraId="0BBB25FF" w14:textId="77777777" w:rsidR="00704822" w:rsidRPr="001310EB" w:rsidRDefault="00704822" w:rsidP="001310EB">
            <w:pPr>
              <w:jc w:val="both"/>
              <w:rPr>
                <w:rFonts w:ascii="Arial" w:hAnsi="Arial"/>
                <w:sz w:val="24"/>
                <w:szCs w:val="24"/>
              </w:rPr>
            </w:pP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25AD62FB" w14:textId="77777777" w:rsidR="00704822" w:rsidRPr="001310EB" w:rsidRDefault="00704822" w:rsidP="001310EB">
            <w:pPr>
              <w:jc w:val="center"/>
              <w:rPr>
                <w:rFonts w:ascii="Arial" w:hAnsi="Arial"/>
                <w:sz w:val="24"/>
                <w:szCs w:val="24"/>
              </w:rPr>
            </w:pPr>
            <w:r w:rsidRPr="001310EB">
              <w:rPr>
                <w:rFonts w:ascii="Arial" w:hAnsi="Arial"/>
                <w:sz w:val="24"/>
                <w:szCs w:val="24"/>
              </w:rPr>
              <w:t>Active</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07BB0BA2" w14:textId="77777777" w:rsidR="00704822" w:rsidRPr="001310EB" w:rsidRDefault="00704822" w:rsidP="001310EB">
            <w:pPr>
              <w:jc w:val="center"/>
              <w:rPr>
                <w:rFonts w:ascii="Arial" w:hAnsi="Arial"/>
                <w:sz w:val="24"/>
                <w:szCs w:val="24"/>
              </w:rPr>
            </w:pPr>
            <w:r w:rsidRPr="001310EB">
              <w:rPr>
                <w:rFonts w:ascii="Arial" w:hAnsi="Arial"/>
                <w:sz w:val="24"/>
                <w:szCs w:val="24"/>
              </w:rPr>
              <w:t>Pensioners</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2DB9EE2A" w14:textId="77777777" w:rsidR="00704822" w:rsidRPr="001310EB" w:rsidRDefault="00704822" w:rsidP="001310EB">
            <w:pPr>
              <w:jc w:val="center"/>
              <w:rPr>
                <w:rFonts w:ascii="Arial" w:hAnsi="Arial"/>
                <w:sz w:val="24"/>
                <w:szCs w:val="24"/>
              </w:rPr>
            </w:pPr>
            <w:r w:rsidRPr="001310EB">
              <w:rPr>
                <w:rFonts w:ascii="Arial" w:hAnsi="Arial"/>
                <w:sz w:val="24"/>
                <w:szCs w:val="24"/>
              </w:rPr>
              <w:t>Deferred pensioner members</w:t>
            </w:r>
          </w:p>
        </w:tc>
      </w:tr>
      <w:tr w:rsidR="00704822" w:rsidRPr="001310EB" w14:paraId="1320CA70"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049CB21F" w14:textId="77777777" w:rsidR="00704822" w:rsidRPr="001310EB" w:rsidRDefault="00704822" w:rsidP="001310EB">
            <w:pPr>
              <w:jc w:val="both"/>
              <w:rPr>
                <w:rFonts w:ascii="Arial" w:hAnsi="Arial"/>
                <w:sz w:val="24"/>
                <w:szCs w:val="24"/>
              </w:rPr>
            </w:pPr>
            <w:r w:rsidRPr="001310EB">
              <w:rPr>
                <w:rFonts w:ascii="Arial" w:hAnsi="Arial"/>
                <w:sz w:val="24"/>
                <w:szCs w:val="24"/>
              </w:rPr>
              <w:t>May 2021</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0A6A0C08" w14:textId="77777777" w:rsidR="00704822" w:rsidRPr="001310EB" w:rsidRDefault="00704822" w:rsidP="001310EB">
            <w:pPr>
              <w:jc w:val="center"/>
              <w:rPr>
                <w:rFonts w:ascii="Arial" w:hAnsi="Arial"/>
                <w:sz w:val="24"/>
                <w:szCs w:val="24"/>
              </w:rPr>
            </w:pPr>
            <w:r w:rsidRPr="001310EB">
              <w:rPr>
                <w:rFonts w:ascii="Arial" w:hAnsi="Arial"/>
                <w:sz w:val="24"/>
                <w:szCs w:val="24"/>
              </w:rPr>
              <w:t>45%</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215C4E4C" w14:textId="77777777" w:rsidR="00704822" w:rsidRPr="001310EB" w:rsidRDefault="00704822" w:rsidP="001310EB">
            <w:pPr>
              <w:jc w:val="center"/>
              <w:rPr>
                <w:rFonts w:ascii="Arial" w:hAnsi="Arial"/>
                <w:sz w:val="24"/>
                <w:szCs w:val="24"/>
              </w:rPr>
            </w:pPr>
            <w:r w:rsidRPr="001310EB">
              <w:rPr>
                <w:rFonts w:ascii="Arial" w:hAnsi="Arial"/>
                <w:sz w:val="24"/>
                <w:szCs w:val="24"/>
              </w:rPr>
              <w:t>17%</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6D3486B5" w14:textId="77777777" w:rsidR="00704822" w:rsidRPr="001310EB" w:rsidRDefault="00704822" w:rsidP="001310EB">
            <w:pPr>
              <w:jc w:val="center"/>
              <w:rPr>
                <w:rFonts w:ascii="Arial" w:hAnsi="Arial"/>
                <w:sz w:val="24"/>
                <w:szCs w:val="24"/>
              </w:rPr>
            </w:pPr>
            <w:r w:rsidRPr="001310EB">
              <w:rPr>
                <w:rFonts w:ascii="Arial" w:hAnsi="Arial"/>
                <w:sz w:val="24"/>
                <w:szCs w:val="24"/>
              </w:rPr>
              <w:t>30%</w:t>
            </w:r>
          </w:p>
        </w:tc>
      </w:tr>
    </w:tbl>
    <w:p w14:paraId="6C02E7C0" w14:textId="77777777" w:rsidR="00704822" w:rsidRDefault="00704822" w:rsidP="00704822">
      <w:pPr>
        <w:jc w:val="both"/>
        <w:rPr>
          <w:rFonts w:ascii="Arial" w:hAnsi="Arial"/>
          <w:sz w:val="24"/>
          <w:szCs w:val="24"/>
        </w:rPr>
      </w:pPr>
    </w:p>
    <w:p w14:paraId="4681B260" w14:textId="77777777" w:rsidR="00704822" w:rsidRDefault="00704822" w:rsidP="00704822">
      <w:pPr>
        <w:jc w:val="both"/>
        <w:rPr>
          <w:rFonts w:ascii="Arial" w:hAnsi="Arial"/>
          <w:sz w:val="24"/>
          <w:szCs w:val="24"/>
        </w:rPr>
      </w:pPr>
      <w:r>
        <w:rPr>
          <w:rFonts w:ascii="Arial" w:hAnsi="Arial"/>
          <w:sz w:val="24"/>
          <w:szCs w:val="24"/>
        </w:rPr>
        <w:t xml:space="preserve">In partnership with Heywood Pension Technologies, (formally Aquila Heywood Limited) the Fund continues to carry-out its activities via a Cloud Hosting Service; to-date no major incidents have occurred which warranted any downtime to the service delivery of the Fund. The Cloud Hosting Service is a highly secure, virtualised service offering a logically separated and ring-fenced server resource, which embrace significant benefits as a ‘one-stop-shop’.  Heywood Pension Technologies are forward thinking concerning cyber security threats and have published a Cyber Security Policy, which provides evidence and peace of mind regarding the comprehensive safeguards in operation to ensure strict protections are in place relating to member data.   Additional benefits include a full disaster recovery plan, </w:t>
      </w:r>
      <w:r>
        <w:rPr>
          <w:rFonts w:ascii="Arial" w:hAnsi="Arial"/>
          <w:sz w:val="24"/>
          <w:szCs w:val="24"/>
        </w:rPr>
        <w:lastRenderedPageBreak/>
        <w:t xml:space="preserve">reduction to the ongoing cost of software and licence updates, network and system monitoring, data back-up/restore and is fully GDPR compliant.    </w:t>
      </w:r>
    </w:p>
    <w:p w14:paraId="78A4F001" w14:textId="77777777" w:rsidR="00704822" w:rsidRDefault="00704822" w:rsidP="00704822">
      <w:pPr>
        <w:jc w:val="both"/>
        <w:rPr>
          <w:rFonts w:ascii="Arial" w:hAnsi="Arial"/>
          <w:sz w:val="24"/>
          <w:szCs w:val="24"/>
        </w:rPr>
      </w:pPr>
    </w:p>
    <w:p w14:paraId="6A983C1D" w14:textId="77777777" w:rsidR="00704822" w:rsidRDefault="00704822" w:rsidP="00704822">
      <w:pPr>
        <w:jc w:val="both"/>
        <w:rPr>
          <w:rFonts w:ascii="Arial" w:hAnsi="Arial"/>
          <w:sz w:val="24"/>
          <w:szCs w:val="24"/>
        </w:rPr>
      </w:pPr>
    </w:p>
    <w:p w14:paraId="6D471826" w14:textId="77777777" w:rsidR="00704822" w:rsidRDefault="00704822" w:rsidP="00704822">
      <w:pPr>
        <w:jc w:val="both"/>
        <w:rPr>
          <w:rFonts w:ascii="Arial" w:hAnsi="Arial"/>
          <w:b/>
          <w:sz w:val="24"/>
          <w:szCs w:val="24"/>
        </w:rPr>
      </w:pPr>
      <w:r>
        <w:rPr>
          <w:rFonts w:ascii="Arial" w:hAnsi="Arial"/>
          <w:b/>
          <w:sz w:val="24"/>
          <w:szCs w:val="24"/>
        </w:rPr>
        <w:t>Managing Performance</w:t>
      </w:r>
    </w:p>
    <w:p w14:paraId="5B764E0F" w14:textId="77777777" w:rsidR="00704822" w:rsidRDefault="00704822" w:rsidP="00704822">
      <w:pPr>
        <w:jc w:val="both"/>
        <w:rPr>
          <w:rFonts w:ascii="Arial" w:hAnsi="Arial"/>
          <w:b/>
          <w:sz w:val="24"/>
          <w:szCs w:val="24"/>
        </w:rPr>
      </w:pPr>
    </w:p>
    <w:p w14:paraId="649D70C9" w14:textId="77777777" w:rsidR="00704822" w:rsidRDefault="00704822" w:rsidP="00704822">
      <w:pPr>
        <w:jc w:val="both"/>
        <w:rPr>
          <w:rFonts w:ascii="Arial" w:hAnsi="Arial" w:cs="Arial"/>
          <w:sz w:val="24"/>
        </w:rPr>
      </w:pPr>
      <w:r>
        <w:rPr>
          <w:rFonts w:ascii="Arial" w:hAnsi="Arial" w:cs="Arial"/>
          <w:sz w:val="24"/>
        </w:rPr>
        <w:t>The Fund uses several performance standards to assess whether it is meeting its statutory requirements. The Pension Fund is dedicated to improving its service delivery to its customers and reviews current measures in place to ensure full compliance with the published Pension Administration Strategy by monitoring performance on an ad-hoc / annual basis to identify any areas where improvements can be made.</w:t>
      </w:r>
    </w:p>
    <w:p w14:paraId="06FCB8F9" w14:textId="77777777" w:rsidR="00704822" w:rsidRDefault="00704822" w:rsidP="00704822">
      <w:pPr>
        <w:autoSpaceDE w:val="0"/>
        <w:autoSpaceDN w:val="0"/>
        <w:adjustRightInd w:val="0"/>
        <w:jc w:val="both"/>
        <w:rPr>
          <w:rFonts w:ascii="Arial" w:hAnsi="Arial" w:cs="Arial"/>
          <w:sz w:val="24"/>
          <w:szCs w:val="24"/>
          <w:lang w:eastAsia="en-GB"/>
        </w:rPr>
      </w:pPr>
    </w:p>
    <w:p w14:paraId="2850D5CA" w14:textId="77777777" w:rsidR="00704822" w:rsidRDefault="00704822" w:rsidP="00704822">
      <w:pPr>
        <w:autoSpaceDE w:val="0"/>
        <w:autoSpaceDN w:val="0"/>
        <w:adjustRightInd w:val="0"/>
        <w:jc w:val="both"/>
        <w:rPr>
          <w:rFonts w:ascii="Arial" w:hAnsi="Arial" w:cs="Arial"/>
          <w:sz w:val="24"/>
          <w:szCs w:val="24"/>
          <w:lang w:eastAsia="en-GB"/>
        </w:rPr>
      </w:pPr>
      <w:r>
        <w:rPr>
          <w:rFonts w:ascii="Arial" w:hAnsi="Arial" w:cs="Arial"/>
          <w:sz w:val="24"/>
          <w:szCs w:val="24"/>
          <w:lang w:eastAsia="en-GB"/>
        </w:rPr>
        <w:t>The Fund aims to put our members at the centre of everything that we do; expectations are met by:</w:t>
      </w:r>
    </w:p>
    <w:p w14:paraId="40267C1A" w14:textId="77777777" w:rsidR="00704822" w:rsidRDefault="00704822" w:rsidP="0073304A">
      <w:pPr>
        <w:pStyle w:val="ListParagraph"/>
        <w:numPr>
          <w:ilvl w:val="0"/>
          <w:numId w:val="109"/>
        </w:numPr>
        <w:autoSpaceDE w:val="0"/>
        <w:autoSpaceDN w:val="0"/>
        <w:adjustRightInd w:val="0"/>
        <w:jc w:val="both"/>
        <w:rPr>
          <w:rFonts w:cs="Arial"/>
          <w:sz w:val="24"/>
        </w:rPr>
      </w:pPr>
      <w:r>
        <w:rPr>
          <w:rFonts w:cs="Arial"/>
          <w:sz w:val="24"/>
        </w:rPr>
        <w:t>Providing a high quality, professional, customer focused service to all members and Fund employers using appropriate technology in a cost effective and resourceful manner</w:t>
      </w:r>
    </w:p>
    <w:p w14:paraId="1F73C37E" w14:textId="77777777" w:rsidR="00704822" w:rsidRDefault="00704822" w:rsidP="0073304A">
      <w:pPr>
        <w:pStyle w:val="ListParagraph"/>
        <w:numPr>
          <w:ilvl w:val="0"/>
          <w:numId w:val="109"/>
        </w:numPr>
        <w:autoSpaceDE w:val="0"/>
        <w:autoSpaceDN w:val="0"/>
        <w:adjustRightInd w:val="0"/>
        <w:jc w:val="both"/>
        <w:rPr>
          <w:rFonts w:cs="Arial"/>
          <w:sz w:val="24"/>
        </w:rPr>
      </w:pPr>
      <w:r>
        <w:rPr>
          <w:rFonts w:cs="Arial"/>
          <w:sz w:val="24"/>
        </w:rPr>
        <w:t>Be accessible, fair and helpful and treat everyone equally and courteously</w:t>
      </w:r>
    </w:p>
    <w:p w14:paraId="371F8EA4" w14:textId="77777777" w:rsidR="00704822" w:rsidRDefault="00704822" w:rsidP="0073304A">
      <w:pPr>
        <w:pStyle w:val="ListParagraph"/>
        <w:numPr>
          <w:ilvl w:val="0"/>
          <w:numId w:val="109"/>
        </w:numPr>
        <w:autoSpaceDE w:val="0"/>
        <w:autoSpaceDN w:val="0"/>
        <w:adjustRightInd w:val="0"/>
        <w:jc w:val="both"/>
        <w:rPr>
          <w:rFonts w:cs="Arial"/>
          <w:sz w:val="24"/>
        </w:rPr>
      </w:pPr>
      <w:r>
        <w:rPr>
          <w:rFonts w:cs="Arial"/>
          <w:sz w:val="24"/>
        </w:rPr>
        <w:t>Communicate effectively where possible, using easy to understand language</w:t>
      </w:r>
    </w:p>
    <w:p w14:paraId="50B00990" w14:textId="77777777" w:rsidR="00704822" w:rsidRDefault="00704822" w:rsidP="0073304A">
      <w:pPr>
        <w:pStyle w:val="ListParagraph"/>
        <w:numPr>
          <w:ilvl w:val="0"/>
          <w:numId w:val="109"/>
        </w:numPr>
        <w:autoSpaceDE w:val="0"/>
        <w:autoSpaceDN w:val="0"/>
        <w:adjustRightInd w:val="0"/>
        <w:jc w:val="both"/>
        <w:rPr>
          <w:rFonts w:cs="Arial"/>
          <w:sz w:val="24"/>
        </w:rPr>
      </w:pPr>
      <w:r>
        <w:rPr>
          <w:rFonts w:cs="Arial"/>
          <w:sz w:val="24"/>
        </w:rPr>
        <w:t>Be accountable by monitoring the quality of service and reporting on whether the standards have been achieved and regularly review the target times</w:t>
      </w:r>
    </w:p>
    <w:p w14:paraId="0C6BA6F1" w14:textId="77777777" w:rsidR="00704822" w:rsidRDefault="00704822" w:rsidP="0073304A">
      <w:pPr>
        <w:pStyle w:val="ListParagraph"/>
        <w:numPr>
          <w:ilvl w:val="0"/>
          <w:numId w:val="109"/>
        </w:numPr>
        <w:autoSpaceDE w:val="0"/>
        <w:autoSpaceDN w:val="0"/>
        <w:adjustRightInd w:val="0"/>
        <w:jc w:val="both"/>
        <w:rPr>
          <w:rFonts w:cs="Arial"/>
          <w:sz w:val="24"/>
        </w:rPr>
      </w:pPr>
      <w:r>
        <w:rPr>
          <w:rFonts w:cs="Arial"/>
          <w:sz w:val="24"/>
        </w:rPr>
        <w:t>Consult members and fund employers wherever possible taking into account their views before making any changes</w:t>
      </w:r>
    </w:p>
    <w:p w14:paraId="18F025EC" w14:textId="77777777" w:rsidR="00704822" w:rsidRDefault="00704822" w:rsidP="0073304A">
      <w:pPr>
        <w:pStyle w:val="ListParagraph"/>
        <w:numPr>
          <w:ilvl w:val="0"/>
          <w:numId w:val="109"/>
        </w:numPr>
        <w:autoSpaceDE w:val="0"/>
        <w:autoSpaceDN w:val="0"/>
        <w:adjustRightInd w:val="0"/>
        <w:jc w:val="both"/>
        <w:rPr>
          <w:rFonts w:cs="Arial"/>
          <w:sz w:val="24"/>
        </w:rPr>
      </w:pPr>
      <w:r>
        <w:rPr>
          <w:rFonts w:cs="Arial"/>
          <w:sz w:val="24"/>
        </w:rPr>
        <w:t>Ensuring GDPR compliant at all times</w:t>
      </w:r>
    </w:p>
    <w:p w14:paraId="4FEB9551" w14:textId="77777777" w:rsidR="00704822" w:rsidRDefault="00704822" w:rsidP="0073304A">
      <w:pPr>
        <w:pStyle w:val="ListParagraph"/>
        <w:numPr>
          <w:ilvl w:val="0"/>
          <w:numId w:val="109"/>
        </w:numPr>
        <w:autoSpaceDE w:val="0"/>
        <w:autoSpaceDN w:val="0"/>
        <w:adjustRightInd w:val="0"/>
        <w:jc w:val="both"/>
        <w:rPr>
          <w:rFonts w:cs="Arial"/>
          <w:sz w:val="24"/>
        </w:rPr>
      </w:pPr>
      <w:r>
        <w:rPr>
          <w:rFonts w:cs="Arial"/>
          <w:sz w:val="24"/>
        </w:rPr>
        <w:t>Ensuring we review all complaints, compliments, disputes and all other feedback to ensure any learning points are identified</w:t>
      </w:r>
    </w:p>
    <w:p w14:paraId="1BCC2250" w14:textId="77777777" w:rsidR="00704822" w:rsidRDefault="00704822" w:rsidP="00704822">
      <w:pPr>
        <w:autoSpaceDE w:val="0"/>
        <w:autoSpaceDN w:val="0"/>
        <w:adjustRightInd w:val="0"/>
        <w:jc w:val="both"/>
        <w:rPr>
          <w:rFonts w:ascii="Arial" w:hAnsi="Arial" w:cs="Arial"/>
          <w:sz w:val="24"/>
          <w:szCs w:val="24"/>
        </w:rPr>
      </w:pPr>
      <w:r>
        <w:rPr>
          <w:rFonts w:ascii="Arial" w:hAnsi="Arial" w:cs="Arial"/>
          <w:sz w:val="24"/>
          <w:szCs w:val="24"/>
        </w:rPr>
        <w:tab/>
      </w:r>
    </w:p>
    <w:p w14:paraId="014D2165" w14:textId="77777777" w:rsidR="00704822" w:rsidRDefault="00704822" w:rsidP="00704822">
      <w:pPr>
        <w:jc w:val="both"/>
        <w:rPr>
          <w:rFonts w:ascii="Arial" w:hAnsi="Arial" w:cs="Arial"/>
          <w:sz w:val="24"/>
          <w:szCs w:val="24"/>
        </w:rPr>
      </w:pPr>
      <w:r>
        <w:rPr>
          <w:rFonts w:ascii="Arial" w:hAnsi="Arial" w:cs="Arial"/>
          <w:sz w:val="24"/>
          <w:szCs w:val="24"/>
        </w:rPr>
        <w:t>and uses a number of channels to achieve these objectives:</w:t>
      </w:r>
    </w:p>
    <w:p w14:paraId="0706DA5D" w14:textId="77777777" w:rsidR="00704822" w:rsidRDefault="00704822" w:rsidP="00704822">
      <w:pPr>
        <w:jc w:val="both"/>
        <w:rPr>
          <w:rFonts w:ascii="Arial" w:hAnsi="Arial"/>
          <w:sz w:val="24"/>
          <w:szCs w:val="24"/>
        </w:rPr>
      </w:pPr>
    </w:p>
    <w:p w14:paraId="2CF3DDE1" w14:textId="77777777" w:rsidR="00704822" w:rsidRDefault="00704822" w:rsidP="0073304A">
      <w:pPr>
        <w:pStyle w:val="ListParagraph"/>
        <w:numPr>
          <w:ilvl w:val="0"/>
          <w:numId w:val="110"/>
        </w:numPr>
        <w:autoSpaceDE w:val="0"/>
        <w:autoSpaceDN w:val="0"/>
        <w:adjustRightInd w:val="0"/>
        <w:ind w:left="720"/>
        <w:jc w:val="both"/>
        <w:rPr>
          <w:rFonts w:ascii="TTE530B250t00" w:hAnsi="TTE530B250t00" w:cs="TTE530B250t00"/>
          <w:sz w:val="24"/>
        </w:rPr>
      </w:pPr>
      <w:r>
        <w:rPr>
          <w:rFonts w:cs="Arial"/>
          <w:sz w:val="24"/>
        </w:rPr>
        <w:t xml:space="preserve">A Pension Administration Strategy has been prepared in accordance with the LGPS regulations.  The purpose of the Strategy is to formulate administrative arrangements between the City and County of Swansea Pension Fund and its participating employers to ensure that each employer is fully aware of its role and responsibilities and that the flow of data is improved by having clear communication in place.  </w:t>
      </w:r>
    </w:p>
    <w:p w14:paraId="2293D9A5" w14:textId="77777777" w:rsidR="00704822" w:rsidRDefault="00704822" w:rsidP="00704822">
      <w:pPr>
        <w:autoSpaceDE w:val="0"/>
        <w:autoSpaceDN w:val="0"/>
        <w:adjustRightInd w:val="0"/>
        <w:ind w:left="360"/>
        <w:jc w:val="both"/>
        <w:rPr>
          <w:rFonts w:ascii="TTE530B250t00" w:hAnsi="TTE530B250t00" w:cs="TTE530B250t00"/>
          <w:sz w:val="24"/>
        </w:rPr>
      </w:pPr>
    </w:p>
    <w:p w14:paraId="1D11430E" w14:textId="77777777" w:rsidR="00704822" w:rsidRDefault="00704822" w:rsidP="00704822">
      <w:pPr>
        <w:autoSpaceDE w:val="0"/>
        <w:autoSpaceDN w:val="0"/>
        <w:adjustRightInd w:val="0"/>
        <w:ind w:left="720"/>
        <w:jc w:val="both"/>
        <w:rPr>
          <w:rFonts w:ascii="Arial" w:hAnsi="Arial" w:cs="Arial"/>
          <w:sz w:val="24"/>
        </w:rPr>
      </w:pPr>
      <w:r>
        <w:rPr>
          <w:rFonts w:ascii="Arial" w:hAnsi="Arial" w:cs="Arial"/>
          <w:sz w:val="24"/>
        </w:rPr>
        <w:t xml:space="preserve">To complement the Strategy, a Customer Charter has also been produced which gives information about the level of service the Fund aims to provide. </w:t>
      </w:r>
    </w:p>
    <w:p w14:paraId="3A464372" w14:textId="77777777" w:rsidR="00704822" w:rsidRDefault="00704822" w:rsidP="00704822">
      <w:pPr>
        <w:autoSpaceDE w:val="0"/>
        <w:autoSpaceDN w:val="0"/>
        <w:adjustRightInd w:val="0"/>
        <w:ind w:left="720"/>
        <w:jc w:val="both"/>
        <w:rPr>
          <w:rFonts w:ascii="Arial" w:hAnsi="Arial" w:cs="Arial"/>
          <w:sz w:val="24"/>
        </w:rPr>
      </w:pPr>
    </w:p>
    <w:p w14:paraId="349635F5" w14:textId="77777777" w:rsidR="00704822" w:rsidRDefault="00704822" w:rsidP="00704822">
      <w:pPr>
        <w:autoSpaceDE w:val="0"/>
        <w:autoSpaceDN w:val="0"/>
        <w:adjustRightInd w:val="0"/>
        <w:ind w:left="720"/>
        <w:jc w:val="both"/>
        <w:rPr>
          <w:rFonts w:ascii="Arial" w:hAnsi="Arial" w:cs="Arial"/>
          <w:sz w:val="24"/>
        </w:rPr>
      </w:pPr>
      <w:r>
        <w:rPr>
          <w:rFonts w:ascii="Arial" w:hAnsi="Arial" w:cs="Arial"/>
          <w:sz w:val="24"/>
        </w:rPr>
        <w:t>The documents are subject to review and are available on the Fund’s website.</w:t>
      </w:r>
    </w:p>
    <w:p w14:paraId="01A0C961" w14:textId="77777777" w:rsidR="00704822" w:rsidRDefault="00704822" w:rsidP="00704822">
      <w:pPr>
        <w:autoSpaceDE w:val="0"/>
        <w:autoSpaceDN w:val="0"/>
        <w:adjustRightInd w:val="0"/>
        <w:ind w:left="720"/>
        <w:jc w:val="both"/>
        <w:rPr>
          <w:rFonts w:ascii="Arial" w:hAnsi="Arial" w:cs="Arial"/>
          <w:sz w:val="24"/>
        </w:rPr>
      </w:pPr>
    </w:p>
    <w:p w14:paraId="105A4BC2" w14:textId="77777777" w:rsidR="00704822" w:rsidRDefault="00704822" w:rsidP="0073304A">
      <w:pPr>
        <w:pStyle w:val="BodyText2"/>
        <w:numPr>
          <w:ilvl w:val="0"/>
          <w:numId w:val="110"/>
        </w:numPr>
        <w:ind w:left="720"/>
        <w:jc w:val="both"/>
      </w:pPr>
      <w:r>
        <w:t xml:space="preserve">The Fund has regularly published its own performance indicators.  The standards are detailed in Appendix </w:t>
      </w:r>
      <w:r w:rsidR="006C2E2C">
        <w:t>6.</w:t>
      </w:r>
    </w:p>
    <w:p w14:paraId="731909D2" w14:textId="77777777" w:rsidR="00704822" w:rsidRDefault="00704822" w:rsidP="00704822">
      <w:pPr>
        <w:pStyle w:val="BodyText2"/>
        <w:ind w:left="360"/>
        <w:jc w:val="both"/>
      </w:pPr>
    </w:p>
    <w:p w14:paraId="229AB969" w14:textId="77777777" w:rsidR="00704822" w:rsidRDefault="00704822" w:rsidP="00704822">
      <w:pPr>
        <w:pStyle w:val="BodyText2"/>
        <w:ind w:left="709" w:hanging="283"/>
        <w:jc w:val="both"/>
      </w:pPr>
      <w:r>
        <w:tab/>
        <w:t xml:space="preserve">Where an area of poor performance has been identified, the Pension Section will review the reasons for poor performance and put in place appropriate processes to improve the level of service delivery in the future.  </w:t>
      </w:r>
    </w:p>
    <w:p w14:paraId="24C7B39C" w14:textId="77777777" w:rsidR="00704822" w:rsidRDefault="00704822" w:rsidP="00704822">
      <w:pPr>
        <w:pStyle w:val="BodyText2"/>
        <w:ind w:left="709" w:hanging="283"/>
        <w:jc w:val="both"/>
      </w:pPr>
    </w:p>
    <w:p w14:paraId="1C421F92" w14:textId="77777777" w:rsidR="00704822" w:rsidRDefault="00704822" w:rsidP="00704822">
      <w:pPr>
        <w:pStyle w:val="BodyText2"/>
        <w:ind w:left="709" w:hanging="283"/>
        <w:jc w:val="both"/>
      </w:pPr>
      <w:r>
        <w:lastRenderedPageBreak/>
        <w:tab/>
        <w:t xml:space="preserve">The Section continues to communicate on a month-by-month basis with the employers highlighting the importance of providing retirement and early leaver data in a timely manner.  The Fund is working closely with the Fund’s largest employers to ensure this; this is also addressed during the Employer’s Annual Meeting.  </w:t>
      </w:r>
    </w:p>
    <w:p w14:paraId="2FC1EAD9" w14:textId="77777777" w:rsidR="00704822" w:rsidRDefault="00704822" w:rsidP="00704822">
      <w:pPr>
        <w:autoSpaceDE w:val="0"/>
        <w:autoSpaceDN w:val="0"/>
        <w:adjustRightInd w:val="0"/>
        <w:jc w:val="both"/>
        <w:rPr>
          <w:rFonts w:ascii="TTE530B250t00" w:hAnsi="TTE530B250t00" w:cs="TTE530B250t00"/>
          <w:sz w:val="24"/>
          <w:szCs w:val="24"/>
          <w:lang w:eastAsia="en-GB"/>
        </w:rPr>
      </w:pPr>
    </w:p>
    <w:p w14:paraId="3D5B5342" w14:textId="77777777" w:rsidR="00704822" w:rsidRDefault="00704822" w:rsidP="0073304A">
      <w:pPr>
        <w:pStyle w:val="ListParagraph"/>
        <w:numPr>
          <w:ilvl w:val="0"/>
          <w:numId w:val="110"/>
        </w:numPr>
        <w:ind w:left="720"/>
        <w:jc w:val="both"/>
        <w:rPr>
          <w:sz w:val="24"/>
        </w:rPr>
      </w:pPr>
      <w:r>
        <w:rPr>
          <w:sz w:val="24"/>
        </w:rPr>
        <w:t>The Fund participates in the National Fraud Initiative, a data matching exercise to detect and prevent fraud and overpayments across England and Wales.  The initiative is organised by the Audit Commission who require the provision of details of pensioners to compare against data provided by other public bodies to ensure:</w:t>
      </w:r>
    </w:p>
    <w:p w14:paraId="7395EF4D" w14:textId="77777777" w:rsidR="00704822" w:rsidRDefault="00704822" w:rsidP="0073304A">
      <w:pPr>
        <w:pStyle w:val="ListParagraph"/>
        <w:numPr>
          <w:ilvl w:val="0"/>
          <w:numId w:val="110"/>
        </w:numPr>
        <w:ind w:left="1134"/>
        <w:jc w:val="both"/>
        <w:rPr>
          <w:rFonts w:cs="Arial"/>
          <w:sz w:val="24"/>
        </w:rPr>
      </w:pPr>
      <w:r>
        <w:rPr>
          <w:rFonts w:cs="Arial"/>
          <w:sz w:val="24"/>
        </w:rPr>
        <w:t>Pensions are not paid to persons who are deceased or no longer entitled to them</w:t>
      </w:r>
    </w:p>
    <w:p w14:paraId="5A0A657E" w14:textId="77777777" w:rsidR="00704822" w:rsidRDefault="00704822" w:rsidP="0073304A">
      <w:pPr>
        <w:pStyle w:val="ListParagraph"/>
        <w:numPr>
          <w:ilvl w:val="0"/>
          <w:numId w:val="110"/>
        </w:numPr>
        <w:ind w:left="1134"/>
        <w:jc w:val="both"/>
        <w:rPr>
          <w:rFonts w:cs="Arial"/>
          <w:sz w:val="24"/>
        </w:rPr>
      </w:pPr>
      <w:r>
        <w:rPr>
          <w:rFonts w:cs="Arial"/>
          <w:sz w:val="24"/>
        </w:rPr>
        <w:t>Occupational pension income is declared when any benefit (e.g. council tax or housing benefit) is applied for</w:t>
      </w:r>
    </w:p>
    <w:p w14:paraId="5BE46AD0" w14:textId="77777777" w:rsidR="00704822" w:rsidRDefault="00704822" w:rsidP="0073304A">
      <w:pPr>
        <w:pStyle w:val="ListParagraph"/>
        <w:numPr>
          <w:ilvl w:val="0"/>
          <w:numId w:val="110"/>
        </w:numPr>
        <w:ind w:left="1134"/>
        <w:jc w:val="both"/>
        <w:rPr>
          <w:rFonts w:cs="Arial"/>
          <w:sz w:val="24"/>
        </w:rPr>
      </w:pPr>
      <w:r>
        <w:rPr>
          <w:rFonts w:cs="Arial"/>
          <w:sz w:val="24"/>
        </w:rPr>
        <w:t xml:space="preserve">The best use of public funds </w:t>
      </w:r>
    </w:p>
    <w:p w14:paraId="64E297CF" w14:textId="77777777" w:rsidR="00704822" w:rsidRDefault="00704822" w:rsidP="00704822">
      <w:pPr>
        <w:pStyle w:val="ListParagraph"/>
        <w:jc w:val="both"/>
        <w:rPr>
          <w:rFonts w:cs="Arial"/>
          <w:sz w:val="24"/>
        </w:rPr>
      </w:pPr>
    </w:p>
    <w:p w14:paraId="63E6CFC4" w14:textId="77777777" w:rsidR="00704822" w:rsidRPr="00124CA7" w:rsidRDefault="00704822" w:rsidP="0073304A">
      <w:pPr>
        <w:pStyle w:val="ListParagraph"/>
        <w:numPr>
          <w:ilvl w:val="0"/>
          <w:numId w:val="110"/>
        </w:numPr>
        <w:ind w:left="720"/>
        <w:jc w:val="both"/>
        <w:rPr>
          <w:rStyle w:val="Strong"/>
          <w:b w:val="0"/>
          <w:bCs w:val="0"/>
        </w:rPr>
      </w:pPr>
      <w:r>
        <w:rPr>
          <w:rFonts w:cs="Arial"/>
          <w:sz w:val="24"/>
        </w:rPr>
        <w:t xml:space="preserve">In readiness of the implementation of the DWP Pension Dashboard, the Fund has recently worked in collaboration with Target Professional Services to undertake an address tracing and mortality screening exercise to improve address quality and </w:t>
      </w:r>
      <w:r w:rsidRPr="00124CA7">
        <w:rPr>
          <w:rStyle w:val="Strong"/>
          <w:rFonts w:cs="Arial"/>
          <w:b w:val="0"/>
          <w:sz w:val="24"/>
        </w:rPr>
        <w:t xml:space="preserve">identify potential mortality cases across the deferred and pensioner memberships in the UK.  The Fund works in partnership with Western Union to undertake an annual pensioner member continued eligibility check for overseas pensioner members.   If a member fails to comply with the instruction given the pension in payment is suspended pending proof of member continued eligibility. </w:t>
      </w:r>
    </w:p>
    <w:p w14:paraId="28BD7DCD" w14:textId="77777777" w:rsidR="00704822" w:rsidRPr="00124CA7" w:rsidRDefault="00704822" w:rsidP="00704822">
      <w:pPr>
        <w:pStyle w:val="ListParagraph"/>
        <w:rPr>
          <w:rStyle w:val="Strong"/>
          <w:rFonts w:cs="Arial"/>
          <w:b w:val="0"/>
          <w:bCs w:val="0"/>
          <w:sz w:val="24"/>
        </w:rPr>
      </w:pPr>
    </w:p>
    <w:p w14:paraId="088FF505" w14:textId="77777777" w:rsidR="00704822" w:rsidRPr="00124CA7" w:rsidRDefault="00704822" w:rsidP="0073304A">
      <w:pPr>
        <w:pStyle w:val="ListParagraph"/>
        <w:numPr>
          <w:ilvl w:val="0"/>
          <w:numId w:val="110"/>
        </w:numPr>
        <w:ind w:left="720"/>
        <w:jc w:val="both"/>
        <w:rPr>
          <w:rStyle w:val="Strong"/>
          <w:rFonts w:cs="Arial"/>
          <w:b w:val="0"/>
          <w:bCs w:val="0"/>
          <w:sz w:val="24"/>
        </w:rPr>
      </w:pPr>
      <w:r w:rsidRPr="00124CA7">
        <w:rPr>
          <w:rStyle w:val="Strong"/>
          <w:rFonts w:cs="Arial"/>
          <w:b w:val="0"/>
          <w:sz w:val="24"/>
        </w:rPr>
        <w:t xml:space="preserve">In conjunction with LGPS Funds in England and Wales the City and County of Swansea Pension Fund participates in the LGPS National Insurance (NI) Database (‘the database’).  The database has been developed to allow LGPS Administering Authorities to share data to prevent the duplication payments of death grants and to observe member status held with other Funds.   </w:t>
      </w:r>
    </w:p>
    <w:p w14:paraId="15B7889A" w14:textId="77777777" w:rsidR="00704822" w:rsidRDefault="00704822" w:rsidP="00704822">
      <w:pPr>
        <w:pStyle w:val="ListParagraph"/>
        <w:jc w:val="both"/>
        <w:rPr>
          <w:rStyle w:val="Strong"/>
          <w:rFonts w:cs="Arial"/>
          <w:b w:val="0"/>
          <w:bCs w:val="0"/>
          <w:sz w:val="24"/>
        </w:rPr>
      </w:pPr>
    </w:p>
    <w:p w14:paraId="3D002FDF" w14:textId="77777777" w:rsidR="00704822" w:rsidRDefault="00704822" w:rsidP="00704822">
      <w:pPr>
        <w:autoSpaceDE w:val="0"/>
        <w:autoSpaceDN w:val="0"/>
        <w:adjustRightInd w:val="0"/>
        <w:jc w:val="both"/>
        <w:rPr>
          <w:rFonts w:ascii="Arial" w:hAnsi="Arial"/>
          <w:b/>
          <w:bCs/>
          <w:szCs w:val="24"/>
          <w:lang w:eastAsia="en-GB"/>
        </w:rPr>
      </w:pPr>
      <w:r>
        <w:rPr>
          <w:rFonts w:ascii="Arial" w:hAnsi="Arial" w:cs="Arial"/>
          <w:b/>
          <w:bCs/>
          <w:sz w:val="24"/>
          <w:szCs w:val="24"/>
          <w:lang w:eastAsia="en-GB"/>
        </w:rPr>
        <w:t xml:space="preserve">Compliment and Complaints Policy </w:t>
      </w:r>
    </w:p>
    <w:p w14:paraId="4B395321" w14:textId="77777777" w:rsidR="00704822" w:rsidRDefault="00704822" w:rsidP="00704822">
      <w:pPr>
        <w:autoSpaceDE w:val="0"/>
        <w:autoSpaceDN w:val="0"/>
        <w:adjustRightInd w:val="0"/>
        <w:jc w:val="both"/>
        <w:rPr>
          <w:rFonts w:ascii="Arial" w:hAnsi="Arial" w:cs="Arial"/>
          <w:b/>
          <w:bCs/>
          <w:sz w:val="24"/>
          <w:szCs w:val="24"/>
          <w:lang w:eastAsia="en-GB"/>
        </w:rPr>
      </w:pPr>
    </w:p>
    <w:p w14:paraId="71370003" w14:textId="77777777" w:rsidR="00704822" w:rsidRDefault="00704822" w:rsidP="00704822">
      <w:pPr>
        <w:autoSpaceDE w:val="0"/>
        <w:autoSpaceDN w:val="0"/>
        <w:adjustRightInd w:val="0"/>
        <w:jc w:val="both"/>
        <w:rPr>
          <w:rFonts w:ascii="Arial" w:hAnsi="Arial" w:cs="Arial"/>
          <w:sz w:val="24"/>
          <w:szCs w:val="24"/>
        </w:rPr>
      </w:pPr>
      <w:r>
        <w:rPr>
          <w:rFonts w:ascii="Arial" w:hAnsi="Arial" w:cs="Arial"/>
          <w:sz w:val="24"/>
          <w:szCs w:val="24"/>
        </w:rPr>
        <w:t xml:space="preserve">In accordance with our Communications Policy Statement the aim of the Pension Fund is to provide a high quality cost effective service delivery to all our customers, this applies to prospective, active, deferred and pensioner members along with fund employers and external bodies. We are happy to receive any feedback from our customers whether negative or positive. </w:t>
      </w:r>
      <w:r w:rsidRPr="00704822">
        <w:rPr>
          <w:rFonts w:ascii="Arial" w:hAnsi="Arial" w:cs="Arial"/>
          <w:color w:val="000000"/>
          <w:sz w:val="24"/>
          <w:szCs w:val="24"/>
        </w:rPr>
        <w:t xml:space="preserve">If, however, </w:t>
      </w:r>
      <w:r>
        <w:rPr>
          <w:rFonts w:ascii="Arial" w:hAnsi="Arial" w:cs="Arial"/>
          <w:sz w:val="24"/>
          <w:szCs w:val="24"/>
        </w:rPr>
        <w:t xml:space="preserve">an individual feels that the Section has failed to honour its commitment to provide appropriate customer service upon receipt of any negative feedback a review of concerns presented is undertaken.  </w:t>
      </w:r>
    </w:p>
    <w:p w14:paraId="660869ED" w14:textId="77777777" w:rsidR="00704822" w:rsidRDefault="00704822" w:rsidP="00704822">
      <w:pPr>
        <w:autoSpaceDE w:val="0"/>
        <w:autoSpaceDN w:val="0"/>
        <w:adjustRightInd w:val="0"/>
        <w:jc w:val="both"/>
        <w:rPr>
          <w:rFonts w:ascii="Arial" w:hAnsi="Arial" w:cs="Arial"/>
          <w:sz w:val="24"/>
          <w:szCs w:val="24"/>
        </w:rPr>
      </w:pPr>
    </w:p>
    <w:p w14:paraId="6BD4863B" w14:textId="77777777" w:rsidR="00135E52" w:rsidRDefault="00135E52" w:rsidP="00704822">
      <w:pPr>
        <w:autoSpaceDE w:val="0"/>
        <w:autoSpaceDN w:val="0"/>
        <w:adjustRightInd w:val="0"/>
        <w:jc w:val="both"/>
        <w:rPr>
          <w:rFonts w:ascii="Arial" w:hAnsi="Arial" w:cs="Arial"/>
          <w:bCs/>
          <w:sz w:val="24"/>
          <w:szCs w:val="24"/>
          <w:lang w:eastAsia="en-GB"/>
        </w:rPr>
      </w:pPr>
    </w:p>
    <w:p w14:paraId="532E7D2B" w14:textId="77777777" w:rsidR="00135E52" w:rsidRDefault="00135E52" w:rsidP="00704822">
      <w:pPr>
        <w:autoSpaceDE w:val="0"/>
        <w:autoSpaceDN w:val="0"/>
        <w:adjustRightInd w:val="0"/>
        <w:jc w:val="both"/>
        <w:rPr>
          <w:rFonts w:ascii="Arial" w:hAnsi="Arial" w:cs="Arial"/>
          <w:bCs/>
          <w:sz w:val="24"/>
          <w:szCs w:val="24"/>
          <w:lang w:eastAsia="en-GB"/>
        </w:rPr>
      </w:pPr>
    </w:p>
    <w:p w14:paraId="3984BEA7" w14:textId="77777777" w:rsidR="00135E52" w:rsidRDefault="00135E52" w:rsidP="00704822">
      <w:pPr>
        <w:autoSpaceDE w:val="0"/>
        <w:autoSpaceDN w:val="0"/>
        <w:adjustRightInd w:val="0"/>
        <w:jc w:val="both"/>
        <w:rPr>
          <w:rFonts w:ascii="Arial" w:hAnsi="Arial" w:cs="Arial"/>
          <w:bCs/>
          <w:sz w:val="24"/>
          <w:szCs w:val="24"/>
          <w:lang w:eastAsia="en-GB"/>
        </w:rPr>
      </w:pPr>
    </w:p>
    <w:p w14:paraId="3492D2F4" w14:textId="77777777" w:rsidR="00135E52" w:rsidRDefault="00135E52" w:rsidP="00704822">
      <w:pPr>
        <w:autoSpaceDE w:val="0"/>
        <w:autoSpaceDN w:val="0"/>
        <w:adjustRightInd w:val="0"/>
        <w:jc w:val="both"/>
        <w:rPr>
          <w:rFonts w:ascii="Arial" w:hAnsi="Arial" w:cs="Arial"/>
          <w:bCs/>
          <w:sz w:val="24"/>
          <w:szCs w:val="24"/>
          <w:lang w:eastAsia="en-GB"/>
        </w:rPr>
      </w:pPr>
    </w:p>
    <w:p w14:paraId="7FB39CA6" w14:textId="77777777" w:rsidR="00704822" w:rsidRDefault="00704822" w:rsidP="00704822">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lastRenderedPageBreak/>
        <w:t>Based on member feedback concerning the service delivery received from the Pension Fund as a percentage for the period 01/04/2021 – 31/03/2022 is as follows:</w:t>
      </w:r>
    </w:p>
    <w:p w14:paraId="288D8D7C" w14:textId="77777777" w:rsidR="00704822" w:rsidRDefault="00704822" w:rsidP="00704822">
      <w:pPr>
        <w:autoSpaceDE w:val="0"/>
        <w:autoSpaceDN w:val="0"/>
        <w:adjustRightInd w:val="0"/>
        <w:jc w:val="both"/>
        <w:rPr>
          <w:rFonts w:ascii="Arial" w:hAnsi="Arial" w:cs="Arial"/>
          <w:bCs/>
          <w:sz w:val="24"/>
          <w:szCs w:val="24"/>
          <w:lang w:eastAsia="en-GB"/>
        </w:rPr>
      </w:pPr>
    </w:p>
    <w:p w14:paraId="59798737" w14:textId="77777777" w:rsidR="00704822" w:rsidRDefault="00704822" w:rsidP="00704822">
      <w:pPr>
        <w:autoSpaceDE w:val="0"/>
        <w:autoSpaceDN w:val="0"/>
        <w:adjustRightInd w:val="0"/>
        <w:jc w:val="both"/>
        <w:rPr>
          <w:rFonts w:ascii="Arial" w:hAnsi="Arial" w:cs="Arial"/>
          <w:bCs/>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495"/>
      </w:tblGrid>
      <w:tr w:rsidR="00704822" w:rsidRPr="001310EB" w14:paraId="06D742A2" w14:textId="77777777" w:rsidTr="001310EB">
        <w:tc>
          <w:tcPr>
            <w:tcW w:w="4612" w:type="dxa"/>
            <w:tcBorders>
              <w:top w:val="single" w:sz="4" w:space="0" w:color="auto"/>
              <w:left w:val="single" w:sz="4" w:space="0" w:color="auto"/>
              <w:bottom w:val="single" w:sz="4" w:space="0" w:color="auto"/>
              <w:right w:val="single" w:sz="4" w:space="0" w:color="auto"/>
            </w:tcBorders>
            <w:shd w:val="clear" w:color="auto" w:fill="auto"/>
            <w:hideMark/>
          </w:tcPr>
          <w:p w14:paraId="26453986" w14:textId="77777777" w:rsidR="00704822" w:rsidRPr="001310EB" w:rsidRDefault="00704822" w:rsidP="001310EB">
            <w:pPr>
              <w:autoSpaceDE w:val="0"/>
              <w:autoSpaceDN w:val="0"/>
              <w:adjustRightInd w:val="0"/>
              <w:jc w:val="both"/>
              <w:rPr>
                <w:rFonts w:ascii="Arial" w:hAnsi="Arial" w:cs="Arial"/>
                <w:bCs/>
                <w:sz w:val="24"/>
                <w:szCs w:val="24"/>
                <w:lang w:eastAsia="en-GB"/>
              </w:rPr>
            </w:pPr>
            <w:r w:rsidRPr="001310EB">
              <w:rPr>
                <w:rFonts w:ascii="Arial" w:hAnsi="Arial" w:cs="Arial"/>
                <w:bCs/>
                <w:sz w:val="24"/>
                <w:szCs w:val="24"/>
                <w:lang w:eastAsia="en-GB"/>
              </w:rPr>
              <w:t>Compliments</w:t>
            </w:r>
          </w:p>
        </w:tc>
        <w:tc>
          <w:tcPr>
            <w:tcW w:w="4613" w:type="dxa"/>
            <w:tcBorders>
              <w:top w:val="single" w:sz="4" w:space="0" w:color="auto"/>
              <w:left w:val="single" w:sz="4" w:space="0" w:color="auto"/>
              <w:bottom w:val="single" w:sz="4" w:space="0" w:color="auto"/>
              <w:right w:val="single" w:sz="4" w:space="0" w:color="auto"/>
            </w:tcBorders>
            <w:shd w:val="clear" w:color="auto" w:fill="auto"/>
            <w:hideMark/>
          </w:tcPr>
          <w:p w14:paraId="48BC9CC6" w14:textId="77777777" w:rsidR="00704822" w:rsidRPr="001310EB" w:rsidRDefault="00704822" w:rsidP="001310EB">
            <w:pPr>
              <w:autoSpaceDE w:val="0"/>
              <w:autoSpaceDN w:val="0"/>
              <w:adjustRightInd w:val="0"/>
              <w:jc w:val="center"/>
              <w:rPr>
                <w:rFonts w:ascii="Arial" w:hAnsi="Arial" w:cs="Arial"/>
                <w:bCs/>
                <w:sz w:val="24"/>
                <w:szCs w:val="24"/>
                <w:lang w:eastAsia="en-GB"/>
              </w:rPr>
            </w:pPr>
            <w:r w:rsidRPr="001310EB">
              <w:rPr>
                <w:rFonts w:ascii="Arial" w:hAnsi="Arial" w:cs="Arial"/>
                <w:bCs/>
                <w:sz w:val="24"/>
                <w:szCs w:val="24"/>
                <w:lang w:eastAsia="en-GB"/>
              </w:rPr>
              <w:t>98%</w:t>
            </w:r>
          </w:p>
        </w:tc>
      </w:tr>
      <w:tr w:rsidR="00704822" w:rsidRPr="001310EB" w14:paraId="3EB49A12" w14:textId="77777777" w:rsidTr="001310EB">
        <w:tc>
          <w:tcPr>
            <w:tcW w:w="4612" w:type="dxa"/>
            <w:tcBorders>
              <w:top w:val="single" w:sz="4" w:space="0" w:color="auto"/>
              <w:left w:val="single" w:sz="4" w:space="0" w:color="auto"/>
              <w:bottom w:val="single" w:sz="4" w:space="0" w:color="auto"/>
              <w:right w:val="single" w:sz="4" w:space="0" w:color="auto"/>
            </w:tcBorders>
            <w:shd w:val="clear" w:color="auto" w:fill="auto"/>
            <w:hideMark/>
          </w:tcPr>
          <w:p w14:paraId="0B23E725" w14:textId="77777777" w:rsidR="00704822" w:rsidRPr="001310EB" w:rsidRDefault="00704822" w:rsidP="001310EB">
            <w:pPr>
              <w:autoSpaceDE w:val="0"/>
              <w:autoSpaceDN w:val="0"/>
              <w:adjustRightInd w:val="0"/>
              <w:jc w:val="both"/>
              <w:rPr>
                <w:rFonts w:ascii="Arial" w:hAnsi="Arial" w:cs="Arial"/>
                <w:bCs/>
                <w:sz w:val="24"/>
                <w:szCs w:val="24"/>
                <w:lang w:eastAsia="en-GB"/>
              </w:rPr>
            </w:pPr>
            <w:r w:rsidRPr="001310EB">
              <w:rPr>
                <w:rFonts w:ascii="Arial" w:hAnsi="Arial" w:cs="Arial"/>
                <w:bCs/>
                <w:sz w:val="24"/>
                <w:szCs w:val="24"/>
                <w:lang w:eastAsia="en-GB"/>
              </w:rPr>
              <w:t>Complaints</w:t>
            </w:r>
          </w:p>
        </w:tc>
        <w:tc>
          <w:tcPr>
            <w:tcW w:w="4613" w:type="dxa"/>
            <w:tcBorders>
              <w:top w:val="single" w:sz="4" w:space="0" w:color="auto"/>
              <w:left w:val="single" w:sz="4" w:space="0" w:color="auto"/>
              <w:bottom w:val="single" w:sz="4" w:space="0" w:color="auto"/>
              <w:right w:val="single" w:sz="4" w:space="0" w:color="auto"/>
            </w:tcBorders>
            <w:shd w:val="clear" w:color="auto" w:fill="auto"/>
            <w:hideMark/>
          </w:tcPr>
          <w:p w14:paraId="7B6722F2" w14:textId="77777777" w:rsidR="00704822" w:rsidRPr="001310EB" w:rsidRDefault="00704822" w:rsidP="001310EB">
            <w:pPr>
              <w:autoSpaceDE w:val="0"/>
              <w:autoSpaceDN w:val="0"/>
              <w:adjustRightInd w:val="0"/>
              <w:jc w:val="center"/>
              <w:rPr>
                <w:rFonts w:ascii="Arial" w:hAnsi="Arial" w:cs="Arial"/>
                <w:bCs/>
                <w:sz w:val="24"/>
                <w:szCs w:val="24"/>
                <w:lang w:eastAsia="en-GB"/>
              </w:rPr>
            </w:pPr>
            <w:r w:rsidRPr="001310EB">
              <w:rPr>
                <w:rFonts w:ascii="Arial" w:hAnsi="Arial" w:cs="Arial"/>
                <w:bCs/>
                <w:sz w:val="24"/>
                <w:szCs w:val="24"/>
                <w:lang w:eastAsia="en-GB"/>
              </w:rPr>
              <w:t>2%</w:t>
            </w:r>
          </w:p>
        </w:tc>
      </w:tr>
    </w:tbl>
    <w:p w14:paraId="31877DA1" w14:textId="77777777" w:rsidR="00704822" w:rsidRDefault="00704822" w:rsidP="00704822">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t xml:space="preserve"> </w:t>
      </w:r>
    </w:p>
    <w:p w14:paraId="35EB6234" w14:textId="77777777" w:rsidR="00704822" w:rsidRDefault="00704822" w:rsidP="00704822">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t>The complaints received during the period 2021/22 did not advance to the Internal Dispute Resolution Process stage and was dealt with proficiently in-house.</w:t>
      </w:r>
    </w:p>
    <w:p w14:paraId="22234121" w14:textId="77777777" w:rsidR="00704822" w:rsidRDefault="00704822" w:rsidP="00704822">
      <w:pPr>
        <w:autoSpaceDE w:val="0"/>
        <w:autoSpaceDN w:val="0"/>
        <w:adjustRightInd w:val="0"/>
        <w:jc w:val="both"/>
        <w:rPr>
          <w:rFonts w:ascii="Arial" w:hAnsi="Arial" w:cs="Arial"/>
          <w:bCs/>
          <w:sz w:val="24"/>
          <w:szCs w:val="24"/>
          <w:lang w:eastAsia="en-GB"/>
        </w:rPr>
      </w:pPr>
    </w:p>
    <w:p w14:paraId="3D865978" w14:textId="77777777" w:rsidR="00704822" w:rsidRDefault="00704822" w:rsidP="00704822">
      <w:pPr>
        <w:autoSpaceDE w:val="0"/>
        <w:autoSpaceDN w:val="0"/>
        <w:adjustRightInd w:val="0"/>
        <w:jc w:val="both"/>
        <w:rPr>
          <w:rFonts w:ascii="Arial" w:hAnsi="Arial" w:cs="Arial"/>
          <w:b/>
          <w:bCs/>
          <w:sz w:val="24"/>
          <w:szCs w:val="24"/>
          <w:lang w:eastAsia="en-GB"/>
        </w:rPr>
      </w:pPr>
      <w:r>
        <w:rPr>
          <w:rFonts w:ascii="Arial" w:hAnsi="Arial" w:cs="Arial"/>
          <w:b/>
          <w:bCs/>
          <w:sz w:val="24"/>
          <w:szCs w:val="24"/>
          <w:lang w:eastAsia="en-GB"/>
        </w:rPr>
        <w:t>Customer service satisfaction survey</w:t>
      </w:r>
    </w:p>
    <w:p w14:paraId="66231932" w14:textId="77777777" w:rsidR="00704822" w:rsidRDefault="00704822" w:rsidP="00704822">
      <w:pPr>
        <w:autoSpaceDE w:val="0"/>
        <w:autoSpaceDN w:val="0"/>
        <w:adjustRightInd w:val="0"/>
        <w:jc w:val="both"/>
        <w:rPr>
          <w:rFonts w:ascii="Arial" w:hAnsi="Arial" w:cs="Arial"/>
          <w:b/>
          <w:bCs/>
          <w:sz w:val="24"/>
          <w:szCs w:val="24"/>
          <w:lang w:eastAsia="en-GB"/>
        </w:rPr>
      </w:pPr>
    </w:p>
    <w:p w14:paraId="6B8A93BD" w14:textId="77777777" w:rsidR="00704822" w:rsidRDefault="00704822" w:rsidP="00704822">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t>With the aim of embracing transparency, the Fund engaged with its employers and members to ascertain whether they deem that the service delivery received from the Fund was that of a positive experience and met with expectations?  Employers have been informed that any feedback given would be treated anonymously. Members have been asked to evaluate the overall customer service experience received.  The objective of the annual exercise is to evaluate the feedback received from both employers and members to ensure this is consistent with the aims and objectives set out within the Fund’s Communication Policy Statement.  The results of the survey have been collated and are as follows:</w:t>
      </w:r>
    </w:p>
    <w:p w14:paraId="3E52AE2D" w14:textId="77777777" w:rsidR="00303219" w:rsidRDefault="00303219" w:rsidP="00704822">
      <w:pPr>
        <w:autoSpaceDE w:val="0"/>
        <w:autoSpaceDN w:val="0"/>
        <w:adjustRightInd w:val="0"/>
        <w:jc w:val="both"/>
        <w:rPr>
          <w:rFonts w:ascii="Arial" w:hAnsi="Arial" w:cs="Arial"/>
          <w:bCs/>
          <w:sz w:val="24"/>
          <w:szCs w:val="24"/>
          <w:lang w:eastAsia="en-GB"/>
        </w:rPr>
      </w:pPr>
    </w:p>
    <w:p w14:paraId="04F0B936" w14:textId="77777777" w:rsidR="00303219" w:rsidRDefault="00303219" w:rsidP="00704822">
      <w:pPr>
        <w:autoSpaceDE w:val="0"/>
        <w:autoSpaceDN w:val="0"/>
        <w:adjustRightInd w:val="0"/>
        <w:jc w:val="both"/>
        <w:rPr>
          <w:rFonts w:ascii="Arial" w:hAnsi="Arial" w:cs="Arial"/>
          <w:bCs/>
          <w:sz w:val="24"/>
          <w:szCs w:val="24"/>
          <w:lang w:eastAsia="en-GB"/>
        </w:rPr>
      </w:pPr>
    </w:p>
    <w:p w14:paraId="21FDFD53" w14:textId="77777777" w:rsidR="00704822" w:rsidRDefault="00704822" w:rsidP="00704822">
      <w:pPr>
        <w:rPr>
          <w:rFonts w:ascii="Arial" w:hAnsi="Arial" w:cs="Arial"/>
          <w:b/>
          <w:sz w:val="24"/>
          <w:szCs w:val="24"/>
        </w:rPr>
      </w:pPr>
      <w:r>
        <w:rPr>
          <w:rFonts w:ascii="Arial" w:hAnsi="Arial" w:cs="Arial"/>
          <w:b/>
          <w:bCs/>
          <w:sz w:val="24"/>
          <w:szCs w:val="24"/>
          <w:lang w:eastAsia="en-GB"/>
        </w:rPr>
        <w:t>Employing authorities were asked do you agree that</w:t>
      </w:r>
      <w:r>
        <w:rPr>
          <w:rFonts w:ascii="Arial" w:hAnsi="Arial" w:cs="Arial"/>
          <w:bCs/>
          <w:sz w:val="24"/>
          <w:szCs w:val="24"/>
          <w:lang w:eastAsia="en-GB"/>
        </w:rPr>
        <w:t xml:space="preserve"> </w:t>
      </w:r>
      <w:r>
        <w:rPr>
          <w:rFonts w:ascii="Arial" w:hAnsi="Arial" w:cs="Arial"/>
          <w:b/>
          <w:sz w:val="24"/>
          <w:szCs w:val="24"/>
        </w:rPr>
        <w:t>the City &amp; County of Swansea Pension Fund…</w:t>
      </w:r>
    </w:p>
    <w:p w14:paraId="27EC0F2D" w14:textId="77777777" w:rsidR="00704822" w:rsidRDefault="00704822" w:rsidP="00704822">
      <w:pPr>
        <w:rPr>
          <w:rFonts w:ascii="Arial" w:hAnsi="Arial" w:cs="Arial"/>
          <w:b/>
          <w:sz w:val="24"/>
          <w:szCs w:val="24"/>
        </w:rPr>
      </w:pPr>
    </w:p>
    <w:tbl>
      <w:tblPr>
        <w:tblW w:w="9570" w:type="dxa"/>
        <w:tblLayout w:type="fixed"/>
        <w:tblLook w:val="04A0" w:firstRow="1" w:lastRow="0" w:firstColumn="1" w:lastColumn="0" w:noHBand="0" w:noVBand="1"/>
      </w:tblPr>
      <w:tblGrid>
        <w:gridCol w:w="4802"/>
        <w:gridCol w:w="1192"/>
        <w:gridCol w:w="1192"/>
        <w:gridCol w:w="1192"/>
        <w:gridCol w:w="1192"/>
      </w:tblGrid>
      <w:tr w:rsidR="00704822" w:rsidRPr="001310EB" w14:paraId="108C7918" w14:textId="77777777" w:rsidTr="001310EB">
        <w:trPr>
          <w:trHeight w:val="501"/>
        </w:trPr>
        <w:tc>
          <w:tcPr>
            <w:tcW w:w="4800" w:type="dxa"/>
            <w:tcBorders>
              <w:top w:val="nil"/>
              <w:left w:val="nil"/>
              <w:bottom w:val="nil"/>
              <w:right w:val="single" w:sz="4" w:space="0" w:color="auto"/>
            </w:tcBorders>
            <w:shd w:val="clear" w:color="auto" w:fill="auto"/>
          </w:tcPr>
          <w:p w14:paraId="260F09C4" w14:textId="77777777" w:rsidR="00704822" w:rsidRPr="001310EB" w:rsidRDefault="00704822">
            <w:pPr>
              <w:rPr>
                <w:rFonts w:ascii="Arial" w:hAnsi="Arial" w:cs="Arial"/>
              </w:rPr>
            </w:pPr>
          </w:p>
        </w:tc>
        <w:tc>
          <w:tcPr>
            <w:tcW w:w="11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9F66491" w14:textId="77777777" w:rsidR="00704822" w:rsidRPr="001310EB" w:rsidRDefault="00704822" w:rsidP="001310EB">
            <w:pPr>
              <w:jc w:val="center"/>
              <w:rPr>
                <w:rFonts w:ascii="Arial" w:hAnsi="Arial" w:cs="Arial"/>
                <w:b/>
                <w:sz w:val="22"/>
                <w:szCs w:val="22"/>
              </w:rPr>
            </w:pPr>
            <w:r w:rsidRPr="001310EB">
              <w:rPr>
                <w:rFonts w:ascii="Arial" w:hAnsi="Arial" w:cs="Arial"/>
                <w:b/>
                <w:sz w:val="22"/>
                <w:szCs w:val="22"/>
              </w:rPr>
              <w:t>Strongly Disagree</w:t>
            </w:r>
          </w:p>
        </w:tc>
        <w:tc>
          <w:tcPr>
            <w:tcW w:w="11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CE9A3" w14:textId="77777777" w:rsidR="00704822" w:rsidRPr="001310EB" w:rsidRDefault="00704822" w:rsidP="001310EB">
            <w:pPr>
              <w:jc w:val="center"/>
              <w:rPr>
                <w:rFonts w:ascii="Arial" w:hAnsi="Arial" w:cs="Arial"/>
                <w:b/>
                <w:sz w:val="22"/>
                <w:szCs w:val="22"/>
              </w:rPr>
            </w:pPr>
            <w:r w:rsidRPr="001310EB">
              <w:rPr>
                <w:rFonts w:ascii="Arial" w:hAnsi="Arial" w:cs="Arial"/>
                <w:b/>
                <w:sz w:val="22"/>
                <w:szCs w:val="22"/>
              </w:rPr>
              <w:t>Disagree</w:t>
            </w:r>
          </w:p>
        </w:tc>
        <w:tc>
          <w:tcPr>
            <w:tcW w:w="11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1BFFB0" w14:textId="77777777" w:rsidR="00704822" w:rsidRPr="001310EB" w:rsidRDefault="00704822" w:rsidP="001310EB">
            <w:pPr>
              <w:jc w:val="center"/>
              <w:rPr>
                <w:rFonts w:ascii="Arial" w:hAnsi="Arial" w:cs="Arial"/>
                <w:b/>
                <w:sz w:val="22"/>
                <w:szCs w:val="22"/>
              </w:rPr>
            </w:pPr>
            <w:r w:rsidRPr="001310EB">
              <w:rPr>
                <w:rFonts w:ascii="Arial" w:hAnsi="Arial" w:cs="Arial"/>
                <w:b/>
                <w:sz w:val="22"/>
                <w:szCs w:val="22"/>
              </w:rPr>
              <w:t>Agree</w:t>
            </w:r>
          </w:p>
        </w:tc>
        <w:tc>
          <w:tcPr>
            <w:tcW w:w="11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02CC4F3" w14:textId="77777777" w:rsidR="00704822" w:rsidRPr="001310EB" w:rsidRDefault="00704822" w:rsidP="001310EB">
            <w:pPr>
              <w:jc w:val="center"/>
              <w:rPr>
                <w:rFonts w:ascii="Arial" w:hAnsi="Arial" w:cs="Arial"/>
                <w:b/>
                <w:sz w:val="22"/>
                <w:szCs w:val="22"/>
              </w:rPr>
            </w:pPr>
            <w:r w:rsidRPr="001310EB">
              <w:rPr>
                <w:rFonts w:ascii="Arial" w:hAnsi="Arial" w:cs="Arial"/>
                <w:b/>
                <w:sz w:val="22"/>
                <w:szCs w:val="22"/>
              </w:rPr>
              <w:t>Strongly Agree</w:t>
            </w:r>
          </w:p>
        </w:tc>
      </w:tr>
      <w:tr w:rsidR="00704822" w:rsidRPr="001310EB" w14:paraId="01654556" w14:textId="77777777" w:rsidTr="001310EB">
        <w:trPr>
          <w:cantSplit/>
          <w:trHeight w:val="680"/>
        </w:trPr>
        <w:tc>
          <w:tcPr>
            <w:tcW w:w="4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0E46E3" w14:textId="77777777" w:rsidR="00704822" w:rsidRPr="001310EB" w:rsidRDefault="00704822">
            <w:pPr>
              <w:rPr>
                <w:rFonts w:ascii="Arial" w:hAnsi="Arial" w:cs="Arial"/>
                <w:sz w:val="24"/>
                <w:szCs w:val="24"/>
              </w:rPr>
            </w:pPr>
            <w:r w:rsidRPr="001310EB">
              <w:rPr>
                <w:rFonts w:ascii="Arial" w:hAnsi="Arial" w:cs="Arial"/>
                <w:sz w:val="24"/>
                <w:szCs w:val="24"/>
              </w:rPr>
              <w:t>…offers documentation, guidance and information in a professional manner?</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26302"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D16F8"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720BA"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54%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F6A7F"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46%</w:t>
            </w:r>
          </w:p>
        </w:tc>
      </w:tr>
      <w:tr w:rsidR="00704822" w:rsidRPr="001310EB" w14:paraId="6EF3738B" w14:textId="77777777" w:rsidTr="001310EB">
        <w:trPr>
          <w:cantSplit/>
          <w:trHeight w:val="680"/>
        </w:trPr>
        <w:tc>
          <w:tcPr>
            <w:tcW w:w="4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5219463" w14:textId="77777777" w:rsidR="00704822" w:rsidRPr="001310EB" w:rsidRDefault="00704822">
            <w:pPr>
              <w:rPr>
                <w:rFonts w:ascii="Arial" w:hAnsi="Arial" w:cs="Arial"/>
                <w:sz w:val="24"/>
                <w:szCs w:val="24"/>
              </w:rPr>
            </w:pPr>
            <w:r w:rsidRPr="001310EB">
              <w:rPr>
                <w:rFonts w:ascii="Arial" w:hAnsi="Arial" w:cs="Arial"/>
                <w:sz w:val="24"/>
                <w:szCs w:val="24"/>
              </w:rPr>
              <w:t>…is proactive in their approach to provide a service to its employers?</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670E3"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5680D"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5AA07"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62%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8B4F7"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38%</w:t>
            </w:r>
          </w:p>
        </w:tc>
      </w:tr>
      <w:tr w:rsidR="00704822" w:rsidRPr="001310EB" w14:paraId="563313B5" w14:textId="77777777" w:rsidTr="001310EB">
        <w:trPr>
          <w:cantSplit/>
          <w:trHeight w:val="680"/>
        </w:trPr>
        <w:tc>
          <w:tcPr>
            <w:tcW w:w="4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A4999B" w14:textId="77777777" w:rsidR="00704822" w:rsidRPr="001310EB" w:rsidRDefault="00704822">
            <w:pPr>
              <w:rPr>
                <w:rFonts w:ascii="Arial" w:hAnsi="Arial" w:cs="Arial"/>
                <w:sz w:val="24"/>
                <w:szCs w:val="24"/>
              </w:rPr>
            </w:pPr>
            <w:r w:rsidRPr="001310EB">
              <w:rPr>
                <w:rFonts w:ascii="Arial" w:hAnsi="Arial" w:cs="Arial"/>
                <w:sz w:val="24"/>
                <w:szCs w:val="24"/>
              </w:rPr>
              <w:t>…gives</w:t>
            </w:r>
            <w:r w:rsidRPr="001310EB">
              <w:rPr>
                <w:rFonts w:ascii="Arial" w:hAnsi="Arial" w:cs="Arial"/>
                <w:color w:val="FF0000"/>
                <w:sz w:val="24"/>
                <w:szCs w:val="24"/>
              </w:rPr>
              <w:t xml:space="preserve"> </w:t>
            </w:r>
            <w:r w:rsidRPr="001310EB">
              <w:rPr>
                <w:rFonts w:ascii="Arial" w:hAnsi="Arial" w:cs="Arial"/>
                <w:sz w:val="24"/>
                <w:szCs w:val="24"/>
              </w:rPr>
              <w:t>an appropriately timed service with regular updates?</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57766"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23E59"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EC24E"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69%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132B5"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31%</w:t>
            </w:r>
          </w:p>
        </w:tc>
      </w:tr>
      <w:tr w:rsidR="00704822" w:rsidRPr="001310EB" w14:paraId="2AE19482" w14:textId="77777777" w:rsidTr="001310EB">
        <w:trPr>
          <w:cantSplit/>
          <w:trHeight w:val="680"/>
        </w:trPr>
        <w:tc>
          <w:tcPr>
            <w:tcW w:w="4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87EB50" w14:textId="77777777" w:rsidR="00704822" w:rsidRPr="001310EB" w:rsidRDefault="00704822">
            <w:pPr>
              <w:rPr>
                <w:rFonts w:ascii="Arial" w:hAnsi="Arial" w:cs="Arial"/>
                <w:sz w:val="24"/>
                <w:szCs w:val="24"/>
              </w:rPr>
            </w:pPr>
            <w:r w:rsidRPr="001310EB">
              <w:rPr>
                <w:rFonts w:ascii="Arial" w:hAnsi="Arial" w:cs="Arial"/>
                <w:sz w:val="24"/>
                <w:szCs w:val="24"/>
              </w:rPr>
              <w:t>…is customer focused and meets the needs of its employers?</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B0665"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14296"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7.7%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4371B"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61.5%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2CCA5"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30.80%</w:t>
            </w:r>
          </w:p>
        </w:tc>
      </w:tr>
      <w:tr w:rsidR="00704822" w:rsidRPr="001310EB" w14:paraId="6C167A8D" w14:textId="77777777" w:rsidTr="001310EB">
        <w:trPr>
          <w:cantSplit/>
          <w:trHeight w:val="680"/>
        </w:trPr>
        <w:tc>
          <w:tcPr>
            <w:tcW w:w="4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0B0C68" w14:textId="77777777" w:rsidR="00704822" w:rsidRPr="001310EB" w:rsidRDefault="00704822">
            <w:pPr>
              <w:rPr>
                <w:rFonts w:ascii="Arial" w:hAnsi="Arial" w:cs="Arial"/>
                <w:sz w:val="24"/>
                <w:szCs w:val="24"/>
              </w:rPr>
            </w:pPr>
            <w:r w:rsidRPr="001310EB">
              <w:rPr>
                <w:rFonts w:ascii="Arial" w:hAnsi="Arial" w:cs="Arial"/>
                <w:sz w:val="24"/>
                <w:szCs w:val="24"/>
              </w:rPr>
              <w:t>… has provided a high quality service to you in your role as employer?</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7A8B4"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FE0B4"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C0EAB"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62%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B6F38"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38%</w:t>
            </w:r>
          </w:p>
        </w:tc>
      </w:tr>
      <w:tr w:rsidR="00704822" w:rsidRPr="001310EB" w14:paraId="42602F7D" w14:textId="77777777" w:rsidTr="001310EB">
        <w:trPr>
          <w:cantSplit/>
          <w:trHeight w:val="680"/>
        </w:trPr>
        <w:tc>
          <w:tcPr>
            <w:tcW w:w="4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6870CE" w14:textId="77777777" w:rsidR="00704822" w:rsidRPr="001310EB" w:rsidRDefault="00704822">
            <w:pPr>
              <w:rPr>
                <w:rFonts w:ascii="Arial" w:hAnsi="Arial" w:cs="Arial"/>
                <w:sz w:val="24"/>
                <w:szCs w:val="24"/>
              </w:rPr>
            </w:pPr>
            <w:r w:rsidRPr="001310EB">
              <w:rPr>
                <w:rFonts w:ascii="Arial" w:hAnsi="Arial" w:cs="Arial"/>
                <w:sz w:val="24"/>
                <w:szCs w:val="24"/>
              </w:rPr>
              <w:t xml:space="preserve">… </w:t>
            </w:r>
            <w:r w:rsidRPr="001310EB">
              <w:rPr>
                <w:rFonts w:ascii="Arial" w:hAnsi="Arial" w:cs="Arial"/>
                <w:sz w:val="24"/>
                <w:szCs w:val="24"/>
                <w:lang w:val="en-US"/>
              </w:rPr>
              <w:t>ensures you are aware of your LGPS employer related roles and responsibilities for the administration of the City &amp; County of Swansea Pension Fund?</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C52CD"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12C49"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CADA2"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69%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E0AC6"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31%</w:t>
            </w:r>
          </w:p>
        </w:tc>
      </w:tr>
      <w:tr w:rsidR="00704822" w:rsidRPr="001310EB" w14:paraId="72394A77" w14:textId="77777777" w:rsidTr="001310EB">
        <w:trPr>
          <w:cantSplit/>
          <w:trHeight w:val="680"/>
        </w:trPr>
        <w:tc>
          <w:tcPr>
            <w:tcW w:w="4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F0A94EA" w14:textId="77777777" w:rsidR="00704822" w:rsidRPr="001310EB" w:rsidRDefault="00704822">
            <w:pPr>
              <w:rPr>
                <w:rFonts w:ascii="Arial" w:hAnsi="Arial" w:cs="Arial"/>
                <w:sz w:val="24"/>
                <w:szCs w:val="24"/>
              </w:rPr>
            </w:pPr>
            <w:r w:rsidRPr="001310EB">
              <w:rPr>
                <w:rFonts w:ascii="Arial" w:hAnsi="Arial" w:cs="Arial"/>
                <w:sz w:val="24"/>
                <w:szCs w:val="24"/>
              </w:rPr>
              <w:t>… communicates</w:t>
            </w:r>
            <w:r w:rsidRPr="001310EB">
              <w:rPr>
                <w:rFonts w:ascii="Arial" w:hAnsi="Arial" w:cs="Arial"/>
                <w:color w:val="FF0000"/>
                <w:sz w:val="24"/>
                <w:szCs w:val="24"/>
              </w:rPr>
              <w:t xml:space="preserve"> </w:t>
            </w:r>
            <w:r w:rsidRPr="001310EB">
              <w:rPr>
                <w:rFonts w:ascii="Arial" w:hAnsi="Arial" w:cs="Arial"/>
                <w:sz w:val="24"/>
                <w:szCs w:val="24"/>
              </w:rPr>
              <w:t>in a clear and concise manner?</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FD249"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32F56"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BB088"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62%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05DC0"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38%</w:t>
            </w:r>
          </w:p>
        </w:tc>
      </w:tr>
      <w:tr w:rsidR="00704822" w:rsidRPr="001310EB" w14:paraId="5C4630E6" w14:textId="77777777" w:rsidTr="001310EB">
        <w:trPr>
          <w:cantSplit/>
          <w:trHeight w:val="680"/>
        </w:trPr>
        <w:tc>
          <w:tcPr>
            <w:tcW w:w="4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EAAE85" w14:textId="77777777" w:rsidR="00704822" w:rsidRPr="001310EB" w:rsidRDefault="00704822">
            <w:pPr>
              <w:rPr>
                <w:rFonts w:ascii="Arial" w:hAnsi="Arial" w:cs="Arial"/>
                <w:sz w:val="24"/>
                <w:szCs w:val="24"/>
              </w:rPr>
            </w:pPr>
            <w:r w:rsidRPr="001310EB">
              <w:rPr>
                <w:rFonts w:ascii="Arial" w:hAnsi="Arial" w:cs="Arial"/>
                <w:sz w:val="24"/>
                <w:szCs w:val="24"/>
              </w:rPr>
              <w:t>… uses the most appropriate means of communication?</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5DE63"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14D0B"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540A4"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54%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D9C6A"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46%</w:t>
            </w:r>
          </w:p>
        </w:tc>
      </w:tr>
    </w:tbl>
    <w:p w14:paraId="0BCECFB6" w14:textId="77777777" w:rsidR="00704822" w:rsidRDefault="00704822" w:rsidP="00704822">
      <w:pPr>
        <w:autoSpaceDE w:val="0"/>
        <w:autoSpaceDN w:val="0"/>
        <w:adjustRightInd w:val="0"/>
        <w:jc w:val="both"/>
        <w:rPr>
          <w:rFonts w:ascii="Arial" w:hAnsi="Arial" w:cs="Arial"/>
          <w:bCs/>
          <w:sz w:val="24"/>
          <w:szCs w:val="24"/>
          <w:lang w:eastAsia="en-GB"/>
        </w:rPr>
      </w:pPr>
    </w:p>
    <w:p w14:paraId="18032FAB" w14:textId="77777777" w:rsidR="00704822" w:rsidRDefault="00704822" w:rsidP="00704822">
      <w:pPr>
        <w:rPr>
          <w:rFonts w:ascii="Arial" w:hAnsi="Arial" w:cs="Arial"/>
          <w:b/>
          <w:sz w:val="24"/>
          <w:szCs w:val="24"/>
        </w:rPr>
      </w:pPr>
    </w:p>
    <w:p w14:paraId="4D486F96" w14:textId="77777777" w:rsidR="00704822" w:rsidRDefault="00704822" w:rsidP="00704822">
      <w:pPr>
        <w:rPr>
          <w:rFonts w:ascii="Arial" w:hAnsi="Arial" w:cs="Arial"/>
          <w:b/>
          <w:sz w:val="24"/>
          <w:szCs w:val="24"/>
        </w:rPr>
      </w:pPr>
    </w:p>
    <w:p w14:paraId="6EEDBDBB" w14:textId="77777777" w:rsidR="00303219" w:rsidRDefault="00303219" w:rsidP="00704822">
      <w:pPr>
        <w:rPr>
          <w:rFonts w:ascii="Arial" w:hAnsi="Arial" w:cs="Arial"/>
          <w:b/>
          <w:sz w:val="24"/>
          <w:szCs w:val="24"/>
        </w:rPr>
      </w:pPr>
    </w:p>
    <w:p w14:paraId="3194B2E2" w14:textId="77777777" w:rsidR="00704822" w:rsidRDefault="00704822" w:rsidP="00704822">
      <w:pPr>
        <w:rPr>
          <w:rFonts w:ascii="Arial" w:hAnsi="Arial" w:cs="Arial"/>
          <w:b/>
          <w:sz w:val="24"/>
          <w:szCs w:val="24"/>
        </w:rPr>
      </w:pPr>
      <w:r>
        <w:rPr>
          <w:rFonts w:ascii="Arial" w:hAnsi="Arial" w:cs="Arial"/>
          <w:b/>
          <w:sz w:val="24"/>
          <w:szCs w:val="24"/>
        </w:rPr>
        <w:t>Comments made by employing authorities include:</w:t>
      </w:r>
    </w:p>
    <w:p w14:paraId="309F5CFF" w14:textId="77777777" w:rsidR="00704822" w:rsidRPr="00704822" w:rsidRDefault="00704822" w:rsidP="0073304A">
      <w:pPr>
        <w:numPr>
          <w:ilvl w:val="0"/>
          <w:numId w:val="111"/>
        </w:numPr>
        <w:rPr>
          <w:rFonts w:ascii="Arial" w:eastAsia="Calibri" w:hAnsi="Arial" w:cs="Arial"/>
          <w:sz w:val="24"/>
          <w:szCs w:val="24"/>
        </w:rPr>
      </w:pPr>
      <w:r w:rsidRPr="00704822">
        <w:rPr>
          <w:rFonts w:ascii="Arial" w:eastAsia="Calibri" w:hAnsi="Arial" w:cs="Arial"/>
          <w:sz w:val="24"/>
          <w:szCs w:val="24"/>
        </w:rPr>
        <w:t>Dealing with repeated requests for PR's that have already been sent and received by Pensions, is very time consuming for the Payroll Team</w:t>
      </w:r>
    </w:p>
    <w:p w14:paraId="6CBF74C1" w14:textId="77777777" w:rsidR="00704822" w:rsidRPr="00704822" w:rsidRDefault="00704822" w:rsidP="0073304A">
      <w:pPr>
        <w:numPr>
          <w:ilvl w:val="0"/>
          <w:numId w:val="111"/>
        </w:numPr>
        <w:rPr>
          <w:rFonts w:ascii="Arial" w:eastAsia="Calibri" w:hAnsi="Arial" w:cs="Arial"/>
          <w:sz w:val="24"/>
          <w:szCs w:val="24"/>
        </w:rPr>
      </w:pPr>
      <w:r w:rsidRPr="00704822">
        <w:rPr>
          <w:rFonts w:ascii="Arial" w:eastAsia="Calibri" w:hAnsi="Arial" w:cs="Arial"/>
          <w:sz w:val="24"/>
          <w:szCs w:val="24"/>
        </w:rPr>
        <w:t>Excellent service provided!</w:t>
      </w:r>
    </w:p>
    <w:p w14:paraId="07EF1351" w14:textId="77777777" w:rsidR="00704822" w:rsidRPr="00704822" w:rsidRDefault="00704822" w:rsidP="0073304A">
      <w:pPr>
        <w:numPr>
          <w:ilvl w:val="0"/>
          <w:numId w:val="111"/>
        </w:numPr>
        <w:rPr>
          <w:rFonts w:ascii="Arial" w:eastAsia="Calibri" w:hAnsi="Arial" w:cs="Arial"/>
          <w:sz w:val="24"/>
          <w:szCs w:val="24"/>
        </w:rPr>
      </w:pPr>
      <w:r w:rsidRPr="00704822">
        <w:rPr>
          <w:rFonts w:ascii="Arial" w:eastAsia="Calibri" w:hAnsi="Arial" w:cs="Arial"/>
          <w:sz w:val="24"/>
          <w:szCs w:val="24"/>
        </w:rPr>
        <w:t>Sometimes we get lists of employees that have left with missing PR's but the PR'S have been done and sent, it takes some time to go through this list and re send the information and it would be better if the list could be checked in pensions before the request is made to payroll.</w:t>
      </w:r>
    </w:p>
    <w:p w14:paraId="79C4BFFF" w14:textId="77777777" w:rsidR="00704822" w:rsidRDefault="00704822" w:rsidP="0073304A">
      <w:pPr>
        <w:pStyle w:val="ListParagraph"/>
        <w:numPr>
          <w:ilvl w:val="0"/>
          <w:numId w:val="111"/>
        </w:numPr>
        <w:rPr>
          <w:rFonts w:cs="Arial"/>
          <w:b/>
          <w:sz w:val="24"/>
        </w:rPr>
      </w:pPr>
      <w:r w:rsidRPr="00704822">
        <w:rPr>
          <w:rFonts w:eastAsia="Calibri" w:cs="Arial"/>
          <w:sz w:val="24"/>
        </w:rPr>
        <w:t>We as a Council have always had an excellent service and communications with all dealings with the City &amp; County of Swansea Pensions Department</w:t>
      </w:r>
    </w:p>
    <w:p w14:paraId="0C0694F9" w14:textId="77777777" w:rsidR="00303219" w:rsidRDefault="00303219" w:rsidP="00704822">
      <w:pPr>
        <w:rPr>
          <w:rFonts w:ascii="Arial" w:hAnsi="Arial" w:cs="Arial"/>
          <w:b/>
          <w:sz w:val="24"/>
          <w:szCs w:val="24"/>
        </w:rPr>
      </w:pPr>
    </w:p>
    <w:p w14:paraId="738DC755" w14:textId="77777777" w:rsidR="00303219" w:rsidRDefault="00303219" w:rsidP="00704822">
      <w:pPr>
        <w:rPr>
          <w:rFonts w:ascii="Arial" w:hAnsi="Arial" w:cs="Arial"/>
          <w:b/>
          <w:sz w:val="24"/>
          <w:szCs w:val="24"/>
        </w:rPr>
      </w:pPr>
    </w:p>
    <w:p w14:paraId="2124EE88" w14:textId="77777777" w:rsidR="00704822" w:rsidRDefault="00704822" w:rsidP="00704822">
      <w:pPr>
        <w:rPr>
          <w:rFonts w:ascii="Arial" w:hAnsi="Arial" w:cs="Arial"/>
          <w:b/>
          <w:sz w:val="24"/>
          <w:szCs w:val="24"/>
        </w:rPr>
      </w:pPr>
      <w:r>
        <w:rPr>
          <w:rFonts w:ascii="Arial" w:hAnsi="Arial" w:cs="Arial"/>
          <w:b/>
          <w:sz w:val="24"/>
          <w:szCs w:val="24"/>
        </w:rPr>
        <w:t>Pension members where asked do you agree that the City &amp; County of Swansea Pension Fund…</w:t>
      </w:r>
    </w:p>
    <w:tbl>
      <w:tblPr>
        <w:tblW w:w="9975" w:type="dxa"/>
        <w:tblLayout w:type="fixed"/>
        <w:tblLook w:val="04A0" w:firstRow="1" w:lastRow="0" w:firstColumn="1" w:lastColumn="0" w:noHBand="0" w:noVBand="1"/>
      </w:tblPr>
      <w:tblGrid>
        <w:gridCol w:w="411"/>
        <w:gridCol w:w="3700"/>
        <w:gridCol w:w="1100"/>
        <w:gridCol w:w="244"/>
        <w:gridCol w:w="947"/>
        <w:gridCol w:w="397"/>
        <w:gridCol w:w="794"/>
        <w:gridCol w:w="794"/>
        <w:gridCol w:w="397"/>
        <w:gridCol w:w="1191"/>
      </w:tblGrid>
      <w:tr w:rsidR="00704822" w:rsidRPr="001310EB" w14:paraId="61407BA8" w14:textId="77777777" w:rsidTr="001310EB">
        <w:trPr>
          <w:trHeight w:val="501"/>
        </w:trPr>
        <w:tc>
          <w:tcPr>
            <w:tcW w:w="411" w:type="dxa"/>
            <w:shd w:val="clear" w:color="auto" w:fill="auto"/>
          </w:tcPr>
          <w:p w14:paraId="20DFAB8E" w14:textId="77777777" w:rsidR="00704822" w:rsidRPr="001310EB" w:rsidRDefault="00704822">
            <w:pPr>
              <w:rPr>
                <w:rFonts w:ascii="Arial" w:hAnsi="Arial" w:cs="Arial"/>
                <w:sz w:val="22"/>
                <w:szCs w:val="22"/>
              </w:rPr>
            </w:pPr>
          </w:p>
        </w:tc>
        <w:tc>
          <w:tcPr>
            <w:tcW w:w="4800" w:type="dxa"/>
            <w:gridSpan w:val="2"/>
            <w:tcBorders>
              <w:top w:val="nil"/>
              <w:left w:val="nil"/>
              <w:bottom w:val="nil"/>
              <w:right w:val="single" w:sz="4" w:space="0" w:color="auto"/>
            </w:tcBorders>
            <w:shd w:val="clear" w:color="auto" w:fill="auto"/>
          </w:tcPr>
          <w:p w14:paraId="3FC51963" w14:textId="77777777" w:rsidR="00704822" w:rsidRPr="001310EB" w:rsidRDefault="00704822">
            <w:pPr>
              <w:rPr>
                <w:rFonts w:ascii="Arial" w:hAnsi="Arial" w:cs="Arial"/>
              </w:rPr>
            </w:pPr>
          </w:p>
        </w:tc>
        <w:tc>
          <w:tcPr>
            <w:tcW w:w="119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76BCAA7" w14:textId="77777777" w:rsidR="00704822" w:rsidRPr="001310EB" w:rsidRDefault="00704822" w:rsidP="001310EB">
            <w:pPr>
              <w:jc w:val="center"/>
              <w:rPr>
                <w:rFonts w:ascii="Arial" w:hAnsi="Arial" w:cs="Arial"/>
                <w:b/>
                <w:sz w:val="22"/>
                <w:szCs w:val="22"/>
              </w:rPr>
            </w:pPr>
            <w:r w:rsidRPr="001310EB">
              <w:rPr>
                <w:rFonts w:ascii="Arial" w:hAnsi="Arial" w:cs="Arial"/>
                <w:b/>
                <w:sz w:val="22"/>
                <w:szCs w:val="22"/>
              </w:rPr>
              <w:t>Strongly Disagree</w:t>
            </w:r>
          </w:p>
        </w:tc>
        <w:tc>
          <w:tcPr>
            <w:tcW w:w="119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D4A1A6B" w14:textId="77777777" w:rsidR="00704822" w:rsidRPr="001310EB" w:rsidRDefault="00704822" w:rsidP="001310EB">
            <w:pPr>
              <w:jc w:val="center"/>
              <w:rPr>
                <w:rFonts w:ascii="Arial" w:hAnsi="Arial" w:cs="Arial"/>
                <w:b/>
                <w:sz w:val="22"/>
                <w:szCs w:val="22"/>
              </w:rPr>
            </w:pPr>
            <w:r w:rsidRPr="001310EB">
              <w:rPr>
                <w:rFonts w:ascii="Arial" w:hAnsi="Arial" w:cs="Arial"/>
                <w:b/>
                <w:sz w:val="22"/>
                <w:szCs w:val="22"/>
              </w:rPr>
              <w:t>Disagree</w:t>
            </w:r>
          </w:p>
        </w:tc>
        <w:tc>
          <w:tcPr>
            <w:tcW w:w="119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EE46C17" w14:textId="77777777" w:rsidR="00704822" w:rsidRPr="001310EB" w:rsidRDefault="00704822" w:rsidP="001310EB">
            <w:pPr>
              <w:jc w:val="center"/>
              <w:rPr>
                <w:rFonts w:ascii="Arial" w:hAnsi="Arial" w:cs="Arial"/>
                <w:b/>
                <w:sz w:val="24"/>
                <w:szCs w:val="24"/>
              </w:rPr>
            </w:pPr>
            <w:r w:rsidRPr="001310EB">
              <w:rPr>
                <w:rFonts w:ascii="Arial" w:hAnsi="Arial" w:cs="Arial"/>
                <w:b/>
                <w:sz w:val="24"/>
                <w:szCs w:val="24"/>
              </w:rPr>
              <w:t>Agree</w:t>
            </w:r>
          </w:p>
        </w:tc>
        <w:tc>
          <w:tcPr>
            <w:tcW w:w="11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137371" w14:textId="77777777" w:rsidR="00704822" w:rsidRPr="001310EB" w:rsidRDefault="00704822" w:rsidP="001310EB">
            <w:pPr>
              <w:jc w:val="center"/>
              <w:rPr>
                <w:rFonts w:ascii="Arial" w:hAnsi="Arial" w:cs="Arial"/>
                <w:b/>
                <w:sz w:val="24"/>
                <w:szCs w:val="24"/>
              </w:rPr>
            </w:pPr>
            <w:r w:rsidRPr="001310EB">
              <w:rPr>
                <w:rFonts w:ascii="Arial" w:hAnsi="Arial" w:cs="Arial"/>
                <w:b/>
                <w:sz w:val="24"/>
                <w:szCs w:val="24"/>
              </w:rPr>
              <w:t>Strongly Agree</w:t>
            </w:r>
          </w:p>
        </w:tc>
      </w:tr>
      <w:tr w:rsidR="00704822" w:rsidRPr="001310EB" w14:paraId="009F2420" w14:textId="77777777" w:rsidTr="001310EB">
        <w:trPr>
          <w:cantSplit/>
          <w:trHeight w:val="680"/>
        </w:trPr>
        <w:tc>
          <w:tcPr>
            <w:tcW w:w="411"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01D4D26C" w14:textId="77777777" w:rsidR="00704822" w:rsidRPr="001310EB" w:rsidRDefault="00704822" w:rsidP="001310EB">
            <w:pPr>
              <w:ind w:left="113" w:right="113"/>
              <w:jc w:val="center"/>
              <w:rPr>
                <w:rFonts w:ascii="Arial" w:hAnsi="Arial" w:cs="Arial"/>
                <w:b/>
                <w:sz w:val="20"/>
              </w:rPr>
            </w:pPr>
            <w:r w:rsidRPr="001310EB">
              <w:rPr>
                <w:rFonts w:ascii="Arial" w:hAnsi="Arial" w:cs="Arial"/>
                <w:b/>
                <w:sz w:val="20"/>
              </w:rPr>
              <w:t>Administration</w:t>
            </w:r>
          </w:p>
        </w:tc>
        <w:tc>
          <w:tcPr>
            <w:tcW w:w="480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C992C69" w14:textId="77777777" w:rsidR="00704822" w:rsidRPr="001310EB" w:rsidRDefault="00704822">
            <w:pPr>
              <w:rPr>
                <w:rFonts w:ascii="Arial" w:hAnsi="Arial" w:cs="Arial"/>
                <w:sz w:val="24"/>
                <w:szCs w:val="24"/>
              </w:rPr>
            </w:pPr>
            <w:r w:rsidRPr="001310EB">
              <w:rPr>
                <w:rFonts w:ascii="Arial" w:hAnsi="Arial" w:cs="Arial"/>
                <w:sz w:val="24"/>
                <w:szCs w:val="24"/>
              </w:rPr>
              <w:t>…offers documentation, guidance and information in a professional manner?</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49944E"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2%</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CB7536"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5%</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5C82A4"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73%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CA83F"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20%</w:t>
            </w:r>
          </w:p>
        </w:tc>
      </w:tr>
      <w:tr w:rsidR="00704822" w:rsidRPr="001310EB" w14:paraId="69D8324E" w14:textId="77777777" w:rsidTr="001310EB">
        <w:trPr>
          <w:cantSplit/>
          <w:trHeight w:val="680"/>
        </w:trPr>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398BAE" w14:textId="77777777" w:rsidR="00704822" w:rsidRPr="001310EB" w:rsidRDefault="00704822">
            <w:pPr>
              <w:rPr>
                <w:rFonts w:ascii="Arial" w:hAnsi="Arial" w:cs="Arial"/>
                <w:b/>
                <w:sz w:val="20"/>
              </w:rPr>
            </w:pPr>
          </w:p>
        </w:tc>
        <w:tc>
          <w:tcPr>
            <w:tcW w:w="480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EB09893" w14:textId="77777777" w:rsidR="00704822" w:rsidRPr="001310EB" w:rsidRDefault="00704822">
            <w:pPr>
              <w:rPr>
                <w:rFonts w:ascii="Arial" w:hAnsi="Arial" w:cs="Arial"/>
                <w:sz w:val="24"/>
                <w:szCs w:val="24"/>
              </w:rPr>
            </w:pPr>
            <w:r w:rsidRPr="001310EB">
              <w:rPr>
                <w:rFonts w:ascii="Arial" w:hAnsi="Arial" w:cs="Arial"/>
                <w:sz w:val="24"/>
                <w:szCs w:val="24"/>
              </w:rPr>
              <w:t>…is proactive in their approach to provide a service to members?</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DA25D5"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2.3%</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EA1B78"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9%</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2CA230"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68.2%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6CBE1"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20.5%</w:t>
            </w:r>
          </w:p>
        </w:tc>
      </w:tr>
      <w:tr w:rsidR="00704822" w:rsidRPr="001310EB" w14:paraId="52CF909D" w14:textId="77777777" w:rsidTr="001310EB">
        <w:trPr>
          <w:cantSplit/>
          <w:trHeight w:val="680"/>
        </w:trPr>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0EC3B0" w14:textId="77777777" w:rsidR="00704822" w:rsidRPr="001310EB" w:rsidRDefault="00704822">
            <w:pPr>
              <w:rPr>
                <w:rFonts w:ascii="Arial" w:hAnsi="Arial" w:cs="Arial"/>
                <w:b/>
                <w:sz w:val="20"/>
              </w:rPr>
            </w:pPr>
          </w:p>
        </w:tc>
        <w:tc>
          <w:tcPr>
            <w:tcW w:w="480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F75F940" w14:textId="77777777" w:rsidR="00704822" w:rsidRPr="001310EB" w:rsidRDefault="00704822">
            <w:pPr>
              <w:rPr>
                <w:rFonts w:ascii="Arial" w:hAnsi="Arial" w:cs="Arial"/>
                <w:sz w:val="24"/>
                <w:szCs w:val="24"/>
              </w:rPr>
            </w:pPr>
            <w:r w:rsidRPr="001310EB">
              <w:rPr>
                <w:rFonts w:ascii="Arial" w:hAnsi="Arial" w:cs="Arial"/>
                <w:sz w:val="24"/>
                <w:szCs w:val="24"/>
              </w:rPr>
              <w:t>…gives</w:t>
            </w:r>
            <w:r w:rsidRPr="001310EB">
              <w:rPr>
                <w:rFonts w:ascii="Arial" w:hAnsi="Arial" w:cs="Arial"/>
                <w:color w:val="FF0000"/>
                <w:sz w:val="24"/>
                <w:szCs w:val="24"/>
              </w:rPr>
              <w:t xml:space="preserve"> </w:t>
            </w:r>
            <w:r w:rsidRPr="001310EB">
              <w:rPr>
                <w:rFonts w:ascii="Arial" w:hAnsi="Arial" w:cs="Arial"/>
                <w:sz w:val="24"/>
                <w:szCs w:val="24"/>
              </w:rPr>
              <w:t>an appropriately timed service with regular updates?</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E7DC94"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7%</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05C273"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9%</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01A7D1"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66%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FE84C"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18%</w:t>
            </w:r>
          </w:p>
        </w:tc>
      </w:tr>
      <w:tr w:rsidR="00704822" w:rsidRPr="001310EB" w14:paraId="1105F11F" w14:textId="77777777" w:rsidTr="001310EB">
        <w:trPr>
          <w:cantSplit/>
          <w:trHeight w:val="680"/>
        </w:trPr>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EBAB2D" w14:textId="77777777" w:rsidR="00704822" w:rsidRPr="001310EB" w:rsidRDefault="00704822">
            <w:pPr>
              <w:rPr>
                <w:rFonts w:ascii="Arial" w:hAnsi="Arial" w:cs="Arial"/>
                <w:b/>
                <w:sz w:val="20"/>
              </w:rPr>
            </w:pPr>
          </w:p>
        </w:tc>
        <w:tc>
          <w:tcPr>
            <w:tcW w:w="480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F12DCE1" w14:textId="77777777" w:rsidR="00704822" w:rsidRPr="001310EB" w:rsidRDefault="00704822">
            <w:pPr>
              <w:rPr>
                <w:rFonts w:ascii="Arial" w:hAnsi="Arial" w:cs="Arial"/>
                <w:sz w:val="24"/>
                <w:szCs w:val="24"/>
              </w:rPr>
            </w:pPr>
            <w:r w:rsidRPr="001310EB">
              <w:rPr>
                <w:rFonts w:ascii="Arial" w:hAnsi="Arial" w:cs="Arial"/>
                <w:sz w:val="24"/>
                <w:szCs w:val="24"/>
              </w:rPr>
              <w:t>…is customer focused and meets the needs of its members? *only 44 responses</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B05D35"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2%</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F4A04E"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9%</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B6B94F"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70%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FF7E6"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19%</w:t>
            </w:r>
          </w:p>
        </w:tc>
      </w:tr>
      <w:tr w:rsidR="00704822" w:rsidRPr="001310EB" w14:paraId="2BC82B09" w14:textId="77777777" w:rsidTr="001310EB">
        <w:trPr>
          <w:cantSplit/>
          <w:trHeight w:val="680"/>
        </w:trPr>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FFFF71" w14:textId="77777777" w:rsidR="00704822" w:rsidRPr="001310EB" w:rsidRDefault="00704822">
            <w:pPr>
              <w:rPr>
                <w:rFonts w:ascii="Arial" w:hAnsi="Arial" w:cs="Arial"/>
                <w:b/>
                <w:sz w:val="20"/>
              </w:rPr>
            </w:pPr>
          </w:p>
        </w:tc>
        <w:tc>
          <w:tcPr>
            <w:tcW w:w="480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6F7547A" w14:textId="77777777" w:rsidR="00704822" w:rsidRPr="001310EB" w:rsidRDefault="00704822">
            <w:pPr>
              <w:rPr>
                <w:rFonts w:ascii="Arial" w:hAnsi="Arial" w:cs="Arial"/>
                <w:sz w:val="24"/>
                <w:szCs w:val="24"/>
              </w:rPr>
            </w:pPr>
            <w:r w:rsidRPr="001310EB">
              <w:rPr>
                <w:rFonts w:ascii="Arial" w:hAnsi="Arial" w:cs="Arial"/>
                <w:sz w:val="24"/>
                <w:szCs w:val="24"/>
              </w:rPr>
              <w:t>… has provided a high quality service throughout your membership?</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7093EA"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2.38%</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E7540E"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7.14%</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908FB0"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71.43%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538FE"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19.05%</w:t>
            </w:r>
          </w:p>
        </w:tc>
      </w:tr>
      <w:tr w:rsidR="00704822" w:rsidRPr="001310EB" w14:paraId="22689779" w14:textId="77777777" w:rsidTr="001310EB">
        <w:trPr>
          <w:cantSplit/>
          <w:trHeight w:val="680"/>
        </w:trPr>
        <w:tc>
          <w:tcPr>
            <w:tcW w:w="411"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927CC0A" w14:textId="77777777" w:rsidR="00704822" w:rsidRPr="001310EB" w:rsidRDefault="00704822" w:rsidP="001310EB">
            <w:pPr>
              <w:ind w:left="113" w:right="113"/>
              <w:jc w:val="center"/>
              <w:rPr>
                <w:rFonts w:ascii="Arial" w:hAnsi="Arial" w:cs="Arial"/>
                <w:b/>
                <w:sz w:val="24"/>
                <w:szCs w:val="24"/>
              </w:rPr>
            </w:pPr>
            <w:r w:rsidRPr="001310EB">
              <w:rPr>
                <w:rFonts w:ascii="Arial" w:hAnsi="Arial" w:cs="Arial"/>
                <w:b/>
                <w:sz w:val="24"/>
                <w:szCs w:val="24"/>
              </w:rPr>
              <w:t>Communications</w:t>
            </w:r>
          </w:p>
        </w:tc>
        <w:tc>
          <w:tcPr>
            <w:tcW w:w="480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6CB7852" w14:textId="77777777" w:rsidR="00704822" w:rsidRPr="001310EB" w:rsidRDefault="00704822">
            <w:pPr>
              <w:rPr>
                <w:rFonts w:ascii="Arial" w:hAnsi="Arial" w:cs="Arial"/>
                <w:sz w:val="24"/>
                <w:szCs w:val="24"/>
              </w:rPr>
            </w:pPr>
            <w:r w:rsidRPr="001310EB">
              <w:rPr>
                <w:rFonts w:ascii="Arial" w:hAnsi="Arial" w:cs="Arial"/>
                <w:sz w:val="24"/>
                <w:szCs w:val="24"/>
              </w:rPr>
              <w:t>… promotes the scheme as valuable and provides sufficient information so you can make informed decisions about your pension?</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D3AFB8"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2%</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08D5BA"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7%</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FBF6AC"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72%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2DD83"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19%</w:t>
            </w:r>
          </w:p>
        </w:tc>
      </w:tr>
      <w:tr w:rsidR="00704822" w:rsidRPr="001310EB" w14:paraId="6968F291" w14:textId="77777777" w:rsidTr="001310EB">
        <w:trPr>
          <w:cantSplit/>
          <w:trHeight w:val="680"/>
        </w:trPr>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87CF3B" w14:textId="77777777" w:rsidR="00704822" w:rsidRPr="001310EB" w:rsidRDefault="00704822">
            <w:pPr>
              <w:rPr>
                <w:rFonts w:ascii="Arial" w:hAnsi="Arial" w:cs="Arial"/>
                <w:b/>
                <w:sz w:val="24"/>
                <w:szCs w:val="24"/>
              </w:rPr>
            </w:pPr>
          </w:p>
        </w:tc>
        <w:tc>
          <w:tcPr>
            <w:tcW w:w="480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225CED7" w14:textId="77777777" w:rsidR="00704822" w:rsidRPr="001310EB" w:rsidRDefault="00704822">
            <w:pPr>
              <w:rPr>
                <w:rFonts w:ascii="Arial" w:hAnsi="Arial" w:cs="Arial"/>
                <w:sz w:val="24"/>
                <w:szCs w:val="24"/>
              </w:rPr>
            </w:pPr>
            <w:r w:rsidRPr="001310EB">
              <w:rPr>
                <w:rFonts w:ascii="Arial" w:hAnsi="Arial" w:cs="Arial"/>
                <w:sz w:val="24"/>
                <w:szCs w:val="24"/>
              </w:rPr>
              <w:t>… communicates</w:t>
            </w:r>
            <w:r w:rsidRPr="001310EB">
              <w:rPr>
                <w:rFonts w:ascii="Arial" w:hAnsi="Arial" w:cs="Arial"/>
                <w:color w:val="FF0000"/>
                <w:sz w:val="24"/>
                <w:szCs w:val="24"/>
              </w:rPr>
              <w:t xml:space="preserve"> </w:t>
            </w:r>
            <w:r w:rsidRPr="001310EB">
              <w:rPr>
                <w:rFonts w:ascii="Arial" w:hAnsi="Arial" w:cs="Arial"/>
                <w:sz w:val="24"/>
                <w:szCs w:val="24"/>
              </w:rPr>
              <w:t>in a clear and concise manner?</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7D0817"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2%</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AC291A"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7%</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B1C6F9"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68%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B3A50"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23%</w:t>
            </w:r>
          </w:p>
        </w:tc>
      </w:tr>
      <w:tr w:rsidR="00704822" w:rsidRPr="001310EB" w14:paraId="3215430C" w14:textId="77777777" w:rsidTr="001310EB">
        <w:trPr>
          <w:cantSplit/>
          <w:trHeight w:val="680"/>
        </w:trPr>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2E86E7" w14:textId="77777777" w:rsidR="00704822" w:rsidRPr="001310EB" w:rsidRDefault="00704822">
            <w:pPr>
              <w:rPr>
                <w:rFonts w:ascii="Arial" w:hAnsi="Arial" w:cs="Arial"/>
                <w:b/>
                <w:sz w:val="24"/>
                <w:szCs w:val="24"/>
              </w:rPr>
            </w:pPr>
          </w:p>
        </w:tc>
        <w:tc>
          <w:tcPr>
            <w:tcW w:w="480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5FA5123" w14:textId="77777777" w:rsidR="00704822" w:rsidRPr="001310EB" w:rsidRDefault="00704822">
            <w:pPr>
              <w:rPr>
                <w:rFonts w:ascii="Arial" w:hAnsi="Arial" w:cs="Arial"/>
                <w:sz w:val="24"/>
                <w:szCs w:val="24"/>
              </w:rPr>
            </w:pPr>
            <w:r w:rsidRPr="001310EB">
              <w:rPr>
                <w:rFonts w:ascii="Arial" w:hAnsi="Arial" w:cs="Arial"/>
                <w:sz w:val="24"/>
                <w:szCs w:val="24"/>
              </w:rPr>
              <w:t>… uses the most appropriate means of communication?</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07AA6B"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2%</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21AAA0"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5%</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9BC192"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73%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DEB35"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20%</w:t>
            </w:r>
          </w:p>
        </w:tc>
      </w:tr>
      <w:tr w:rsidR="00704822" w:rsidRPr="001310EB" w14:paraId="612BF82B" w14:textId="77777777" w:rsidTr="001310EB">
        <w:trPr>
          <w:cantSplit/>
          <w:trHeight w:val="209"/>
        </w:trPr>
        <w:tc>
          <w:tcPr>
            <w:tcW w:w="4111" w:type="dxa"/>
            <w:gridSpan w:val="2"/>
            <w:tcBorders>
              <w:top w:val="nil"/>
              <w:left w:val="single" w:sz="4" w:space="0" w:color="auto"/>
              <w:bottom w:val="single" w:sz="4" w:space="0" w:color="auto"/>
              <w:right w:val="single" w:sz="4" w:space="0" w:color="auto"/>
            </w:tcBorders>
            <w:shd w:val="clear" w:color="auto" w:fill="F2F2F2"/>
          </w:tcPr>
          <w:p w14:paraId="74B9E152" w14:textId="77777777" w:rsidR="00704822" w:rsidRPr="001310EB" w:rsidRDefault="00704822">
            <w:pPr>
              <w:rPr>
                <w:rFonts w:ascii="Arial" w:hAnsi="Arial" w:cs="Arial"/>
                <w:sz w:val="24"/>
                <w:szCs w:val="24"/>
              </w:rPr>
            </w:pPr>
          </w:p>
        </w:tc>
        <w:tc>
          <w:tcPr>
            <w:tcW w:w="134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A060F50" w14:textId="77777777" w:rsidR="00704822" w:rsidRPr="001310EB" w:rsidRDefault="00704822" w:rsidP="001310EB">
            <w:pPr>
              <w:jc w:val="center"/>
              <w:rPr>
                <w:rFonts w:ascii="Arial" w:hAnsi="Arial" w:cs="Arial"/>
                <w:b/>
                <w:sz w:val="24"/>
                <w:szCs w:val="24"/>
              </w:rPr>
            </w:pPr>
            <w:r w:rsidRPr="001310EB">
              <w:rPr>
                <w:rFonts w:ascii="Arial" w:hAnsi="Arial" w:cs="Arial"/>
                <w:b/>
                <w:sz w:val="24"/>
                <w:szCs w:val="24"/>
              </w:rPr>
              <w:t>Didn’t Say</w:t>
            </w:r>
          </w:p>
        </w:tc>
        <w:tc>
          <w:tcPr>
            <w:tcW w:w="134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58621BD" w14:textId="77777777" w:rsidR="00704822" w:rsidRPr="001310EB" w:rsidRDefault="00704822" w:rsidP="001310EB">
            <w:pPr>
              <w:jc w:val="center"/>
              <w:rPr>
                <w:rFonts w:ascii="Arial" w:hAnsi="Arial" w:cs="Arial"/>
                <w:b/>
                <w:sz w:val="24"/>
                <w:szCs w:val="24"/>
              </w:rPr>
            </w:pPr>
            <w:r w:rsidRPr="001310EB">
              <w:rPr>
                <w:rFonts w:ascii="Arial" w:hAnsi="Arial" w:cs="Arial"/>
                <w:b/>
                <w:sz w:val="24"/>
                <w:szCs w:val="24"/>
              </w:rPr>
              <w:t>Active</w:t>
            </w:r>
          </w:p>
        </w:tc>
        <w:tc>
          <w:tcPr>
            <w:tcW w:w="158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5C939E9" w14:textId="77777777" w:rsidR="00704822" w:rsidRPr="001310EB" w:rsidRDefault="00704822" w:rsidP="001310EB">
            <w:pPr>
              <w:jc w:val="center"/>
              <w:rPr>
                <w:rFonts w:ascii="Arial" w:hAnsi="Arial" w:cs="Arial"/>
                <w:b/>
                <w:sz w:val="24"/>
                <w:szCs w:val="24"/>
              </w:rPr>
            </w:pPr>
            <w:r w:rsidRPr="001310EB">
              <w:rPr>
                <w:rFonts w:ascii="Arial" w:hAnsi="Arial" w:cs="Arial"/>
                <w:b/>
                <w:sz w:val="24"/>
                <w:szCs w:val="24"/>
              </w:rPr>
              <w:t>Deferred</w:t>
            </w:r>
          </w:p>
        </w:tc>
        <w:tc>
          <w:tcPr>
            <w:tcW w:w="158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3BF6901" w14:textId="77777777" w:rsidR="00704822" w:rsidRPr="001310EB" w:rsidRDefault="00704822" w:rsidP="001310EB">
            <w:pPr>
              <w:jc w:val="center"/>
              <w:rPr>
                <w:rFonts w:ascii="Arial" w:hAnsi="Arial" w:cs="Arial"/>
                <w:b/>
                <w:sz w:val="24"/>
                <w:szCs w:val="24"/>
              </w:rPr>
            </w:pPr>
            <w:r w:rsidRPr="001310EB">
              <w:rPr>
                <w:rFonts w:ascii="Arial" w:hAnsi="Arial" w:cs="Arial"/>
                <w:b/>
                <w:sz w:val="24"/>
                <w:szCs w:val="24"/>
              </w:rPr>
              <w:t>Pensioner</w:t>
            </w:r>
          </w:p>
        </w:tc>
      </w:tr>
      <w:tr w:rsidR="00704822" w:rsidRPr="001310EB" w14:paraId="57A9CD7E" w14:textId="77777777" w:rsidTr="001310EB">
        <w:trPr>
          <w:cantSplit/>
          <w:trHeight w:val="382"/>
        </w:trPr>
        <w:tc>
          <w:tcPr>
            <w:tcW w:w="4111" w:type="dxa"/>
            <w:gridSpan w:val="2"/>
            <w:tcBorders>
              <w:top w:val="nil"/>
              <w:left w:val="single" w:sz="4" w:space="0" w:color="auto"/>
              <w:bottom w:val="single" w:sz="4" w:space="0" w:color="auto"/>
              <w:right w:val="single" w:sz="4" w:space="0" w:color="auto"/>
            </w:tcBorders>
            <w:shd w:val="clear" w:color="auto" w:fill="F2F2F2"/>
            <w:hideMark/>
          </w:tcPr>
          <w:p w14:paraId="6EDC7B49"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Please tick your membership status</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728E6A"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4.55%</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CE4BC2"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22.73%</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3CFD62"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18.18%</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D18360"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54.54%</w:t>
            </w:r>
          </w:p>
        </w:tc>
      </w:tr>
    </w:tbl>
    <w:p w14:paraId="283D4FE3" w14:textId="77777777" w:rsidR="00704822" w:rsidRDefault="00704822" w:rsidP="00704822">
      <w:pPr>
        <w:autoSpaceDE w:val="0"/>
        <w:autoSpaceDN w:val="0"/>
        <w:adjustRightInd w:val="0"/>
        <w:jc w:val="both"/>
        <w:rPr>
          <w:rFonts w:ascii="Arial" w:hAnsi="Arial" w:cs="Arial"/>
          <w:b/>
          <w:bCs/>
          <w:sz w:val="24"/>
          <w:szCs w:val="24"/>
          <w:lang w:eastAsia="en-GB"/>
        </w:rPr>
      </w:pPr>
    </w:p>
    <w:p w14:paraId="532E8DA2" w14:textId="77777777" w:rsidR="00135E52" w:rsidRDefault="00135E52" w:rsidP="00704822">
      <w:pPr>
        <w:autoSpaceDE w:val="0"/>
        <w:autoSpaceDN w:val="0"/>
        <w:adjustRightInd w:val="0"/>
        <w:jc w:val="both"/>
        <w:rPr>
          <w:rFonts w:ascii="Arial" w:hAnsi="Arial" w:cs="Arial"/>
          <w:b/>
          <w:bCs/>
          <w:sz w:val="24"/>
          <w:szCs w:val="24"/>
          <w:lang w:eastAsia="en-GB"/>
        </w:rPr>
      </w:pPr>
    </w:p>
    <w:p w14:paraId="3BFC5558" w14:textId="77777777" w:rsidR="00135E52" w:rsidRDefault="00135E52" w:rsidP="00704822">
      <w:pPr>
        <w:autoSpaceDE w:val="0"/>
        <w:autoSpaceDN w:val="0"/>
        <w:adjustRightInd w:val="0"/>
        <w:jc w:val="both"/>
        <w:rPr>
          <w:rFonts w:ascii="Arial" w:hAnsi="Arial" w:cs="Arial"/>
          <w:b/>
          <w:bCs/>
          <w:sz w:val="24"/>
          <w:szCs w:val="24"/>
          <w:lang w:eastAsia="en-GB"/>
        </w:rPr>
      </w:pPr>
    </w:p>
    <w:p w14:paraId="5A62F479" w14:textId="77777777" w:rsidR="00135E52" w:rsidRDefault="00135E52" w:rsidP="00704822">
      <w:pPr>
        <w:autoSpaceDE w:val="0"/>
        <w:autoSpaceDN w:val="0"/>
        <w:adjustRightInd w:val="0"/>
        <w:jc w:val="both"/>
        <w:rPr>
          <w:rFonts w:ascii="Arial" w:hAnsi="Arial" w:cs="Arial"/>
          <w:b/>
          <w:bCs/>
          <w:sz w:val="24"/>
          <w:szCs w:val="24"/>
          <w:lang w:eastAsia="en-GB"/>
        </w:rPr>
      </w:pPr>
    </w:p>
    <w:p w14:paraId="2149A831" w14:textId="77777777" w:rsidR="00135E52" w:rsidRDefault="00135E52" w:rsidP="00704822">
      <w:pPr>
        <w:autoSpaceDE w:val="0"/>
        <w:autoSpaceDN w:val="0"/>
        <w:adjustRightInd w:val="0"/>
        <w:jc w:val="both"/>
        <w:rPr>
          <w:rFonts w:ascii="Arial" w:hAnsi="Arial" w:cs="Arial"/>
          <w:b/>
          <w:bCs/>
          <w:sz w:val="24"/>
          <w:szCs w:val="24"/>
          <w:lang w:eastAsia="en-GB"/>
        </w:rPr>
      </w:pPr>
    </w:p>
    <w:p w14:paraId="21C6184D" w14:textId="77777777" w:rsidR="00704822" w:rsidRDefault="00704822" w:rsidP="00704822">
      <w:pPr>
        <w:autoSpaceDE w:val="0"/>
        <w:autoSpaceDN w:val="0"/>
        <w:adjustRightInd w:val="0"/>
        <w:jc w:val="both"/>
        <w:rPr>
          <w:rFonts w:ascii="Arial" w:hAnsi="Arial" w:cs="Arial"/>
          <w:b/>
          <w:bCs/>
          <w:sz w:val="24"/>
          <w:szCs w:val="24"/>
          <w:lang w:eastAsia="en-GB"/>
        </w:rPr>
      </w:pPr>
      <w:r>
        <w:rPr>
          <w:rFonts w:ascii="Arial" w:hAnsi="Arial" w:cs="Arial"/>
          <w:b/>
          <w:bCs/>
          <w:sz w:val="24"/>
          <w:szCs w:val="24"/>
          <w:lang w:eastAsia="en-GB"/>
        </w:rPr>
        <w:lastRenderedPageBreak/>
        <w:t>Internal Dispute Resolution Process</w:t>
      </w:r>
    </w:p>
    <w:p w14:paraId="479EF3CD" w14:textId="77777777" w:rsidR="00704822" w:rsidRDefault="00704822" w:rsidP="00704822">
      <w:pPr>
        <w:autoSpaceDE w:val="0"/>
        <w:autoSpaceDN w:val="0"/>
        <w:adjustRightInd w:val="0"/>
        <w:jc w:val="both"/>
        <w:rPr>
          <w:rFonts w:ascii="Arial" w:hAnsi="Arial" w:cs="Arial"/>
          <w:sz w:val="24"/>
          <w:szCs w:val="24"/>
          <w:lang w:eastAsia="en-GB"/>
        </w:rPr>
      </w:pPr>
    </w:p>
    <w:p w14:paraId="37FBD14C" w14:textId="77777777" w:rsidR="00704822" w:rsidRDefault="00704822" w:rsidP="00704822">
      <w:pPr>
        <w:autoSpaceDE w:val="0"/>
        <w:autoSpaceDN w:val="0"/>
        <w:adjustRightInd w:val="0"/>
        <w:jc w:val="both"/>
        <w:rPr>
          <w:rFonts w:ascii="Arial" w:hAnsi="Arial" w:cs="Arial"/>
          <w:sz w:val="24"/>
          <w:szCs w:val="24"/>
          <w:lang w:eastAsia="en-GB"/>
        </w:rPr>
      </w:pPr>
      <w:r>
        <w:rPr>
          <w:rFonts w:ascii="Arial" w:hAnsi="Arial" w:cs="Arial"/>
          <w:sz w:val="24"/>
          <w:szCs w:val="24"/>
          <w:lang w:eastAsia="en-GB"/>
        </w:rPr>
        <w:t>If there is a complaint or dispute against either the Fund or a decision made by an employer concerning a matter relating to the LGPS, there is a provision for its resolution known as the Internal Dispute Resolution Process (IDRP).  The disputes process follows a set procedure.</w:t>
      </w:r>
    </w:p>
    <w:p w14:paraId="52991192" w14:textId="77777777" w:rsidR="00704822" w:rsidRDefault="00704822" w:rsidP="00704822">
      <w:pPr>
        <w:autoSpaceDE w:val="0"/>
        <w:autoSpaceDN w:val="0"/>
        <w:adjustRightInd w:val="0"/>
        <w:jc w:val="both"/>
        <w:rPr>
          <w:rFonts w:ascii="Arial" w:hAnsi="Arial" w:cs="Arial"/>
          <w:sz w:val="24"/>
          <w:szCs w:val="24"/>
          <w:lang w:eastAsia="en-GB"/>
        </w:rPr>
      </w:pPr>
    </w:p>
    <w:p w14:paraId="5543FA62" w14:textId="77777777" w:rsidR="00704822" w:rsidRDefault="00704822" w:rsidP="00704822">
      <w:pPr>
        <w:autoSpaceDE w:val="0"/>
        <w:autoSpaceDN w:val="0"/>
        <w:adjustRightInd w:val="0"/>
        <w:jc w:val="both"/>
        <w:rPr>
          <w:rFonts w:ascii="Arial" w:hAnsi="Arial" w:cs="Arial"/>
          <w:sz w:val="24"/>
          <w:szCs w:val="24"/>
          <w:lang w:eastAsia="en-GB"/>
        </w:rPr>
      </w:pPr>
      <w:r>
        <w:rPr>
          <w:rFonts w:ascii="Arial" w:hAnsi="Arial" w:cs="Arial"/>
          <w:sz w:val="24"/>
          <w:szCs w:val="24"/>
          <w:lang w:eastAsia="en-GB"/>
        </w:rPr>
        <w:t xml:space="preserve">Individual employers consider Stage 1 appeals if the dispute is against decisions made by them, or by the Administering Authority if the dispute is against a Pension Fund decision.  Where the appellant remains dissatisfied with the outcome of Stage 1, they may refer the complaint to the Administering Authority for reconsideration under Stage 2 of the appeal process.  The Administering Authority has appointed two independent officers to hear applicable Stage 1 and all Stage 2 appeals. </w:t>
      </w:r>
    </w:p>
    <w:p w14:paraId="2BE97478" w14:textId="77777777" w:rsidR="00704822" w:rsidRDefault="00704822" w:rsidP="00704822">
      <w:pPr>
        <w:autoSpaceDE w:val="0"/>
        <w:autoSpaceDN w:val="0"/>
        <w:adjustRightInd w:val="0"/>
        <w:jc w:val="both"/>
        <w:rPr>
          <w:rFonts w:ascii="Arial" w:hAnsi="Arial" w:cs="Arial"/>
          <w:sz w:val="24"/>
          <w:szCs w:val="24"/>
          <w:lang w:eastAsia="en-GB"/>
        </w:rPr>
      </w:pPr>
    </w:p>
    <w:p w14:paraId="3625E487" w14:textId="77777777" w:rsidR="00704822" w:rsidRDefault="00704822" w:rsidP="00704822">
      <w:pPr>
        <w:autoSpaceDE w:val="0"/>
        <w:autoSpaceDN w:val="0"/>
        <w:adjustRightInd w:val="0"/>
        <w:jc w:val="both"/>
        <w:rPr>
          <w:rFonts w:ascii="Arial" w:hAnsi="Arial" w:cs="Arial"/>
          <w:sz w:val="24"/>
          <w:szCs w:val="24"/>
          <w:lang w:eastAsia="en-GB"/>
        </w:rPr>
      </w:pPr>
      <w:r>
        <w:rPr>
          <w:rFonts w:ascii="Arial" w:hAnsi="Arial" w:cs="Arial"/>
          <w:sz w:val="24"/>
          <w:szCs w:val="24"/>
          <w:lang w:eastAsia="en-GB"/>
        </w:rPr>
        <w:t xml:space="preserve">Should the appellant remain dissatisfied after the Stage 2 outcome, they may refer the complaint or dispute to the Pensions Ombudsman for determination. </w:t>
      </w:r>
    </w:p>
    <w:p w14:paraId="66BCED13" w14:textId="77777777" w:rsidR="00704822" w:rsidRDefault="00704822" w:rsidP="00704822">
      <w:pPr>
        <w:autoSpaceDE w:val="0"/>
        <w:autoSpaceDN w:val="0"/>
        <w:adjustRightInd w:val="0"/>
        <w:jc w:val="both"/>
        <w:rPr>
          <w:rFonts w:ascii="Arial" w:hAnsi="Arial" w:cs="Arial"/>
          <w:sz w:val="24"/>
          <w:szCs w:val="24"/>
          <w:lang w:eastAsia="en-GB"/>
        </w:rPr>
      </w:pPr>
    </w:p>
    <w:p w14:paraId="78DFF087" w14:textId="77777777" w:rsidR="00704822" w:rsidRDefault="00704822" w:rsidP="00704822">
      <w:pPr>
        <w:autoSpaceDE w:val="0"/>
        <w:autoSpaceDN w:val="0"/>
        <w:adjustRightInd w:val="0"/>
        <w:jc w:val="both"/>
        <w:rPr>
          <w:rFonts w:ascii="Arial" w:hAnsi="Arial" w:cs="Arial"/>
          <w:sz w:val="24"/>
          <w:szCs w:val="24"/>
          <w:lang w:eastAsia="en-GB"/>
        </w:rPr>
      </w:pPr>
      <w:r>
        <w:rPr>
          <w:rFonts w:ascii="Arial" w:hAnsi="Arial" w:cs="Arial"/>
          <w:sz w:val="24"/>
          <w:szCs w:val="24"/>
          <w:lang w:eastAsia="en-GB"/>
        </w:rPr>
        <w:t>An analysis of the dispute cases raised during the year to 31 March 2022 is as follows:</w:t>
      </w:r>
    </w:p>
    <w:p w14:paraId="421B6A32" w14:textId="77777777" w:rsidR="00704822" w:rsidRDefault="00704822" w:rsidP="00704822">
      <w:pPr>
        <w:autoSpaceDE w:val="0"/>
        <w:autoSpaceDN w:val="0"/>
        <w:adjustRightInd w:val="0"/>
        <w:jc w:val="both"/>
        <w:rPr>
          <w:rFonts w:ascii="Arial"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2174"/>
        <w:gridCol w:w="2175"/>
      </w:tblGrid>
      <w:tr w:rsidR="00704822" w:rsidRPr="001310EB" w14:paraId="36BDBF2B" w14:textId="77777777" w:rsidTr="001310EB">
        <w:tc>
          <w:tcPr>
            <w:tcW w:w="4928" w:type="dxa"/>
            <w:tcBorders>
              <w:top w:val="single" w:sz="4" w:space="0" w:color="auto"/>
              <w:left w:val="single" w:sz="4" w:space="0" w:color="auto"/>
              <w:bottom w:val="single" w:sz="4" w:space="0" w:color="auto"/>
              <w:right w:val="single" w:sz="4" w:space="0" w:color="auto"/>
            </w:tcBorders>
            <w:shd w:val="clear" w:color="auto" w:fill="auto"/>
            <w:hideMark/>
          </w:tcPr>
          <w:p w14:paraId="30C5E372" w14:textId="77777777" w:rsidR="00704822" w:rsidRPr="001310EB" w:rsidRDefault="00704822" w:rsidP="001310EB">
            <w:pPr>
              <w:autoSpaceDE w:val="0"/>
              <w:autoSpaceDN w:val="0"/>
              <w:adjustRightInd w:val="0"/>
              <w:jc w:val="both"/>
              <w:rPr>
                <w:rFonts w:ascii="Arial" w:hAnsi="Arial" w:cs="Arial"/>
                <w:b/>
                <w:sz w:val="24"/>
                <w:szCs w:val="24"/>
                <w:lang w:eastAsia="en-GB"/>
              </w:rPr>
            </w:pPr>
            <w:r w:rsidRPr="001310EB">
              <w:rPr>
                <w:rFonts w:ascii="Arial" w:hAnsi="Arial" w:cs="Arial"/>
                <w:b/>
                <w:sz w:val="24"/>
                <w:szCs w:val="24"/>
                <w:lang w:eastAsia="en-GB"/>
              </w:rPr>
              <w:t>Stage</w:t>
            </w:r>
          </w:p>
        </w:tc>
        <w:tc>
          <w:tcPr>
            <w:tcW w:w="2261" w:type="dxa"/>
            <w:tcBorders>
              <w:top w:val="single" w:sz="4" w:space="0" w:color="auto"/>
              <w:left w:val="single" w:sz="4" w:space="0" w:color="auto"/>
              <w:bottom w:val="single" w:sz="4" w:space="0" w:color="auto"/>
              <w:right w:val="single" w:sz="4" w:space="0" w:color="auto"/>
            </w:tcBorders>
            <w:shd w:val="clear" w:color="auto" w:fill="auto"/>
            <w:hideMark/>
          </w:tcPr>
          <w:p w14:paraId="32B359BE" w14:textId="77777777" w:rsidR="00704822" w:rsidRPr="001310EB" w:rsidRDefault="00704822" w:rsidP="001310EB">
            <w:pPr>
              <w:autoSpaceDE w:val="0"/>
              <w:autoSpaceDN w:val="0"/>
              <w:adjustRightInd w:val="0"/>
              <w:jc w:val="both"/>
              <w:rPr>
                <w:rFonts w:ascii="Arial" w:hAnsi="Arial" w:cs="Arial"/>
                <w:b/>
                <w:sz w:val="24"/>
                <w:szCs w:val="24"/>
                <w:lang w:eastAsia="en-GB"/>
              </w:rPr>
            </w:pPr>
            <w:r w:rsidRPr="001310EB">
              <w:rPr>
                <w:rFonts w:ascii="Arial" w:hAnsi="Arial" w:cs="Arial"/>
                <w:b/>
                <w:sz w:val="24"/>
                <w:szCs w:val="24"/>
                <w:lang w:eastAsia="en-GB"/>
              </w:rPr>
              <w:t>No. of Appeals</w:t>
            </w:r>
          </w:p>
        </w:tc>
        <w:tc>
          <w:tcPr>
            <w:tcW w:w="2262" w:type="dxa"/>
            <w:tcBorders>
              <w:top w:val="single" w:sz="4" w:space="0" w:color="auto"/>
              <w:left w:val="single" w:sz="4" w:space="0" w:color="auto"/>
              <w:bottom w:val="single" w:sz="4" w:space="0" w:color="auto"/>
              <w:right w:val="single" w:sz="4" w:space="0" w:color="auto"/>
            </w:tcBorders>
            <w:shd w:val="clear" w:color="auto" w:fill="auto"/>
            <w:hideMark/>
          </w:tcPr>
          <w:p w14:paraId="258692E2" w14:textId="77777777" w:rsidR="00704822" w:rsidRPr="001310EB" w:rsidRDefault="00704822" w:rsidP="001310EB">
            <w:pPr>
              <w:autoSpaceDE w:val="0"/>
              <w:autoSpaceDN w:val="0"/>
              <w:adjustRightInd w:val="0"/>
              <w:jc w:val="both"/>
              <w:rPr>
                <w:rFonts w:ascii="Arial" w:hAnsi="Arial" w:cs="Arial"/>
                <w:b/>
                <w:sz w:val="24"/>
                <w:szCs w:val="24"/>
                <w:lang w:eastAsia="en-GB"/>
              </w:rPr>
            </w:pPr>
            <w:r w:rsidRPr="001310EB">
              <w:rPr>
                <w:rFonts w:ascii="Arial" w:hAnsi="Arial" w:cs="Arial"/>
                <w:b/>
                <w:sz w:val="24"/>
                <w:szCs w:val="24"/>
                <w:lang w:eastAsia="en-GB"/>
              </w:rPr>
              <w:t>Appeals upheld</w:t>
            </w:r>
          </w:p>
        </w:tc>
      </w:tr>
      <w:tr w:rsidR="00704822" w:rsidRPr="001310EB" w14:paraId="03A87ACE" w14:textId="77777777" w:rsidTr="001310EB">
        <w:tc>
          <w:tcPr>
            <w:tcW w:w="4928" w:type="dxa"/>
            <w:tcBorders>
              <w:top w:val="single" w:sz="4" w:space="0" w:color="auto"/>
              <w:left w:val="single" w:sz="4" w:space="0" w:color="auto"/>
              <w:bottom w:val="single" w:sz="4" w:space="0" w:color="auto"/>
              <w:right w:val="single" w:sz="4" w:space="0" w:color="auto"/>
            </w:tcBorders>
            <w:shd w:val="clear" w:color="auto" w:fill="auto"/>
            <w:hideMark/>
          </w:tcPr>
          <w:p w14:paraId="285BB102" w14:textId="77777777" w:rsidR="00704822" w:rsidRPr="001310EB" w:rsidRDefault="00704822" w:rsidP="001310EB">
            <w:pPr>
              <w:autoSpaceDE w:val="0"/>
              <w:autoSpaceDN w:val="0"/>
              <w:adjustRightInd w:val="0"/>
              <w:jc w:val="both"/>
              <w:rPr>
                <w:rFonts w:ascii="Arial" w:hAnsi="Arial" w:cs="Arial"/>
                <w:sz w:val="24"/>
                <w:szCs w:val="24"/>
                <w:lang w:eastAsia="en-GB"/>
              </w:rPr>
            </w:pPr>
            <w:r w:rsidRPr="001310EB">
              <w:rPr>
                <w:rFonts w:ascii="Arial" w:hAnsi="Arial" w:cs="Arial"/>
                <w:sz w:val="24"/>
                <w:szCs w:val="24"/>
                <w:lang w:eastAsia="en-GB"/>
              </w:rPr>
              <w:t>Stage 1</w:t>
            </w:r>
          </w:p>
        </w:tc>
        <w:tc>
          <w:tcPr>
            <w:tcW w:w="2261" w:type="dxa"/>
            <w:tcBorders>
              <w:top w:val="single" w:sz="4" w:space="0" w:color="auto"/>
              <w:left w:val="single" w:sz="4" w:space="0" w:color="auto"/>
              <w:bottom w:val="single" w:sz="4" w:space="0" w:color="auto"/>
              <w:right w:val="single" w:sz="4" w:space="0" w:color="auto"/>
            </w:tcBorders>
            <w:shd w:val="clear" w:color="auto" w:fill="auto"/>
            <w:hideMark/>
          </w:tcPr>
          <w:p w14:paraId="60A27224" w14:textId="77777777" w:rsidR="00704822" w:rsidRPr="001310EB" w:rsidRDefault="00704822" w:rsidP="001310EB">
            <w:pPr>
              <w:autoSpaceDE w:val="0"/>
              <w:autoSpaceDN w:val="0"/>
              <w:adjustRightInd w:val="0"/>
              <w:jc w:val="center"/>
              <w:rPr>
                <w:rFonts w:ascii="Arial" w:hAnsi="Arial" w:cs="Arial"/>
                <w:sz w:val="24"/>
                <w:szCs w:val="24"/>
                <w:lang w:eastAsia="en-GB"/>
              </w:rPr>
            </w:pPr>
            <w:r w:rsidRPr="001310EB">
              <w:rPr>
                <w:rFonts w:ascii="Arial" w:hAnsi="Arial" w:cs="Arial"/>
                <w:sz w:val="24"/>
                <w:szCs w:val="24"/>
                <w:lang w:eastAsia="en-GB"/>
              </w:rPr>
              <w:t>2</w:t>
            </w:r>
          </w:p>
        </w:tc>
        <w:tc>
          <w:tcPr>
            <w:tcW w:w="2262" w:type="dxa"/>
            <w:tcBorders>
              <w:top w:val="single" w:sz="4" w:space="0" w:color="auto"/>
              <w:left w:val="single" w:sz="4" w:space="0" w:color="auto"/>
              <w:bottom w:val="single" w:sz="4" w:space="0" w:color="auto"/>
              <w:right w:val="single" w:sz="4" w:space="0" w:color="auto"/>
            </w:tcBorders>
            <w:shd w:val="clear" w:color="auto" w:fill="auto"/>
            <w:hideMark/>
          </w:tcPr>
          <w:p w14:paraId="5301B5CE" w14:textId="77777777" w:rsidR="00704822" w:rsidRPr="001310EB" w:rsidRDefault="00704822" w:rsidP="001310EB">
            <w:pPr>
              <w:autoSpaceDE w:val="0"/>
              <w:autoSpaceDN w:val="0"/>
              <w:adjustRightInd w:val="0"/>
              <w:jc w:val="center"/>
              <w:rPr>
                <w:rFonts w:ascii="Arial" w:hAnsi="Arial" w:cs="Arial"/>
                <w:sz w:val="24"/>
                <w:szCs w:val="24"/>
                <w:lang w:eastAsia="en-GB"/>
              </w:rPr>
            </w:pPr>
            <w:r w:rsidRPr="001310EB">
              <w:rPr>
                <w:rFonts w:ascii="Arial" w:hAnsi="Arial" w:cs="Arial"/>
                <w:sz w:val="24"/>
                <w:szCs w:val="24"/>
                <w:lang w:eastAsia="en-GB"/>
              </w:rPr>
              <w:t>0</w:t>
            </w:r>
          </w:p>
        </w:tc>
      </w:tr>
      <w:tr w:rsidR="00704822" w:rsidRPr="001310EB" w14:paraId="0D60DE79" w14:textId="77777777" w:rsidTr="001310EB">
        <w:tc>
          <w:tcPr>
            <w:tcW w:w="4928" w:type="dxa"/>
            <w:tcBorders>
              <w:top w:val="single" w:sz="4" w:space="0" w:color="auto"/>
              <w:left w:val="single" w:sz="4" w:space="0" w:color="auto"/>
              <w:bottom w:val="single" w:sz="4" w:space="0" w:color="auto"/>
              <w:right w:val="single" w:sz="4" w:space="0" w:color="auto"/>
            </w:tcBorders>
            <w:shd w:val="clear" w:color="auto" w:fill="auto"/>
            <w:hideMark/>
          </w:tcPr>
          <w:p w14:paraId="717BD194" w14:textId="77777777" w:rsidR="00704822" w:rsidRPr="001310EB" w:rsidRDefault="00704822" w:rsidP="001310EB">
            <w:pPr>
              <w:autoSpaceDE w:val="0"/>
              <w:autoSpaceDN w:val="0"/>
              <w:adjustRightInd w:val="0"/>
              <w:jc w:val="both"/>
              <w:rPr>
                <w:rFonts w:ascii="Arial" w:hAnsi="Arial" w:cs="Arial"/>
                <w:sz w:val="24"/>
                <w:szCs w:val="24"/>
                <w:lang w:eastAsia="en-GB"/>
              </w:rPr>
            </w:pPr>
            <w:r w:rsidRPr="001310EB">
              <w:rPr>
                <w:rFonts w:ascii="Arial" w:hAnsi="Arial" w:cs="Arial"/>
                <w:sz w:val="24"/>
                <w:szCs w:val="24"/>
                <w:lang w:eastAsia="en-GB"/>
              </w:rPr>
              <w:t>Stage 2</w:t>
            </w:r>
          </w:p>
        </w:tc>
        <w:tc>
          <w:tcPr>
            <w:tcW w:w="2261" w:type="dxa"/>
            <w:tcBorders>
              <w:top w:val="single" w:sz="4" w:space="0" w:color="auto"/>
              <w:left w:val="single" w:sz="4" w:space="0" w:color="auto"/>
              <w:bottom w:val="single" w:sz="4" w:space="0" w:color="auto"/>
              <w:right w:val="single" w:sz="4" w:space="0" w:color="auto"/>
            </w:tcBorders>
            <w:shd w:val="clear" w:color="auto" w:fill="auto"/>
            <w:hideMark/>
          </w:tcPr>
          <w:p w14:paraId="36240311" w14:textId="77777777" w:rsidR="00704822" w:rsidRPr="001310EB" w:rsidRDefault="00704822" w:rsidP="001310EB">
            <w:pPr>
              <w:autoSpaceDE w:val="0"/>
              <w:autoSpaceDN w:val="0"/>
              <w:adjustRightInd w:val="0"/>
              <w:jc w:val="center"/>
              <w:rPr>
                <w:rFonts w:ascii="Arial" w:hAnsi="Arial" w:cs="Arial"/>
                <w:sz w:val="24"/>
                <w:szCs w:val="24"/>
                <w:lang w:eastAsia="en-GB"/>
              </w:rPr>
            </w:pPr>
            <w:r w:rsidRPr="001310EB">
              <w:rPr>
                <w:rFonts w:ascii="Arial" w:hAnsi="Arial" w:cs="Arial"/>
                <w:sz w:val="24"/>
                <w:szCs w:val="24"/>
                <w:lang w:eastAsia="en-GB"/>
              </w:rPr>
              <w:t>2</w:t>
            </w:r>
          </w:p>
        </w:tc>
        <w:tc>
          <w:tcPr>
            <w:tcW w:w="2262" w:type="dxa"/>
            <w:tcBorders>
              <w:top w:val="single" w:sz="4" w:space="0" w:color="auto"/>
              <w:left w:val="single" w:sz="4" w:space="0" w:color="auto"/>
              <w:bottom w:val="single" w:sz="4" w:space="0" w:color="auto"/>
              <w:right w:val="single" w:sz="4" w:space="0" w:color="auto"/>
            </w:tcBorders>
            <w:shd w:val="clear" w:color="auto" w:fill="auto"/>
            <w:hideMark/>
          </w:tcPr>
          <w:p w14:paraId="1E967706" w14:textId="77777777" w:rsidR="00704822" w:rsidRPr="001310EB" w:rsidRDefault="00704822" w:rsidP="001310EB">
            <w:pPr>
              <w:autoSpaceDE w:val="0"/>
              <w:autoSpaceDN w:val="0"/>
              <w:adjustRightInd w:val="0"/>
              <w:jc w:val="center"/>
              <w:rPr>
                <w:rFonts w:ascii="Arial" w:hAnsi="Arial" w:cs="Arial"/>
                <w:sz w:val="24"/>
                <w:szCs w:val="24"/>
                <w:lang w:eastAsia="en-GB"/>
              </w:rPr>
            </w:pPr>
            <w:r w:rsidRPr="001310EB">
              <w:rPr>
                <w:rFonts w:ascii="Arial" w:hAnsi="Arial" w:cs="Arial"/>
                <w:sz w:val="24"/>
                <w:szCs w:val="24"/>
                <w:lang w:eastAsia="en-GB"/>
              </w:rPr>
              <w:t>0</w:t>
            </w:r>
          </w:p>
        </w:tc>
      </w:tr>
      <w:tr w:rsidR="00704822" w:rsidRPr="001310EB" w14:paraId="0F3FB932" w14:textId="77777777" w:rsidTr="001310EB">
        <w:tc>
          <w:tcPr>
            <w:tcW w:w="4928" w:type="dxa"/>
            <w:tcBorders>
              <w:top w:val="single" w:sz="4" w:space="0" w:color="auto"/>
              <w:left w:val="single" w:sz="4" w:space="0" w:color="auto"/>
              <w:bottom w:val="single" w:sz="4" w:space="0" w:color="auto"/>
              <w:right w:val="single" w:sz="4" w:space="0" w:color="auto"/>
            </w:tcBorders>
            <w:shd w:val="clear" w:color="auto" w:fill="auto"/>
            <w:hideMark/>
          </w:tcPr>
          <w:p w14:paraId="584391C3" w14:textId="77777777" w:rsidR="00704822" w:rsidRPr="001310EB" w:rsidRDefault="00704822" w:rsidP="001310EB">
            <w:pPr>
              <w:autoSpaceDE w:val="0"/>
              <w:autoSpaceDN w:val="0"/>
              <w:adjustRightInd w:val="0"/>
              <w:rPr>
                <w:rFonts w:ascii="Arial" w:hAnsi="Arial" w:cs="Arial"/>
                <w:sz w:val="24"/>
                <w:szCs w:val="24"/>
                <w:lang w:eastAsia="en-GB"/>
              </w:rPr>
            </w:pPr>
            <w:r w:rsidRPr="001310EB">
              <w:rPr>
                <w:rFonts w:ascii="Arial" w:hAnsi="Arial" w:cs="Arial"/>
                <w:sz w:val="24"/>
                <w:szCs w:val="24"/>
                <w:lang w:eastAsia="en-GB"/>
              </w:rPr>
              <w:t>Referred to Pensions Ombudsman</w:t>
            </w:r>
          </w:p>
        </w:tc>
        <w:tc>
          <w:tcPr>
            <w:tcW w:w="2261" w:type="dxa"/>
            <w:tcBorders>
              <w:top w:val="single" w:sz="4" w:space="0" w:color="auto"/>
              <w:left w:val="single" w:sz="4" w:space="0" w:color="auto"/>
              <w:bottom w:val="single" w:sz="4" w:space="0" w:color="auto"/>
              <w:right w:val="single" w:sz="4" w:space="0" w:color="auto"/>
            </w:tcBorders>
            <w:shd w:val="clear" w:color="auto" w:fill="auto"/>
            <w:hideMark/>
          </w:tcPr>
          <w:p w14:paraId="333BBC75" w14:textId="77777777" w:rsidR="00704822" w:rsidRPr="001310EB" w:rsidRDefault="00704822" w:rsidP="001310EB">
            <w:pPr>
              <w:autoSpaceDE w:val="0"/>
              <w:autoSpaceDN w:val="0"/>
              <w:adjustRightInd w:val="0"/>
              <w:jc w:val="center"/>
              <w:rPr>
                <w:rFonts w:ascii="Arial" w:hAnsi="Arial" w:cs="Arial"/>
                <w:sz w:val="24"/>
                <w:szCs w:val="24"/>
                <w:lang w:eastAsia="en-GB"/>
              </w:rPr>
            </w:pPr>
            <w:r w:rsidRPr="001310EB">
              <w:rPr>
                <w:rFonts w:ascii="Arial" w:hAnsi="Arial" w:cs="Arial"/>
                <w:sz w:val="24"/>
                <w:szCs w:val="24"/>
                <w:lang w:eastAsia="en-GB"/>
              </w:rPr>
              <w:t>2</w:t>
            </w:r>
          </w:p>
        </w:tc>
        <w:tc>
          <w:tcPr>
            <w:tcW w:w="2262" w:type="dxa"/>
            <w:tcBorders>
              <w:top w:val="single" w:sz="4" w:space="0" w:color="auto"/>
              <w:left w:val="single" w:sz="4" w:space="0" w:color="auto"/>
              <w:bottom w:val="single" w:sz="4" w:space="0" w:color="auto"/>
              <w:right w:val="single" w:sz="4" w:space="0" w:color="auto"/>
            </w:tcBorders>
            <w:shd w:val="clear" w:color="auto" w:fill="auto"/>
            <w:hideMark/>
          </w:tcPr>
          <w:p w14:paraId="15B9AD72" w14:textId="77777777" w:rsidR="00704822" w:rsidRPr="001310EB" w:rsidRDefault="00704822" w:rsidP="001310EB">
            <w:pPr>
              <w:autoSpaceDE w:val="0"/>
              <w:autoSpaceDN w:val="0"/>
              <w:adjustRightInd w:val="0"/>
              <w:jc w:val="center"/>
              <w:rPr>
                <w:rFonts w:ascii="Arial" w:hAnsi="Arial" w:cs="Arial"/>
                <w:sz w:val="24"/>
                <w:szCs w:val="24"/>
                <w:lang w:eastAsia="en-GB"/>
              </w:rPr>
            </w:pPr>
            <w:r w:rsidRPr="001310EB">
              <w:rPr>
                <w:rFonts w:ascii="Arial" w:hAnsi="Arial" w:cs="Arial"/>
                <w:sz w:val="24"/>
                <w:szCs w:val="24"/>
                <w:lang w:eastAsia="en-GB"/>
              </w:rPr>
              <w:t>Ongoing</w:t>
            </w:r>
          </w:p>
        </w:tc>
      </w:tr>
    </w:tbl>
    <w:p w14:paraId="1AB07148" w14:textId="77777777" w:rsidR="00704822" w:rsidRDefault="00704822" w:rsidP="00704822">
      <w:pPr>
        <w:rPr>
          <w:rFonts w:ascii="Arial" w:hAnsi="Arial" w:cs="Arial"/>
          <w:sz w:val="24"/>
          <w:szCs w:val="24"/>
        </w:rPr>
      </w:pPr>
    </w:p>
    <w:p w14:paraId="7DF6A0E2" w14:textId="77777777" w:rsidR="00704822" w:rsidRDefault="00704822" w:rsidP="00704822">
      <w:pPr>
        <w:jc w:val="both"/>
        <w:rPr>
          <w:rFonts w:ascii="Arial" w:hAnsi="Arial" w:cs="Arial"/>
          <w:sz w:val="24"/>
          <w:szCs w:val="24"/>
        </w:rPr>
      </w:pPr>
      <w:r>
        <w:rPr>
          <w:rFonts w:ascii="Arial" w:hAnsi="Arial" w:cs="Arial"/>
          <w:sz w:val="24"/>
          <w:szCs w:val="24"/>
        </w:rPr>
        <w:t xml:space="preserve">Please note that the two Stage 1 appeals progressed to stage 2 and furthermore to the Pension Ombudsman for independent adjudication.  A complaint submitted to the Pension Ombudsman in 2019/2020 by a pensioner member is still outstanding and we are awaiting receipt of the adjudicator’s opinion.  </w:t>
      </w:r>
    </w:p>
    <w:p w14:paraId="7986F41C" w14:textId="77777777" w:rsidR="00704822" w:rsidRDefault="00704822" w:rsidP="00704822">
      <w:pPr>
        <w:jc w:val="both"/>
        <w:rPr>
          <w:rFonts w:ascii="Arial" w:hAnsi="Arial" w:cs="Arial"/>
          <w:b/>
          <w:bCs/>
          <w:sz w:val="24"/>
          <w:szCs w:val="24"/>
          <w:lang w:eastAsia="en-GB"/>
        </w:rPr>
      </w:pPr>
    </w:p>
    <w:p w14:paraId="494FD9AC" w14:textId="77777777" w:rsidR="00704822" w:rsidRDefault="00704822" w:rsidP="00704822">
      <w:pPr>
        <w:jc w:val="both"/>
        <w:rPr>
          <w:rFonts w:ascii="Arial" w:hAnsi="Arial" w:cs="Arial"/>
          <w:b/>
          <w:bCs/>
          <w:sz w:val="24"/>
          <w:szCs w:val="24"/>
          <w:lang w:eastAsia="en-GB"/>
        </w:rPr>
      </w:pPr>
      <w:r>
        <w:rPr>
          <w:rFonts w:ascii="Arial" w:hAnsi="Arial" w:cs="Arial"/>
          <w:b/>
          <w:bCs/>
          <w:sz w:val="24"/>
          <w:szCs w:val="24"/>
          <w:lang w:eastAsia="en-GB"/>
        </w:rPr>
        <w:t>Communications</w:t>
      </w:r>
    </w:p>
    <w:p w14:paraId="175E6CEF" w14:textId="77777777" w:rsidR="00704822" w:rsidRDefault="00704822" w:rsidP="00704822">
      <w:pPr>
        <w:jc w:val="both"/>
        <w:rPr>
          <w:rFonts w:ascii="Arial" w:hAnsi="Arial" w:cs="Arial"/>
          <w:b/>
          <w:bCs/>
          <w:sz w:val="24"/>
          <w:szCs w:val="24"/>
          <w:lang w:eastAsia="en-GB"/>
        </w:rPr>
      </w:pPr>
    </w:p>
    <w:p w14:paraId="1C85D150" w14:textId="77777777" w:rsidR="00704822" w:rsidRDefault="00704822" w:rsidP="00704822">
      <w:pPr>
        <w:jc w:val="both"/>
        <w:rPr>
          <w:rFonts w:ascii="Arial" w:hAnsi="Arial" w:cs="Arial"/>
          <w:bCs/>
          <w:sz w:val="24"/>
          <w:szCs w:val="24"/>
          <w:lang w:eastAsia="en-GB"/>
        </w:rPr>
      </w:pPr>
      <w:r>
        <w:rPr>
          <w:rFonts w:ascii="Arial" w:hAnsi="Arial" w:cs="Arial"/>
          <w:bCs/>
          <w:sz w:val="24"/>
          <w:szCs w:val="24"/>
          <w:lang w:eastAsia="en-GB"/>
        </w:rPr>
        <w:t xml:space="preserve">The Fund is required to have a formal Communications Policy Statement under the regulations, which sets out the mechanisms used to meet its communication needs </w:t>
      </w:r>
      <w:r w:rsidRPr="00F400D2">
        <w:rPr>
          <w:rFonts w:ascii="Arial" w:hAnsi="Arial" w:cs="Arial"/>
          <w:bCs/>
          <w:sz w:val="24"/>
          <w:szCs w:val="24"/>
          <w:lang w:eastAsia="en-GB"/>
        </w:rPr>
        <w:t>(see Appendix</w:t>
      </w:r>
      <w:r w:rsidR="00F400D2" w:rsidRPr="00F400D2">
        <w:rPr>
          <w:rFonts w:ascii="Arial" w:hAnsi="Arial" w:cs="Arial"/>
          <w:bCs/>
          <w:sz w:val="24"/>
          <w:szCs w:val="24"/>
          <w:lang w:eastAsia="en-GB"/>
        </w:rPr>
        <w:t xml:space="preserve"> 10</w:t>
      </w:r>
      <w:r w:rsidRPr="00F400D2">
        <w:rPr>
          <w:rFonts w:ascii="Arial" w:hAnsi="Arial" w:cs="Arial"/>
          <w:bCs/>
          <w:sz w:val="24"/>
          <w:szCs w:val="24"/>
          <w:lang w:eastAsia="en-GB"/>
        </w:rPr>
        <w:t>).</w:t>
      </w:r>
    </w:p>
    <w:p w14:paraId="54BB9E49" w14:textId="77777777" w:rsidR="00704822" w:rsidRDefault="00704822" w:rsidP="00704822">
      <w:pPr>
        <w:jc w:val="both"/>
        <w:rPr>
          <w:rFonts w:ascii="Arial" w:hAnsi="Arial" w:cs="Arial"/>
          <w:bCs/>
          <w:sz w:val="24"/>
          <w:szCs w:val="24"/>
          <w:lang w:eastAsia="en-GB"/>
        </w:rPr>
      </w:pPr>
    </w:p>
    <w:p w14:paraId="3CB44783" w14:textId="77777777" w:rsidR="00704822" w:rsidRDefault="00704822" w:rsidP="00704822">
      <w:pPr>
        <w:jc w:val="both"/>
        <w:rPr>
          <w:rFonts w:ascii="Arial" w:hAnsi="Arial" w:cs="Arial"/>
          <w:bCs/>
          <w:sz w:val="24"/>
          <w:szCs w:val="24"/>
          <w:lang w:eastAsia="en-GB"/>
        </w:rPr>
      </w:pPr>
      <w:r>
        <w:rPr>
          <w:rFonts w:ascii="Arial" w:hAnsi="Arial" w:cs="Arial"/>
          <w:bCs/>
          <w:sz w:val="24"/>
          <w:szCs w:val="24"/>
          <w:lang w:eastAsia="en-GB"/>
        </w:rPr>
        <w:t xml:space="preserve">During 2021/22, the Fund member engagement focussed primarily on Covid-19 related activity.  The Section updated the Business Continuity plan to provide assurances on the continued service levels.  </w:t>
      </w:r>
    </w:p>
    <w:p w14:paraId="6B284321" w14:textId="77777777" w:rsidR="00704822" w:rsidRDefault="00704822" w:rsidP="00704822">
      <w:pPr>
        <w:jc w:val="both"/>
        <w:rPr>
          <w:rFonts w:ascii="Arial" w:hAnsi="Arial" w:cs="Arial"/>
          <w:bCs/>
          <w:sz w:val="24"/>
          <w:szCs w:val="24"/>
          <w:lang w:eastAsia="en-GB"/>
        </w:rPr>
      </w:pPr>
    </w:p>
    <w:p w14:paraId="02A44154" w14:textId="77777777" w:rsidR="00704822" w:rsidRDefault="00704822" w:rsidP="00704822">
      <w:pPr>
        <w:jc w:val="both"/>
        <w:rPr>
          <w:rFonts w:ascii="Arial" w:hAnsi="Arial" w:cs="Arial"/>
          <w:bCs/>
          <w:sz w:val="24"/>
          <w:szCs w:val="24"/>
          <w:lang w:eastAsia="en-GB"/>
        </w:rPr>
      </w:pPr>
      <w:r>
        <w:rPr>
          <w:rFonts w:ascii="Arial" w:hAnsi="Arial" w:cs="Arial"/>
          <w:bCs/>
          <w:sz w:val="24"/>
          <w:szCs w:val="24"/>
          <w:lang w:eastAsia="en-GB"/>
        </w:rPr>
        <w:t>With the digital world constantly evolving the Fund continues to review the way in which it engages/communicates with its stakeholders in order to meet both member and employer expectations.  The Fund continues to keep employers and members updated with the latest changes affecting the scheme, options to increase pension entitlements, Annual and Lifetime Allowance pension tax implications and any other legislative changes.  The key activity being:</w:t>
      </w:r>
    </w:p>
    <w:p w14:paraId="726ADC33" w14:textId="77777777" w:rsidR="00704822" w:rsidRDefault="00704822" w:rsidP="00704822">
      <w:pPr>
        <w:jc w:val="both"/>
        <w:rPr>
          <w:rFonts w:ascii="Arial" w:hAnsi="Arial" w:cs="Arial"/>
          <w:bCs/>
          <w:sz w:val="24"/>
          <w:szCs w:val="24"/>
          <w:lang w:eastAsia="en-GB"/>
        </w:rPr>
      </w:pPr>
    </w:p>
    <w:p w14:paraId="088E8293" w14:textId="77777777" w:rsidR="00704822" w:rsidRDefault="00704822" w:rsidP="0073304A">
      <w:pPr>
        <w:pStyle w:val="ListParagraph"/>
        <w:numPr>
          <w:ilvl w:val="0"/>
          <w:numId w:val="112"/>
        </w:numPr>
        <w:jc w:val="both"/>
        <w:rPr>
          <w:rFonts w:cs="Arial"/>
          <w:bCs/>
          <w:sz w:val="24"/>
        </w:rPr>
      </w:pPr>
      <w:r>
        <w:rPr>
          <w:rFonts w:cs="Arial"/>
          <w:bCs/>
          <w:sz w:val="24"/>
        </w:rPr>
        <w:t>Member roadshows have been temporarily suspended due to the pandemic</w:t>
      </w:r>
    </w:p>
    <w:p w14:paraId="5E33F720" w14:textId="77777777" w:rsidR="00704822" w:rsidRDefault="00704822" w:rsidP="00704822">
      <w:pPr>
        <w:jc w:val="both"/>
        <w:rPr>
          <w:rFonts w:ascii="Arial" w:hAnsi="Arial" w:cs="Arial"/>
          <w:bCs/>
          <w:sz w:val="24"/>
          <w:szCs w:val="24"/>
          <w:lang w:eastAsia="en-GB"/>
        </w:rPr>
      </w:pPr>
    </w:p>
    <w:p w14:paraId="0A9C6989" w14:textId="77777777" w:rsidR="00704822" w:rsidRDefault="00704822" w:rsidP="0073304A">
      <w:pPr>
        <w:pStyle w:val="ListParagraph"/>
        <w:numPr>
          <w:ilvl w:val="0"/>
          <w:numId w:val="113"/>
        </w:numPr>
        <w:ind w:left="720"/>
        <w:jc w:val="both"/>
        <w:rPr>
          <w:rFonts w:cs="Arial"/>
          <w:bCs/>
          <w:sz w:val="24"/>
        </w:rPr>
      </w:pPr>
      <w:r>
        <w:rPr>
          <w:rFonts w:cs="Arial"/>
          <w:bCs/>
          <w:sz w:val="24"/>
        </w:rPr>
        <w:lastRenderedPageBreak/>
        <w:t>Attending member pre-retirement courses by virtual means</w:t>
      </w:r>
    </w:p>
    <w:p w14:paraId="2D895741" w14:textId="77777777" w:rsidR="00704822" w:rsidRDefault="00704822" w:rsidP="00704822">
      <w:pPr>
        <w:jc w:val="both"/>
        <w:rPr>
          <w:rFonts w:cs="Arial"/>
          <w:bCs/>
          <w:sz w:val="24"/>
        </w:rPr>
      </w:pPr>
    </w:p>
    <w:p w14:paraId="08E53215" w14:textId="77777777" w:rsidR="00704822" w:rsidRDefault="00704822" w:rsidP="0073304A">
      <w:pPr>
        <w:pStyle w:val="ListParagraph"/>
        <w:numPr>
          <w:ilvl w:val="0"/>
          <w:numId w:val="113"/>
        </w:numPr>
        <w:ind w:left="720"/>
        <w:jc w:val="both"/>
        <w:rPr>
          <w:rFonts w:cs="Arial"/>
          <w:bCs/>
          <w:sz w:val="24"/>
        </w:rPr>
      </w:pPr>
      <w:r>
        <w:rPr>
          <w:rFonts w:cs="Arial"/>
          <w:bCs/>
          <w:sz w:val="24"/>
        </w:rPr>
        <w:t>Distribution of Annual Benefit Statements to both active and deferred members</w:t>
      </w:r>
    </w:p>
    <w:p w14:paraId="5BBEFE75" w14:textId="77777777" w:rsidR="00704822" w:rsidRDefault="00704822" w:rsidP="00704822">
      <w:pPr>
        <w:ind w:left="360"/>
        <w:jc w:val="both"/>
        <w:rPr>
          <w:rFonts w:cs="Arial"/>
          <w:bCs/>
          <w:sz w:val="24"/>
        </w:rPr>
      </w:pPr>
    </w:p>
    <w:p w14:paraId="4934BC80" w14:textId="77777777" w:rsidR="00704822" w:rsidRDefault="00704822" w:rsidP="0073304A">
      <w:pPr>
        <w:pStyle w:val="ListParagraph"/>
        <w:numPr>
          <w:ilvl w:val="0"/>
          <w:numId w:val="113"/>
        </w:numPr>
        <w:ind w:left="720"/>
        <w:jc w:val="both"/>
        <w:rPr>
          <w:sz w:val="24"/>
        </w:rPr>
      </w:pPr>
      <w:r>
        <w:rPr>
          <w:sz w:val="24"/>
        </w:rPr>
        <w:t>Newsletters sent to both Active members and Pensioner members</w:t>
      </w:r>
    </w:p>
    <w:p w14:paraId="073046DB" w14:textId="77777777" w:rsidR="00704822" w:rsidRDefault="00704822" w:rsidP="00704822">
      <w:pPr>
        <w:ind w:left="360"/>
        <w:jc w:val="both"/>
        <w:rPr>
          <w:sz w:val="24"/>
        </w:rPr>
      </w:pPr>
    </w:p>
    <w:p w14:paraId="621AF68E" w14:textId="77777777" w:rsidR="00704822" w:rsidRDefault="00704822" w:rsidP="0073304A">
      <w:pPr>
        <w:pStyle w:val="ListParagraph"/>
        <w:numPr>
          <w:ilvl w:val="0"/>
          <w:numId w:val="113"/>
        </w:numPr>
        <w:ind w:left="720"/>
        <w:jc w:val="both"/>
        <w:rPr>
          <w:rFonts w:cs="Arial"/>
          <w:bCs/>
          <w:sz w:val="24"/>
        </w:rPr>
      </w:pPr>
      <w:r>
        <w:rPr>
          <w:rFonts w:cs="Arial"/>
          <w:bCs/>
          <w:sz w:val="24"/>
        </w:rPr>
        <w:t>Annual consultative meetings to discuss the Fund’s Annual Report and Accounts and to communicate strategic issues and significant legislative changes  to operational staff by virtual means</w:t>
      </w:r>
    </w:p>
    <w:p w14:paraId="3F718BDD" w14:textId="77777777" w:rsidR="00704822" w:rsidRDefault="00704822" w:rsidP="00704822">
      <w:pPr>
        <w:jc w:val="both"/>
        <w:rPr>
          <w:rFonts w:cs="Arial"/>
          <w:bCs/>
          <w:sz w:val="24"/>
        </w:rPr>
      </w:pPr>
    </w:p>
    <w:p w14:paraId="020F74CE" w14:textId="77777777" w:rsidR="00704822" w:rsidRDefault="00704822" w:rsidP="0073304A">
      <w:pPr>
        <w:pStyle w:val="ListParagraph"/>
        <w:numPr>
          <w:ilvl w:val="0"/>
          <w:numId w:val="113"/>
        </w:numPr>
        <w:ind w:left="720"/>
        <w:jc w:val="both"/>
        <w:rPr>
          <w:rFonts w:cs="Arial"/>
          <w:bCs/>
          <w:sz w:val="24"/>
        </w:rPr>
      </w:pPr>
      <w:r>
        <w:rPr>
          <w:rFonts w:cs="Arial"/>
          <w:bCs/>
          <w:sz w:val="24"/>
        </w:rPr>
        <w:t>Training for and meetings with operational staff and employers with regard to the changes impacting on the LGPS by virtual means</w:t>
      </w:r>
    </w:p>
    <w:p w14:paraId="2600BC4F" w14:textId="77777777" w:rsidR="00704822" w:rsidRDefault="00704822" w:rsidP="00704822">
      <w:pPr>
        <w:jc w:val="both"/>
        <w:rPr>
          <w:rFonts w:cs="Arial"/>
          <w:bCs/>
          <w:sz w:val="24"/>
        </w:rPr>
      </w:pPr>
    </w:p>
    <w:p w14:paraId="0544E265" w14:textId="77777777" w:rsidR="00704822" w:rsidRDefault="00704822" w:rsidP="0073304A">
      <w:pPr>
        <w:pStyle w:val="ListParagraph"/>
        <w:numPr>
          <w:ilvl w:val="0"/>
          <w:numId w:val="113"/>
        </w:numPr>
        <w:ind w:left="720"/>
        <w:jc w:val="both"/>
        <w:rPr>
          <w:rFonts w:cs="Arial"/>
          <w:bCs/>
          <w:sz w:val="24"/>
        </w:rPr>
      </w:pPr>
      <w:r>
        <w:rPr>
          <w:rFonts w:cs="Arial"/>
          <w:bCs/>
          <w:sz w:val="24"/>
        </w:rPr>
        <w:t>Continuing collaboration with the other Welsh Pension Funds to produce key communication material, thereby sharing expertise and costs</w:t>
      </w:r>
    </w:p>
    <w:p w14:paraId="3EADEFF1" w14:textId="77777777" w:rsidR="00704822" w:rsidRDefault="00704822" w:rsidP="00704822">
      <w:pPr>
        <w:jc w:val="both"/>
        <w:rPr>
          <w:rFonts w:cs="Arial"/>
          <w:bCs/>
          <w:sz w:val="24"/>
        </w:rPr>
      </w:pPr>
    </w:p>
    <w:p w14:paraId="31DAD3AF" w14:textId="77777777" w:rsidR="00704822" w:rsidRDefault="00704822" w:rsidP="0073304A">
      <w:pPr>
        <w:pStyle w:val="ListParagraph"/>
        <w:numPr>
          <w:ilvl w:val="0"/>
          <w:numId w:val="113"/>
        </w:numPr>
        <w:ind w:left="720"/>
        <w:jc w:val="both"/>
        <w:rPr>
          <w:sz w:val="24"/>
        </w:rPr>
      </w:pPr>
      <w:r>
        <w:rPr>
          <w:sz w:val="24"/>
        </w:rPr>
        <w:t xml:space="preserve">The Fund’s website (www.swanseapensionfund.org.uk), which covers all aspects of the LGPS for its active members, councillor members, deferred members, pensioners and their dependants as well as an ‘Investment and Fund’ section which provides details of the governance of the Fund.  </w:t>
      </w:r>
    </w:p>
    <w:p w14:paraId="32F79FF7" w14:textId="77777777" w:rsidR="00704822" w:rsidRDefault="00704822" w:rsidP="00704822">
      <w:pPr>
        <w:ind w:left="720"/>
        <w:jc w:val="both"/>
        <w:rPr>
          <w:sz w:val="24"/>
        </w:rPr>
      </w:pPr>
    </w:p>
    <w:p w14:paraId="60C093D4" w14:textId="77777777" w:rsidR="00704822" w:rsidRDefault="00704822" w:rsidP="00704822">
      <w:pPr>
        <w:ind w:left="720"/>
        <w:jc w:val="both"/>
        <w:rPr>
          <w:rFonts w:ascii="Arial" w:hAnsi="Arial" w:cs="Arial"/>
          <w:sz w:val="24"/>
        </w:rPr>
      </w:pPr>
      <w:r>
        <w:rPr>
          <w:rFonts w:ascii="Arial" w:hAnsi="Arial" w:cs="Arial"/>
          <w:sz w:val="24"/>
        </w:rPr>
        <w:t>The website provides members with access to pension forms and online literature, which assists with the reduction to the Fund’s carbon footprint by reducing printing and postage costs.  Members also have access to the Additional Pension Contribution (APC’s) calculator if a member is considering increasing their benefits or buying pack lost pension.  There is a suite of short videos on the LGPS, taxation matters and benefits of scheme membership.</w:t>
      </w:r>
    </w:p>
    <w:p w14:paraId="56F428B2" w14:textId="77777777" w:rsidR="00704822" w:rsidRDefault="00704822" w:rsidP="00704822">
      <w:pPr>
        <w:jc w:val="both"/>
        <w:rPr>
          <w:sz w:val="24"/>
        </w:rPr>
      </w:pPr>
    </w:p>
    <w:p w14:paraId="6FCA1817" w14:textId="77777777" w:rsidR="00704822" w:rsidRDefault="00704822" w:rsidP="00704822">
      <w:pPr>
        <w:ind w:left="720"/>
        <w:jc w:val="both"/>
        <w:rPr>
          <w:rFonts w:ascii="Arial" w:hAnsi="Arial" w:cs="Arial"/>
          <w:sz w:val="24"/>
        </w:rPr>
      </w:pPr>
      <w:r>
        <w:rPr>
          <w:rFonts w:ascii="Arial" w:hAnsi="Arial" w:cs="Arial"/>
          <w:sz w:val="24"/>
        </w:rPr>
        <w:t xml:space="preserve">The website also includes a dedicated employer section that contains all information, including standard forms, which an employer needs to administer the LGPS. </w:t>
      </w:r>
    </w:p>
    <w:p w14:paraId="370B2BFB" w14:textId="77777777" w:rsidR="00704822" w:rsidRDefault="00704822" w:rsidP="00704822">
      <w:pPr>
        <w:ind w:left="720"/>
        <w:jc w:val="both"/>
        <w:rPr>
          <w:rFonts w:ascii="Arial" w:hAnsi="Arial" w:cs="Arial"/>
          <w:sz w:val="24"/>
        </w:rPr>
      </w:pPr>
    </w:p>
    <w:p w14:paraId="42A31F50" w14:textId="77777777" w:rsidR="00704822" w:rsidRDefault="00704822" w:rsidP="00704822">
      <w:pPr>
        <w:jc w:val="both"/>
        <w:rPr>
          <w:rFonts w:ascii="Arial" w:hAnsi="Arial" w:cs="Arial"/>
          <w:b/>
          <w:sz w:val="24"/>
        </w:rPr>
      </w:pPr>
      <w:r>
        <w:rPr>
          <w:rFonts w:ascii="Arial" w:hAnsi="Arial" w:cs="Arial"/>
          <w:b/>
          <w:sz w:val="24"/>
        </w:rPr>
        <w:t>Data quality</w:t>
      </w:r>
    </w:p>
    <w:p w14:paraId="06F525D2" w14:textId="77777777" w:rsidR="00704822" w:rsidRDefault="00704822" w:rsidP="00704822">
      <w:pPr>
        <w:jc w:val="both"/>
        <w:rPr>
          <w:rFonts w:ascii="Arial" w:hAnsi="Arial" w:cs="Arial"/>
          <w:sz w:val="24"/>
        </w:rPr>
      </w:pPr>
    </w:p>
    <w:p w14:paraId="05B89008" w14:textId="77777777" w:rsidR="00704822" w:rsidRDefault="00704822" w:rsidP="00704822">
      <w:pPr>
        <w:jc w:val="both"/>
        <w:rPr>
          <w:rFonts w:ascii="Arial" w:hAnsi="Arial" w:cs="Arial"/>
          <w:sz w:val="24"/>
        </w:rPr>
      </w:pPr>
      <w:r>
        <w:rPr>
          <w:rFonts w:ascii="Arial" w:hAnsi="Arial" w:cs="Arial"/>
          <w:sz w:val="24"/>
        </w:rPr>
        <w:t xml:space="preserve">Data quality requirements are rooted in the Public Service Pensions (Record Keeping and Miscellaneous Amendments) Regulations in 2014. The Pension Regulator (TPR) requires the City and County of Swansea Pension Fund to monitor and improve member data held.  The Fund undertakes a review of the quality of data held on an annual basis to ensure data is present and accurate and provides TPR with the results of the data score based on members common and specific data.  The scores are presented as a membership percentage.  </w:t>
      </w:r>
    </w:p>
    <w:p w14:paraId="147A32DD" w14:textId="77777777" w:rsidR="00704822" w:rsidRDefault="00704822" w:rsidP="00704822">
      <w:pPr>
        <w:jc w:val="both"/>
        <w:rPr>
          <w:rFonts w:ascii="Arial" w:hAnsi="Arial" w:cs="Arial"/>
          <w:sz w:val="24"/>
        </w:rPr>
      </w:pPr>
    </w:p>
    <w:p w14:paraId="2EFE055A" w14:textId="77777777" w:rsidR="00135E52" w:rsidRDefault="00135E52" w:rsidP="00704822">
      <w:pPr>
        <w:jc w:val="both"/>
        <w:rPr>
          <w:rFonts w:ascii="Arial" w:hAnsi="Arial" w:cs="Arial"/>
          <w:sz w:val="24"/>
        </w:rPr>
      </w:pPr>
    </w:p>
    <w:p w14:paraId="622028F5" w14:textId="77777777" w:rsidR="00135E52" w:rsidRDefault="00135E52" w:rsidP="00704822">
      <w:pPr>
        <w:jc w:val="both"/>
        <w:rPr>
          <w:rFonts w:ascii="Arial" w:hAnsi="Arial" w:cs="Arial"/>
          <w:sz w:val="24"/>
        </w:rPr>
      </w:pPr>
    </w:p>
    <w:p w14:paraId="06D021FD" w14:textId="77777777" w:rsidR="00135E52" w:rsidRDefault="00135E52" w:rsidP="00704822">
      <w:pPr>
        <w:jc w:val="both"/>
        <w:rPr>
          <w:rFonts w:ascii="Arial" w:hAnsi="Arial" w:cs="Arial"/>
          <w:sz w:val="24"/>
        </w:rPr>
      </w:pPr>
    </w:p>
    <w:p w14:paraId="79B4985C" w14:textId="77777777" w:rsidR="00704822" w:rsidRDefault="00704822" w:rsidP="00704822">
      <w:pPr>
        <w:jc w:val="both"/>
        <w:rPr>
          <w:rFonts w:ascii="Arial" w:hAnsi="Arial" w:cs="Arial"/>
          <w:sz w:val="24"/>
        </w:rPr>
      </w:pPr>
      <w:r>
        <w:rPr>
          <w:rFonts w:ascii="Arial" w:hAnsi="Arial" w:cs="Arial"/>
          <w:sz w:val="24"/>
        </w:rPr>
        <w:lastRenderedPageBreak/>
        <w:t>Confirmation of the results are below broken down into the following two data categories:</w:t>
      </w:r>
    </w:p>
    <w:p w14:paraId="2045FD21" w14:textId="77777777" w:rsidR="00704822" w:rsidRDefault="00704822" w:rsidP="00704822">
      <w:pPr>
        <w:jc w:val="both"/>
        <w:rPr>
          <w:rFonts w:ascii="Arial" w:hAnsi="Arial" w:cs="Arial"/>
          <w:sz w:val="24"/>
        </w:rPr>
      </w:pPr>
    </w:p>
    <w:p w14:paraId="380CB0A2" w14:textId="77777777" w:rsidR="00704822" w:rsidRDefault="00704822" w:rsidP="0073304A">
      <w:pPr>
        <w:pStyle w:val="ListParagraph"/>
        <w:numPr>
          <w:ilvl w:val="0"/>
          <w:numId w:val="114"/>
        </w:numPr>
        <w:jc w:val="both"/>
        <w:rPr>
          <w:rFonts w:cs="Arial"/>
          <w:sz w:val="24"/>
        </w:rPr>
      </w:pPr>
      <w:r>
        <w:rPr>
          <w:rFonts w:cs="Arial"/>
          <w:b/>
          <w:sz w:val="24"/>
        </w:rPr>
        <w:t>Common Data</w:t>
      </w:r>
      <w:r>
        <w:rPr>
          <w:rFonts w:cs="Arial"/>
          <w:sz w:val="24"/>
        </w:rPr>
        <w:t xml:space="preserve"> – basic data items used to identify scheme members</w:t>
      </w:r>
    </w:p>
    <w:p w14:paraId="59E101EE" w14:textId="77777777" w:rsidR="00704822" w:rsidRDefault="00704822" w:rsidP="0073304A">
      <w:pPr>
        <w:pStyle w:val="ListParagraph"/>
        <w:numPr>
          <w:ilvl w:val="0"/>
          <w:numId w:val="114"/>
        </w:numPr>
        <w:jc w:val="both"/>
        <w:rPr>
          <w:rFonts w:cs="Arial"/>
          <w:sz w:val="24"/>
        </w:rPr>
      </w:pPr>
      <w:r>
        <w:rPr>
          <w:rFonts w:cs="Arial"/>
          <w:b/>
          <w:sz w:val="24"/>
        </w:rPr>
        <w:t>Scheme Specific Data (formerly Conditional Data)</w:t>
      </w:r>
      <w:r>
        <w:rPr>
          <w:rFonts w:cs="Arial"/>
          <w:sz w:val="24"/>
        </w:rPr>
        <w:t xml:space="preserve"> – key data to running the Scheme and meeting legal obligations</w:t>
      </w:r>
    </w:p>
    <w:p w14:paraId="2813E174" w14:textId="77777777" w:rsidR="00704822" w:rsidRDefault="00704822" w:rsidP="00704822">
      <w:pPr>
        <w:pStyle w:val="ListParagraph"/>
        <w:jc w:val="both"/>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56"/>
        <w:gridCol w:w="2249"/>
        <w:gridCol w:w="2241"/>
      </w:tblGrid>
      <w:tr w:rsidR="00704822" w:rsidRPr="001310EB" w14:paraId="51605AEB"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1DBCD863" w14:textId="77777777" w:rsidR="00704822" w:rsidRPr="001310EB" w:rsidRDefault="00704822" w:rsidP="001310EB">
            <w:pPr>
              <w:jc w:val="both"/>
              <w:rPr>
                <w:rFonts w:ascii="Arial" w:hAnsi="Arial" w:cs="Arial"/>
                <w:b/>
                <w:sz w:val="24"/>
              </w:rPr>
            </w:pPr>
            <w:r w:rsidRPr="001310EB">
              <w:rPr>
                <w:rFonts w:ascii="Arial" w:hAnsi="Arial" w:cs="Arial"/>
                <w:b/>
                <w:sz w:val="24"/>
              </w:rPr>
              <w:t>Date data quality check undertaken</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70C61F1C" w14:textId="77777777" w:rsidR="00704822" w:rsidRPr="001310EB" w:rsidRDefault="00704822" w:rsidP="001310EB">
            <w:pPr>
              <w:jc w:val="both"/>
              <w:rPr>
                <w:rFonts w:ascii="Arial" w:hAnsi="Arial" w:cs="Arial"/>
                <w:b/>
                <w:sz w:val="24"/>
              </w:rPr>
            </w:pPr>
            <w:r w:rsidRPr="001310EB">
              <w:rPr>
                <w:rFonts w:ascii="Arial" w:hAnsi="Arial" w:cs="Arial"/>
                <w:b/>
                <w:sz w:val="24"/>
              </w:rPr>
              <w:t>Data Area</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7BA46A82" w14:textId="77777777" w:rsidR="00704822" w:rsidRPr="001310EB" w:rsidRDefault="00704822" w:rsidP="001310EB">
            <w:pPr>
              <w:jc w:val="both"/>
              <w:rPr>
                <w:rFonts w:ascii="Arial" w:hAnsi="Arial" w:cs="Arial"/>
                <w:b/>
                <w:sz w:val="24"/>
              </w:rPr>
            </w:pPr>
            <w:r w:rsidRPr="001310EB">
              <w:rPr>
                <w:rFonts w:ascii="Arial" w:hAnsi="Arial" w:cs="Arial"/>
                <w:b/>
                <w:sz w:val="24"/>
              </w:rPr>
              <w:t>Data Score</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6D96E872" w14:textId="77777777" w:rsidR="00704822" w:rsidRPr="001310EB" w:rsidRDefault="00704822" w:rsidP="001310EB">
            <w:pPr>
              <w:jc w:val="both"/>
              <w:rPr>
                <w:rFonts w:ascii="Arial" w:hAnsi="Arial" w:cs="Arial"/>
                <w:b/>
                <w:sz w:val="24"/>
              </w:rPr>
            </w:pPr>
            <w:r w:rsidRPr="001310EB">
              <w:rPr>
                <w:rFonts w:ascii="Arial" w:hAnsi="Arial" w:cs="Arial"/>
                <w:b/>
                <w:sz w:val="24"/>
              </w:rPr>
              <w:t>AIM</w:t>
            </w:r>
          </w:p>
        </w:tc>
      </w:tr>
      <w:tr w:rsidR="00704822" w:rsidRPr="001310EB" w14:paraId="6C82EACB"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788CCCCC" w14:textId="77777777" w:rsidR="00704822" w:rsidRPr="001310EB" w:rsidRDefault="00704822" w:rsidP="001310EB">
            <w:pPr>
              <w:jc w:val="both"/>
              <w:rPr>
                <w:rFonts w:ascii="Arial" w:hAnsi="Arial" w:cs="Arial"/>
                <w:sz w:val="24"/>
              </w:rPr>
            </w:pPr>
            <w:r w:rsidRPr="001310EB">
              <w:rPr>
                <w:rFonts w:ascii="Arial" w:hAnsi="Arial" w:cs="Arial"/>
                <w:sz w:val="24"/>
              </w:rPr>
              <w:t>June 2018</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4C99AFBC" w14:textId="77777777" w:rsidR="00704822" w:rsidRPr="001310EB" w:rsidRDefault="00704822">
            <w:pPr>
              <w:rPr>
                <w:rFonts w:ascii="Arial" w:hAnsi="Arial" w:cs="Arial"/>
                <w:sz w:val="24"/>
              </w:rPr>
            </w:pPr>
            <w:r w:rsidRPr="001310EB">
              <w:rPr>
                <w:rFonts w:ascii="Arial" w:hAnsi="Arial" w:cs="Arial"/>
                <w:sz w:val="24"/>
              </w:rPr>
              <w:t>Common Data</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3EF7A26D" w14:textId="77777777" w:rsidR="00704822" w:rsidRPr="001310EB" w:rsidRDefault="00704822" w:rsidP="001310EB">
            <w:pPr>
              <w:jc w:val="both"/>
              <w:rPr>
                <w:rFonts w:ascii="Arial" w:hAnsi="Arial" w:cs="Arial"/>
                <w:sz w:val="24"/>
              </w:rPr>
            </w:pPr>
            <w:r w:rsidRPr="001310EB">
              <w:rPr>
                <w:rFonts w:ascii="Arial" w:hAnsi="Arial" w:cs="Arial"/>
                <w:sz w:val="24"/>
              </w:rPr>
              <w:t>94.40%</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3D1F155A" w14:textId="77777777" w:rsidR="00704822" w:rsidRPr="001310EB" w:rsidRDefault="00704822" w:rsidP="001310EB">
            <w:pPr>
              <w:jc w:val="both"/>
              <w:rPr>
                <w:rFonts w:ascii="Arial" w:hAnsi="Arial" w:cs="Arial"/>
                <w:sz w:val="24"/>
              </w:rPr>
            </w:pPr>
            <w:r w:rsidRPr="001310EB">
              <w:rPr>
                <w:rFonts w:ascii="Arial" w:hAnsi="Arial" w:cs="Arial"/>
                <w:sz w:val="24"/>
              </w:rPr>
              <w:t>100%</w:t>
            </w:r>
          </w:p>
        </w:tc>
      </w:tr>
      <w:tr w:rsidR="00704822" w:rsidRPr="001310EB" w14:paraId="62DFB6A1"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tcPr>
          <w:p w14:paraId="75766A6D" w14:textId="77777777" w:rsidR="00704822" w:rsidRPr="001310EB" w:rsidRDefault="00704822" w:rsidP="001310EB">
            <w:pPr>
              <w:jc w:val="both"/>
              <w:rPr>
                <w:rFonts w:ascii="Arial" w:hAnsi="Arial" w:cs="Arial"/>
                <w:sz w:val="24"/>
              </w:rPr>
            </w:pP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5ADDBB07" w14:textId="77777777" w:rsidR="00704822" w:rsidRPr="001310EB" w:rsidRDefault="00704822">
            <w:pPr>
              <w:rPr>
                <w:rFonts w:ascii="Arial" w:hAnsi="Arial" w:cs="Arial"/>
                <w:sz w:val="24"/>
              </w:rPr>
            </w:pPr>
            <w:r w:rsidRPr="001310EB">
              <w:rPr>
                <w:rFonts w:ascii="Arial" w:hAnsi="Arial" w:cs="Arial"/>
                <w:sz w:val="24"/>
              </w:rPr>
              <w:t>Scheme Specific Data</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075CD6E2" w14:textId="77777777" w:rsidR="00704822" w:rsidRPr="001310EB" w:rsidRDefault="00704822" w:rsidP="001310EB">
            <w:pPr>
              <w:jc w:val="both"/>
              <w:rPr>
                <w:rFonts w:ascii="Arial" w:hAnsi="Arial" w:cs="Arial"/>
                <w:sz w:val="24"/>
              </w:rPr>
            </w:pPr>
            <w:r w:rsidRPr="001310EB">
              <w:rPr>
                <w:rFonts w:ascii="Arial" w:hAnsi="Arial" w:cs="Arial"/>
                <w:sz w:val="24"/>
              </w:rPr>
              <w:t>72.10%</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0FAC5FB1" w14:textId="77777777" w:rsidR="00704822" w:rsidRPr="001310EB" w:rsidRDefault="00704822" w:rsidP="001310EB">
            <w:pPr>
              <w:jc w:val="both"/>
              <w:rPr>
                <w:rFonts w:ascii="Arial" w:hAnsi="Arial" w:cs="Arial"/>
                <w:sz w:val="24"/>
              </w:rPr>
            </w:pPr>
            <w:r w:rsidRPr="001310EB">
              <w:rPr>
                <w:rFonts w:ascii="Arial" w:hAnsi="Arial" w:cs="Arial"/>
                <w:sz w:val="24"/>
              </w:rPr>
              <w:t>100%</w:t>
            </w:r>
          </w:p>
        </w:tc>
      </w:tr>
      <w:tr w:rsidR="00704822" w:rsidRPr="001310EB" w14:paraId="5AA06EFB"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3B6E3A92" w14:textId="77777777" w:rsidR="00704822" w:rsidRPr="001310EB" w:rsidRDefault="00704822" w:rsidP="001310EB">
            <w:pPr>
              <w:jc w:val="both"/>
              <w:rPr>
                <w:rFonts w:ascii="Arial" w:hAnsi="Arial" w:cs="Arial"/>
                <w:sz w:val="24"/>
              </w:rPr>
            </w:pPr>
            <w:r w:rsidRPr="001310EB">
              <w:rPr>
                <w:rFonts w:ascii="Arial" w:hAnsi="Arial" w:cs="Arial"/>
                <w:sz w:val="24"/>
              </w:rPr>
              <w:t>June 2019</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0EC9C517" w14:textId="77777777" w:rsidR="00704822" w:rsidRPr="001310EB" w:rsidRDefault="00704822">
            <w:pPr>
              <w:rPr>
                <w:rFonts w:ascii="Arial" w:hAnsi="Arial" w:cs="Arial"/>
                <w:sz w:val="24"/>
              </w:rPr>
            </w:pPr>
            <w:r w:rsidRPr="001310EB">
              <w:rPr>
                <w:rFonts w:ascii="Arial" w:hAnsi="Arial" w:cs="Arial"/>
                <w:sz w:val="24"/>
              </w:rPr>
              <w:t>Common Data</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6D9AB2DC" w14:textId="77777777" w:rsidR="00704822" w:rsidRPr="001310EB" w:rsidRDefault="00704822" w:rsidP="001310EB">
            <w:pPr>
              <w:jc w:val="both"/>
              <w:rPr>
                <w:rFonts w:ascii="Arial" w:hAnsi="Arial" w:cs="Arial"/>
                <w:sz w:val="24"/>
              </w:rPr>
            </w:pPr>
            <w:r w:rsidRPr="001310EB">
              <w:rPr>
                <w:rFonts w:ascii="Arial" w:hAnsi="Arial" w:cs="Arial"/>
                <w:sz w:val="24"/>
              </w:rPr>
              <w:t>97.10%</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62CC81E7" w14:textId="77777777" w:rsidR="00704822" w:rsidRPr="001310EB" w:rsidRDefault="00704822" w:rsidP="001310EB">
            <w:pPr>
              <w:jc w:val="both"/>
              <w:rPr>
                <w:rFonts w:ascii="Arial" w:hAnsi="Arial" w:cs="Arial"/>
                <w:sz w:val="24"/>
              </w:rPr>
            </w:pPr>
            <w:r w:rsidRPr="001310EB">
              <w:rPr>
                <w:rFonts w:ascii="Arial" w:hAnsi="Arial" w:cs="Arial"/>
                <w:sz w:val="24"/>
              </w:rPr>
              <w:t>100%</w:t>
            </w:r>
          </w:p>
        </w:tc>
      </w:tr>
      <w:tr w:rsidR="00704822" w:rsidRPr="001310EB" w14:paraId="5BB45DDC"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tcPr>
          <w:p w14:paraId="57CE7AE2" w14:textId="77777777" w:rsidR="00704822" w:rsidRPr="001310EB" w:rsidRDefault="00704822" w:rsidP="001310EB">
            <w:pPr>
              <w:jc w:val="both"/>
              <w:rPr>
                <w:rFonts w:ascii="Arial" w:hAnsi="Arial" w:cs="Arial"/>
                <w:sz w:val="24"/>
              </w:rPr>
            </w:pP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274D18EE" w14:textId="77777777" w:rsidR="00704822" w:rsidRPr="001310EB" w:rsidRDefault="00704822">
            <w:pPr>
              <w:rPr>
                <w:rFonts w:ascii="Arial" w:hAnsi="Arial" w:cs="Arial"/>
                <w:sz w:val="24"/>
              </w:rPr>
            </w:pPr>
            <w:r w:rsidRPr="001310EB">
              <w:rPr>
                <w:rFonts w:ascii="Arial" w:hAnsi="Arial" w:cs="Arial"/>
                <w:sz w:val="24"/>
              </w:rPr>
              <w:t>Scheme Specific Data</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53C21A5B" w14:textId="77777777" w:rsidR="00704822" w:rsidRPr="001310EB" w:rsidRDefault="00704822" w:rsidP="001310EB">
            <w:pPr>
              <w:jc w:val="both"/>
              <w:rPr>
                <w:rFonts w:ascii="Arial" w:hAnsi="Arial" w:cs="Arial"/>
                <w:sz w:val="24"/>
              </w:rPr>
            </w:pPr>
            <w:r w:rsidRPr="001310EB">
              <w:rPr>
                <w:rFonts w:ascii="Arial" w:hAnsi="Arial" w:cs="Arial"/>
                <w:sz w:val="24"/>
              </w:rPr>
              <w:t>88.10%</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587A023A" w14:textId="77777777" w:rsidR="00704822" w:rsidRPr="001310EB" w:rsidRDefault="00704822" w:rsidP="001310EB">
            <w:pPr>
              <w:jc w:val="both"/>
              <w:rPr>
                <w:rFonts w:ascii="Arial" w:hAnsi="Arial" w:cs="Arial"/>
                <w:sz w:val="24"/>
              </w:rPr>
            </w:pPr>
            <w:r w:rsidRPr="001310EB">
              <w:rPr>
                <w:rFonts w:ascii="Arial" w:hAnsi="Arial" w:cs="Arial"/>
                <w:sz w:val="24"/>
              </w:rPr>
              <w:t>100%</w:t>
            </w:r>
          </w:p>
        </w:tc>
      </w:tr>
      <w:tr w:rsidR="00704822" w:rsidRPr="001310EB" w14:paraId="523DE48E"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3181A541" w14:textId="77777777" w:rsidR="00704822" w:rsidRPr="001310EB" w:rsidRDefault="00704822" w:rsidP="001310EB">
            <w:pPr>
              <w:jc w:val="both"/>
              <w:rPr>
                <w:rFonts w:ascii="Arial" w:hAnsi="Arial" w:cs="Arial"/>
                <w:sz w:val="24"/>
              </w:rPr>
            </w:pPr>
            <w:r w:rsidRPr="001310EB">
              <w:rPr>
                <w:rFonts w:ascii="Arial" w:hAnsi="Arial" w:cs="Arial"/>
                <w:sz w:val="24"/>
              </w:rPr>
              <w:t>June 2020</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55AD6A68" w14:textId="77777777" w:rsidR="00704822" w:rsidRPr="001310EB" w:rsidRDefault="00704822">
            <w:pPr>
              <w:rPr>
                <w:rFonts w:ascii="Arial" w:hAnsi="Arial" w:cs="Arial"/>
                <w:sz w:val="24"/>
              </w:rPr>
            </w:pPr>
            <w:r w:rsidRPr="001310EB">
              <w:rPr>
                <w:rFonts w:ascii="Arial" w:hAnsi="Arial" w:cs="Arial"/>
                <w:sz w:val="24"/>
              </w:rPr>
              <w:t>Common Data</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78D7EFAB" w14:textId="77777777" w:rsidR="00704822" w:rsidRPr="001310EB" w:rsidRDefault="00704822" w:rsidP="001310EB">
            <w:pPr>
              <w:jc w:val="both"/>
              <w:rPr>
                <w:rFonts w:ascii="Arial" w:hAnsi="Arial" w:cs="Arial"/>
                <w:sz w:val="24"/>
              </w:rPr>
            </w:pPr>
            <w:r w:rsidRPr="001310EB">
              <w:rPr>
                <w:rFonts w:ascii="Arial" w:hAnsi="Arial" w:cs="Arial"/>
                <w:sz w:val="24"/>
              </w:rPr>
              <w:t>97.1%</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0F1275CD" w14:textId="77777777" w:rsidR="00704822" w:rsidRPr="001310EB" w:rsidRDefault="00704822" w:rsidP="001310EB">
            <w:pPr>
              <w:jc w:val="both"/>
              <w:rPr>
                <w:rFonts w:ascii="Arial" w:hAnsi="Arial" w:cs="Arial"/>
                <w:sz w:val="24"/>
              </w:rPr>
            </w:pPr>
            <w:r w:rsidRPr="001310EB">
              <w:rPr>
                <w:rFonts w:ascii="Arial" w:hAnsi="Arial" w:cs="Arial"/>
                <w:sz w:val="24"/>
              </w:rPr>
              <w:t>100%</w:t>
            </w:r>
          </w:p>
        </w:tc>
      </w:tr>
      <w:tr w:rsidR="00704822" w:rsidRPr="001310EB" w14:paraId="0E1F8074"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tcPr>
          <w:p w14:paraId="2B76066F" w14:textId="77777777" w:rsidR="00704822" w:rsidRPr="001310EB" w:rsidRDefault="00704822" w:rsidP="001310EB">
            <w:pPr>
              <w:jc w:val="both"/>
              <w:rPr>
                <w:rFonts w:ascii="Arial" w:hAnsi="Arial" w:cs="Arial"/>
                <w:sz w:val="24"/>
              </w:rPr>
            </w:pP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69E1AAE9" w14:textId="77777777" w:rsidR="00704822" w:rsidRPr="001310EB" w:rsidRDefault="00704822">
            <w:pPr>
              <w:rPr>
                <w:rFonts w:ascii="Arial" w:hAnsi="Arial" w:cs="Arial"/>
                <w:sz w:val="24"/>
              </w:rPr>
            </w:pPr>
            <w:r w:rsidRPr="001310EB">
              <w:rPr>
                <w:rFonts w:ascii="Arial" w:hAnsi="Arial" w:cs="Arial"/>
                <w:sz w:val="24"/>
              </w:rPr>
              <w:t>Scheme Specific Data</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11669DA4" w14:textId="77777777" w:rsidR="00704822" w:rsidRPr="001310EB" w:rsidRDefault="00704822" w:rsidP="001310EB">
            <w:pPr>
              <w:jc w:val="both"/>
              <w:rPr>
                <w:rFonts w:ascii="Arial" w:hAnsi="Arial" w:cs="Arial"/>
                <w:sz w:val="24"/>
              </w:rPr>
            </w:pPr>
            <w:r w:rsidRPr="001310EB">
              <w:rPr>
                <w:rFonts w:ascii="Arial" w:hAnsi="Arial" w:cs="Arial"/>
                <w:sz w:val="24"/>
              </w:rPr>
              <w:t>89.1%</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28BA4CC2" w14:textId="77777777" w:rsidR="00704822" w:rsidRPr="001310EB" w:rsidRDefault="00704822" w:rsidP="001310EB">
            <w:pPr>
              <w:jc w:val="both"/>
              <w:rPr>
                <w:rFonts w:ascii="Arial" w:hAnsi="Arial" w:cs="Arial"/>
                <w:sz w:val="24"/>
              </w:rPr>
            </w:pPr>
            <w:r w:rsidRPr="001310EB">
              <w:rPr>
                <w:rFonts w:ascii="Arial" w:hAnsi="Arial" w:cs="Arial"/>
                <w:sz w:val="24"/>
              </w:rPr>
              <w:t>100%</w:t>
            </w:r>
          </w:p>
        </w:tc>
      </w:tr>
      <w:tr w:rsidR="00704822" w:rsidRPr="001310EB" w14:paraId="1EC532D2"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698F8AAD" w14:textId="77777777" w:rsidR="00704822" w:rsidRPr="001310EB" w:rsidRDefault="00704822" w:rsidP="001310EB">
            <w:pPr>
              <w:jc w:val="both"/>
              <w:rPr>
                <w:rFonts w:ascii="Arial" w:hAnsi="Arial" w:cs="Arial"/>
                <w:sz w:val="24"/>
              </w:rPr>
            </w:pPr>
            <w:r w:rsidRPr="001310EB">
              <w:rPr>
                <w:rFonts w:ascii="Arial" w:hAnsi="Arial" w:cs="Arial"/>
                <w:sz w:val="24"/>
              </w:rPr>
              <w:t>June 2021</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42C7F2F4" w14:textId="77777777" w:rsidR="00704822" w:rsidRPr="001310EB" w:rsidRDefault="00704822">
            <w:pPr>
              <w:rPr>
                <w:rFonts w:ascii="Arial" w:hAnsi="Arial" w:cs="Arial"/>
                <w:sz w:val="24"/>
              </w:rPr>
            </w:pPr>
            <w:r w:rsidRPr="001310EB">
              <w:rPr>
                <w:rFonts w:ascii="Arial" w:hAnsi="Arial" w:cs="Arial"/>
                <w:sz w:val="24"/>
              </w:rPr>
              <w:t>Common Data</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0BC047E5" w14:textId="77777777" w:rsidR="00704822" w:rsidRPr="001310EB" w:rsidRDefault="00704822" w:rsidP="001310EB">
            <w:pPr>
              <w:jc w:val="both"/>
              <w:rPr>
                <w:rFonts w:ascii="Arial" w:hAnsi="Arial" w:cs="Arial"/>
                <w:sz w:val="24"/>
              </w:rPr>
            </w:pPr>
            <w:r w:rsidRPr="001310EB">
              <w:rPr>
                <w:rFonts w:ascii="Arial" w:hAnsi="Arial" w:cs="Arial"/>
                <w:sz w:val="24"/>
              </w:rPr>
              <w:t>99.6%</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6A92DA14" w14:textId="77777777" w:rsidR="00704822" w:rsidRPr="001310EB" w:rsidRDefault="00704822" w:rsidP="001310EB">
            <w:pPr>
              <w:jc w:val="both"/>
              <w:rPr>
                <w:rFonts w:ascii="Arial" w:hAnsi="Arial" w:cs="Arial"/>
                <w:sz w:val="24"/>
              </w:rPr>
            </w:pPr>
            <w:r w:rsidRPr="001310EB">
              <w:rPr>
                <w:rFonts w:ascii="Arial" w:hAnsi="Arial" w:cs="Arial"/>
                <w:sz w:val="24"/>
              </w:rPr>
              <w:t>100%</w:t>
            </w:r>
          </w:p>
        </w:tc>
      </w:tr>
      <w:tr w:rsidR="00704822" w:rsidRPr="001310EB" w14:paraId="58FF956A"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tcPr>
          <w:p w14:paraId="0E3B57F1" w14:textId="77777777" w:rsidR="00704822" w:rsidRPr="001310EB" w:rsidRDefault="00704822" w:rsidP="001310EB">
            <w:pPr>
              <w:jc w:val="both"/>
              <w:rPr>
                <w:rFonts w:ascii="Arial" w:hAnsi="Arial" w:cs="Arial"/>
                <w:sz w:val="24"/>
              </w:rPr>
            </w:pP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15A96E21" w14:textId="77777777" w:rsidR="00704822" w:rsidRPr="001310EB" w:rsidRDefault="00704822">
            <w:pPr>
              <w:rPr>
                <w:rFonts w:ascii="Arial" w:hAnsi="Arial" w:cs="Arial"/>
                <w:sz w:val="24"/>
              </w:rPr>
            </w:pPr>
            <w:r w:rsidRPr="001310EB">
              <w:rPr>
                <w:rFonts w:ascii="Arial" w:hAnsi="Arial" w:cs="Arial"/>
                <w:sz w:val="24"/>
              </w:rPr>
              <w:t>Scheme Specific Data</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1FF29699" w14:textId="77777777" w:rsidR="00704822" w:rsidRPr="001310EB" w:rsidRDefault="00704822" w:rsidP="001310EB">
            <w:pPr>
              <w:jc w:val="both"/>
              <w:rPr>
                <w:rFonts w:ascii="Arial" w:hAnsi="Arial" w:cs="Arial"/>
                <w:sz w:val="24"/>
              </w:rPr>
            </w:pPr>
            <w:r w:rsidRPr="001310EB">
              <w:rPr>
                <w:rFonts w:ascii="Arial" w:hAnsi="Arial" w:cs="Arial"/>
                <w:sz w:val="24"/>
              </w:rPr>
              <w:t>97.4%</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38881E4F" w14:textId="77777777" w:rsidR="00704822" w:rsidRPr="001310EB" w:rsidRDefault="00704822" w:rsidP="001310EB">
            <w:pPr>
              <w:jc w:val="both"/>
              <w:rPr>
                <w:rFonts w:ascii="Arial" w:hAnsi="Arial" w:cs="Arial"/>
                <w:sz w:val="24"/>
              </w:rPr>
            </w:pPr>
            <w:r w:rsidRPr="001310EB">
              <w:rPr>
                <w:rFonts w:ascii="Arial" w:hAnsi="Arial" w:cs="Arial"/>
                <w:sz w:val="24"/>
              </w:rPr>
              <w:t>100%</w:t>
            </w:r>
          </w:p>
        </w:tc>
      </w:tr>
    </w:tbl>
    <w:p w14:paraId="6013DFBE" w14:textId="77777777" w:rsidR="00704822" w:rsidRDefault="00704822" w:rsidP="00704822">
      <w:pPr>
        <w:jc w:val="both"/>
        <w:rPr>
          <w:rFonts w:ascii="Arial" w:hAnsi="Arial" w:cs="Arial"/>
          <w:sz w:val="24"/>
        </w:rPr>
      </w:pPr>
    </w:p>
    <w:p w14:paraId="757B6CDD" w14:textId="77777777" w:rsidR="00303219" w:rsidRDefault="00303219" w:rsidP="00704822">
      <w:pPr>
        <w:autoSpaceDE w:val="0"/>
        <w:autoSpaceDN w:val="0"/>
        <w:adjustRightInd w:val="0"/>
        <w:jc w:val="both"/>
        <w:rPr>
          <w:rFonts w:ascii="Arial" w:hAnsi="Arial" w:cs="Arial"/>
          <w:b/>
          <w:sz w:val="24"/>
        </w:rPr>
      </w:pPr>
    </w:p>
    <w:p w14:paraId="1B0C4942" w14:textId="77777777" w:rsidR="00704822" w:rsidRDefault="00704822" w:rsidP="00704822">
      <w:pPr>
        <w:autoSpaceDE w:val="0"/>
        <w:autoSpaceDN w:val="0"/>
        <w:adjustRightInd w:val="0"/>
        <w:jc w:val="both"/>
        <w:rPr>
          <w:rFonts w:ascii="Arial" w:hAnsi="Arial" w:cs="Arial"/>
          <w:b/>
          <w:sz w:val="24"/>
        </w:rPr>
      </w:pPr>
      <w:r>
        <w:rPr>
          <w:rFonts w:ascii="Arial" w:hAnsi="Arial" w:cs="Arial"/>
          <w:b/>
          <w:sz w:val="24"/>
        </w:rPr>
        <w:t>McCloud Judgement</w:t>
      </w:r>
    </w:p>
    <w:p w14:paraId="41631CE7" w14:textId="77777777" w:rsidR="00704822" w:rsidRDefault="00704822" w:rsidP="00704822">
      <w:pPr>
        <w:autoSpaceDE w:val="0"/>
        <w:autoSpaceDN w:val="0"/>
        <w:adjustRightInd w:val="0"/>
        <w:jc w:val="both"/>
        <w:rPr>
          <w:rFonts w:ascii="Arial" w:hAnsi="Arial" w:cs="Arial"/>
          <w:b/>
          <w:sz w:val="24"/>
        </w:rPr>
      </w:pPr>
    </w:p>
    <w:p w14:paraId="12589F0A" w14:textId="77777777" w:rsidR="00704822" w:rsidRDefault="00704822" w:rsidP="00704822">
      <w:pPr>
        <w:autoSpaceDE w:val="0"/>
        <w:autoSpaceDN w:val="0"/>
        <w:adjustRightInd w:val="0"/>
        <w:jc w:val="both"/>
        <w:rPr>
          <w:rFonts w:ascii="Arial" w:hAnsi="Arial" w:cs="Arial"/>
          <w:sz w:val="24"/>
        </w:rPr>
      </w:pPr>
      <w:r>
        <w:rPr>
          <w:rFonts w:ascii="Arial" w:hAnsi="Arial" w:cs="Arial"/>
          <w:sz w:val="24"/>
        </w:rPr>
        <w:t xml:space="preserve">The coalition government called for savings to the costs incurred by taxpayers concerning public sector pensions. Lord Hutton was commissioned to undertake an investigation into the sustainability of such costs, which led to The Independent Public Services Commission report being published, and the dawn of a new public sector Career Average Revaluation Earnings pension scheme being unveiled.  The directive for the change was date effective 01/04/2014 in the LGPS in England and Wales and other public sector pension schemes from 01/04/2015.  </w:t>
      </w:r>
    </w:p>
    <w:p w14:paraId="6CDA034B" w14:textId="77777777" w:rsidR="00704822" w:rsidRDefault="00704822" w:rsidP="00704822">
      <w:pPr>
        <w:autoSpaceDE w:val="0"/>
        <w:autoSpaceDN w:val="0"/>
        <w:adjustRightInd w:val="0"/>
        <w:jc w:val="both"/>
        <w:rPr>
          <w:rFonts w:ascii="Arial" w:hAnsi="Arial" w:cs="Arial"/>
          <w:sz w:val="24"/>
        </w:rPr>
      </w:pPr>
    </w:p>
    <w:p w14:paraId="02BD4B16" w14:textId="77777777" w:rsidR="00704822" w:rsidRDefault="00704822" w:rsidP="00704822">
      <w:pPr>
        <w:autoSpaceDE w:val="0"/>
        <w:autoSpaceDN w:val="0"/>
        <w:adjustRightInd w:val="0"/>
        <w:jc w:val="both"/>
        <w:rPr>
          <w:rFonts w:ascii="Arial" w:hAnsi="Arial" w:cs="Arial"/>
          <w:sz w:val="24"/>
        </w:rPr>
      </w:pPr>
      <w:r>
        <w:rPr>
          <w:rFonts w:ascii="Arial" w:hAnsi="Arial" w:cs="Arial"/>
          <w:sz w:val="24"/>
        </w:rPr>
        <w:t xml:space="preserve">When the Government reformed the LGPS members in England and Wales were automatically moved into the CARE scheme and an underpin protection was introduced to provide assurances that the retirement benefits payable within the CARE scheme equalled the benefits that the member would have received had they remained in the final salary scheme. The underpin protection applied to members who were in active membership on 31/03/2012 and transitioned into the new scheme on 01/04/2014.  The protection applied to a certain group of members; those who were within 10-years of their 2008 normal pension age or aged at least 55-years on 31/03/2012 with no disqualifying break of more than 5-years in public sector membership.  Members of the Judges and Firefighters Pension Schemes appealed to the Court of Appeal, as the perception was that younger members of the Pension Schemes had been discriminated against.  The Courts found in favour of the complaintive, ruling that the underpin protection was indeed unlawful age discrimination. </w:t>
      </w:r>
    </w:p>
    <w:p w14:paraId="32F641C4" w14:textId="77777777" w:rsidR="00704822" w:rsidRDefault="00704822" w:rsidP="00704822">
      <w:pPr>
        <w:autoSpaceDE w:val="0"/>
        <w:autoSpaceDN w:val="0"/>
        <w:adjustRightInd w:val="0"/>
        <w:jc w:val="both"/>
        <w:rPr>
          <w:rFonts w:ascii="Arial" w:hAnsi="Arial" w:cs="Arial"/>
          <w:sz w:val="24"/>
        </w:rPr>
      </w:pPr>
    </w:p>
    <w:p w14:paraId="2C45CD94" w14:textId="77777777" w:rsidR="00704822" w:rsidRDefault="00704822" w:rsidP="00704822">
      <w:pPr>
        <w:autoSpaceDE w:val="0"/>
        <w:autoSpaceDN w:val="0"/>
        <w:adjustRightInd w:val="0"/>
        <w:jc w:val="both"/>
        <w:rPr>
          <w:rFonts w:ascii="Arial" w:hAnsi="Arial" w:cs="Arial"/>
          <w:sz w:val="24"/>
        </w:rPr>
      </w:pPr>
      <w:r>
        <w:rPr>
          <w:rFonts w:ascii="Arial" w:hAnsi="Arial" w:cs="Arial"/>
          <w:sz w:val="24"/>
        </w:rPr>
        <w:lastRenderedPageBreak/>
        <w:t>On 16 July 2020 MHCLG published a consultation on proposals to introduce a remedy to the existing underpin protection</w:t>
      </w:r>
      <w:r>
        <w:rPr>
          <w:rFonts w:ascii="Arial" w:hAnsi="Arial" w:cs="Arial"/>
          <w:b/>
          <w:sz w:val="24"/>
        </w:rPr>
        <w:t xml:space="preserve"> </w:t>
      </w:r>
      <w:r>
        <w:rPr>
          <w:rFonts w:ascii="Arial" w:hAnsi="Arial" w:cs="Arial"/>
          <w:sz w:val="24"/>
        </w:rPr>
        <w:t>in the</w:t>
      </w:r>
      <w:r>
        <w:rPr>
          <w:rFonts w:ascii="Arial" w:hAnsi="Arial" w:cs="Arial"/>
          <w:b/>
          <w:sz w:val="24"/>
        </w:rPr>
        <w:t xml:space="preserve"> </w:t>
      </w:r>
      <w:r>
        <w:rPr>
          <w:rFonts w:ascii="Arial" w:hAnsi="Arial" w:cs="Arial"/>
          <w:sz w:val="24"/>
        </w:rPr>
        <w:t xml:space="preserve">LGPS in England and Wales; which when applied would lead to possible retrospective changes to member benefits who are within scope of the remedy.   </w:t>
      </w:r>
    </w:p>
    <w:p w14:paraId="0CEC7B4A" w14:textId="77777777" w:rsidR="00704822" w:rsidRDefault="00704822" w:rsidP="00704822">
      <w:pPr>
        <w:autoSpaceDE w:val="0"/>
        <w:autoSpaceDN w:val="0"/>
        <w:adjustRightInd w:val="0"/>
        <w:jc w:val="both"/>
        <w:rPr>
          <w:rFonts w:ascii="Arial" w:hAnsi="Arial" w:cs="Arial"/>
          <w:sz w:val="24"/>
        </w:rPr>
      </w:pPr>
    </w:p>
    <w:p w14:paraId="67427529" w14:textId="77777777" w:rsidR="00704822" w:rsidRDefault="00704822" w:rsidP="00704822">
      <w:pPr>
        <w:autoSpaceDE w:val="0"/>
        <w:autoSpaceDN w:val="0"/>
        <w:adjustRightInd w:val="0"/>
        <w:jc w:val="both"/>
        <w:rPr>
          <w:rFonts w:ascii="Arial" w:hAnsi="Arial" w:cs="Arial"/>
          <w:sz w:val="24"/>
        </w:rPr>
      </w:pPr>
      <w:r>
        <w:rPr>
          <w:rFonts w:ascii="Arial" w:hAnsi="Arial" w:cs="Arial"/>
          <w:sz w:val="24"/>
        </w:rPr>
        <w:t xml:space="preserve">The revised underpin will apply to current active members within scope and extend to qualifying members who were active members of the 2008 LGPS on 31/03/2012 and 31/03/2014 and transitioned to CARE on 01/04/2014.  This encompasses pensioner, deferred members and those members whose member status is that of exit liability as they have transferred benefits out to an alternative pension arrangement. The remedy will also apply to death in service and survivor benefits. The remedy will be in place up to and including 31/03/2022 and apply to those members within scope. </w:t>
      </w:r>
    </w:p>
    <w:p w14:paraId="7B959755" w14:textId="77777777" w:rsidR="00704822" w:rsidRDefault="00704822" w:rsidP="00704822">
      <w:pPr>
        <w:autoSpaceDE w:val="0"/>
        <w:autoSpaceDN w:val="0"/>
        <w:adjustRightInd w:val="0"/>
        <w:jc w:val="both"/>
        <w:rPr>
          <w:rFonts w:ascii="Arial" w:hAnsi="Arial" w:cs="Arial"/>
          <w:sz w:val="24"/>
        </w:rPr>
      </w:pPr>
    </w:p>
    <w:p w14:paraId="34DB983B" w14:textId="77777777" w:rsidR="00704822" w:rsidRDefault="00704822" w:rsidP="00704822">
      <w:pPr>
        <w:autoSpaceDE w:val="0"/>
        <w:autoSpaceDN w:val="0"/>
        <w:adjustRightInd w:val="0"/>
        <w:jc w:val="both"/>
        <w:rPr>
          <w:rFonts w:ascii="Arial" w:hAnsi="Arial" w:cs="Arial"/>
          <w:sz w:val="24"/>
        </w:rPr>
      </w:pPr>
      <w:r>
        <w:rPr>
          <w:rFonts w:ascii="Arial" w:hAnsi="Arial" w:cs="Arial"/>
          <w:sz w:val="24"/>
        </w:rPr>
        <w:t xml:space="preserve">A team of five experienced Pension personnel were seconded to the McCloud Team early 2021; the prime purpose of which is to oversee the application of the McCloud remedy to member benefits. In readiness of the application of the McCloud remedy, there has been considerable employer engagement whilst undertaking an in-depth data cleansing exercise to ensure the accuracy of all part-time hours and service breaks recorded on member records.  </w:t>
      </w:r>
    </w:p>
    <w:p w14:paraId="676BEF1D" w14:textId="77777777" w:rsidR="00124CA7" w:rsidRDefault="00124CA7" w:rsidP="00704822">
      <w:pPr>
        <w:autoSpaceDE w:val="0"/>
        <w:autoSpaceDN w:val="0"/>
        <w:adjustRightInd w:val="0"/>
        <w:jc w:val="both"/>
        <w:rPr>
          <w:rFonts w:ascii="Arial" w:hAnsi="Arial" w:cs="Arial"/>
          <w:b/>
          <w:sz w:val="24"/>
        </w:rPr>
      </w:pPr>
    </w:p>
    <w:p w14:paraId="32C12A04" w14:textId="77777777" w:rsidR="00124CA7" w:rsidRDefault="00124CA7" w:rsidP="00704822">
      <w:pPr>
        <w:autoSpaceDE w:val="0"/>
        <w:autoSpaceDN w:val="0"/>
        <w:adjustRightInd w:val="0"/>
        <w:jc w:val="both"/>
        <w:rPr>
          <w:rFonts w:ascii="Arial" w:hAnsi="Arial" w:cs="Arial"/>
          <w:b/>
          <w:sz w:val="24"/>
        </w:rPr>
      </w:pPr>
    </w:p>
    <w:p w14:paraId="3775A64F" w14:textId="77777777" w:rsidR="00704822" w:rsidRDefault="00704822" w:rsidP="00704822">
      <w:pPr>
        <w:autoSpaceDE w:val="0"/>
        <w:autoSpaceDN w:val="0"/>
        <w:adjustRightInd w:val="0"/>
        <w:jc w:val="both"/>
        <w:rPr>
          <w:rFonts w:ascii="Arial" w:hAnsi="Arial" w:cs="Arial"/>
          <w:b/>
          <w:sz w:val="24"/>
        </w:rPr>
      </w:pPr>
      <w:r>
        <w:rPr>
          <w:rFonts w:ascii="Arial" w:hAnsi="Arial" w:cs="Arial"/>
          <w:b/>
          <w:sz w:val="24"/>
        </w:rPr>
        <w:t>Audit of Fund</w:t>
      </w:r>
    </w:p>
    <w:p w14:paraId="3779E9C9" w14:textId="77777777" w:rsidR="00704822" w:rsidRDefault="00704822" w:rsidP="00704822">
      <w:pPr>
        <w:autoSpaceDE w:val="0"/>
        <w:autoSpaceDN w:val="0"/>
        <w:adjustRightInd w:val="0"/>
        <w:jc w:val="both"/>
        <w:rPr>
          <w:rFonts w:ascii="Arial" w:hAnsi="Arial" w:cs="Arial"/>
          <w:b/>
          <w:sz w:val="24"/>
        </w:rPr>
      </w:pPr>
    </w:p>
    <w:p w14:paraId="5B0A89A0" w14:textId="77777777" w:rsidR="00704822" w:rsidRDefault="00704822" w:rsidP="00704822">
      <w:pPr>
        <w:autoSpaceDE w:val="0"/>
        <w:autoSpaceDN w:val="0"/>
        <w:adjustRightInd w:val="0"/>
        <w:jc w:val="both"/>
        <w:rPr>
          <w:rFonts w:ascii="Arial" w:hAnsi="Arial" w:cs="Arial"/>
          <w:sz w:val="24"/>
        </w:rPr>
      </w:pPr>
      <w:r>
        <w:rPr>
          <w:rFonts w:ascii="Arial" w:hAnsi="Arial" w:cs="Arial"/>
          <w:sz w:val="24"/>
        </w:rPr>
        <w:t xml:space="preserve">To ensure efficiencies are met the Fund is subject to both internal and external audit of its practices and internal controls on a regular basis.  Full compliance is essential in response to reasonable requests.  Recommendations presented are considered and actioned accordingly.  Alternative means of gathering evidence of the efficiencies of the administration management includes: </w:t>
      </w:r>
    </w:p>
    <w:p w14:paraId="3E4EB583" w14:textId="77777777" w:rsidR="00704822" w:rsidRDefault="00704822" w:rsidP="00704822">
      <w:pPr>
        <w:autoSpaceDE w:val="0"/>
        <w:autoSpaceDN w:val="0"/>
        <w:adjustRightInd w:val="0"/>
        <w:jc w:val="both"/>
        <w:rPr>
          <w:rFonts w:ascii="Arial" w:hAnsi="Arial" w:cs="Arial"/>
          <w:sz w:val="24"/>
        </w:rPr>
      </w:pPr>
    </w:p>
    <w:p w14:paraId="6C963C20" w14:textId="77777777" w:rsidR="00704822" w:rsidRDefault="00704822" w:rsidP="00704822">
      <w:pPr>
        <w:autoSpaceDE w:val="0"/>
        <w:autoSpaceDN w:val="0"/>
        <w:adjustRightInd w:val="0"/>
        <w:jc w:val="both"/>
        <w:rPr>
          <w:rFonts w:ascii="Arial" w:hAnsi="Arial" w:cs="Arial"/>
          <w:sz w:val="24"/>
        </w:rPr>
      </w:pPr>
      <w:r>
        <w:rPr>
          <w:rFonts w:ascii="Arial" w:hAnsi="Arial" w:cs="Arial"/>
          <w:sz w:val="24"/>
        </w:rPr>
        <w:t>Pension Committee Reporting</w:t>
      </w:r>
    </w:p>
    <w:p w14:paraId="5A8D9A26" w14:textId="77777777" w:rsidR="00704822" w:rsidRDefault="00704822" w:rsidP="00704822">
      <w:pPr>
        <w:autoSpaceDE w:val="0"/>
        <w:autoSpaceDN w:val="0"/>
        <w:adjustRightInd w:val="0"/>
        <w:jc w:val="both"/>
        <w:rPr>
          <w:rFonts w:ascii="Arial" w:hAnsi="Arial" w:cs="Arial"/>
          <w:sz w:val="24"/>
        </w:rPr>
      </w:pPr>
      <w:r>
        <w:rPr>
          <w:rFonts w:ascii="Arial" w:hAnsi="Arial" w:cs="Arial"/>
          <w:sz w:val="24"/>
        </w:rPr>
        <w:t>Reporting of breaches policy</w:t>
      </w:r>
    </w:p>
    <w:p w14:paraId="055F8DD5" w14:textId="77777777" w:rsidR="00704822" w:rsidRDefault="00704822" w:rsidP="00704822">
      <w:pPr>
        <w:autoSpaceDE w:val="0"/>
        <w:autoSpaceDN w:val="0"/>
        <w:adjustRightInd w:val="0"/>
        <w:jc w:val="both"/>
        <w:rPr>
          <w:rFonts w:ascii="Arial" w:hAnsi="Arial" w:cs="Arial"/>
          <w:sz w:val="24"/>
        </w:rPr>
      </w:pPr>
      <w:r>
        <w:rPr>
          <w:rFonts w:ascii="Arial" w:hAnsi="Arial" w:cs="Arial"/>
          <w:sz w:val="24"/>
        </w:rPr>
        <w:t xml:space="preserve">The Pension Regulators annual scheme return.  </w:t>
      </w:r>
    </w:p>
    <w:p w14:paraId="3DD0D8AE" w14:textId="77777777" w:rsidR="00704822" w:rsidRDefault="00704822" w:rsidP="00704822">
      <w:pPr>
        <w:autoSpaceDE w:val="0"/>
        <w:autoSpaceDN w:val="0"/>
        <w:adjustRightInd w:val="0"/>
        <w:jc w:val="both"/>
        <w:rPr>
          <w:rFonts w:ascii="Arial" w:hAnsi="Arial" w:cs="Arial"/>
          <w:b/>
          <w:sz w:val="24"/>
        </w:rPr>
      </w:pPr>
    </w:p>
    <w:p w14:paraId="10155CD0" w14:textId="77777777" w:rsidR="00704822" w:rsidRDefault="00704822" w:rsidP="00704822">
      <w:pPr>
        <w:autoSpaceDE w:val="0"/>
        <w:autoSpaceDN w:val="0"/>
        <w:adjustRightInd w:val="0"/>
        <w:jc w:val="both"/>
        <w:rPr>
          <w:rFonts w:ascii="Arial" w:hAnsi="Arial" w:cs="Arial"/>
          <w:b/>
          <w:sz w:val="24"/>
        </w:rPr>
      </w:pPr>
      <w:r>
        <w:rPr>
          <w:rFonts w:ascii="Arial" w:hAnsi="Arial" w:cs="Arial"/>
          <w:b/>
          <w:sz w:val="24"/>
        </w:rPr>
        <w:t>The Pensions Regulator Code of Practice</w:t>
      </w:r>
    </w:p>
    <w:p w14:paraId="1E96439F" w14:textId="77777777" w:rsidR="00704822" w:rsidRDefault="00704822" w:rsidP="00704822">
      <w:pPr>
        <w:autoSpaceDE w:val="0"/>
        <w:autoSpaceDN w:val="0"/>
        <w:adjustRightInd w:val="0"/>
        <w:jc w:val="both"/>
        <w:rPr>
          <w:rFonts w:cs="Arial"/>
          <w:sz w:val="24"/>
        </w:rPr>
      </w:pPr>
    </w:p>
    <w:p w14:paraId="05ACFD1D" w14:textId="77777777" w:rsidR="00704822" w:rsidRDefault="00704822" w:rsidP="00704822">
      <w:pPr>
        <w:autoSpaceDE w:val="0"/>
        <w:autoSpaceDN w:val="0"/>
        <w:adjustRightInd w:val="0"/>
        <w:jc w:val="both"/>
        <w:rPr>
          <w:rFonts w:ascii="Arial" w:hAnsi="Arial" w:cs="Arial"/>
          <w:sz w:val="24"/>
        </w:rPr>
      </w:pPr>
      <w:r>
        <w:rPr>
          <w:rFonts w:ascii="Arial" w:hAnsi="Arial" w:cs="Arial"/>
          <w:sz w:val="24"/>
        </w:rPr>
        <w:t>The Fund complies with the Pensions Regulator Public Service Code of Practice (Governance and Administration of the Public Service Pension Schemes) which came into force with effect from 1</w:t>
      </w:r>
      <w:r>
        <w:rPr>
          <w:rFonts w:ascii="Arial" w:hAnsi="Arial" w:cs="Arial"/>
          <w:sz w:val="24"/>
          <w:vertAlign w:val="superscript"/>
        </w:rPr>
        <w:t>st</w:t>
      </w:r>
      <w:r>
        <w:rPr>
          <w:rFonts w:ascii="Arial" w:hAnsi="Arial" w:cs="Arial"/>
          <w:sz w:val="24"/>
        </w:rPr>
        <w:t xml:space="preserve"> April 2015.   The code is currently subject to review however, its main ethos is to provide LGPS Funds with a summary of their key governance and administration duties and the standards of conduct, record keeping and practice expected by the Pensions Regulator.</w:t>
      </w:r>
    </w:p>
    <w:p w14:paraId="5876E68C" w14:textId="77777777" w:rsidR="00704822" w:rsidRDefault="00704822" w:rsidP="00704822">
      <w:pPr>
        <w:jc w:val="both"/>
        <w:rPr>
          <w:rFonts w:ascii="Arial" w:hAnsi="Arial" w:cs="Arial"/>
          <w:b/>
          <w:bCs/>
          <w:szCs w:val="28"/>
          <w:lang w:eastAsia="en-GB"/>
        </w:rPr>
      </w:pPr>
    </w:p>
    <w:p w14:paraId="64777EB8" w14:textId="77777777" w:rsidR="00303219" w:rsidRDefault="00303219" w:rsidP="00704822">
      <w:pPr>
        <w:jc w:val="both"/>
        <w:rPr>
          <w:rFonts w:ascii="Arial" w:hAnsi="Arial" w:cs="Arial"/>
          <w:b/>
          <w:bCs/>
          <w:szCs w:val="28"/>
          <w:lang w:eastAsia="en-GB"/>
        </w:rPr>
      </w:pPr>
    </w:p>
    <w:p w14:paraId="57454E55" w14:textId="77777777" w:rsidR="00303219" w:rsidRDefault="00303219" w:rsidP="00704822">
      <w:pPr>
        <w:jc w:val="both"/>
        <w:rPr>
          <w:rFonts w:ascii="Arial" w:hAnsi="Arial" w:cs="Arial"/>
          <w:b/>
          <w:bCs/>
          <w:szCs w:val="28"/>
          <w:lang w:eastAsia="en-GB"/>
        </w:rPr>
      </w:pPr>
    </w:p>
    <w:p w14:paraId="18DAE587" w14:textId="77777777" w:rsidR="00303219" w:rsidRDefault="00303219" w:rsidP="00704822">
      <w:pPr>
        <w:jc w:val="both"/>
        <w:rPr>
          <w:rFonts w:ascii="Arial" w:hAnsi="Arial" w:cs="Arial"/>
          <w:b/>
          <w:bCs/>
          <w:szCs w:val="28"/>
          <w:lang w:eastAsia="en-GB"/>
        </w:rPr>
      </w:pPr>
    </w:p>
    <w:p w14:paraId="20A42CEF" w14:textId="77777777" w:rsidR="00303219" w:rsidRDefault="00303219" w:rsidP="00704822">
      <w:pPr>
        <w:jc w:val="both"/>
        <w:rPr>
          <w:rFonts w:ascii="Arial" w:hAnsi="Arial" w:cs="Arial"/>
          <w:b/>
          <w:bCs/>
          <w:szCs w:val="28"/>
          <w:lang w:eastAsia="en-GB"/>
        </w:rPr>
      </w:pPr>
    </w:p>
    <w:p w14:paraId="555C8BD7" w14:textId="77777777" w:rsidR="00303219" w:rsidRDefault="00303219" w:rsidP="00704822">
      <w:pPr>
        <w:jc w:val="both"/>
        <w:rPr>
          <w:rFonts w:ascii="Arial" w:hAnsi="Arial" w:cs="Arial"/>
          <w:b/>
          <w:bCs/>
          <w:szCs w:val="28"/>
          <w:lang w:eastAsia="en-GB"/>
        </w:rPr>
      </w:pPr>
    </w:p>
    <w:p w14:paraId="5A6D87BA" w14:textId="77777777" w:rsidR="00303219" w:rsidRDefault="00303219" w:rsidP="00704822">
      <w:pPr>
        <w:jc w:val="both"/>
        <w:rPr>
          <w:rFonts w:ascii="Arial" w:hAnsi="Arial" w:cs="Arial"/>
          <w:b/>
          <w:bCs/>
          <w:szCs w:val="28"/>
          <w:lang w:eastAsia="en-GB"/>
        </w:rPr>
      </w:pPr>
    </w:p>
    <w:p w14:paraId="36FCD57E" w14:textId="77777777" w:rsidR="00704822" w:rsidRDefault="00135E52" w:rsidP="00704822">
      <w:pPr>
        <w:jc w:val="both"/>
        <w:rPr>
          <w:rFonts w:ascii="Arial" w:hAnsi="Arial" w:cs="Arial"/>
          <w:b/>
          <w:bCs/>
          <w:szCs w:val="28"/>
          <w:lang w:eastAsia="en-GB"/>
        </w:rPr>
      </w:pPr>
      <w:r>
        <w:rPr>
          <w:rFonts w:ascii="Arial" w:hAnsi="Arial" w:cs="Arial"/>
          <w:b/>
          <w:bCs/>
          <w:szCs w:val="28"/>
          <w:lang w:eastAsia="en-GB"/>
        </w:rPr>
        <w:lastRenderedPageBreak/>
        <w:t>Le</w:t>
      </w:r>
      <w:r w:rsidR="00704822">
        <w:rPr>
          <w:rFonts w:ascii="Arial" w:hAnsi="Arial" w:cs="Arial"/>
          <w:b/>
          <w:bCs/>
          <w:szCs w:val="28"/>
          <w:lang w:eastAsia="en-GB"/>
        </w:rPr>
        <w:t>gislative Changes in the LGPS during 2021/22</w:t>
      </w:r>
    </w:p>
    <w:p w14:paraId="1C972455" w14:textId="77777777" w:rsidR="002E00C4" w:rsidRDefault="002E00C4" w:rsidP="00704822">
      <w:pPr>
        <w:jc w:val="both"/>
        <w:rPr>
          <w:rFonts w:ascii="Arial" w:hAnsi="Arial" w:cs="Arial"/>
          <w:b/>
          <w:bCs/>
          <w:szCs w:val="28"/>
          <w:lang w:eastAsia="en-GB"/>
        </w:rPr>
      </w:pPr>
    </w:p>
    <w:p w14:paraId="6D599762" w14:textId="77777777" w:rsidR="002E00C4" w:rsidRDefault="002E00C4" w:rsidP="002E00C4">
      <w:pPr>
        <w:pStyle w:val="Default"/>
        <w:jc w:val="both"/>
        <w:rPr>
          <w:lang w:eastAsia="en-US"/>
        </w:rPr>
      </w:pPr>
      <w:r>
        <w:t xml:space="preserve">19 March 2021 – </w:t>
      </w:r>
      <w:r>
        <w:rPr>
          <w:b/>
        </w:rPr>
        <w:t>Correction Slip 1</w:t>
      </w:r>
      <w:r>
        <w:t xml:space="preserve"> </w:t>
      </w:r>
      <w:r>
        <w:rPr>
          <w:b/>
        </w:rPr>
        <w:t>The Restriction of Public Sector Exit Payments (Revocation) Regulations 2021</w:t>
      </w:r>
      <w:r>
        <w:t xml:space="preserve"> – prepared by the Lords Commissioners of Her Majesty’s Treasury Laid before Parliament 25</w:t>
      </w:r>
      <w:r>
        <w:rPr>
          <w:vertAlign w:val="superscript"/>
        </w:rPr>
        <w:t>th</w:t>
      </w:r>
      <w:r>
        <w:t xml:space="preserve"> February 2021 and came into force 19</w:t>
      </w:r>
      <w:r>
        <w:rPr>
          <w:vertAlign w:val="superscript"/>
        </w:rPr>
        <w:t>th</w:t>
      </w:r>
      <w:r>
        <w:t xml:space="preserve"> March 2021.  The Regulations revoked the previously published Restriction of Public Sector Exit Payments Regulations 2020(2) </w:t>
      </w:r>
    </w:p>
    <w:p w14:paraId="211187E2" w14:textId="77777777" w:rsidR="002E00C4" w:rsidRDefault="002E00C4" w:rsidP="002E00C4">
      <w:pPr>
        <w:pStyle w:val="Default"/>
        <w:jc w:val="both"/>
      </w:pPr>
    </w:p>
    <w:p w14:paraId="3896B78D" w14:textId="77777777" w:rsidR="002E00C4" w:rsidRDefault="002E00C4" w:rsidP="002E00C4">
      <w:pPr>
        <w:pStyle w:val="Default"/>
        <w:jc w:val="both"/>
      </w:pPr>
      <w:r>
        <w:t xml:space="preserve">April 2021 – </w:t>
      </w:r>
      <w:r>
        <w:rPr>
          <w:b/>
        </w:rPr>
        <w:t xml:space="preserve">The Occupational and Personal Pension Schemes (General Levy) (Amendment) Regulations 2021 </w:t>
      </w:r>
      <w:r>
        <w:t>– prepared by the Department for Work and Pensions and laid before Parliament on 04 March 2021 and come into force on 01 April 202 and confirm what the increased rates that will apply for the next three years.  These Regulations give effect to a new structure and to new rates that will be used to calculate the General Levy (“the levy”) payable by occupational pension schemes and personal pension schemes.</w:t>
      </w:r>
    </w:p>
    <w:p w14:paraId="090C7CE2" w14:textId="77777777" w:rsidR="002E00C4" w:rsidRDefault="002E00C4" w:rsidP="002E00C4">
      <w:pPr>
        <w:autoSpaceDE w:val="0"/>
        <w:autoSpaceDN w:val="0"/>
        <w:adjustRightInd w:val="0"/>
        <w:jc w:val="both"/>
        <w:rPr>
          <w:rFonts w:ascii="Arial" w:hAnsi="Arial" w:cs="Arial"/>
          <w:sz w:val="24"/>
          <w:szCs w:val="24"/>
        </w:rPr>
      </w:pPr>
    </w:p>
    <w:p w14:paraId="3F1FA9B7"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 xml:space="preserve">April 2021 – </w:t>
      </w:r>
      <w:r>
        <w:rPr>
          <w:rFonts w:ascii="Arial" w:hAnsi="Arial" w:cs="Arial"/>
          <w:b/>
          <w:sz w:val="24"/>
          <w:szCs w:val="24"/>
        </w:rPr>
        <w:t>The Accounts and Audit (Coronavirus)(Amendment) Regulations 21</w:t>
      </w:r>
      <w:r>
        <w:rPr>
          <w:rFonts w:ascii="Arial" w:hAnsi="Arial" w:cs="Arial"/>
          <w:sz w:val="24"/>
          <w:szCs w:val="24"/>
        </w:rPr>
        <w:t xml:space="preserve"> – prepared by the Ministry of Housing, Communities and Local Government and laid before Parliament by Command of Her Majesty.  This instrument amends the Accounts and Audit Regulations 2015 (S.I 2015/234) (“the 2015 Regulations”) by delaying the dates for certain public and local bodies to publish, and make available for inspection, their annual accounts and supporting documents. These Regulations apply only in relation to annual accounts relating to the 2020/21 and 2021/22 financial years.</w:t>
      </w:r>
    </w:p>
    <w:p w14:paraId="3CBEB37D" w14:textId="77777777" w:rsidR="002E00C4" w:rsidRDefault="002E00C4" w:rsidP="002E00C4">
      <w:pPr>
        <w:autoSpaceDE w:val="0"/>
        <w:autoSpaceDN w:val="0"/>
        <w:adjustRightInd w:val="0"/>
        <w:jc w:val="both"/>
        <w:rPr>
          <w:rFonts w:ascii="Arial" w:hAnsi="Arial" w:cs="Arial"/>
          <w:sz w:val="24"/>
          <w:szCs w:val="24"/>
        </w:rPr>
      </w:pPr>
    </w:p>
    <w:p w14:paraId="7AF88C5C"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 xml:space="preserve">April 2021 – </w:t>
      </w:r>
      <w:r>
        <w:rPr>
          <w:rFonts w:ascii="Arial" w:hAnsi="Arial" w:cs="Arial"/>
          <w:b/>
          <w:sz w:val="24"/>
          <w:szCs w:val="24"/>
        </w:rPr>
        <w:t>The Pensions Increase Review Order 2021</w:t>
      </w:r>
      <w:r>
        <w:rPr>
          <w:rFonts w:ascii="Arial" w:hAnsi="Arial" w:cs="Arial"/>
          <w:sz w:val="24"/>
          <w:szCs w:val="24"/>
        </w:rPr>
        <w:t xml:space="preserve"> in accordance with the Pension Increase (Review) Order 2021 - This Order Laid before Parliament on 11 March 2021 came into force 12 April 2021 and makes provision for the annual increase of official pensions (as defined in the Pensions (Increase) Act 1971). The Order provides for an increase of 0.5 per cent from 12 April 2021 for all official pensions, except for those, which have been in payment for less than a year, which will receive a pro-rata increase.</w:t>
      </w:r>
    </w:p>
    <w:p w14:paraId="2C2DB057" w14:textId="77777777" w:rsidR="002E00C4" w:rsidRDefault="002E00C4" w:rsidP="002E00C4">
      <w:pPr>
        <w:autoSpaceDE w:val="0"/>
        <w:autoSpaceDN w:val="0"/>
        <w:adjustRightInd w:val="0"/>
        <w:jc w:val="both"/>
        <w:rPr>
          <w:rFonts w:ascii="Arial" w:hAnsi="Arial" w:cs="Arial"/>
          <w:color w:val="000000"/>
          <w:sz w:val="24"/>
          <w:szCs w:val="24"/>
        </w:rPr>
      </w:pPr>
    </w:p>
    <w:p w14:paraId="6FD2CA73"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 xml:space="preserve">April 2021 - </w:t>
      </w:r>
      <w:r>
        <w:rPr>
          <w:rFonts w:ascii="Arial" w:hAnsi="Arial" w:cs="Arial"/>
          <w:b/>
          <w:sz w:val="24"/>
          <w:szCs w:val="24"/>
        </w:rPr>
        <w:t>T</w:t>
      </w:r>
      <w:r>
        <w:rPr>
          <w:rFonts w:ascii="Arial" w:hAnsi="Arial" w:cs="Arial"/>
          <w:b/>
          <w:bCs/>
          <w:sz w:val="24"/>
          <w:szCs w:val="24"/>
        </w:rPr>
        <w:t xml:space="preserve">HE PUBLIC SERVICE PENSIONS REVALUATION ORDER 2021 – </w:t>
      </w:r>
      <w:r>
        <w:rPr>
          <w:rFonts w:ascii="Arial" w:hAnsi="Arial" w:cs="Arial"/>
          <w:bCs/>
          <w:sz w:val="24"/>
          <w:szCs w:val="24"/>
        </w:rPr>
        <w:t xml:space="preserve">prepared by HM Treasury and laid before the House of Commons on 11 March 2021 by Command of Her Majesty.  </w:t>
      </w:r>
      <w:r>
        <w:rPr>
          <w:rFonts w:ascii="Arial" w:hAnsi="Arial" w:cs="Arial"/>
          <w:sz w:val="24"/>
          <w:szCs w:val="24"/>
        </w:rPr>
        <w:t>This Order specifies the annual percentage change in prices, and earnings, to be applied for the purposes of revaluation required by schemes under the Public Service Pensions Act 2013 (“the Act”) in relation to the period 1 April to 31 March and applies to Career Average Revalued Earnings Schemes.  .  The prices metric that was used for revaluation from April 2020 to 31 March 2021 inclusive is the September 2020 CPI figure, which represents an increase of 0.5%.  CPI is the Government’s preferred measure of change in prices for the indexation of public service pensions in payment and deferment.</w:t>
      </w:r>
    </w:p>
    <w:p w14:paraId="04AD9D9C" w14:textId="77777777" w:rsidR="002E00C4" w:rsidRDefault="002E00C4" w:rsidP="002E00C4">
      <w:pPr>
        <w:autoSpaceDE w:val="0"/>
        <w:autoSpaceDN w:val="0"/>
        <w:adjustRightInd w:val="0"/>
        <w:jc w:val="both"/>
        <w:rPr>
          <w:rFonts w:ascii="Arial" w:hAnsi="Arial" w:cs="Arial"/>
          <w:sz w:val="24"/>
          <w:szCs w:val="24"/>
        </w:rPr>
      </w:pPr>
    </w:p>
    <w:p w14:paraId="138418A8" w14:textId="77777777" w:rsidR="002E00C4" w:rsidRDefault="002E00C4" w:rsidP="002E00C4">
      <w:pPr>
        <w:pStyle w:val="Default"/>
        <w:jc w:val="both"/>
      </w:pPr>
      <w:r>
        <w:rPr>
          <w:bCs/>
        </w:rPr>
        <w:t>April 2021</w:t>
      </w:r>
      <w:r>
        <w:rPr>
          <w:b/>
          <w:bCs/>
        </w:rPr>
        <w:t xml:space="preserve"> - LGPS Additional Pension purchase limit applicable for 2021/22 in England and Wales - </w:t>
      </w:r>
      <w:r>
        <w:t xml:space="preserve">Regulations 16(6) and 31(2) of the LGPS Regulations 2013 state that the additional pension limit is increased on the 1 April each year as if it were a pension beginning on 1 April 2013 to which the Pensions (Increase) Act 1971 applied.  The pensions increase due on the 1 April 2021 is the increase that applied on 06 April 2020 (as the 2021 increase does not take effect until 12 April 2021).  The </w:t>
      </w:r>
      <w:r>
        <w:lastRenderedPageBreak/>
        <w:t>additional pension limit of £7,194 that applied in 2020/21 is increased by 1.7% to £7,316 from the 1 April 2021.</w:t>
      </w:r>
    </w:p>
    <w:p w14:paraId="4DB2943C" w14:textId="77777777" w:rsidR="002E00C4" w:rsidRDefault="002E00C4" w:rsidP="002E00C4">
      <w:pPr>
        <w:autoSpaceDE w:val="0"/>
        <w:autoSpaceDN w:val="0"/>
        <w:adjustRightInd w:val="0"/>
        <w:jc w:val="both"/>
        <w:rPr>
          <w:rFonts w:ascii="Arial" w:hAnsi="Arial" w:cs="Arial"/>
          <w:sz w:val="24"/>
          <w:szCs w:val="24"/>
        </w:rPr>
      </w:pPr>
    </w:p>
    <w:p w14:paraId="56EDAC45" w14:textId="77777777" w:rsidR="002E00C4" w:rsidRDefault="002E00C4" w:rsidP="002E00C4">
      <w:pPr>
        <w:autoSpaceDE w:val="0"/>
        <w:autoSpaceDN w:val="0"/>
        <w:adjustRightInd w:val="0"/>
        <w:jc w:val="both"/>
        <w:rPr>
          <w:rFonts w:ascii="Arial" w:hAnsi="Arial" w:cs="Arial"/>
          <w:color w:val="000000"/>
          <w:sz w:val="24"/>
          <w:szCs w:val="24"/>
        </w:rPr>
      </w:pPr>
      <w:r>
        <w:rPr>
          <w:rFonts w:ascii="Arial" w:hAnsi="Arial" w:cs="Arial"/>
          <w:sz w:val="24"/>
          <w:szCs w:val="24"/>
        </w:rPr>
        <w:t xml:space="preserve">06 April 2021 - </w:t>
      </w:r>
      <w:r>
        <w:rPr>
          <w:rFonts w:ascii="Arial" w:hAnsi="Arial" w:cs="Arial"/>
          <w:b/>
          <w:bCs/>
          <w:sz w:val="24"/>
          <w:szCs w:val="24"/>
        </w:rPr>
        <w:t xml:space="preserve">THE AUTOMATIC ENROLMENT (EARNINGS TRIGGER AND QUALIFYING EARNINGS BAND) ORDER 2021 </w:t>
      </w:r>
      <w:r>
        <w:rPr>
          <w:rFonts w:ascii="Arial" w:hAnsi="Arial" w:cs="Arial"/>
          <w:sz w:val="24"/>
          <w:szCs w:val="24"/>
        </w:rPr>
        <w:t xml:space="preserve">prepared by the Department for Work and Pensions and laid before Parliament by Command of Her Majesty.  This sets out revised amounts for the 2021/22 tax year for the upper and lower thresholds of the automatic enrolment qualifying earnings band, and rounded figures for the earnings trigger and qualifying earnings band. </w:t>
      </w:r>
      <w:r>
        <w:rPr>
          <w:rFonts w:ascii="Arial" w:hAnsi="Arial" w:cs="Arial"/>
          <w:color w:val="000000"/>
          <w:sz w:val="24"/>
          <w:szCs w:val="24"/>
        </w:rPr>
        <w:t>It has been concluded that the amounts for the qualifying earnings band should continue to be aligned with the National Insurance Contributions Lower and Upper Earnings Limits for the tax year 2020/21 and that the automatic enrolment earnings trigger should remain at £10,000.</w:t>
      </w:r>
    </w:p>
    <w:p w14:paraId="76F6B12C" w14:textId="77777777" w:rsidR="002E00C4" w:rsidRDefault="002E00C4" w:rsidP="002E00C4">
      <w:pPr>
        <w:autoSpaceDE w:val="0"/>
        <w:autoSpaceDN w:val="0"/>
        <w:adjustRightInd w:val="0"/>
        <w:jc w:val="both"/>
        <w:rPr>
          <w:rFonts w:ascii="Arial" w:hAnsi="Arial" w:cs="Arial"/>
          <w:color w:val="000000"/>
          <w:sz w:val="24"/>
          <w:szCs w:val="24"/>
        </w:rPr>
      </w:pPr>
    </w:p>
    <w:p w14:paraId="70F7EA94" w14:textId="77777777" w:rsidR="002E00C4" w:rsidRDefault="002E00C4" w:rsidP="002E00C4">
      <w:pPr>
        <w:autoSpaceDE w:val="0"/>
        <w:autoSpaceDN w:val="0"/>
        <w:adjustRightInd w:val="0"/>
        <w:jc w:val="both"/>
        <w:rPr>
          <w:rFonts w:ascii="Arial" w:hAnsi="Arial" w:cs="Arial"/>
          <w:b/>
          <w:bCs/>
          <w:sz w:val="24"/>
          <w:szCs w:val="24"/>
        </w:rPr>
      </w:pPr>
      <w:r>
        <w:rPr>
          <w:rFonts w:ascii="Arial" w:hAnsi="Arial" w:cs="Arial"/>
          <w:color w:val="000000"/>
          <w:sz w:val="24"/>
          <w:szCs w:val="24"/>
        </w:rPr>
        <w:t xml:space="preserve">06 April 2021 - </w:t>
      </w:r>
      <w:r>
        <w:rPr>
          <w:rFonts w:ascii="Arial" w:hAnsi="Arial" w:cs="Arial"/>
          <w:b/>
          <w:bCs/>
          <w:sz w:val="24"/>
          <w:szCs w:val="24"/>
        </w:rPr>
        <w:t>THE SOCIAL SECURITY (CONTRIBUTIONS) (RATES, LIMITS AND THRESHOLDS AMENDMENTS AND NATIONAL INSURANCE FUNDS</w:t>
      </w:r>
    </w:p>
    <w:p w14:paraId="71EF2ADF" w14:textId="77777777" w:rsidR="002E00C4" w:rsidRPr="002E00C4" w:rsidRDefault="002E00C4" w:rsidP="002E00C4">
      <w:pPr>
        <w:autoSpaceDE w:val="0"/>
        <w:autoSpaceDN w:val="0"/>
        <w:adjustRightInd w:val="0"/>
        <w:jc w:val="both"/>
        <w:rPr>
          <w:rFonts w:ascii="Calibri" w:hAnsi="Calibri"/>
          <w:sz w:val="22"/>
          <w:szCs w:val="22"/>
        </w:rPr>
      </w:pPr>
      <w:r>
        <w:rPr>
          <w:rFonts w:ascii="Arial" w:hAnsi="Arial" w:cs="Arial"/>
          <w:b/>
          <w:bCs/>
          <w:sz w:val="24"/>
          <w:szCs w:val="24"/>
        </w:rPr>
        <w:t xml:space="preserve">PAYMENTS) REGULATIONS 2021 - </w:t>
      </w:r>
      <w:r>
        <w:rPr>
          <w:rFonts w:ascii="Arial" w:hAnsi="Arial" w:cs="Arial"/>
          <w:bCs/>
          <w:sz w:val="24"/>
          <w:szCs w:val="24"/>
        </w:rPr>
        <w:t xml:space="preserve">prepared by HM Revenue and Customs and laid before Parliament by Command of Her Majesty.  </w:t>
      </w:r>
      <w:r>
        <w:rPr>
          <w:rFonts w:ascii="Arial" w:hAnsi="Arial" w:cs="Arial"/>
          <w:sz w:val="24"/>
          <w:szCs w:val="24"/>
        </w:rPr>
        <w:t>This instrument gives effect to the annual re-rating of various National Insurance contributions (NICs) rates, limits and thresholds for the purposes of calculating Class 1, Class 2, Class 3 and Class 4 NICs liability (or voluntary payment) for the tax year beginning 6 April 2021. It also allows for payment of a Treasury Grant not exceeding 17 per cent of the estimated benefit expenditure for the 2021-22 tax year to be made into the National Insurance Fund, and makes corresponding provision for Northern Ireland</w:t>
      </w:r>
      <w:r>
        <w:t>.</w:t>
      </w:r>
    </w:p>
    <w:p w14:paraId="7F4C97A2" w14:textId="77777777" w:rsidR="002E00C4" w:rsidRDefault="002E00C4" w:rsidP="002E00C4">
      <w:pPr>
        <w:autoSpaceDE w:val="0"/>
        <w:autoSpaceDN w:val="0"/>
        <w:adjustRightInd w:val="0"/>
        <w:jc w:val="both"/>
        <w:rPr>
          <w:rFonts w:ascii="Arial" w:hAnsi="Arial" w:cs="Arial"/>
          <w:color w:val="000000"/>
          <w:sz w:val="24"/>
          <w:szCs w:val="24"/>
        </w:rPr>
      </w:pPr>
    </w:p>
    <w:p w14:paraId="38620DF9"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6 April 2021 -</w:t>
      </w:r>
      <w:r>
        <w:rPr>
          <w:rFonts w:ascii="Arial" w:hAnsi="Arial" w:cs="Arial"/>
          <w:b/>
          <w:sz w:val="24"/>
          <w:szCs w:val="24"/>
        </w:rPr>
        <w:t>The Guaranteed Minimum Pensions Increase Order 2021</w:t>
      </w:r>
      <w:r>
        <w:rPr>
          <w:rFonts w:ascii="Arial" w:hAnsi="Arial" w:cs="Arial"/>
          <w:sz w:val="24"/>
          <w:szCs w:val="24"/>
        </w:rPr>
        <w:t xml:space="preserve"> - This Order specifies the percentage by which that part of any guaranteed minimum pension attributable to earnings factors for the tax years 1988-89 to 1996-97 and payable by contracted-out, defined benefit occupational pension schemes.  This instrument specifies that the GMP is to be increased by 0.5 per cent from 06 April 2021 in accordance with Section 109(3) of the Pension Schemes Act 1993 (c. 48).  </w:t>
      </w:r>
    </w:p>
    <w:p w14:paraId="24BEE77E" w14:textId="77777777" w:rsidR="002E00C4" w:rsidRDefault="002E00C4" w:rsidP="002E00C4">
      <w:pPr>
        <w:autoSpaceDE w:val="0"/>
        <w:autoSpaceDN w:val="0"/>
        <w:adjustRightInd w:val="0"/>
        <w:jc w:val="both"/>
        <w:rPr>
          <w:rFonts w:ascii="Arial" w:hAnsi="Arial" w:cs="Arial"/>
          <w:sz w:val="24"/>
          <w:szCs w:val="24"/>
        </w:rPr>
      </w:pPr>
    </w:p>
    <w:p w14:paraId="4AC3A50A" w14:textId="77777777" w:rsidR="002E00C4" w:rsidRDefault="002E00C4" w:rsidP="002E00C4">
      <w:pPr>
        <w:pStyle w:val="Default"/>
        <w:jc w:val="both"/>
      </w:pPr>
      <w:r>
        <w:rPr>
          <w:bCs/>
        </w:rPr>
        <w:t>6 April 2021</w:t>
      </w:r>
      <w:r>
        <w:rPr>
          <w:b/>
          <w:bCs/>
        </w:rPr>
        <w:t xml:space="preserve"> - Annual allowance and lifetime allowance limits applicable from 6 April 2019 - </w:t>
      </w:r>
      <w:r>
        <w:t>The Finance Act 2004 (Standard Lifetime Allowance) Regulations 2020 [SI 2019/29] amends the Lifetime Allowance limit to £1,073,100 with effect from the 6 April 2020.  The Annual Allowance, as defined by the Finance Act 2004 (as amended), remains unchanged at £40,000 for 2020/21.</w:t>
      </w:r>
    </w:p>
    <w:p w14:paraId="4E9F496C" w14:textId="77777777" w:rsidR="002E00C4" w:rsidRDefault="002E00C4" w:rsidP="002E00C4">
      <w:pPr>
        <w:autoSpaceDE w:val="0"/>
        <w:autoSpaceDN w:val="0"/>
        <w:adjustRightInd w:val="0"/>
        <w:jc w:val="both"/>
        <w:rPr>
          <w:rFonts w:ascii="Arial" w:hAnsi="Arial" w:cs="Arial"/>
          <w:sz w:val="24"/>
          <w:szCs w:val="24"/>
        </w:rPr>
      </w:pPr>
    </w:p>
    <w:p w14:paraId="4FD09770"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 xml:space="preserve">10 June 2021 – </w:t>
      </w:r>
      <w:r>
        <w:rPr>
          <w:rFonts w:ascii="Arial" w:hAnsi="Arial" w:cs="Arial"/>
          <w:b/>
          <w:sz w:val="24"/>
          <w:szCs w:val="24"/>
        </w:rPr>
        <w:t>Finance Act 2021</w:t>
      </w:r>
      <w:r>
        <w:rPr>
          <w:rFonts w:ascii="Arial" w:hAnsi="Arial" w:cs="Arial"/>
          <w:sz w:val="24"/>
          <w:szCs w:val="24"/>
        </w:rPr>
        <w:t xml:space="preserve"> – received Royal Assent.  The Act gives legal effect to the Government’s decision to freeze the lifetime allowance at £1,073,100 for tax years 2021/22 to 2025/26 as announced at the last budget.</w:t>
      </w:r>
    </w:p>
    <w:p w14:paraId="104E9069" w14:textId="77777777" w:rsidR="002E00C4" w:rsidRDefault="002E00C4" w:rsidP="002E00C4">
      <w:pPr>
        <w:pStyle w:val="Default"/>
        <w:jc w:val="both"/>
      </w:pPr>
    </w:p>
    <w:p w14:paraId="3106D520"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 xml:space="preserve">19 July 2021 – </w:t>
      </w:r>
      <w:r>
        <w:rPr>
          <w:rFonts w:ascii="Arial" w:hAnsi="Arial" w:cs="Arial"/>
          <w:b/>
          <w:sz w:val="24"/>
          <w:szCs w:val="24"/>
        </w:rPr>
        <w:t>Public Service Pensions and Judicial Offices Bill</w:t>
      </w:r>
      <w:r>
        <w:rPr>
          <w:rFonts w:ascii="Arial" w:hAnsi="Arial" w:cs="Arial"/>
          <w:sz w:val="24"/>
          <w:szCs w:val="24"/>
        </w:rPr>
        <w:t xml:space="preserve"> – This Bill makes provision to rectify the unlawful age discrimination identified by the McCloud judgement.</w:t>
      </w:r>
    </w:p>
    <w:p w14:paraId="6E2B0351" w14:textId="77777777" w:rsidR="002E00C4" w:rsidRDefault="002E00C4" w:rsidP="002E00C4">
      <w:pPr>
        <w:autoSpaceDE w:val="0"/>
        <w:autoSpaceDN w:val="0"/>
        <w:adjustRightInd w:val="0"/>
        <w:jc w:val="both"/>
        <w:rPr>
          <w:rFonts w:ascii="Arial" w:hAnsi="Arial" w:cs="Arial"/>
          <w:sz w:val="24"/>
          <w:szCs w:val="24"/>
        </w:rPr>
      </w:pPr>
    </w:p>
    <w:p w14:paraId="032B1A57"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 xml:space="preserve">24 August 2021 – </w:t>
      </w:r>
      <w:r>
        <w:rPr>
          <w:rFonts w:ascii="Arial" w:hAnsi="Arial" w:cs="Arial"/>
          <w:b/>
          <w:sz w:val="24"/>
          <w:szCs w:val="24"/>
        </w:rPr>
        <w:t>The Pension Schemes Act 2021 (Commencement No 3 and Transitional and Savings Provisions) Regulations 2021</w:t>
      </w:r>
      <w:r>
        <w:rPr>
          <w:rFonts w:ascii="Arial" w:hAnsi="Arial" w:cs="Arial"/>
          <w:sz w:val="24"/>
          <w:szCs w:val="24"/>
        </w:rPr>
        <w:t xml:space="preserve">.  The Secretary of State for Work and Pensions in exercise of the powers conferred by Section 131(1), (4) and (5) of the Pension Schemes Act 2021(1).   These Regulations bring into force </w:t>
      </w:r>
      <w:r>
        <w:rPr>
          <w:rFonts w:ascii="Arial" w:hAnsi="Arial" w:cs="Arial"/>
          <w:sz w:val="24"/>
          <w:szCs w:val="24"/>
        </w:rPr>
        <w:lastRenderedPageBreak/>
        <w:t xml:space="preserve">provisions of the Pension Schemes Act 2021.  They are the third commencement regulations to be made under the Act. </w:t>
      </w:r>
    </w:p>
    <w:p w14:paraId="279E1BE7" w14:textId="77777777" w:rsidR="002E00C4" w:rsidRDefault="002E00C4" w:rsidP="002E00C4">
      <w:pPr>
        <w:autoSpaceDE w:val="0"/>
        <w:autoSpaceDN w:val="0"/>
        <w:adjustRightInd w:val="0"/>
        <w:jc w:val="both"/>
        <w:rPr>
          <w:rFonts w:ascii="Arial" w:hAnsi="Arial" w:cs="Arial"/>
          <w:sz w:val="24"/>
          <w:szCs w:val="24"/>
        </w:rPr>
      </w:pPr>
    </w:p>
    <w:p w14:paraId="77A12B68"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 xml:space="preserve">01 October 2021 – </w:t>
      </w:r>
      <w:r>
        <w:rPr>
          <w:rFonts w:ascii="Arial" w:hAnsi="Arial" w:cs="Arial"/>
          <w:b/>
          <w:sz w:val="24"/>
          <w:szCs w:val="24"/>
        </w:rPr>
        <w:t>The Occupational Pension Schemes (Administration, Investment, Charges and Governance)(Amendment) Regulations 2021</w:t>
      </w:r>
      <w:r>
        <w:rPr>
          <w:rFonts w:ascii="Arial" w:hAnsi="Arial" w:cs="Arial"/>
          <w:sz w:val="24"/>
          <w:szCs w:val="24"/>
        </w:rPr>
        <w:t xml:space="preserve"> -  This instrument places new administration and governance requirements on trustees of occupational defined contribution pension schemes (DC), in particular to require trustees of certain DC pension schemes to disclose their investment returns and demonstrate that they are providing value for the members.</w:t>
      </w:r>
    </w:p>
    <w:p w14:paraId="7D0B385A" w14:textId="77777777" w:rsidR="002E00C4" w:rsidRDefault="002E00C4" w:rsidP="002E00C4">
      <w:pPr>
        <w:autoSpaceDE w:val="0"/>
        <w:autoSpaceDN w:val="0"/>
        <w:adjustRightInd w:val="0"/>
        <w:jc w:val="both"/>
        <w:rPr>
          <w:rFonts w:ascii="Arial" w:hAnsi="Arial" w:cs="Arial"/>
          <w:sz w:val="24"/>
          <w:szCs w:val="24"/>
        </w:rPr>
      </w:pPr>
    </w:p>
    <w:p w14:paraId="327DD366"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 xml:space="preserve">01 October 2021 – </w:t>
      </w:r>
      <w:r>
        <w:rPr>
          <w:rFonts w:ascii="Arial" w:hAnsi="Arial" w:cs="Arial"/>
          <w:b/>
          <w:sz w:val="24"/>
          <w:szCs w:val="24"/>
        </w:rPr>
        <w:t>The Pensions Regulator (Employer Resources Test) Regulations 2021</w:t>
      </w:r>
      <w:r>
        <w:rPr>
          <w:rFonts w:ascii="Arial" w:hAnsi="Arial" w:cs="Arial"/>
          <w:sz w:val="24"/>
          <w:szCs w:val="24"/>
        </w:rPr>
        <w:t xml:space="preserve"> – This instrument sets out what constitutes the resources of the employer for the purposes of the “employer resources test” and sets out the basis for how the value of the resources of the employer is to be calculated, determined and verified.  The “employer resources test” is one of the two new jurisdictional tests introduced by the Pension Schemes Act 2021, through which The Pensions Regulator can assess if any act or failure to act satisfies the requirements for issuing a contribution notice which imposes an obligation on the recipient to pay a specified sum of money to a define benefit pension scheme. </w:t>
      </w:r>
    </w:p>
    <w:p w14:paraId="2023CFE4" w14:textId="77777777" w:rsidR="002E00C4" w:rsidRDefault="002E00C4" w:rsidP="002E00C4">
      <w:pPr>
        <w:autoSpaceDE w:val="0"/>
        <w:autoSpaceDN w:val="0"/>
        <w:adjustRightInd w:val="0"/>
        <w:jc w:val="both"/>
        <w:rPr>
          <w:rFonts w:ascii="Arial" w:hAnsi="Arial" w:cs="Arial"/>
          <w:sz w:val="24"/>
          <w:szCs w:val="24"/>
        </w:rPr>
      </w:pPr>
    </w:p>
    <w:p w14:paraId="18EB1D85"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 xml:space="preserve">30 November 2021 – </w:t>
      </w:r>
      <w:r>
        <w:rPr>
          <w:rFonts w:ascii="Arial" w:hAnsi="Arial" w:cs="Arial"/>
          <w:b/>
          <w:sz w:val="24"/>
          <w:szCs w:val="24"/>
        </w:rPr>
        <w:t>The Occupational and Personal Pension Schemes (Conditions for Transfers) Regulations 2021</w:t>
      </w:r>
      <w:r>
        <w:rPr>
          <w:rFonts w:ascii="Arial" w:hAnsi="Arial" w:cs="Arial"/>
          <w:sz w:val="24"/>
          <w:szCs w:val="24"/>
        </w:rPr>
        <w:t xml:space="preserve"> – As prepared by the Department for Work and Pensions and laid before Parliament by Command of Her Majesty.  This instrument introduces new powers for trustees and managers of occupational personal pension schemes to protect their members from scams in the exercise of those members statutory right to transfer pension benefits out of their scheme to another occupational or personal pension scheme. The statutory right to transfer accrued rights to benefits, or pension credit rights, to another pension scheme will only be able to be exercised by the member when one of the new conditions for transfers is met.  </w:t>
      </w:r>
    </w:p>
    <w:p w14:paraId="0ED839EE" w14:textId="77777777" w:rsidR="002E00C4" w:rsidRDefault="002E00C4" w:rsidP="002E00C4">
      <w:pPr>
        <w:autoSpaceDE w:val="0"/>
        <w:autoSpaceDN w:val="0"/>
        <w:adjustRightInd w:val="0"/>
        <w:jc w:val="both"/>
        <w:rPr>
          <w:rFonts w:ascii="Arial" w:hAnsi="Arial" w:cs="Arial"/>
          <w:sz w:val="24"/>
          <w:szCs w:val="24"/>
        </w:rPr>
      </w:pPr>
    </w:p>
    <w:p w14:paraId="1833254C"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 xml:space="preserve">17 January 2022 – </w:t>
      </w:r>
      <w:r>
        <w:rPr>
          <w:rFonts w:ascii="Arial" w:hAnsi="Arial" w:cs="Arial"/>
          <w:b/>
          <w:sz w:val="24"/>
          <w:szCs w:val="24"/>
        </w:rPr>
        <w:t>The Occupational and Personal Pension Schemes (Disclosure of Information)(Requirements to Refer Members to Guidance etc.)(Amendment) Regulations 2022</w:t>
      </w:r>
      <w:r>
        <w:rPr>
          <w:rFonts w:ascii="Arial" w:hAnsi="Arial" w:cs="Arial"/>
          <w:sz w:val="24"/>
          <w:szCs w:val="24"/>
        </w:rPr>
        <w:t xml:space="preserve"> – As prepared by the Department for Work and Pensions and laid before Parliament by Command of Her Majesty.  The purpose of this instrument is to make amendments to regulations governing the disclosure requirements for occupational and personal pension schemes.  It will place new requirements on the trustees or managers of certain occupational pension schemes (defined contribution pension schemes) to ensure relevant beneficiaries are referred to appropriate pension guidance.  These Regulations come into force on 01 June 2022.</w:t>
      </w:r>
    </w:p>
    <w:p w14:paraId="7D2A932C" w14:textId="77777777" w:rsidR="002E00C4" w:rsidRDefault="002E00C4" w:rsidP="002E00C4">
      <w:pPr>
        <w:autoSpaceDE w:val="0"/>
        <w:autoSpaceDN w:val="0"/>
        <w:adjustRightInd w:val="0"/>
        <w:jc w:val="both"/>
        <w:rPr>
          <w:rFonts w:ascii="Arial" w:hAnsi="Arial" w:cs="Arial"/>
          <w:sz w:val="24"/>
          <w:szCs w:val="24"/>
        </w:rPr>
      </w:pPr>
    </w:p>
    <w:p w14:paraId="655CF286"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20 September 2021 – The Ministry of Housing, Communities and Local Government (MHCLG) was renamed by the government to ‘Department for Levelling Up, Housing and Communities’.</w:t>
      </w:r>
    </w:p>
    <w:p w14:paraId="39D0DC1E"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 xml:space="preserve"> </w:t>
      </w:r>
    </w:p>
    <w:p w14:paraId="1C9931C8" w14:textId="77777777" w:rsidR="002E00C4" w:rsidRDefault="002E00C4" w:rsidP="002E00C4">
      <w:pPr>
        <w:autoSpaceDE w:val="0"/>
        <w:autoSpaceDN w:val="0"/>
        <w:adjustRightInd w:val="0"/>
        <w:jc w:val="both"/>
        <w:rPr>
          <w:rFonts w:ascii="Arial" w:hAnsi="Arial" w:cs="Arial"/>
          <w:sz w:val="24"/>
          <w:szCs w:val="24"/>
        </w:rPr>
      </w:pPr>
      <w:r>
        <w:rPr>
          <w:rFonts w:ascii="Arial" w:hAnsi="Arial" w:cs="Arial"/>
          <w:sz w:val="24"/>
          <w:szCs w:val="24"/>
        </w:rPr>
        <w:t>06 October 2021 – Scheme Advisory Board confirm Kemi Badenoch MP as the new minister for the LGPS.</w:t>
      </w:r>
    </w:p>
    <w:p w14:paraId="3C17990D" w14:textId="77777777" w:rsidR="002E00C4" w:rsidRDefault="002E00C4" w:rsidP="002E00C4">
      <w:pPr>
        <w:autoSpaceDE w:val="0"/>
        <w:autoSpaceDN w:val="0"/>
        <w:adjustRightInd w:val="0"/>
        <w:jc w:val="both"/>
        <w:rPr>
          <w:rFonts w:ascii="Arial" w:hAnsi="Arial" w:cs="Arial"/>
          <w:sz w:val="24"/>
          <w:szCs w:val="24"/>
        </w:rPr>
      </w:pPr>
    </w:p>
    <w:p w14:paraId="705767EE" w14:textId="77777777" w:rsidR="002E00C4" w:rsidRPr="002E00C4" w:rsidRDefault="002E00C4" w:rsidP="002E00C4">
      <w:pPr>
        <w:autoSpaceDE w:val="0"/>
        <w:autoSpaceDN w:val="0"/>
        <w:adjustRightInd w:val="0"/>
        <w:jc w:val="both"/>
        <w:rPr>
          <w:rFonts w:ascii="Arial" w:hAnsi="Arial" w:cs="Arial"/>
          <w:sz w:val="24"/>
          <w:szCs w:val="24"/>
        </w:rPr>
      </w:pPr>
      <w:r w:rsidRPr="002E00C4">
        <w:rPr>
          <w:rFonts w:ascii="Arial" w:hAnsi="Arial" w:cs="Arial"/>
          <w:sz w:val="24"/>
          <w:szCs w:val="24"/>
        </w:rPr>
        <w:lastRenderedPageBreak/>
        <w:t>07 October 2021 – The Public Service Pensions (Valuations and Employer Cost Cap)(Amendment) Directions 2021 were published by HM Treasury.  These Amending Directions allow schemes to conclude their 2016 valuations by setting out how they must carry out the cost control element of those valuations.</w:t>
      </w:r>
    </w:p>
    <w:p w14:paraId="643AF7FD" w14:textId="77777777" w:rsidR="002E00C4" w:rsidRPr="002E00C4" w:rsidRDefault="002E00C4" w:rsidP="002E00C4">
      <w:pPr>
        <w:autoSpaceDE w:val="0"/>
        <w:autoSpaceDN w:val="0"/>
        <w:adjustRightInd w:val="0"/>
        <w:jc w:val="both"/>
        <w:rPr>
          <w:rFonts w:ascii="Arial" w:hAnsi="Arial" w:cs="Arial"/>
          <w:sz w:val="24"/>
          <w:szCs w:val="24"/>
        </w:rPr>
      </w:pPr>
    </w:p>
    <w:p w14:paraId="45489FB8" w14:textId="77777777" w:rsidR="002E00C4" w:rsidRPr="002E00C4" w:rsidRDefault="002E00C4" w:rsidP="002E00C4">
      <w:pPr>
        <w:autoSpaceDE w:val="0"/>
        <w:autoSpaceDN w:val="0"/>
        <w:adjustRightInd w:val="0"/>
        <w:jc w:val="both"/>
        <w:rPr>
          <w:rFonts w:ascii="Arial" w:hAnsi="Arial" w:cs="Arial"/>
          <w:sz w:val="24"/>
          <w:szCs w:val="24"/>
        </w:rPr>
      </w:pPr>
      <w:r w:rsidRPr="002E00C4">
        <w:rPr>
          <w:rFonts w:ascii="Arial" w:hAnsi="Arial" w:cs="Arial"/>
          <w:sz w:val="24"/>
          <w:szCs w:val="24"/>
        </w:rPr>
        <w:t xml:space="preserve">08 November 2021 – Updated Code of Transparency now online.  Following a consultation with Code signatories proposed the Board at its meeting on 27 September 2021 agreed amendments to the LGPS Code of Transparency.  The updated Code wording is available to view at </w:t>
      </w:r>
      <w:hyperlink r:id="rId12" w:history="1">
        <w:r w:rsidRPr="002E00C4">
          <w:rPr>
            <w:rStyle w:val="Hyperlink"/>
            <w:rFonts w:ascii="Arial" w:hAnsi="Arial" w:cs="Arial"/>
            <w:sz w:val="24"/>
            <w:szCs w:val="24"/>
          </w:rPr>
          <w:t>LGPS Scheme Advisory Board - The Code (lgpsboard.org)</w:t>
        </w:r>
      </w:hyperlink>
      <w:r w:rsidRPr="002E00C4">
        <w:rPr>
          <w:rFonts w:ascii="Arial" w:hAnsi="Arial" w:cs="Arial"/>
          <w:sz w:val="24"/>
          <w:szCs w:val="24"/>
        </w:rPr>
        <w:t xml:space="preserve">  </w:t>
      </w:r>
    </w:p>
    <w:p w14:paraId="0E242486" w14:textId="77777777" w:rsidR="002E00C4" w:rsidRPr="002E00C4" w:rsidRDefault="002E00C4" w:rsidP="002E00C4">
      <w:pPr>
        <w:autoSpaceDE w:val="0"/>
        <w:autoSpaceDN w:val="0"/>
        <w:adjustRightInd w:val="0"/>
        <w:jc w:val="both"/>
        <w:rPr>
          <w:rFonts w:ascii="Arial" w:hAnsi="Arial" w:cs="Arial"/>
          <w:sz w:val="24"/>
          <w:szCs w:val="24"/>
        </w:rPr>
      </w:pPr>
      <w:r w:rsidRPr="002E00C4">
        <w:rPr>
          <w:rFonts w:ascii="Arial" w:hAnsi="Arial" w:cs="Arial"/>
          <w:sz w:val="24"/>
          <w:szCs w:val="24"/>
        </w:rPr>
        <w:t xml:space="preserve">   </w:t>
      </w:r>
    </w:p>
    <w:p w14:paraId="1B99D185" w14:textId="77777777" w:rsidR="002E00C4" w:rsidRPr="002E00C4" w:rsidRDefault="002E00C4" w:rsidP="002E00C4">
      <w:pPr>
        <w:autoSpaceDE w:val="0"/>
        <w:autoSpaceDN w:val="0"/>
        <w:adjustRightInd w:val="0"/>
        <w:jc w:val="both"/>
        <w:rPr>
          <w:rFonts w:ascii="Arial" w:hAnsi="Arial" w:cs="Arial"/>
          <w:sz w:val="24"/>
          <w:szCs w:val="24"/>
        </w:rPr>
      </w:pPr>
      <w:r w:rsidRPr="002E00C4">
        <w:rPr>
          <w:rFonts w:ascii="Arial" w:hAnsi="Arial" w:cs="Arial"/>
          <w:sz w:val="24"/>
          <w:szCs w:val="24"/>
        </w:rPr>
        <w:t xml:space="preserve">16 December 2021 – Review of the LGPS E &amp; W 2019 Fund Valuations – Section 13 Report Published.  The Department for Levelling Up, Housing and Communities published the Governments Actuary’s Department report on the 2019 fund valuations, which is required by Section 13 of the Public Service Pensions Act 2013.  Findings are available to view at </w:t>
      </w:r>
      <w:hyperlink r:id="rId13" w:history="1">
        <w:r w:rsidRPr="002E00C4">
          <w:rPr>
            <w:rStyle w:val="Hyperlink"/>
            <w:rFonts w:ascii="Arial" w:hAnsi="Arial" w:cs="Arial"/>
            <w:sz w:val="24"/>
            <w:szCs w:val="24"/>
          </w:rPr>
          <w:t>Local Government Pension Scheme: review of the actuarial valuations of funds as at 31 March 2019 - GOV.UK (www.gov.uk)</w:t>
        </w:r>
      </w:hyperlink>
    </w:p>
    <w:p w14:paraId="77078E90" w14:textId="77777777" w:rsidR="002E00C4" w:rsidRPr="002E00C4" w:rsidRDefault="002E00C4" w:rsidP="002E00C4">
      <w:pPr>
        <w:autoSpaceDE w:val="0"/>
        <w:autoSpaceDN w:val="0"/>
        <w:adjustRightInd w:val="0"/>
        <w:jc w:val="both"/>
        <w:rPr>
          <w:rFonts w:ascii="Arial" w:hAnsi="Arial" w:cs="Arial"/>
          <w:sz w:val="24"/>
          <w:szCs w:val="24"/>
        </w:rPr>
      </w:pPr>
    </w:p>
    <w:p w14:paraId="77F533CE" w14:textId="77777777" w:rsidR="002E00C4" w:rsidRPr="002E00C4" w:rsidRDefault="002E00C4" w:rsidP="002E00C4">
      <w:pPr>
        <w:autoSpaceDE w:val="0"/>
        <w:autoSpaceDN w:val="0"/>
        <w:adjustRightInd w:val="0"/>
        <w:jc w:val="both"/>
        <w:rPr>
          <w:rFonts w:ascii="Arial" w:hAnsi="Arial" w:cs="Arial"/>
          <w:sz w:val="24"/>
          <w:szCs w:val="24"/>
        </w:rPr>
      </w:pPr>
      <w:r w:rsidRPr="002E00C4">
        <w:rPr>
          <w:rFonts w:ascii="Arial" w:hAnsi="Arial" w:cs="Arial"/>
          <w:sz w:val="24"/>
          <w:szCs w:val="24"/>
        </w:rPr>
        <w:t>31 January 2022 – DWO Consultation on Pension Dashboards Regulations launched.  The consultation closed on 13 March 2022.</w:t>
      </w:r>
    </w:p>
    <w:p w14:paraId="14D14BAB" w14:textId="77777777" w:rsidR="002E00C4" w:rsidRPr="002E00C4" w:rsidRDefault="002E00C4" w:rsidP="002E00C4">
      <w:pPr>
        <w:autoSpaceDE w:val="0"/>
        <w:autoSpaceDN w:val="0"/>
        <w:adjustRightInd w:val="0"/>
        <w:jc w:val="both"/>
        <w:rPr>
          <w:rFonts w:ascii="Arial" w:hAnsi="Arial" w:cs="Arial"/>
          <w:sz w:val="24"/>
          <w:szCs w:val="24"/>
        </w:rPr>
      </w:pPr>
    </w:p>
    <w:p w14:paraId="3C508CE7" w14:textId="77777777" w:rsidR="002E00C4" w:rsidRPr="002E00C4" w:rsidRDefault="002E00C4" w:rsidP="002E00C4">
      <w:pPr>
        <w:autoSpaceDE w:val="0"/>
        <w:autoSpaceDN w:val="0"/>
        <w:adjustRightInd w:val="0"/>
        <w:jc w:val="both"/>
        <w:rPr>
          <w:rFonts w:ascii="Arial" w:hAnsi="Arial" w:cs="Arial"/>
          <w:sz w:val="24"/>
          <w:szCs w:val="24"/>
        </w:rPr>
      </w:pPr>
      <w:r w:rsidRPr="002E00C4">
        <w:rPr>
          <w:rFonts w:ascii="Arial" w:hAnsi="Arial" w:cs="Arial"/>
          <w:sz w:val="24"/>
          <w:szCs w:val="24"/>
        </w:rPr>
        <w:t>02 February 2022 - The Department for Levelling Up, Housing and Communities published Levelling Up whitepaper.  The government published the Levelling UP whitepaper which includes references to LGPS funds having plans for up to 5% of assets to be allocated to projects which support local areas.</w:t>
      </w:r>
    </w:p>
    <w:p w14:paraId="793A5314" w14:textId="77777777" w:rsidR="00704822" w:rsidRPr="002E00C4" w:rsidRDefault="00704822" w:rsidP="00704822">
      <w:pPr>
        <w:jc w:val="both"/>
        <w:rPr>
          <w:rFonts w:ascii="Arial" w:hAnsi="Arial" w:cs="Arial"/>
          <w:sz w:val="24"/>
          <w:szCs w:val="24"/>
        </w:rPr>
      </w:pPr>
    </w:p>
    <w:p w14:paraId="4D922C50" w14:textId="77777777" w:rsidR="00704822" w:rsidRDefault="00704822" w:rsidP="00704822">
      <w:pPr>
        <w:jc w:val="both"/>
        <w:rPr>
          <w:rFonts w:ascii="Arial" w:hAnsi="Arial" w:cs="Arial"/>
          <w:b/>
          <w:sz w:val="24"/>
          <w:szCs w:val="24"/>
        </w:rPr>
      </w:pPr>
      <w:r>
        <w:rPr>
          <w:rFonts w:ascii="Arial" w:hAnsi="Arial" w:cs="Arial"/>
          <w:b/>
          <w:sz w:val="24"/>
          <w:szCs w:val="24"/>
        </w:rPr>
        <w:t>Other impacting legislation</w:t>
      </w:r>
    </w:p>
    <w:p w14:paraId="7BBAD140" w14:textId="77777777" w:rsidR="00704822" w:rsidRDefault="00704822" w:rsidP="00704822">
      <w:pPr>
        <w:jc w:val="both"/>
        <w:rPr>
          <w:rFonts w:ascii="Arial" w:hAnsi="Arial" w:cs="Arial"/>
          <w:b/>
          <w:sz w:val="24"/>
          <w:szCs w:val="24"/>
        </w:rPr>
      </w:pPr>
    </w:p>
    <w:p w14:paraId="48FA7C6F" w14:textId="77777777" w:rsidR="00704822" w:rsidRDefault="00704822" w:rsidP="00704822">
      <w:pPr>
        <w:autoSpaceDE w:val="0"/>
        <w:autoSpaceDN w:val="0"/>
        <w:adjustRightInd w:val="0"/>
        <w:jc w:val="both"/>
        <w:rPr>
          <w:rFonts w:ascii="Arial" w:hAnsi="Arial" w:cs="Arial"/>
          <w:b/>
          <w:bCs/>
          <w:sz w:val="24"/>
          <w:szCs w:val="24"/>
          <w:lang w:eastAsia="en-GB"/>
        </w:rPr>
      </w:pPr>
      <w:r>
        <w:rPr>
          <w:rFonts w:ascii="Arial" w:hAnsi="Arial" w:cs="Arial"/>
          <w:b/>
          <w:bCs/>
          <w:sz w:val="24"/>
          <w:szCs w:val="24"/>
          <w:lang w:eastAsia="en-GB"/>
        </w:rPr>
        <w:t>Cessation of Contracting Out</w:t>
      </w:r>
    </w:p>
    <w:p w14:paraId="4C8495A6" w14:textId="77777777" w:rsidR="00704822" w:rsidRDefault="00704822" w:rsidP="00704822">
      <w:pPr>
        <w:autoSpaceDE w:val="0"/>
        <w:autoSpaceDN w:val="0"/>
        <w:adjustRightInd w:val="0"/>
        <w:jc w:val="both"/>
        <w:rPr>
          <w:rFonts w:ascii="Arial" w:hAnsi="Arial" w:cs="Arial"/>
          <w:bCs/>
          <w:sz w:val="24"/>
          <w:szCs w:val="24"/>
          <w:lang w:eastAsia="en-GB"/>
        </w:rPr>
      </w:pPr>
    </w:p>
    <w:p w14:paraId="156DEDA7" w14:textId="77777777" w:rsidR="00704822" w:rsidRDefault="00704822" w:rsidP="00704822">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t>The basic state pension and state second pension (S2P) were abolished on 5</w:t>
      </w:r>
      <w:r>
        <w:rPr>
          <w:rFonts w:ascii="Arial" w:hAnsi="Arial" w:cs="Arial"/>
          <w:bCs/>
          <w:sz w:val="24"/>
          <w:szCs w:val="24"/>
          <w:vertAlign w:val="superscript"/>
          <w:lang w:eastAsia="en-GB"/>
        </w:rPr>
        <w:t>th</w:t>
      </w:r>
      <w:r>
        <w:rPr>
          <w:rFonts w:ascii="Arial" w:hAnsi="Arial" w:cs="Arial"/>
          <w:bCs/>
          <w:sz w:val="24"/>
          <w:szCs w:val="24"/>
          <w:lang w:eastAsia="en-GB"/>
        </w:rPr>
        <w:t xml:space="preserve"> April 2016 and replaced by a single-tier pension.</w:t>
      </w:r>
    </w:p>
    <w:p w14:paraId="3542EC2C" w14:textId="77777777" w:rsidR="00704822" w:rsidRDefault="00704822" w:rsidP="00704822">
      <w:pPr>
        <w:autoSpaceDE w:val="0"/>
        <w:autoSpaceDN w:val="0"/>
        <w:adjustRightInd w:val="0"/>
        <w:jc w:val="both"/>
        <w:rPr>
          <w:rFonts w:ascii="Arial" w:hAnsi="Arial" w:cs="Arial"/>
          <w:bCs/>
          <w:sz w:val="24"/>
          <w:szCs w:val="24"/>
          <w:lang w:eastAsia="en-GB"/>
        </w:rPr>
      </w:pPr>
    </w:p>
    <w:p w14:paraId="636B18EB" w14:textId="77777777" w:rsidR="00704822" w:rsidRDefault="00704822" w:rsidP="00704822">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t>For LGPS members, this has meant an increase in National Insurance (NI) contributions for both members and their employers as the previous rebate allowed, to contract-out pension schemes out of S2P, now no longer applies.</w:t>
      </w:r>
    </w:p>
    <w:p w14:paraId="1EA7CD69" w14:textId="77777777" w:rsidR="00704822" w:rsidRDefault="00704822" w:rsidP="00704822">
      <w:pPr>
        <w:autoSpaceDE w:val="0"/>
        <w:autoSpaceDN w:val="0"/>
        <w:adjustRightInd w:val="0"/>
        <w:jc w:val="both"/>
        <w:rPr>
          <w:rFonts w:ascii="Arial" w:hAnsi="Arial" w:cs="Arial"/>
          <w:bCs/>
          <w:sz w:val="24"/>
          <w:szCs w:val="24"/>
          <w:lang w:eastAsia="en-GB"/>
        </w:rPr>
      </w:pPr>
    </w:p>
    <w:p w14:paraId="267FE70C" w14:textId="77777777" w:rsidR="00704822" w:rsidRDefault="00704822" w:rsidP="00704822">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t>An additional implication of the cessation of contracting out is that members of all pension schemes, which had contracted-out status, have a Guaranteed Minimum Pension (GMP), which relates to the part of their pension between 6</w:t>
      </w:r>
      <w:r>
        <w:rPr>
          <w:rFonts w:ascii="Arial" w:hAnsi="Arial" w:cs="Arial"/>
          <w:bCs/>
          <w:sz w:val="24"/>
          <w:szCs w:val="24"/>
          <w:vertAlign w:val="superscript"/>
          <w:lang w:eastAsia="en-GB"/>
        </w:rPr>
        <w:t>th</w:t>
      </w:r>
      <w:r>
        <w:rPr>
          <w:rFonts w:ascii="Arial" w:hAnsi="Arial" w:cs="Arial"/>
          <w:bCs/>
          <w:sz w:val="24"/>
          <w:szCs w:val="24"/>
          <w:lang w:eastAsia="en-GB"/>
        </w:rPr>
        <w:t xml:space="preserve"> April 1978 and 5</w:t>
      </w:r>
      <w:r>
        <w:rPr>
          <w:rFonts w:ascii="Arial" w:hAnsi="Arial" w:cs="Arial"/>
          <w:bCs/>
          <w:sz w:val="24"/>
          <w:szCs w:val="24"/>
          <w:vertAlign w:val="superscript"/>
          <w:lang w:eastAsia="en-GB"/>
        </w:rPr>
        <w:t>th</w:t>
      </w:r>
      <w:r>
        <w:rPr>
          <w:rFonts w:ascii="Arial" w:hAnsi="Arial" w:cs="Arial"/>
          <w:bCs/>
          <w:sz w:val="24"/>
          <w:szCs w:val="24"/>
          <w:lang w:eastAsia="en-GB"/>
        </w:rPr>
        <w:t xml:space="preserve"> April 1997 for which they were contracted out. The GMP is not an additional amount but is an amount which the Scheme must ensure at least equals the members equivalent LGPS pension at State Pension Age.  </w:t>
      </w:r>
    </w:p>
    <w:p w14:paraId="13CF9027" w14:textId="77777777" w:rsidR="00704822" w:rsidRDefault="00704822" w:rsidP="00704822">
      <w:pPr>
        <w:autoSpaceDE w:val="0"/>
        <w:autoSpaceDN w:val="0"/>
        <w:adjustRightInd w:val="0"/>
        <w:jc w:val="both"/>
        <w:rPr>
          <w:rFonts w:ascii="Arial" w:hAnsi="Arial" w:cs="Arial"/>
          <w:bCs/>
          <w:sz w:val="24"/>
          <w:szCs w:val="24"/>
          <w:lang w:eastAsia="en-GB"/>
        </w:rPr>
      </w:pPr>
    </w:p>
    <w:p w14:paraId="1CD9E503" w14:textId="77777777" w:rsidR="00704822" w:rsidRDefault="00704822" w:rsidP="00704822">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t xml:space="preserve">To ensure that pension scheme records reconcile with those of HMRC, the formerly contracted-out pension schemes, including the LGPS, are undertaking an exercise to ensure the correct information is held on members’ records.  The reconciliation exercise initially had to be completed by December 2018; however, to address outstanding queries this has been extended in accordance with HMRC direction.   </w:t>
      </w:r>
    </w:p>
    <w:p w14:paraId="6E336A72" w14:textId="77777777" w:rsidR="00704822" w:rsidRDefault="00704822" w:rsidP="00704822">
      <w:pPr>
        <w:autoSpaceDE w:val="0"/>
        <w:autoSpaceDN w:val="0"/>
        <w:adjustRightInd w:val="0"/>
        <w:jc w:val="both"/>
        <w:rPr>
          <w:rFonts w:ascii="Arial" w:hAnsi="Arial" w:cs="Arial"/>
          <w:bCs/>
          <w:sz w:val="24"/>
          <w:szCs w:val="24"/>
          <w:lang w:eastAsia="en-GB"/>
        </w:rPr>
      </w:pPr>
    </w:p>
    <w:p w14:paraId="458786C2" w14:textId="77777777" w:rsidR="00704822" w:rsidRDefault="00704822" w:rsidP="00704822">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lastRenderedPageBreak/>
        <w:t>This exercise has proved to be extremely challenging and has led to considerable work to ensure that the Fund does not incur unwarranted liabilities.  To allow for this the Fund has outsourced the exercise to a third party who are dealing specifically with the reconciliation exercise.  The exercise is still ongoing however, it is anticipated that the findings will be received by the Fund mid-late 2022.</w:t>
      </w:r>
    </w:p>
    <w:p w14:paraId="7B499751" w14:textId="77777777" w:rsidR="00704822" w:rsidRDefault="00704822" w:rsidP="00704822">
      <w:pPr>
        <w:autoSpaceDE w:val="0"/>
        <w:autoSpaceDN w:val="0"/>
        <w:adjustRightInd w:val="0"/>
        <w:rPr>
          <w:rFonts w:ascii="Arial" w:hAnsi="Arial" w:cs="Arial"/>
          <w:b/>
          <w:bCs/>
          <w:sz w:val="24"/>
          <w:szCs w:val="24"/>
          <w:lang w:eastAsia="en-GB"/>
        </w:rPr>
      </w:pPr>
    </w:p>
    <w:p w14:paraId="513EEC45" w14:textId="77777777" w:rsidR="00704822" w:rsidRDefault="00704822" w:rsidP="00704822">
      <w:pPr>
        <w:autoSpaceDE w:val="0"/>
        <w:autoSpaceDN w:val="0"/>
        <w:adjustRightInd w:val="0"/>
        <w:rPr>
          <w:rFonts w:ascii="Arial" w:hAnsi="Arial" w:cs="Arial"/>
          <w:b/>
          <w:bCs/>
          <w:sz w:val="24"/>
          <w:szCs w:val="24"/>
          <w:lang w:eastAsia="en-GB"/>
        </w:rPr>
      </w:pPr>
      <w:r>
        <w:rPr>
          <w:rFonts w:ascii="Arial" w:hAnsi="Arial" w:cs="Arial"/>
          <w:b/>
          <w:bCs/>
          <w:sz w:val="24"/>
          <w:szCs w:val="24"/>
          <w:lang w:eastAsia="en-GB"/>
        </w:rPr>
        <w:t>Tax Reform</w:t>
      </w:r>
    </w:p>
    <w:p w14:paraId="75FAF7FE" w14:textId="77777777" w:rsidR="00704822" w:rsidRDefault="00704822" w:rsidP="00704822">
      <w:pPr>
        <w:autoSpaceDE w:val="0"/>
        <w:autoSpaceDN w:val="0"/>
        <w:adjustRightInd w:val="0"/>
        <w:rPr>
          <w:rFonts w:ascii="Arial" w:hAnsi="Arial" w:cs="Arial"/>
          <w:b/>
          <w:bCs/>
          <w:sz w:val="24"/>
          <w:szCs w:val="24"/>
          <w:lang w:eastAsia="en-GB"/>
        </w:rPr>
      </w:pPr>
    </w:p>
    <w:p w14:paraId="3808BED0" w14:textId="77777777" w:rsidR="00704822" w:rsidRDefault="00704822" w:rsidP="00704822">
      <w:pPr>
        <w:autoSpaceDE w:val="0"/>
        <w:autoSpaceDN w:val="0"/>
        <w:adjustRightInd w:val="0"/>
        <w:jc w:val="both"/>
        <w:rPr>
          <w:rFonts w:ascii="Arial" w:hAnsi="Arial" w:cs="Arial"/>
          <w:sz w:val="24"/>
          <w:szCs w:val="24"/>
          <w:lang w:eastAsia="en-GB"/>
        </w:rPr>
      </w:pPr>
      <w:r>
        <w:rPr>
          <w:rFonts w:ascii="Arial" w:hAnsi="Arial" w:cs="Arial"/>
          <w:sz w:val="24"/>
          <w:szCs w:val="24"/>
          <w:lang w:eastAsia="en-GB"/>
        </w:rPr>
        <w:t xml:space="preserve">The last few years has seen major steps taken by the Government to reduce tax-free allowances on pension accrual.  </w:t>
      </w:r>
    </w:p>
    <w:p w14:paraId="428D0F00" w14:textId="77777777" w:rsidR="00704822" w:rsidRDefault="00704822" w:rsidP="00704822">
      <w:pPr>
        <w:autoSpaceDE w:val="0"/>
        <w:autoSpaceDN w:val="0"/>
        <w:adjustRightInd w:val="0"/>
        <w:jc w:val="both"/>
        <w:rPr>
          <w:rFonts w:ascii="Arial" w:hAnsi="Arial" w:cs="Arial"/>
          <w:sz w:val="24"/>
          <w:szCs w:val="24"/>
          <w:lang w:eastAsia="en-GB"/>
        </w:rPr>
      </w:pPr>
    </w:p>
    <w:p w14:paraId="388539E2" w14:textId="77777777" w:rsidR="00704822" w:rsidRDefault="00704822" w:rsidP="00704822">
      <w:pPr>
        <w:autoSpaceDE w:val="0"/>
        <w:autoSpaceDN w:val="0"/>
        <w:adjustRightInd w:val="0"/>
        <w:jc w:val="both"/>
        <w:rPr>
          <w:rFonts w:ascii="Arial" w:hAnsi="Arial" w:cs="Arial"/>
          <w:sz w:val="24"/>
          <w:szCs w:val="24"/>
          <w:lang w:eastAsia="en-GB"/>
        </w:rPr>
      </w:pPr>
      <w:r>
        <w:rPr>
          <w:rFonts w:ascii="Arial" w:hAnsi="Arial" w:cs="Arial"/>
          <w:sz w:val="24"/>
          <w:szCs w:val="24"/>
          <w:lang w:eastAsia="en-GB"/>
        </w:rPr>
        <w:t>The Lifetime Allowance (LTA), which is the total amount an individual can hold in all their pension savings, reduced to £1.25m from 6</w:t>
      </w:r>
      <w:r>
        <w:rPr>
          <w:rFonts w:ascii="Arial" w:hAnsi="Arial" w:cs="Arial"/>
          <w:sz w:val="24"/>
          <w:szCs w:val="24"/>
          <w:vertAlign w:val="superscript"/>
          <w:lang w:eastAsia="en-GB"/>
        </w:rPr>
        <w:t>th</w:t>
      </w:r>
      <w:r>
        <w:rPr>
          <w:rFonts w:ascii="Arial" w:hAnsi="Arial" w:cs="Arial"/>
          <w:sz w:val="24"/>
          <w:szCs w:val="24"/>
          <w:lang w:eastAsia="en-GB"/>
        </w:rPr>
        <w:t xml:space="preserve"> April 2014 with further reductions applied.  </w:t>
      </w:r>
      <w:r>
        <w:rPr>
          <w:rFonts w:ascii="Arial" w:hAnsi="Arial" w:cs="Arial"/>
          <w:sz w:val="24"/>
          <w:szCs w:val="24"/>
        </w:rPr>
        <w:t>From 2018/19 onwards, the lifetime allowance has been subject to an increase each year in line with inflation and for</w:t>
      </w:r>
      <w:r w:rsidR="00C10974">
        <w:rPr>
          <w:rFonts w:ascii="Arial" w:hAnsi="Arial" w:cs="Arial"/>
          <w:sz w:val="24"/>
          <w:szCs w:val="24"/>
        </w:rPr>
        <w:t xml:space="preserve"> the tax year 2021/22,</w:t>
      </w:r>
      <w:r>
        <w:rPr>
          <w:rFonts w:ascii="Arial" w:hAnsi="Arial" w:cs="Arial"/>
          <w:sz w:val="24"/>
          <w:szCs w:val="24"/>
        </w:rPr>
        <w:t xml:space="preserve"> this is £1,073,100m</w:t>
      </w:r>
      <w:r>
        <w:rPr>
          <w:rFonts w:ascii="Arial" w:hAnsi="Arial" w:cs="Arial"/>
          <w:sz w:val="24"/>
          <w:szCs w:val="24"/>
          <w:lang w:eastAsia="en-GB"/>
        </w:rPr>
        <w:t>.  The current LTA is frozen for the next 5 fiscal years.</w:t>
      </w:r>
    </w:p>
    <w:p w14:paraId="6A0A667F" w14:textId="77777777" w:rsidR="00704822" w:rsidRDefault="00704822" w:rsidP="00704822">
      <w:pPr>
        <w:autoSpaceDE w:val="0"/>
        <w:autoSpaceDN w:val="0"/>
        <w:adjustRightInd w:val="0"/>
        <w:jc w:val="both"/>
        <w:rPr>
          <w:rFonts w:ascii="Arial" w:hAnsi="Arial" w:cs="Arial"/>
          <w:sz w:val="24"/>
          <w:szCs w:val="24"/>
          <w:lang w:eastAsia="en-GB"/>
        </w:rPr>
      </w:pPr>
    </w:p>
    <w:p w14:paraId="2C0AF659" w14:textId="77777777" w:rsidR="00704822" w:rsidRDefault="00704822" w:rsidP="00704822">
      <w:pPr>
        <w:autoSpaceDE w:val="0"/>
        <w:autoSpaceDN w:val="0"/>
        <w:adjustRightInd w:val="0"/>
        <w:jc w:val="both"/>
        <w:rPr>
          <w:rFonts w:ascii="Arial" w:hAnsi="Arial" w:cs="Arial"/>
          <w:sz w:val="24"/>
          <w:szCs w:val="24"/>
          <w:lang w:eastAsia="en-GB"/>
        </w:rPr>
      </w:pPr>
      <w:r>
        <w:rPr>
          <w:rFonts w:ascii="Arial" w:hAnsi="Arial" w:cs="Arial"/>
          <w:sz w:val="24"/>
          <w:szCs w:val="24"/>
          <w:lang w:eastAsia="en-GB"/>
        </w:rPr>
        <w:t xml:space="preserve">As a means of best practice, the Fund engages with its members were a future LTA breach has been identified this will allow for sufficient time for individuals to seek independent financial advice concerning taxation matters. </w:t>
      </w:r>
    </w:p>
    <w:p w14:paraId="3B997080" w14:textId="77777777" w:rsidR="00704822" w:rsidRDefault="00704822" w:rsidP="00704822">
      <w:pPr>
        <w:autoSpaceDE w:val="0"/>
        <w:autoSpaceDN w:val="0"/>
        <w:adjustRightInd w:val="0"/>
        <w:jc w:val="both"/>
        <w:rPr>
          <w:rFonts w:ascii="Arial" w:hAnsi="Arial" w:cs="Arial"/>
          <w:sz w:val="24"/>
          <w:szCs w:val="24"/>
          <w:lang w:eastAsia="en-GB"/>
        </w:rPr>
      </w:pPr>
    </w:p>
    <w:p w14:paraId="087DB2DF" w14:textId="77777777" w:rsidR="00704822" w:rsidRDefault="00704822" w:rsidP="00704822">
      <w:pPr>
        <w:autoSpaceDE w:val="0"/>
        <w:autoSpaceDN w:val="0"/>
        <w:adjustRightInd w:val="0"/>
        <w:jc w:val="both"/>
        <w:rPr>
          <w:rFonts w:ascii="Arial" w:hAnsi="Arial" w:cs="Arial"/>
          <w:sz w:val="24"/>
          <w:szCs w:val="24"/>
          <w:lang w:eastAsia="en-GB"/>
        </w:rPr>
      </w:pPr>
      <w:r>
        <w:rPr>
          <w:rFonts w:ascii="Arial" w:hAnsi="Arial" w:cs="Arial"/>
          <w:sz w:val="24"/>
          <w:szCs w:val="24"/>
          <w:lang w:eastAsia="en-GB"/>
        </w:rPr>
        <w:t>In addition, HMRC also limits the amount by which the total value of a person’s pension benefits can increase in a year. The Annual Allowance limit reduced to £40,000 with effect from 1</w:t>
      </w:r>
      <w:r>
        <w:rPr>
          <w:rFonts w:ascii="Arial" w:hAnsi="Arial" w:cs="Arial"/>
          <w:sz w:val="24"/>
          <w:szCs w:val="24"/>
          <w:vertAlign w:val="superscript"/>
          <w:lang w:eastAsia="en-GB"/>
        </w:rPr>
        <w:t>st</w:t>
      </w:r>
      <w:r>
        <w:rPr>
          <w:rFonts w:ascii="Arial" w:hAnsi="Arial" w:cs="Arial"/>
          <w:sz w:val="24"/>
          <w:szCs w:val="24"/>
          <w:lang w:eastAsia="en-GB"/>
        </w:rPr>
        <w:t xml:space="preserve"> April 2014 and remained at this level </w:t>
      </w:r>
      <w:r w:rsidRPr="00633457">
        <w:rPr>
          <w:rFonts w:ascii="Arial" w:hAnsi="Arial" w:cs="Arial"/>
          <w:sz w:val="24"/>
          <w:szCs w:val="24"/>
          <w:shd w:val="clear" w:color="auto" w:fill="FFFFFF"/>
          <w:lang w:eastAsia="en-GB"/>
        </w:rPr>
        <w:t>for</w:t>
      </w:r>
      <w:r w:rsidR="00C10974" w:rsidRPr="00633457">
        <w:rPr>
          <w:rFonts w:ascii="Arial" w:hAnsi="Arial" w:cs="Arial"/>
          <w:sz w:val="24"/>
          <w:szCs w:val="24"/>
          <w:shd w:val="clear" w:color="auto" w:fill="FFFFFF"/>
          <w:lang w:eastAsia="en-GB"/>
        </w:rPr>
        <w:t xml:space="preserve"> 2021/22, which</w:t>
      </w:r>
      <w:r w:rsidRPr="00633457">
        <w:rPr>
          <w:rFonts w:ascii="Arial" w:hAnsi="Arial" w:cs="Arial"/>
          <w:sz w:val="24"/>
          <w:szCs w:val="24"/>
          <w:shd w:val="clear" w:color="auto" w:fill="FFFFFF"/>
          <w:lang w:eastAsia="en-GB"/>
        </w:rPr>
        <w:t xml:space="preserve"> </w:t>
      </w:r>
      <w:r>
        <w:rPr>
          <w:rFonts w:ascii="Arial" w:hAnsi="Arial" w:cs="Arial"/>
          <w:sz w:val="24"/>
          <w:szCs w:val="24"/>
          <w:lang w:eastAsia="en-GB"/>
        </w:rPr>
        <w:t>has resulted in more members becoming subject to tax charges on the excess accrued.  The Fund undertakes an exercise each year and any member subject to an Annual Allowance breach will be issued with a Pension Saving Statement by 06 October.</w:t>
      </w:r>
    </w:p>
    <w:p w14:paraId="5943DCB8" w14:textId="77777777" w:rsidR="00704822" w:rsidRDefault="00704822" w:rsidP="00704822">
      <w:pPr>
        <w:autoSpaceDE w:val="0"/>
        <w:autoSpaceDN w:val="0"/>
        <w:adjustRightInd w:val="0"/>
        <w:jc w:val="both"/>
        <w:rPr>
          <w:rFonts w:ascii="Arial" w:hAnsi="Arial" w:cs="Arial"/>
          <w:sz w:val="24"/>
          <w:szCs w:val="24"/>
          <w:lang w:eastAsia="en-GB"/>
        </w:rPr>
      </w:pPr>
    </w:p>
    <w:p w14:paraId="1B77522B" w14:textId="77777777" w:rsidR="00704822" w:rsidRDefault="00704822" w:rsidP="00704822">
      <w:pPr>
        <w:autoSpaceDE w:val="0"/>
        <w:autoSpaceDN w:val="0"/>
        <w:adjustRightInd w:val="0"/>
        <w:rPr>
          <w:rFonts w:ascii="Arial" w:hAnsi="Arial" w:cs="Arial"/>
          <w:sz w:val="24"/>
          <w:szCs w:val="24"/>
          <w:lang w:eastAsia="en-GB"/>
        </w:rPr>
      </w:pPr>
    </w:p>
    <w:p w14:paraId="4B97EE7F" w14:textId="77777777" w:rsidR="00D30BC6" w:rsidRDefault="00D30BC6" w:rsidP="007501E4">
      <w:pPr>
        <w:rPr>
          <w:rFonts w:ascii="Arial" w:hAnsi="Arial" w:cs="Arial"/>
          <w:b/>
          <w:bCs/>
          <w:sz w:val="24"/>
          <w:szCs w:val="24"/>
        </w:rPr>
      </w:pPr>
    </w:p>
    <w:p w14:paraId="1EA564CA" w14:textId="77777777" w:rsidR="00303219" w:rsidRDefault="00303219" w:rsidP="007501E4">
      <w:pPr>
        <w:rPr>
          <w:rFonts w:ascii="Arial" w:hAnsi="Arial" w:cs="Arial"/>
          <w:b/>
          <w:bCs/>
          <w:sz w:val="24"/>
          <w:szCs w:val="24"/>
        </w:rPr>
      </w:pPr>
    </w:p>
    <w:p w14:paraId="4A186D61" w14:textId="77777777" w:rsidR="00303219" w:rsidRDefault="00303219" w:rsidP="007501E4">
      <w:pPr>
        <w:rPr>
          <w:rFonts w:ascii="Arial" w:hAnsi="Arial" w:cs="Arial"/>
          <w:b/>
          <w:bCs/>
          <w:sz w:val="24"/>
          <w:szCs w:val="24"/>
        </w:rPr>
      </w:pPr>
    </w:p>
    <w:p w14:paraId="2628ED78" w14:textId="77777777" w:rsidR="00303219" w:rsidRDefault="00303219" w:rsidP="007501E4">
      <w:pPr>
        <w:rPr>
          <w:rFonts w:ascii="Arial" w:hAnsi="Arial" w:cs="Arial"/>
          <w:b/>
          <w:bCs/>
          <w:sz w:val="24"/>
          <w:szCs w:val="24"/>
        </w:rPr>
      </w:pPr>
    </w:p>
    <w:p w14:paraId="0B2AD629" w14:textId="77777777" w:rsidR="00303219" w:rsidRDefault="00303219" w:rsidP="007501E4">
      <w:pPr>
        <w:rPr>
          <w:rFonts w:ascii="Arial" w:hAnsi="Arial" w:cs="Arial"/>
          <w:b/>
          <w:bCs/>
          <w:sz w:val="24"/>
          <w:szCs w:val="24"/>
        </w:rPr>
      </w:pPr>
    </w:p>
    <w:p w14:paraId="056693E7" w14:textId="77777777" w:rsidR="00303219" w:rsidRDefault="00303219" w:rsidP="007501E4">
      <w:pPr>
        <w:rPr>
          <w:rFonts w:ascii="Arial" w:hAnsi="Arial" w:cs="Arial"/>
          <w:b/>
          <w:bCs/>
          <w:sz w:val="24"/>
          <w:szCs w:val="24"/>
        </w:rPr>
      </w:pPr>
    </w:p>
    <w:p w14:paraId="4B44B073" w14:textId="77777777" w:rsidR="00303219" w:rsidRDefault="00303219" w:rsidP="007501E4">
      <w:pPr>
        <w:rPr>
          <w:rFonts w:ascii="Arial" w:hAnsi="Arial" w:cs="Arial"/>
          <w:b/>
          <w:bCs/>
          <w:sz w:val="24"/>
          <w:szCs w:val="24"/>
        </w:rPr>
      </w:pPr>
    </w:p>
    <w:p w14:paraId="25321A13" w14:textId="77777777" w:rsidR="00303219" w:rsidRDefault="00303219" w:rsidP="007501E4">
      <w:pPr>
        <w:rPr>
          <w:rFonts w:ascii="Arial" w:hAnsi="Arial" w:cs="Arial"/>
          <w:b/>
          <w:bCs/>
          <w:sz w:val="24"/>
          <w:szCs w:val="24"/>
        </w:rPr>
      </w:pPr>
    </w:p>
    <w:p w14:paraId="0E1F0CC5" w14:textId="77777777" w:rsidR="00303219" w:rsidRDefault="00303219" w:rsidP="007501E4">
      <w:pPr>
        <w:rPr>
          <w:rFonts w:ascii="Arial" w:hAnsi="Arial" w:cs="Arial"/>
          <w:b/>
          <w:bCs/>
          <w:sz w:val="24"/>
          <w:szCs w:val="24"/>
        </w:rPr>
      </w:pPr>
    </w:p>
    <w:p w14:paraId="58398814" w14:textId="77777777" w:rsidR="00303219" w:rsidRDefault="00303219" w:rsidP="007501E4">
      <w:pPr>
        <w:rPr>
          <w:rFonts w:ascii="Arial" w:hAnsi="Arial" w:cs="Arial"/>
          <w:b/>
          <w:bCs/>
          <w:sz w:val="24"/>
          <w:szCs w:val="24"/>
        </w:rPr>
      </w:pPr>
    </w:p>
    <w:p w14:paraId="32264F0B" w14:textId="77777777" w:rsidR="00303219" w:rsidRDefault="00303219" w:rsidP="007501E4">
      <w:pPr>
        <w:rPr>
          <w:rFonts w:ascii="Arial" w:hAnsi="Arial" w:cs="Arial"/>
          <w:b/>
          <w:bCs/>
          <w:sz w:val="24"/>
          <w:szCs w:val="24"/>
        </w:rPr>
      </w:pPr>
    </w:p>
    <w:p w14:paraId="02B3226E" w14:textId="77777777" w:rsidR="00303219" w:rsidRDefault="00303219" w:rsidP="007501E4">
      <w:pPr>
        <w:rPr>
          <w:rFonts w:ascii="Arial" w:hAnsi="Arial" w:cs="Arial"/>
          <w:b/>
          <w:bCs/>
          <w:sz w:val="24"/>
          <w:szCs w:val="24"/>
        </w:rPr>
      </w:pPr>
    </w:p>
    <w:p w14:paraId="2D3C89BD" w14:textId="77777777" w:rsidR="00303219" w:rsidRDefault="00303219" w:rsidP="007501E4">
      <w:pPr>
        <w:rPr>
          <w:rFonts w:ascii="Arial" w:hAnsi="Arial" w:cs="Arial"/>
          <w:b/>
          <w:bCs/>
          <w:sz w:val="24"/>
          <w:szCs w:val="24"/>
        </w:rPr>
      </w:pPr>
    </w:p>
    <w:p w14:paraId="067CDED9" w14:textId="77777777" w:rsidR="00303219" w:rsidRDefault="00303219" w:rsidP="007501E4">
      <w:pPr>
        <w:rPr>
          <w:rFonts w:ascii="Arial" w:hAnsi="Arial" w:cs="Arial"/>
          <w:b/>
          <w:bCs/>
          <w:sz w:val="24"/>
          <w:szCs w:val="24"/>
        </w:rPr>
      </w:pPr>
    </w:p>
    <w:p w14:paraId="7F7DE460" w14:textId="77777777" w:rsidR="00303219" w:rsidRDefault="00303219" w:rsidP="007501E4">
      <w:pPr>
        <w:rPr>
          <w:rFonts w:ascii="Arial" w:hAnsi="Arial" w:cs="Arial"/>
          <w:b/>
          <w:bCs/>
          <w:sz w:val="24"/>
          <w:szCs w:val="24"/>
        </w:rPr>
      </w:pPr>
    </w:p>
    <w:p w14:paraId="1BAF23E6" w14:textId="77777777" w:rsidR="00303219" w:rsidRDefault="00303219" w:rsidP="007501E4">
      <w:pPr>
        <w:rPr>
          <w:rFonts w:ascii="Arial" w:hAnsi="Arial" w:cs="Arial"/>
          <w:b/>
          <w:bCs/>
          <w:sz w:val="24"/>
          <w:szCs w:val="24"/>
        </w:rPr>
      </w:pPr>
    </w:p>
    <w:p w14:paraId="2900ED1F" w14:textId="77777777" w:rsidR="00303219" w:rsidRDefault="00303219" w:rsidP="007501E4">
      <w:pPr>
        <w:rPr>
          <w:rFonts w:ascii="Arial" w:hAnsi="Arial" w:cs="Arial"/>
          <w:b/>
          <w:bCs/>
          <w:sz w:val="24"/>
          <w:szCs w:val="24"/>
        </w:rPr>
      </w:pPr>
    </w:p>
    <w:p w14:paraId="23958B71" w14:textId="77777777" w:rsidR="00F400D2" w:rsidRDefault="00F400D2" w:rsidP="007501E4">
      <w:pPr>
        <w:rPr>
          <w:rFonts w:ascii="Arial" w:hAnsi="Arial" w:cs="Arial"/>
          <w:b/>
          <w:bCs/>
          <w:sz w:val="24"/>
          <w:szCs w:val="24"/>
        </w:rPr>
      </w:pPr>
    </w:p>
    <w:p w14:paraId="3B1324F9" w14:textId="77777777" w:rsidR="00F400D2" w:rsidRDefault="00F400D2" w:rsidP="007501E4">
      <w:pPr>
        <w:rPr>
          <w:rFonts w:ascii="Arial" w:hAnsi="Arial" w:cs="Arial"/>
          <w:b/>
          <w:bCs/>
          <w:sz w:val="24"/>
          <w:szCs w:val="24"/>
        </w:rPr>
      </w:pPr>
    </w:p>
    <w:p w14:paraId="687E43C4" w14:textId="77777777" w:rsidR="00303219" w:rsidRDefault="00303219" w:rsidP="007501E4">
      <w:pPr>
        <w:rPr>
          <w:rFonts w:ascii="Arial" w:hAnsi="Arial" w:cs="Arial"/>
          <w:b/>
          <w:bCs/>
          <w:sz w:val="24"/>
          <w:szCs w:val="24"/>
        </w:rPr>
      </w:pPr>
    </w:p>
    <w:p w14:paraId="4EFA91D7" w14:textId="77777777" w:rsidR="007501E4" w:rsidRPr="007501E4" w:rsidRDefault="007B4D20" w:rsidP="007501E4">
      <w:pPr>
        <w:rPr>
          <w:rFonts w:ascii="Arial" w:hAnsi="Arial" w:cs="Arial"/>
          <w:b/>
          <w:bCs/>
          <w:sz w:val="24"/>
          <w:szCs w:val="24"/>
        </w:rPr>
      </w:pPr>
      <w:r>
        <w:rPr>
          <w:rFonts w:ascii="Arial" w:hAnsi="Arial" w:cs="Arial"/>
          <w:b/>
          <w:bCs/>
          <w:sz w:val="24"/>
          <w:szCs w:val="24"/>
        </w:rPr>
        <w:lastRenderedPageBreak/>
        <w:t xml:space="preserve"> </w:t>
      </w:r>
      <w:r w:rsidR="008E66A5">
        <w:rPr>
          <w:rFonts w:ascii="Arial" w:hAnsi="Arial" w:cs="Arial"/>
          <w:b/>
          <w:bCs/>
          <w:sz w:val="24"/>
          <w:szCs w:val="24"/>
        </w:rPr>
        <w:t>Wales Pension Partnership (WPP) – Asset Pooling</w:t>
      </w:r>
    </w:p>
    <w:p w14:paraId="7DB9C490" w14:textId="77777777" w:rsidR="007501E4" w:rsidRPr="007501E4" w:rsidRDefault="007501E4" w:rsidP="007501E4">
      <w:pPr>
        <w:rPr>
          <w:rFonts w:ascii="Arial" w:hAnsi="Arial" w:cs="Arial"/>
          <w:sz w:val="24"/>
          <w:szCs w:val="24"/>
        </w:rPr>
      </w:pPr>
    </w:p>
    <w:p w14:paraId="5AB6B1E3" w14:textId="77777777" w:rsidR="007501E4" w:rsidRPr="007501E4" w:rsidRDefault="007501E4" w:rsidP="007501E4">
      <w:pPr>
        <w:rPr>
          <w:rFonts w:ascii="Arial" w:hAnsi="Arial" w:cs="Arial"/>
          <w:sz w:val="24"/>
          <w:szCs w:val="24"/>
        </w:rPr>
      </w:pPr>
      <w:r w:rsidRPr="007501E4">
        <w:rPr>
          <w:rFonts w:ascii="Arial" w:hAnsi="Arial" w:cs="Arial"/>
          <w:sz w:val="24"/>
          <w:szCs w:val="24"/>
        </w:rPr>
        <w:t>The WPP was established in 2017 with the objective to deliver:</w:t>
      </w:r>
    </w:p>
    <w:p w14:paraId="2DD328C2" w14:textId="77777777" w:rsidR="007501E4" w:rsidRPr="007501E4" w:rsidRDefault="007501E4" w:rsidP="007501E4">
      <w:pPr>
        <w:rPr>
          <w:rFonts w:ascii="Arial" w:hAnsi="Arial" w:cs="Arial"/>
          <w:sz w:val="24"/>
          <w:szCs w:val="24"/>
        </w:rPr>
      </w:pPr>
    </w:p>
    <w:p w14:paraId="18CF6568" w14:textId="77777777" w:rsidR="007501E4" w:rsidRPr="007501E4" w:rsidRDefault="007501E4" w:rsidP="0073304A">
      <w:pPr>
        <w:pStyle w:val="ListParagraph"/>
        <w:numPr>
          <w:ilvl w:val="0"/>
          <w:numId w:val="88"/>
        </w:numPr>
        <w:spacing w:before="0" w:after="160" w:line="240" w:lineRule="auto"/>
        <w:rPr>
          <w:rFonts w:cs="Arial"/>
          <w:sz w:val="24"/>
        </w:rPr>
      </w:pPr>
      <w:r w:rsidRPr="007501E4">
        <w:rPr>
          <w:rFonts w:cs="Arial"/>
          <w:sz w:val="24"/>
        </w:rPr>
        <w:t>economies of scale</w:t>
      </w:r>
    </w:p>
    <w:p w14:paraId="677212D5" w14:textId="77777777" w:rsidR="007501E4" w:rsidRPr="007501E4" w:rsidRDefault="007501E4" w:rsidP="0073304A">
      <w:pPr>
        <w:pStyle w:val="ListParagraph"/>
        <w:numPr>
          <w:ilvl w:val="0"/>
          <w:numId w:val="88"/>
        </w:numPr>
        <w:spacing w:before="0" w:after="160" w:line="240" w:lineRule="auto"/>
        <w:rPr>
          <w:rFonts w:cs="Arial"/>
          <w:sz w:val="24"/>
        </w:rPr>
      </w:pPr>
      <w:r w:rsidRPr="007501E4">
        <w:rPr>
          <w:rFonts w:cs="Arial"/>
          <w:sz w:val="24"/>
        </w:rPr>
        <w:t>strong governance and decision making</w:t>
      </w:r>
    </w:p>
    <w:p w14:paraId="1E495D3B" w14:textId="77777777" w:rsidR="007501E4" w:rsidRPr="007501E4" w:rsidRDefault="007501E4" w:rsidP="0073304A">
      <w:pPr>
        <w:pStyle w:val="ListParagraph"/>
        <w:numPr>
          <w:ilvl w:val="0"/>
          <w:numId w:val="88"/>
        </w:numPr>
        <w:spacing w:before="0" w:after="160" w:line="240" w:lineRule="auto"/>
        <w:rPr>
          <w:rFonts w:cs="Arial"/>
          <w:sz w:val="24"/>
        </w:rPr>
      </w:pPr>
      <w:r w:rsidRPr="007501E4">
        <w:rPr>
          <w:rFonts w:cs="Arial"/>
          <w:sz w:val="24"/>
        </w:rPr>
        <w:t>reduced costs and excellent value for money, and</w:t>
      </w:r>
    </w:p>
    <w:p w14:paraId="7F8A70D4" w14:textId="77777777" w:rsidR="007501E4" w:rsidRPr="007501E4" w:rsidRDefault="007501E4" w:rsidP="0073304A">
      <w:pPr>
        <w:pStyle w:val="ListParagraph"/>
        <w:numPr>
          <w:ilvl w:val="0"/>
          <w:numId w:val="88"/>
        </w:numPr>
        <w:spacing w:before="0" w:after="160" w:line="240" w:lineRule="auto"/>
        <w:rPr>
          <w:rFonts w:cs="Arial"/>
          <w:sz w:val="24"/>
        </w:rPr>
      </w:pPr>
      <w:r w:rsidRPr="007501E4">
        <w:rPr>
          <w:rFonts w:cs="Arial"/>
          <w:sz w:val="24"/>
        </w:rPr>
        <w:t>an improved capacity and capability to invest in infrastructure</w:t>
      </w:r>
    </w:p>
    <w:p w14:paraId="7D177165" w14:textId="77777777" w:rsidR="007501E4" w:rsidRDefault="007501E4" w:rsidP="001A4306">
      <w:pPr>
        <w:jc w:val="both"/>
        <w:rPr>
          <w:rFonts w:ascii="Arial" w:hAnsi="Arial" w:cs="Arial"/>
          <w:sz w:val="24"/>
          <w:szCs w:val="24"/>
        </w:rPr>
      </w:pPr>
      <w:r w:rsidRPr="007501E4">
        <w:rPr>
          <w:rFonts w:ascii="Arial" w:hAnsi="Arial" w:cs="Arial"/>
          <w:sz w:val="24"/>
          <w:szCs w:val="24"/>
        </w:rPr>
        <w:t>The WPP is one of the eight Local Government Pension pools nationally and is a collaboration of the eight LGPS funds in Wales including Cardiff and the Vale of Glamorgan, Clwyd, Dyfed, Greater Gwent (Torfaen), Gwynedd, Powys, Rhondda Cynon Taff and Swansea. The eight funds have a long, successful history of collaboration including a collaborative tender for a single passive equity provider for the Welsh funds pre-dating the Government’s pooling initiative.</w:t>
      </w:r>
    </w:p>
    <w:p w14:paraId="07661D9D" w14:textId="77777777" w:rsidR="007501E4" w:rsidRPr="007501E4" w:rsidRDefault="007501E4" w:rsidP="001A4306">
      <w:pPr>
        <w:jc w:val="both"/>
        <w:rPr>
          <w:rFonts w:ascii="Arial" w:hAnsi="Arial" w:cs="Arial"/>
          <w:sz w:val="24"/>
          <w:szCs w:val="24"/>
        </w:rPr>
      </w:pPr>
    </w:p>
    <w:p w14:paraId="738AD57E" w14:textId="77777777" w:rsidR="007501E4" w:rsidRDefault="007501E4" w:rsidP="001A4306">
      <w:pPr>
        <w:jc w:val="both"/>
        <w:rPr>
          <w:rFonts w:ascii="Arial" w:hAnsi="Arial" w:cs="Arial"/>
          <w:sz w:val="24"/>
          <w:szCs w:val="24"/>
        </w:rPr>
      </w:pPr>
      <w:r w:rsidRPr="007501E4">
        <w:rPr>
          <w:rFonts w:ascii="Arial" w:hAnsi="Arial" w:cs="Arial"/>
          <w:sz w:val="24"/>
          <w:szCs w:val="24"/>
        </w:rPr>
        <w:t>Collective investment management offers the potential for investment fee savings, opportunities to broaden investment portfolios, enhanced voting and engagement activity as well as access to shared knowledge and best practice. Whilst the WPP is responsible for providing collaborative investment solutions, each constituent authority remains responsible for setting their own investment strategy.</w:t>
      </w:r>
    </w:p>
    <w:p w14:paraId="302D2B3A" w14:textId="77777777" w:rsidR="007501E4" w:rsidRPr="007501E4" w:rsidRDefault="007501E4" w:rsidP="001A4306">
      <w:pPr>
        <w:jc w:val="both"/>
        <w:rPr>
          <w:rFonts w:ascii="Arial" w:hAnsi="Arial" w:cs="Arial"/>
          <w:sz w:val="24"/>
          <w:szCs w:val="24"/>
        </w:rPr>
      </w:pPr>
    </w:p>
    <w:p w14:paraId="4FE00BA3" w14:textId="77777777" w:rsidR="007501E4" w:rsidRDefault="007501E4" w:rsidP="00D730B9">
      <w:pPr>
        <w:jc w:val="both"/>
        <w:rPr>
          <w:rFonts w:ascii="Arial" w:hAnsi="Arial" w:cs="Arial"/>
          <w:sz w:val="24"/>
          <w:szCs w:val="24"/>
        </w:rPr>
      </w:pPr>
      <w:r w:rsidRPr="007501E4">
        <w:rPr>
          <w:rFonts w:ascii="Arial" w:hAnsi="Arial" w:cs="Arial"/>
          <w:sz w:val="24"/>
          <w:szCs w:val="24"/>
        </w:rPr>
        <w:t xml:space="preserve">WPP’s operating model is designed to be flexible and deliver value for money. WPP appointed an external fund Operator and makes use of external advisers to bring best of breed expertise to support the running of the Pool. The Operator is Link Fund Solutions and they have partnered with Russell Investments to deliver effective investment management solutions and provide strong net of fee performance for all the Constituent Authorities. </w:t>
      </w:r>
    </w:p>
    <w:p w14:paraId="612B5590" w14:textId="77777777" w:rsidR="007501E4" w:rsidRPr="007501E4" w:rsidRDefault="007501E4" w:rsidP="007501E4">
      <w:pPr>
        <w:rPr>
          <w:rFonts w:ascii="Arial" w:hAnsi="Arial" w:cs="Arial"/>
          <w:sz w:val="24"/>
          <w:szCs w:val="24"/>
        </w:rPr>
      </w:pPr>
    </w:p>
    <w:p w14:paraId="567E5DFC" w14:textId="77777777" w:rsidR="007501E4" w:rsidRPr="007501E4" w:rsidRDefault="007501E4" w:rsidP="00D730B9">
      <w:pPr>
        <w:jc w:val="both"/>
        <w:rPr>
          <w:rFonts w:ascii="Arial" w:hAnsi="Arial" w:cs="Arial"/>
          <w:b/>
          <w:bCs/>
          <w:sz w:val="24"/>
          <w:szCs w:val="24"/>
          <w:u w:val="single"/>
        </w:rPr>
      </w:pPr>
      <w:r w:rsidRPr="007501E4">
        <w:rPr>
          <w:rFonts w:ascii="Arial" w:hAnsi="Arial" w:cs="Arial"/>
          <w:b/>
          <w:bCs/>
          <w:sz w:val="24"/>
          <w:szCs w:val="24"/>
          <w:u w:val="single"/>
        </w:rPr>
        <w:t>Governance</w:t>
      </w:r>
    </w:p>
    <w:p w14:paraId="48E8833C" w14:textId="77777777" w:rsidR="007501E4" w:rsidRPr="007501E4" w:rsidRDefault="007501E4" w:rsidP="00D730B9">
      <w:pPr>
        <w:jc w:val="both"/>
        <w:rPr>
          <w:rFonts w:ascii="Arial" w:hAnsi="Arial" w:cs="Arial"/>
          <w:sz w:val="24"/>
          <w:szCs w:val="24"/>
        </w:rPr>
      </w:pPr>
      <w:r w:rsidRPr="007501E4">
        <w:rPr>
          <w:rFonts w:ascii="Arial" w:hAnsi="Arial" w:cs="Arial"/>
          <w:sz w:val="24"/>
          <w:szCs w:val="24"/>
        </w:rPr>
        <w:t>The WPP details how it deals with all aspects of Governance through its Inter Authority Agreement (IAA) which was approved by all eight Constituent Authorities in March 2017. The IAA defines the standards, roles and responsibilities of the Constituent Authorities, its Members, Committees and Officers and includes a Scheme of Delegation outlining the decision-making process. In line with its belief that good governance should lead to superior outcomes for stakeholders, the WPP has put in place a robust governance structure:</w:t>
      </w:r>
    </w:p>
    <w:p w14:paraId="1AFF63D9" w14:textId="77777777" w:rsidR="007501E4" w:rsidRPr="007501E4" w:rsidRDefault="007501E4" w:rsidP="007501E4">
      <w:pPr>
        <w:rPr>
          <w:rFonts w:ascii="Arial" w:hAnsi="Arial" w:cs="Arial"/>
          <w:sz w:val="20"/>
        </w:rPr>
      </w:pPr>
    </w:p>
    <w:p w14:paraId="52A64782" w14:textId="38DAA01E" w:rsidR="007501E4" w:rsidRDefault="00516E75" w:rsidP="007501E4">
      <w:r>
        <w:rPr>
          <w:rFonts w:ascii="Arial" w:eastAsia="Calibri" w:hAnsi="Arial" w:cs="Arial"/>
          <w:noProof/>
          <w:color w:val="3FA6CC"/>
          <w:sz w:val="20"/>
          <w:lang w:eastAsia="en-GB"/>
        </w:rPr>
        <w:lastRenderedPageBreak/>
        <w:drawing>
          <wp:inline distT="0" distB="0" distL="0" distR="0" wp14:anchorId="0E1B2166" wp14:editId="2FE32A4D">
            <wp:extent cx="5615940" cy="3200400"/>
            <wp:effectExtent l="0" t="0" r="0" b="0"/>
            <wp:docPr id="36"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5940" cy="3200400"/>
                    </a:xfrm>
                    <a:prstGeom prst="rect">
                      <a:avLst/>
                    </a:prstGeom>
                    <a:noFill/>
                    <a:ln>
                      <a:noFill/>
                    </a:ln>
                  </pic:spPr>
                </pic:pic>
              </a:graphicData>
            </a:graphic>
          </wp:inline>
        </w:drawing>
      </w:r>
    </w:p>
    <w:p w14:paraId="50123199" w14:textId="77777777" w:rsidR="007501E4" w:rsidRDefault="007501E4" w:rsidP="007501E4">
      <w:pPr>
        <w:jc w:val="both"/>
      </w:pPr>
    </w:p>
    <w:p w14:paraId="65059F95" w14:textId="77777777" w:rsidR="007501E4" w:rsidRPr="007501E4" w:rsidRDefault="007501E4" w:rsidP="007501E4">
      <w:pPr>
        <w:jc w:val="both"/>
        <w:rPr>
          <w:rFonts w:ascii="Arial" w:hAnsi="Arial" w:cs="Arial"/>
          <w:sz w:val="24"/>
          <w:szCs w:val="24"/>
        </w:rPr>
      </w:pPr>
      <w:r w:rsidRPr="007501E4">
        <w:rPr>
          <w:rFonts w:ascii="Arial" w:hAnsi="Arial" w:cs="Arial"/>
          <w:sz w:val="24"/>
          <w:szCs w:val="24"/>
        </w:rPr>
        <w:t>The eight Constituent Authorities of the WPP are:</w:t>
      </w:r>
    </w:p>
    <w:p w14:paraId="23C811A4" w14:textId="77777777" w:rsidR="007501E4" w:rsidRPr="007501E4" w:rsidRDefault="007501E4" w:rsidP="007501E4">
      <w:pPr>
        <w:jc w:val="both"/>
        <w:rPr>
          <w:rFonts w:ascii="Arial" w:hAnsi="Arial" w:cs="Arial"/>
          <w:sz w:val="24"/>
          <w:szCs w:val="24"/>
        </w:rPr>
      </w:pPr>
    </w:p>
    <w:p w14:paraId="4D597361" w14:textId="77777777" w:rsidR="007501E4" w:rsidRPr="007501E4" w:rsidRDefault="007501E4" w:rsidP="0073304A">
      <w:pPr>
        <w:pStyle w:val="ListParagraph"/>
        <w:numPr>
          <w:ilvl w:val="0"/>
          <w:numId w:val="89"/>
        </w:numPr>
        <w:spacing w:before="0" w:after="160" w:line="259" w:lineRule="auto"/>
        <w:jc w:val="both"/>
        <w:rPr>
          <w:rFonts w:cs="Arial"/>
          <w:sz w:val="24"/>
        </w:rPr>
      </w:pPr>
      <w:r w:rsidRPr="007501E4">
        <w:rPr>
          <w:rFonts w:cs="Arial"/>
          <w:sz w:val="24"/>
        </w:rPr>
        <w:t>Carmarthenshire County Council (Host)</w:t>
      </w:r>
    </w:p>
    <w:p w14:paraId="7BAC2FEB" w14:textId="77777777" w:rsidR="007501E4" w:rsidRPr="007501E4" w:rsidRDefault="007501E4" w:rsidP="0073304A">
      <w:pPr>
        <w:pStyle w:val="ListParagraph"/>
        <w:numPr>
          <w:ilvl w:val="0"/>
          <w:numId w:val="89"/>
        </w:numPr>
        <w:spacing w:before="0" w:after="160" w:line="259" w:lineRule="auto"/>
        <w:jc w:val="both"/>
        <w:rPr>
          <w:rFonts w:cs="Arial"/>
          <w:sz w:val="24"/>
        </w:rPr>
      </w:pPr>
      <w:r w:rsidRPr="007501E4">
        <w:rPr>
          <w:rFonts w:cs="Arial"/>
          <w:sz w:val="24"/>
        </w:rPr>
        <w:t>City and County of Swansea Council</w:t>
      </w:r>
    </w:p>
    <w:p w14:paraId="17B748DA" w14:textId="77777777" w:rsidR="007501E4" w:rsidRPr="007501E4" w:rsidRDefault="007501E4" w:rsidP="0073304A">
      <w:pPr>
        <w:pStyle w:val="ListParagraph"/>
        <w:numPr>
          <w:ilvl w:val="0"/>
          <w:numId w:val="89"/>
        </w:numPr>
        <w:spacing w:before="0" w:after="160" w:line="259" w:lineRule="auto"/>
        <w:jc w:val="both"/>
        <w:rPr>
          <w:rFonts w:cs="Arial"/>
          <w:sz w:val="24"/>
        </w:rPr>
      </w:pPr>
      <w:r w:rsidRPr="007501E4">
        <w:rPr>
          <w:rFonts w:cs="Arial"/>
          <w:sz w:val="24"/>
        </w:rPr>
        <w:t>City of Cardiff Council</w:t>
      </w:r>
    </w:p>
    <w:p w14:paraId="6D729E0C" w14:textId="77777777" w:rsidR="007501E4" w:rsidRPr="007501E4" w:rsidRDefault="007501E4" w:rsidP="0073304A">
      <w:pPr>
        <w:pStyle w:val="ListParagraph"/>
        <w:numPr>
          <w:ilvl w:val="0"/>
          <w:numId w:val="89"/>
        </w:numPr>
        <w:spacing w:before="0" w:after="160" w:line="259" w:lineRule="auto"/>
        <w:jc w:val="both"/>
        <w:rPr>
          <w:rFonts w:cs="Arial"/>
          <w:sz w:val="24"/>
        </w:rPr>
      </w:pPr>
      <w:r w:rsidRPr="007501E4">
        <w:rPr>
          <w:rFonts w:cs="Arial"/>
          <w:sz w:val="24"/>
        </w:rPr>
        <w:t>Flintshire County Council</w:t>
      </w:r>
    </w:p>
    <w:p w14:paraId="61261DCE" w14:textId="77777777" w:rsidR="007501E4" w:rsidRPr="007501E4" w:rsidRDefault="007501E4" w:rsidP="0073304A">
      <w:pPr>
        <w:pStyle w:val="ListParagraph"/>
        <w:numPr>
          <w:ilvl w:val="0"/>
          <w:numId w:val="89"/>
        </w:numPr>
        <w:spacing w:before="0" w:after="160" w:line="259" w:lineRule="auto"/>
        <w:jc w:val="both"/>
        <w:rPr>
          <w:rFonts w:cs="Arial"/>
          <w:sz w:val="24"/>
        </w:rPr>
      </w:pPr>
      <w:r w:rsidRPr="007501E4">
        <w:rPr>
          <w:rFonts w:cs="Arial"/>
          <w:sz w:val="24"/>
        </w:rPr>
        <w:t>Gwynedd Council</w:t>
      </w:r>
    </w:p>
    <w:p w14:paraId="0E5253F6" w14:textId="77777777" w:rsidR="007501E4" w:rsidRPr="007501E4" w:rsidRDefault="007501E4" w:rsidP="0073304A">
      <w:pPr>
        <w:pStyle w:val="ListParagraph"/>
        <w:numPr>
          <w:ilvl w:val="0"/>
          <w:numId w:val="89"/>
        </w:numPr>
        <w:spacing w:before="0" w:after="160" w:line="259" w:lineRule="auto"/>
        <w:jc w:val="both"/>
        <w:rPr>
          <w:rFonts w:cs="Arial"/>
          <w:sz w:val="24"/>
        </w:rPr>
      </w:pPr>
      <w:r w:rsidRPr="007501E4">
        <w:rPr>
          <w:rFonts w:cs="Arial"/>
          <w:sz w:val="24"/>
        </w:rPr>
        <w:t>Powys County Council</w:t>
      </w:r>
    </w:p>
    <w:p w14:paraId="076BBBF8" w14:textId="77777777" w:rsidR="007501E4" w:rsidRPr="007501E4" w:rsidRDefault="007501E4" w:rsidP="0073304A">
      <w:pPr>
        <w:pStyle w:val="ListParagraph"/>
        <w:numPr>
          <w:ilvl w:val="0"/>
          <w:numId w:val="89"/>
        </w:numPr>
        <w:spacing w:before="0" w:after="160" w:line="259" w:lineRule="auto"/>
        <w:jc w:val="both"/>
        <w:rPr>
          <w:rFonts w:cs="Arial"/>
          <w:sz w:val="24"/>
        </w:rPr>
      </w:pPr>
      <w:r w:rsidRPr="007501E4">
        <w:rPr>
          <w:rFonts w:cs="Arial"/>
          <w:sz w:val="24"/>
        </w:rPr>
        <w:t>Rhondda Cynon Taff County Borough Council</w:t>
      </w:r>
    </w:p>
    <w:p w14:paraId="4B16C407" w14:textId="77777777" w:rsidR="007501E4" w:rsidRPr="007501E4" w:rsidRDefault="007501E4" w:rsidP="0073304A">
      <w:pPr>
        <w:pStyle w:val="ListParagraph"/>
        <w:numPr>
          <w:ilvl w:val="0"/>
          <w:numId w:val="89"/>
        </w:numPr>
        <w:spacing w:before="0" w:after="160" w:line="259" w:lineRule="auto"/>
        <w:jc w:val="both"/>
        <w:rPr>
          <w:rFonts w:cs="Arial"/>
          <w:sz w:val="24"/>
        </w:rPr>
      </w:pPr>
      <w:r w:rsidRPr="007501E4">
        <w:rPr>
          <w:rFonts w:cs="Arial"/>
          <w:sz w:val="24"/>
        </w:rPr>
        <w:t>Torfaen County Borough Council</w:t>
      </w:r>
    </w:p>
    <w:p w14:paraId="436B1D74" w14:textId="77777777" w:rsidR="007501E4" w:rsidRDefault="007501E4" w:rsidP="00D730B9">
      <w:pPr>
        <w:jc w:val="both"/>
        <w:rPr>
          <w:rFonts w:ascii="Arial" w:hAnsi="Arial" w:cs="Arial"/>
          <w:sz w:val="24"/>
          <w:szCs w:val="24"/>
        </w:rPr>
      </w:pPr>
      <w:r w:rsidRPr="007501E4">
        <w:rPr>
          <w:rFonts w:ascii="Arial" w:hAnsi="Arial" w:cs="Arial"/>
          <w:sz w:val="24"/>
          <w:szCs w:val="24"/>
        </w:rPr>
        <w:t>The Constituent Authorities sit at the top of the WPP’s governance structure. They retain control of all activity carried out by the WPP and remain responsible for approving the WPP’s Business Plan, which outlines the WPP’s budget and work</w:t>
      </w:r>
      <w:r w:rsidR="00D30BC6">
        <w:rPr>
          <w:rFonts w:ascii="Arial" w:hAnsi="Arial" w:cs="Arial"/>
          <w:sz w:val="24"/>
          <w:szCs w:val="24"/>
        </w:rPr>
        <w:t xml:space="preserve"> </w:t>
      </w:r>
      <w:r w:rsidRPr="007501E4">
        <w:rPr>
          <w:rFonts w:ascii="Arial" w:hAnsi="Arial" w:cs="Arial"/>
          <w:sz w:val="24"/>
          <w:szCs w:val="24"/>
        </w:rPr>
        <w:t xml:space="preserve">plan, as well at its Beliefs and Objectives. </w:t>
      </w:r>
    </w:p>
    <w:p w14:paraId="7F55CDF8" w14:textId="77777777" w:rsidR="00D30BC6" w:rsidRDefault="00D30BC6" w:rsidP="00D730B9">
      <w:pPr>
        <w:jc w:val="both"/>
        <w:rPr>
          <w:rFonts w:ascii="Arial" w:hAnsi="Arial" w:cs="Arial"/>
          <w:sz w:val="24"/>
          <w:szCs w:val="24"/>
        </w:rPr>
      </w:pPr>
    </w:p>
    <w:p w14:paraId="19CB9357" w14:textId="77777777" w:rsidR="007501E4" w:rsidRDefault="00D30BC6" w:rsidP="00D30BC6">
      <w:pPr>
        <w:jc w:val="both"/>
        <w:rPr>
          <w:rFonts w:ascii="Arial" w:hAnsi="Arial" w:cs="Arial"/>
          <w:sz w:val="24"/>
          <w:szCs w:val="24"/>
        </w:rPr>
      </w:pPr>
      <w:r>
        <w:rPr>
          <w:rFonts w:ascii="Arial" w:hAnsi="Arial" w:cs="Arial"/>
          <w:sz w:val="24"/>
          <w:szCs w:val="24"/>
        </w:rPr>
        <w:t>T</w:t>
      </w:r>
      <w:r w:rsidRPr="00B700E6">
        <w:rPr>
          <w:rFonts w:ascii="Arial" w:hAnsi="Arial" w:cs="Arial"/>
          <w:sz w:val="24"/>
          <w:szCs w:val="24"/>
        </w:rPr>
        <w:t xml:space="preserve">he WPP operates a </w:t>
      </w:r>
      <w:r w:rsidR="0038786A">
        <w:rPr>
          <w:rFonts w:ascii="Arial" w:hAnsi="Arial" w:cs="Arial"/>
          <w:sz w:val="24"/>
          <w:szCs w:val="24"/>
        </w:rPr>
        <w:t>J</w:t>
      </w:r>
      <w:r w:rsidRPr="00B700E6">
        <w:rPr>
          <w:rFonts w:ascii="Arial" w:hAnsi="Arial" w:cs="Arial"/>
          <w:sz w:val="24"/>
          <w:szCs w:val="24"/>
        </w:rPr>
        <w:t xml:space="preserve">oint </w:t>
      </w:r>
      <w:r w:rsidR="0038786A">
        <w:rPr>
          <w:rFonts w:ascii="Arial" w:hAnsi="Arial" w:cs="Arial"/>
          <w:sz w:val="24"/>
          <w:szCs w:val="24"/>
        </w:rPr>
        <w:t>G</w:t>
      </w:r>
      <w:r w:rsidRPr="00B700E6">
        <w:rPr>
          <w:rFonts w:ascii="Arial" w:hAnsi="Arial" w:cs="Arial"/>
          <w:sz w:val="24"/>
          <w:szCs w:val="24"/>
        </w:rPr>
        <w:t xml:space="preserve">overnance </w:t>
      </w:r>
      <w:r w:rsidR="0038786A">
        <w:rPr>
          <w:rFonts w:ascii="Arial" w:hAnsi="Arial" w:cs="Arial"/>
          <w:sz w:val="24"/>
          <w:szCs w:val="24"/>
        </w:rPr>
        <w:t>C</w:t>
      </w:r>
      <w:r w:rsidRPr="00B700E6">
        <w:rPr>
          <w:rFonts w:ascii="Arial" w:hAnsi="Arial" w:cs="Arial"/>
          <w:sz w:val="24"/>
          <w:szCs w:val="24"/>
        </w:rPr>
        <w:t>ommittee (JGC), with the investment infrastructure and management appointment processes operated by Link Fund Solutions and Russell Investments</w:t>
      </w:r>
      <w:r>
        <w:rPr>
          <w:rFonts w:ascii="Arial" w:hAnsi="Arial" w:cs="Arial"/>
          <w:sz w:val="24"/>
          <w:szCs w:val="24"/>
        </w:rPr>
        <w:t>.</w:t>
      </w:r>
    </w:p>
    <w:p w14:paraId="31E027FB" w14:textId="77777777" w:rsidR="00D30BC6" w:rsidRPr="007501E4" w:rsidRDefault="00D30BC6" w:rsidP="00D30BC6">
      <w:pPr>
        <w:jc w:val="both"/>
        <w:rPr>
          <w:rFonts w:ascii="Arial" w:hAnsi="Arial" w:cs="Arial"/>
          <w:sz w:val="24"/>
          <w:szCs w:val="24"/>
        </w:rPr>
      </w:pPr>
    </w:p>
    <w:p w14:paraId="7F6A8492" w14:textId="77777777" w:rsidR="007501E4" w:rsidRPr="007501E4" w:rsidRDefault="007501E4" w:rsidP="00D730B9">
      <w:pPr>
        <w:pStyle w:val="BodyTextGrey"/>
        <w:spacing w:after="160" w:line="240" w:lineRule="auto"/>
        <w:jc w:val="both"/>
        <w:rPr>
          <w:rFonts w:eastAsia="Calibri"/>
          <w:iCs w:val="0"/>
          <w:color w:val="auto"/>
          <w:sz w:val="24"/>
          <w:szCs w:val="24"/>
        </w:rPr>
      </w:pPr>
      <w:r w:rsidRPr="007501E4">
        <w:rPr>
          <w:rFonts w:eastAsia="Calibri"/>
          <w:iCs w:val="0"/>
          <w:color w:val="auto"/>
          <w:sz w:val="24"/>
          <w:szCs w:val="24"/>
        </w:rPr>
        <w:t xml:space="preserve">The JGC oversees and reports on the WPP and is comprised of one elected member from each of the eight Constituent Authorities. </w:t>
      </w:r>
    </w:p>
    <w:p w14:paraId="346CE4AD" w14:textId="77777777" w:rsidR="007501E4" w:rsidRPr="007501E4" w:rsidRDefault="007501E4" w:rsidP="00D730B9">
      <w:pPr>
        <w:pStyle w:val="BodyTextGrey"/>
        <w:spacing w:after="160" w:line="240" w:lineRule="auto"/>
        <w:jc w:val="both"/>
        <w:rPr>
          <w:rFonts w:eastAsia="Calibri"/>
          <w:iCs w:val="0"/>
          <w:color w:val="auto"/>
          <w:sz w:val="24"/>
          <w:szCs w:val="24"/>
        </w:rPr>
      </w:pPr>
      <w:r w:rsidRPr="007501E4">
        <w:rPr>
          <w:rFonts w:eastAsia="Calibri"/>
          <w:iCs w:val="0"/>
          <w:color w:val="auto"/>
          <w:sz w:val="24"/>
          <w:szCs w:val="24"/>
        </w:rPr>
        <w:t>The O</w:t>
      </w:r>
      <w:r w:rsidR="0038786A">
        <w:rPr>
          <w:rFonts w:eastAsia="Calibri"/>
          <w:iCs w:val="0"/>
          <w:color w:val="auto"/>
          <w:sz w:val="24"/>
          <w:szCs w:val="24"/>
        </w:rPr>
        <w:t>fficer Working Group (O</w:t>
      </w:r>
      <w:r w:rsidRPr="007501E4">
        <w:rPr>
          <w:rFonts w:eastAsia="Calibri"/>
          <w:iCs w:val="0"/>
          <w:color w:val="auto"/>
          <w:sz w:val="24"/>
          <w:szCs w:val="24"/>
        </w:rPr>
        <w:t>WG</w:t>
      </w:r>
      <w:r w:rsidR="0038786A">
        <w:rPr>
          <w:rFonts w:eastAsia="Calibri"/>
          <w:iCs w:val="0"/>
          <w:color w:val="auto"/>
          <w:sz w:val="24"/>
          <w:szCs w:val="24"/>
        </w:rPr>
        <w:t>)</w:t>
      </w:r>
      <w:r w:rsidRPr="007501E4">
        <w:rPr>
          <w:rFonts w:eastAsia="Calibri"/>
          <w:iCs w:val="0"/>
          <w:color w:val="auto"/>
          <w:sz w:val="24"/>
          <w:szCs w:val="24"/>
        </w:rPr>
        <w:t xml:space="preserve"> provides support and advice to the Joint Governance Committee and is comprised of practitioners and Section 151 officers from all eight Constituent Authorities.</w:t>
      </w:r>
    </w:p>
    <w:p w14:paraId="508DA2A1" w14:textId="77777777" w:rsidR="007501E4" w:rsidRPr="007501E4" w:rsidRDefault="007501E4" w:rsidP="00D730B9">
      <w:pPr>
        <w:pStyle w:val="BodyTextGrey"/>
        <w:spacing w:after="160" w:line="240" w:lineRule="auto"/>
        <w:jc w:val="both"/>
        <w:rPr>
          <w:rFonts w:eastAsia="Calibri"/>
          <w:iCs w:val="0"/>
          <w:color w:val="auto"/>
          <w:sz w:val="24"/>
          <w:szCs w:val="24"/>
        </w:rPr>
      </w:pPr>
      <w:r w:rsidRPr="007501E4">
        <w:rPr>
          <w:rFonts w:eastAsia="Calibri"/>
          <w:iCs w:val="0"/>
          <w:color w:val="auto"/>
          <w:sz w:val="24"/>
          <w:szCs w:val="24"/>
        </w:rPr>
        <w:t>Carmarthenshire County Council is the Host Authority for the WPP and is responsible for providing administrative and secretarial support to the JGC and the OWG, and liaising day to day with the Operator on behalf of all of the Welsh LGPS funds.</w:t>
      </w:r>
    </w:p>
    <w:p w14:paraId="64A4D5E6" w14:textId="77777777" w:rsidR="007501E4" w:rsidRPr="007501E4" w:rsidRDefault="007501E4" w:rsidP="00D730B9">
      <w:pPr>
        <w:jc w:val="both"/>
        <w:rPr>
          <w:rFonts w:ascii="Arial" w:hAnsi="Arial" w:cs="Arial"/>
          <w:iCs/>
          <w:sz w:val="24"/>
          <w:szCs w:val="24"/>
        </w:rPr>
      </w:pPr>
      <w:r w:rsidRPr="007501E4">
        <w:rPr>
          <w:rFonts w:ascii="Arial" w:hAnsi="Arial" w:cs="Arial"/>
          <w:iCs/>
          <w:sz w:val="24"/>
          <w:szCs w:val="24"/>
        </w:rPr>
        <w:lastRenderedPageBreak/>
        <w:t>Link Fund Solutions (Operator) carries out a broad range of services for the WPP, which includes f</w:t>
      </w:r>
      <w:r w:rsidRPr="007501E4">
        <w:rPr>
          <w:rFonts w:ascii="Arial" w:hAnsi="Arial" w:cs="Arial"/>
          <w:sz w:val="24"/>
          <w:szCs w:val="24"/>
        </w:rPr>
        <w:t>acilitating investment vehicles &amp; sub-funds, performance reporting, transition implementation and manager monitoring and fee negotiations</w:t>
      </w:r>
      <w:r w:rsidRPr="007501E4">
        <w:rPr>
          <w:rFonts w:ascii="Arial" w:hAnsi="Arial" w:cs="Arial"/>
          <w:iCs/>
          <w:sz w:val="24"/>
          <w:szCs w:val="24"/>
        </w:rPr>
        <w:t>. There is an Operator Agreement in place which sets out the contractual duties of the Operator and governs the relationship between the Operator and the WPP. The JGC and OWG, with the support of Hymans Robertson, oversee the work that Link Fund Solutions carries out on behalf of the WPP. Link engages with the Constituent Authorities by:</w:t>
      </w:r>
    </w:p>
    <w:p w14:paraId="22AEC979" w14:textId="77777777" w:rsidR="007501E4" w:rsidRPr="007501E4" w:rsidRDefault="007501E4" w:rsidP="00D730B9">
      <w:pPr>
        <w:jc w:val="both"/>
        <w:rPr>
          <w:rFonts w:ascii="Arial" w:hAnsi="Arial" w:cs="Arial"/>
          <w:iCs/>
          <w:sz w:val="24"/>
          <w:szCs w:val="24"/>
        </w:rPr>
      </w:pPr>
    </w:p>
    <w:p w14:paraId="2673F688" w14:textId="77777777" w:rsidR="007501E4" w:rsidRPr="007501E4" w:rsidRDefault="007501E4" w:rsidP="0073304A">
      <w:pPr>
        <w:pStyle w:val="ListParagraph"/>
        <w:numPr>
          <w:ilvl w:val="0"/>
          <w:numId w:val="89"/>
        </w:numPr>
        <w:spacing w:before="0" w:after="160" w:line="240" w:lineRule="auto"/>
        <w:jc w:val="both"/>
        <w:rPr>
          <w:rFonts w:cs="Arial"/>
          <w:sz w:val="24"/>
        </w:rPr>
      </w:pPr>
      <w:r w:rsidRPr="007501E4">
        <w:rPr>
          <w:rFonts w:cs="Arial"/>
          <w:sz w:val="24"/>
        </w:rPr>
        <w:t xml:space="preserve">Direct engagement – attendance at annual committee meetings </w:t>
      </w:r>
    </w:p>
    <w:p w14:paraId="49C59580" w14:textId="77777777" w:rsidR="007501E4" w:rsidRPr="007501E4" w:rsidRDefault="007501E4" w:rsidP="0073304A">
      <w:pPr>
        <w:pStyle w:val="ListParagraph"/>
        <w:numPr>
          <w:ilvl w:val="0"/>
          <w:numId w:val="89"/>
        </w:numPr>
        <w:spacing w:before="0" w:after="160" w:line="240" w:lineRule="auto"/>
        <w:jc w:val="both"/>
        <w:rPr>
          <w:rFonts w:cs="Arial"/>
          <w:sz w:val="24"/>
        </w:rPr>
      </w:pPr>
      <w:r w:rsidRPr="007501E4">
        <w:rPr>
          <w:rFonts w:cs="Arial"/>
          <w:sz w:val="24"/>
        </w:rPr>
        <w:t xml:space="preserve">Indirect engagement – with CAs collectively, through the JGC and OWG </w:t>
      </w:r>
    </w:p>
    <w:p w14:paraId="3C051E07" w14:textId="77777777" w:rsidR="007501E4" w:rsidRDefault="007501E4" w:rsidP="00D730B9">
      <w:pPr>
        <w:jc w:val="both"/>
        <w:rPr>
          <w:rFonts w:ascii="Arial" w:hAnsi="Arial" w:cs="Arial"/>
          <w:sz w:val="24"/>
          <w:szCs w:val="24"/>
        </w:rPr>
      </w:pPr>
      <w:r w:rsidRPr="007501E4">
        <w:rPr>
          <w:rFonts w:ascii="Arial" w:hAnsi="Arial" w:cs="Arial"/>
          <w:sz w:val="24"/>
          <w:szCs w:val="24"/>
        </w:rPr>
        <w:t>In collaboration with Link Fund Solutions, Russell Investments provide investment management solution services to the WPP and they work in consultation with WPP’s eight Constituent Authorities to establish investment vehicles.</w:t>
      </w:r>
    </w:p>
    <w:p w14:paraId="2B5DB3CF" w14:textId="77777777" w:rsidR="008F24CB" w:rsidRPr="007501E4" w:rsidRDefault="008F24CB" w:rsidP="00D730B9">
      <w:pPr>
        <w:jc w:val="both"/>
        <w:rPr>
          <w:rFonts w:ascii="Arial" w:hAnsi="Arial" w:cs="Arial"/>
          <w:sz w:val="24"/>
          <w:szCs w:val="24"/>
        </w:rPr>
      </w:pPr>
    </w:p>
    <w:p w14:paraId="44C7C7B1" w14:textId="77777777" w:rsidR="007501E4" w:rsidRDefault="007501E4" w:rsidP="00D730B9">
      <w:pPr>
        <w:jc w:val="both"/>
        <w:rPr>
          <w:rFonts w:ascii="Arial" w:hAnsi="Arial" w:cs="Arial"/>
          <w:sz w:val="24"/>
          <w:szCs w:val="24"/>
        </w:rPr>
      </w:pPr>
      <w:r w:rsidRPr="007501E4">
        <w:rPr>
          <w:rFonts w:ascii="Arial" w:hAnsi="Arial" w:cs="Arial"/>
          <w:sz w:val="24"/>
          <w:szCs w:val="24"/>
        </w:rPr>
        <w:t xml:space="preserve">Northern Trust is the Depository for the WPP ACS vehicle and provides numerous services including securities lending, fund administration, compliance monitoring and reporting.  </w:t>
      </w:r>
    </w:p>
    <w:p w14:paraId="3F44B3AF" w14:textId="77777777" w:rsidR="008F24CB" w:rsidRPr="007501E4" w:rsidRDefault="008F24CB" w:rsidP="00D730B9">
      <w:pPr>
        <w:jc w:val="both"/>
        <w:rPr>
          <w:rFonts w:ascii="Arial" w:hAnsi="Arial" w:cs="Arial"/>
          <w:sz w:val="24"/>
          <w:szCs w:val="24"/>
        </w:rPr>
      </w:pPr>
    </w:p>
    <w:p w14:paraId="49AE0702" w14:textId="77777777" w:rsidR="007501E4" w:rsidRDefault="007501E4" w:rsidP="00D730B9">
      <w:pPr>
        <w:jc w:val="both"/>
        <w:rPr>
          <w:rFonts w:ascii="Arial" w:hAnsi="Arial" w:cs="Arial"/>
          <w:sz w:val="24"/>
          <w:szCs w:val="24"/>
        </w:rPr>
      </w:pPr>
      <w:r w:rsidRPr="007501E4">
        <w:rPr>
          <w:rFonts w:ascii="Arial" w:hAnsi="Arial" w:cs="Arial"/>
          <w:sz w:val="24"/>
          <w:szCs w:val="24"/>
        </w:rPr>
        <w:t>Hymans Robertson are WPP’s Oversight Advisor and their role spans oversight and advice on governance arrangements, operator services, strategic investment aspects and project management support.</w:t>
      </w:r>
    </w:p>
    <w:p w14:paraId="344FA7AD" w14:textId="77777777" w:rsidR="008F24CB" w:rsidRPr="007501E4" w:rsidRDefault="008F24CB" w:rsidP="00D730B9">
      <w:pPr>
        <w:jc w:val="both"/>
        <w:rPr>
          <w:rFonts w:ascii="Arial" w:hAnsi="Arial" w:cs="Arial"/>
          <w:sz w:val="24"/>
          <w:szCs w:val="24"/>
        </w:rPr>
      </w:pPr>
    </w:p>
    <w:p w14:paraId="6EE06A6B" w14:textId="77777777" w:rsidR="007501E4" w:rsidRDefault="007501E4" w:rsidP="00D730B9">
      <w:pPr>
        <w:jc w:val="both"/>
        <w:rPr>
          <w:rFonts w:ascii="Arial" w:hAnsi="Arial" w:cs="Arial"/>
          <w:sz w:val="24"/>
          <w:szCs w:val="24"/>
        </w:rPr>
      </w:pPr>
      <w:r w:rsidRPr="007501E4">
        <w:rPr>
          <w:rFonts w:ascii="Arial" w:hAnsi="Arial" w:cs="Arial"/>
          <w:sz w:val="24"/>
          <w:szCs w:val="24"/>
        </w:rPr>
        <w:t>Burges Salmon are WPP’s legal advisors and they provide legal advice in relation to FCA regulated funds, tax and governance arrangements, including assisting with complex procurement processes.</w:t>
      </w:r>
    </w:p>
    <w:p w14:paraId="325F6B28" w14:textId="77777777" w:rsidR="008F24CB" w:rsidRPr="007501E4" w:rsidRDefault="008F24CB" w:rsidP="00D730B9">
      <w:pPr>
        <w:jc w:val="both"/>
        <w:rPr>
          <w:rFonts w:ascii="Arial" w:hAnsi="Arial" w:cs="Arial"/>
          <w:sz w:val="24"/>
          <w:szCs w:val="24"/>
        </w:rPr>
      </w:pPr>
    </w:p>
    <w:p w14:paraId="119EA0BF" w14:textId="77777777" w:rsidR="007501E4" w:rsidRPr="007501E4" w:rsidRDefault="007501E4" w:rsidP="00D730B9">
      <w:pPr>
        <w:pStyle w:val="NormalWeb"/>
        <w:shd w:val="clear" w:color="auto" w:fill="FFFFFF"/>
        <w:spacing w:before="0" w:after="150"/>
        <w:jc w:val="both"/>
        <w:rPr>
          <w:rFonts w:ascii="Arial" w:eastAsia="Calibri" w:hAnsi="Arial" w:cs="Arial"/>
          <w:szCs w:val="24"/>
        </w:rPr>
      </w:pPr>
      <w:r w:rsidRPr="007501E4">
        <w:rPr>
          <w:rFonts w:ascii="Arial" w:eastAsia="Calibri" w:hAnsi="Arial" w:cs="Arial"/>
          <w:szCs w:val="24"/>
        </w:rPr>
        <w:t xml:space="preserve">Robeco UK </w:t>
      </w:r>
      <w:r w:rsidR="00142F24">
        <w:rPr>
          <w:rFonts w:ascii="Arial" w:eastAsia="Calibri" w:hAnsi="Arial" w:cs="Arial"/>
          <w:szCs w:val="24"/>
        </w:rPr>
        <w:t>are the appointed</w:t>
      </w:r>
      <w:r w:rsidRPr="007501E4">
        <w:rPr>
          <w:rFonts w:ascii="Arial" w:eastAsia="Calibri" w:hAnsi="Arial" w:cs="Arial"/>
          <w:szCs w:val="24"/>
        </w:rPr>
        <w:t xml:space="preserve"> Voting and Engagement provider </w:t>
      </w:r>
      <w:r w:rsidR="00142F24">
        <w:rPr>
          <w:rFonts w:ascii="Arial" w:eastAsia="Calibri" w:hAnsi="Arial" w:cs="Arial"/>
          <w:szCs w:val="24"/>
        </w:rPr>
        <w:t xml:space="preserve">for WPP </w:t>
      </w:r>
      <w:r w:rsidRPr="007501E4">
        <w:rPr>
          <w:rFonts w:ascii="Arial" w:eastAsia="Calibri" w:hAnsi="Arial" w:cs="Arial"/>
          <w:szCs w:val="24"/>
        </w:rPr>
        <w:t>and are responsible for implementing the Voting Policy across WPP’s portfolio and undertaking engagement activity on behalf of the WPP. </w:t>
      </w:r>
    </w:p>
    <w:p w14:paraId="0D89703E" w14:textId="77777777" w:rsidR="00382E5B" w:rsidRDefault="00F400D2" w:rsidP="00D730B9">
      <w:pPr>
        <w:pStyle w:val="BodyTextGrey"/>
        <w:jc w:val="both"/>
        <w:rPr>
          <w:rFonts w:eastAsia="Calibri"/>
          <w:iCs w:val="0"/>
          <w:color w:val="auto"/>
          <w:sz w:val="24"/>
          <w:szCs w:val="24"/>
        </w:rPr>
      </w:pPr>
      <w:r>
        <w:rPr>
          <w:rFonts w:eastAsia="Calibri"/>
          <w:iCs w:val="0"/>
          <w:color w:val="auto"/>
          <w:sz w:val="24"/>
          <w:szCs w:val="24"/>
        </w:rPr>
        <w:t>B</w:t>
      </w:r>
      <w:r w:rsidR="00142F24">
        <w:rPr>
          <w:rFonts w:eastAsia="Calibri"/>
          <w:iCs w:val="0"/>
          <w:color w:val="auto"/>
          <w:sz w:val="24"/>
          <w:szCs w:val="24"/>
        </w:rPr>
        <w:t>f</w:t>
      </w:r>
      <w:r w:rsidR="00382E5B" w:rsidRPr="00142F24">
        <w:rPr>
          <w:rFonts w:eastAsia="Calibri"/>
          <w:iCs w:val="0"/>
          <w:color w:val="auto"/>
          <w:sz w:val="24"/>
          <w:szCs w:val="24"/>
        </w:rPr>
        <w:t xml:space="preserve">inance were appointed in 2021/22 to oversee the procurement of </w:t>
      </w:r>
      <w:r w:rsidR="00C91CE6" w:rsidRPr="00142F24">
        <w:rPr>
          <w:rFonts w:eastAsia="Calibri"/>
          <w:iCs w:val="0"/>
          <w:color w:val="auto"/>
          <w:sz w:val="24"/>
          <w:szCs w:val="24"/>
        </w:rPr>
        <w:t xml:space="preserve">an Allocator for future </w:t>
      </w:r>
      <w:r w:rsidR="005306C7">
        <w:rPr>
          <w:rFonts w:eastAsia="Calibri"/>
          <w:iCs w:val="0"/>
          <w:color w:val="auto"/>
          <w:sz w:val="24"/>
          <w:szCs w:val="24"/>
        </w:rPr>
        <w:t xml:space="preserve">WPP </w:t>
      </w:r>
      <w:r w:rsidR="00142F24">
        <w:rPr>
          <w:rFonts w:eastAsia="Calibri"/>
          <w:iCs w:val="0"/>
          <w:color w:val="auto"/>
          <w:sz w:val="24"/>
          <w:szCs w:val="24"/>
        </w:rPr>
        <w:t xml:space="preserve">private market </w:t>
      </w:r>
      <w:r w:rsidR="00C91CE6" w:rsidRPr="00142F24">
        <w:rPr>
          <w:rFonts w:eastAsia="Calibri"/>
          <w:iCs w:val="0"/>
          <w:color w:val="auto"/>
          <w:sz w:val="24"/>
          <w:szCs w:val="24"/>
        </w:rPr>
        <w:t>investments</w:t>
      </w:r>
      <w:r w:rsidR="00142F24">
        <w:rPr>
          <w:rFonts w:eastAsia="Calibri"/>
          <w:iCs w:val="0"/>
          <w:color w:val="auto"/>
          <w:sz w:val="24"/>
          <w:szCs w:val="24"/>
        </w:rPr>
        <w:t xml:space="preserve">. The </w:t>
      </w:r>
      <w:r w:rsidR="005306C7">
        <w:rPr>
          <w:rFonts w:eastAsia="Calibri"/>
          <w:iCs w:val="0"/>
          <w:color w:val="auto"/>
          <w:sz w:val="24"/>
          <w:szCs w:val="24"/>
        </w:rPr>
        <w:t xml:space="preserve">initial </w:t>
      </w:r>
      <w:r w:rsidR="00142F24">
        <w:rPr>
          <w:rFonts w:eastAsia="Calibri"/>
          <w:iCs w:val="0"/>
          <w:color w:val="auto"/>
          <w:sz w:val="24"/>
          <w:szCs w:val="24"/>
        </w:rPr>
        <w:t>procurement exercise has resulted in the appointment of managers for private credit, open ended and closed ended infrastructure. The procurement exercise for private equity is ongoing and the property procurement will commence in the autumn of 2022.</w:t>
      </w:r>
    </w:p>
    <w:p w14:paraId="6CA3BE7B" w14:textId="77777777" w:rsidR="00BB055D" w:rsidRPr="00BB055D" w:rsidRDefault="00BB055D" w:rsidP="00D730B9">
      <w:pPr>
        <w:pStyle w:val="BodyTextGrey"/>
        <w:jc w:val="both"/>
        <w:rPr>
          <w:rFonts w:eastAsia="Calibri"/>
          <w:b/>
          <w:bCs/>
          <w:iCs w:val="0"/>
          <w:color w:val="auto"/>
          <w:sz w:val="24"/>
          <w:szCs w:val="24"/>
        </w:rPr>
      </w:pPr>
      <w:r w:rsidRPr="00BB055D">
        <w:rPr>
          <w:rFonts w:eastAsia="Calibri"/>
          <w:b/>
          <w:bCs/>
          <w:iCs w:val="0"/>
          <w:color w:val="auto"/>
          <w:sz w:val="24"/>
          <w:szCs w:val="24"/>
        </w:rPr>
        <w:t>WPP Policies</w:t>
      </w:r>
    </w:p>
    <w:p w14:paraId="60CF6B38" w14:textId="77777777" w:rsidR="007501E4" w:rsidRPr="008F24CB" w:rsidRDefault="007501E4" w:rsidP="00D730B9">
      <w:pPr>
        <w:pStyle w:val="BodyTextGrey"/>
        <w:jc w:val="both"/>
        <w:rPr>
          <w:rFonts w:eastAsia="Calibri"/>
          <w:iCs w:val="0"/>
          <w:color w:val="auto"/>
          <w:sz w:val="24"/>
          <w:szCs w:val="24"/>
        </w:rPr>
      </w:pPr>
      <w:r w:rsidRPr="008F24CB">
        <w:rPr>
          <w:rFonts w:eastAsia="Calibri"/>
          <w:iCs w:val="0"/>
          <w:color w:val="auto"/>
          <w:sz w:val="24"/>
          <w:szCs w:val="24"/>
        </w:rPr>
        <w:t>The WPP’s beliefs are the foundation for WPP’s governance framework and have been used to guide all of the WPP’s activities and decision making, including its objectives and policies. The WPP, in consultation with the Constituent Authorities, has developed a set of governing policies. In all instances the WPP’s policies and procedures have been developed to either complement or supplement the existing procedures and policies of the Constituent Authorities. The WPP’s key policies, registers and plans are listed below and can be found on the WPP website.</w:t>
      </w:r>
    </w:p>
    <w:p w14:paraId="10512AF9" w14:textId="0D58F744" w:rsidR="007501E4" w:rsidRPr="00AD1CBE" w:rsidRDefault="00516E75" w:rsidP="00D730B9">
      <w:pPr>
        <w:pStyle w:val="BodyTextGrey"/>
        <w:jc w:val="both"/>
      </w:pPr>
      <w:r>
        <w:rPr>
          <w:noProof/>
        </w:rPr>
        <w:lastRenderedPageBreak/>
        <w:drawing>
          <wp:inline distT="0" distB="0" distL="0" distR="0" wp14:anchorId="41DCEFA4" wp14:editId="296E73B0">
            <wp:extent cx="5744845" cy="2611120"/>
            <wp:effectExtent l="0" t="0" r="0" b="0"/>
            <wp:docPr id="35" name="Picture 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845" cy="2611120"/>
                    </a:xfrm>
                    <a:prstGeom prst="rect">
                      <a:avLst/>
                    </a:prstGeom>
                    <a:noFill/>
                    <a:ln>
                      <a:noFill/>
                    </a:ln>
                  </pic:spPr>
                </pic:pic>
              </a:graphicData>
            </a:graphic>
          </wp:inline>
        </w:drawing>
      </w:r>
    </w:p>
    <w:p w14:paraId="14EA4DF4" w14:textId="77777777" w:rsidR="007501E4" w:rsidRPr="008F24CB" w:rsidRDefault="007501E4" w:rsidP="00D730B9">
      <w:pPr>
        <w:spacing w:after="200"/>
        <w:jc w:val="both"/>
        <w:rPr>
          <w:rFonts w:ascii="Arial" w:hAnsi="Arial" w:cs="Arial"/>
          <w:sz w:val="24"/>
          <w:szCs w:val="24"/>
        </w:rPr>
      </w:pPr>
      <w:r w:rsidRPr="008F24CB">
        <w:rPr>
          <w:rFonts w:ascii="Arial" w:hAnsi="Arial" w:cs="Arial"/>
          <w:sz w:val="24"/>
          <w:szCs w:val="24"/>
        </w:rPr>
        <w:t xml:space="preserve">Responsible Investment has been a key priority for the WPP since it was established in 2017. Various activities have been undertaken to work towards WPP’s ambition of becoming a leader in Responsible Investment. Initially the focus was on formulating a Responsible Investment Policy and since then the WPP has formulated its own Climate Risk Policy and has worked with its Voting and Engagement Provider, Robeco, to agree a Voting Policy. </w:t>
      </w:r>
      <w:r w:rsidRPr="008F24CB">
        <w:rPr>
          <w:rFonts w:ascii="Arial" w:hAnsi="Arial" w:cs="Arial"/>
          <w:iCs/>
          <w:sz w:val="24"/>
          <w:szCs w:val="24"/>
        </w:rPr>
        <w:t>A</w:t>
      </w:r>
      <w:r w:rsidR="005306C7">
        <w:rPr>
          <w:rFonts w:ascii="Arial" w:hAnsi="Arial" w:cs="Arial"/>
          <w:iCs/>
          <w:sz w:val="24"/>
          <w:szCs w:val="24"/>
        </w:rPr>
        <w:t>n established</w:t>
      </w:r>
      <w:r w:rsidRPr="008F24CB">
        <w:rPr>
          <w:rFonts w:ascii="Arial" w:hAnsi="Arial" w:cs="Arial"/>
          <w:iCs/>
          <w:sz w:val="24"/>
          <w:szCs w:val="24"/>
        </w:rPr>
        <w:t xml:space="preserve"> WPP RI Sub-Group </w:t>
      </w:r>
      <w:r w:rsidR="005306C7">
        <w:rPr>
          <w:rFonts w:ascii="Arial" w:hAnsi="Arial" w:cs="Arial"/>
          <w:iCs/>
          <w:sz w:val="24"/>
          <w:szCs w:val="24"/>
        </w:rPr>
        <w:t>oversees</w:t>
      </w:r>
      <w:r w:rsidRPr="008F24CB">
        <w:rPr>
          <w:rFonts w:ascii="Arial" w:hAnsi="Arial" w:cs="Arial"/>
          <w:iCs/>
          <w:sz w:val="24"/>
          <w:szCs w:val="24"/>
        </w:rPr>
        <w:t xml:space="preserve"> RI related workstreams and actions that are required to achieve the commitments made in the WPP’s RI and Climate Risk Policies.</w:t>
      </w:r>
    </w:p>
    <w:p w14:paraId="7BBD45A8" w14:textId="77777777" w:rsidR="007501E4" w:rsidRDefault="007501E4" w:rsidP="00D730B9">
      <w:pPr>
        <w:pStyle w:val="BodyTextGrey"/>
        <w:spacing w:after="0" w:line="240" w:lineRule="auto"/>
        <w:jc w:val="both"/>
        <w:rPr>
          <w:rFonts w:eastAsia="Calibri"/>
          <w:iCs w:val="0"/>
          <w:color w:val="auto"/>
          <w:sz w:val="24"/>
          <w:szCs w:val="24"/>
        </w:rPr>
      </w:pPr>
      <w:r w:rsidRPr="008F24CB">
        <w:rPr>
          <w:rFonts w:eastAsia="Calibri"/>
          <w:iCs w:val="0"/>
          <w:color w:val="auto"/>
          <w:sz w:val="24"/>
          <w:szCs w:val="24"/>
        </w:rPr>
        <w:t>The WPP’s Business Plan, Governance Manual and all other policies detailed in the chart above can be found on the WPP website:</w:t>
      </w:r>
    </w:p>
    <w:p w14:paraId="27262AD4" w14:textId="77777777" w:rsidR="008F24CB" w:rsidRPr="008F24CB" w:rsidRDefault="008F24CB" w:rsidP="00D730B9">
      <w:pPr>
        <w:pStyle w:val="BodyTextGrey"/>
        <w:spacing w:after="0" w:line="240" w:lineRule="auto"/>
        <w:jc w:val="both"/>
        <w:rPr>
          <w:rFonts w:eastAsia="Calibri"/>
          <w:iCs w:val="0"/>
          <w:color w:val="auto"/>
          <w:sz w:val="24"/>
          <w:szCs w:val="24"/>
        </w:rPr>
      </w:pPr>
    </w:p>
    <w:p w14:paraId="7E45D6F6" w14:textId="77777777" w:rsidR="007501E4" w:rsidRPr="008F24CB" w:rsidRDefault="007501E4" w:rsidP="007501E4">
      <w:pPr>
        <w:rPr>
          <w:rStyle w:val="Hyperlink"/>
          <w:rFonts w:ascii="Arial" w:hAnsi="Arial" w:cs="Arial"/>
          <w:color w:val="48A0FA"/>
          <w:sz w:val="24"/>
          <w:szCs w:val="24"/>
        </w:rPr>
      </w:pPr>
      <w:r w:rsidRPr="008F24CB">
        <w:rPr>
          <w:rFonts w:ascii="Arial" w:hAnsi="Arial" w:cs="Arial"/>
          <w:color w:val="2E74B5"/>
          <w:sz w:val="24"/>
          <w:szCs w:val="24"/>
        </w:rPr>
        <w:fldChar w:fldCharType="begin"/>
      </w:r>
      <w:r w:rsidRPr="008F24CB">
        <w:rPr>
          <w:rFonts w:ascii="Arial" w:hAnsi="Arial" w:cs="Arial"/>
          <w:color w:val="2E74B5"/>
          <w:sz w:val="24"/>
          <w:szCs w:val="24"/>
        </w:rPr>
        <w:instrText xml:space="preserve"> HYPERLINK "https://www.walespensionpartnership.org/" </w:instrText>
      </w:r>
      <w:r w:rsidRPr="008F24CB">
        <w:rPr>
          <w:rFonts w:ascii="Arial" w:hAnsi="Arial" w:cs="Arial"/>
          <w:color w:val="2E74B5"/>
          <w:sz w:val="24"/>
          <w:szCs w:val="24"/>
        </w:rPr>
        <w:fldChar w:fldCharType="separate"/>
      </w:r>
      <w:r w:rsidRPr="008F24CB">
        <w:rPr>
          <w:rStyle w:val="Hyperlink"/>
          <w:rFonts w:ascii="Arial" w:hAnsi="Arial" w:cs="Arial"/>
          <w:color w:val="034990"/>
          <w:sz w:val="24"/>
          <w:szCs w:val="24"/>
        </w:rPr>
        <w:t>https://www.walespensionpartnership.org/</w:t>
      </w:r>
    </w:p>
    <w:p w14:paraId="5854944D" w14:textId="77777777" w:rsidR="007501E4" w:rsidRPr="008F24CB" w:rsidRDefault="007501E4" w:rsidP="007501E4">
      <w:pPr>
        <w:rPr>
          <w:rFonts w:ascii="Arial" w:hAnsi="Arial" w:cs="Arial"/>
          <w:sz w:val="24"/>
          <w:szCs w:val="24"/>
        </w:rPr>
      </w:pPr>
      <w:r w:rsidRPr="008F24CB">
        <w:rPr>
          <w:rFonts w:ascii="Arial" w:hAnsi="Arial" w:cs="Arial"/>
          <w:color w:val="2E74B5"/>
          <w:sz w:val="24"/>
          <w:szCs w:val="24"/>
        </w:rPr>
        <w:fldChar w:fldCharType="end"/>
      </w:r>
    </w:p>
    <w:p w14:paraId="3FCA2E68" w14:textId="77777777" w:rsidR="007501E4" w:rsidRPr="00B912D5" w:rsidRDefault="007501E4" w:rsidP="00D730B9">
      <w:pPr>
        <w:jc w:val="both"/>
        <w:rPr>
          <w:rFonts w:ascii="Arial" w:hAnsi="Arial" w:cs="Arial"/>
          <w:b/>
          <w:bCs/>
          <w:sz w:val="24"/>
          <w:szCs w:val="24"/>
        </w:rPr>
      </w:pPr>
      <w:r w:rsidRPr="00B912D5">
        <w:rPr>
          <w:rFonts w:ascii="Arial" w:hAnsi="Arial" w:cs="Arial"/>
          <w:b/>
          <w:bCs/>
          <w:sz w:val="24"/>
          <w:szCs w:val="24"/>
        </w:rPr>
        <w:t>Risk</w:t>
      </w:r>
    </w:p>
    <w:p w14:paraId="4A631CDA" w14:textId="77777777" w:rsidR="007501E4" w:rsidRPr="008F24CB" w:rsidRDefault="007501E4" w:rsidP="00D730B9">
      <w:pPr>
        <w:spacing w:after="200"/>
        <w:jc w:val="both"/>
        <w:rPr>
          <w:rFonts w:ascii="Arial" w:hAnsi="Arial" w:cs="Arial"/>
          <w:sz w:val="24"/>
          <w:szCs w:val="24"/>
        </w:rPr>
      </w:pPr>
      <w:r w:rsidRPr="008F24CB">
        <w:rPr>
          <w:rFonts w:ascii="Arial" w:hAnsi="Arial" w:cs="Arial"/>
          <w:sz w:val="24"/>
          <w:szCs w:val="24"/>
        </w:rPr>
        <w:t>Risk management is a critical element of WPP’s commitment to good governance, the WPP has developed a structured, extensive and robust risk strategy which seeks to identify and measure key risks and ensure that suitable controls and governance procedures are in place to manage these risks. The WPP’s Risk Policy has been developed in such a way that risks can be anticipated and dealt with in a swift, effective manner to minimise potential loss or harm to the WPP and its stakeholders.</w:t>
      </w:r>
    </w:p>
    <w:p w14:paraId="5756C590" w14:textId="77777777" w:rsidR="007501E4" w:rsidRPr="008F24CB" w:rsidRDefault="007501E4" w:rsidP="00D730B9">
      <w:pPr>
        <w:pStyle w:val="BodyTextGrey"/>
        <w:spacing w:line="240" w:lineRule="auto"/>
        <w:jc w:val="both"/>
        <w:rPr>
          <w:rFonts w:eastAsia="Calibri"/>
          <w:iCs w:val="0"/>
          <w:color w:val="auto"/>
          <w:sz w:val="24"/>
          <w:szCs w:val="24"/>
        </w:rPr>
      </w:pPr>
      <w:r w:rsidRPr="008F24CB">
        <w:rPr>
          <w:rFonts w:eastAsia="Calibri"/>
          <w:iCs w:val="0"/>
          <w:color w:val="auto"/>
          <w:sz w:val="24"/>
          <w:szCs w:val="24"/>
        </w:rPr>
        <w:t xml:space="preserve">WPP maintains a Risk Register which is reviewed regularly by a dedicated Risk Sub-Group which reports back to the OWG and JGC on a quarterly basis. </w:t>
      </w:r>
    </w:p>
    <w:p w14:paraId="36E61482" w14:textId="77777777" w:rsidR="00142F24" w:rsidRDefault="00142F24" w:rsidP="00142F24">
      <w:pPr>
        <w:pStyle w:val="BodyTextGrey"/>
        <w:jc w:val="both"/>
        <w:rPr>
          <w:rFonts w:eastAsia="Calibri"/>
          <w:b/>
          <w:bCs/>
          <w:iCs w:val="0"/>
          <w:color w:val="auto"/>
          <w:sz w:val="24"/>
          <w:szCs w:val="24"/>
        </w:rPr>
      </w:pPr>
      <w:r>
        <w:rPr>
          <w:rFonts w:eastAsia="Calibri"/>
          <w:b/>
          <w:bCs/>
          <w:iCs w:val="0"/>
          <w:color w:val="auto"/>
          <w:sz w:val="24"/>
          <w:szCs w:val="24"/>
        </w:rPr>
        <w:t>Pooling progress to date</w:t>
      </w:r>
    </w:p>
    <w:p w14:paraId="33AD87FC" w14:textId="77777777" w:rsidR="00142F24" w:rsidRDefault="00142F24" w:rsidP="00142F24">
      <w:pPr>
        <w:pStyle w:val="BodyTextGrey"/>
        <w:spacing w:line="240" w:lineRule="auto"/>
        <w:jc w:val="both"/>
        <w:rPr>
          <w:rFonts w:eastAsia="Calibri"/>
          <w:iCs w:val="0"/>
          <w:color w:val="auto"/>
          <w:sz w:val="24"/>
          <w:szCs w:val="24"/>
        </w:rPr>
      </w:pPr>
      <w:r>
        <w:rPr>
          <w:rFonts w:eastAsia="Calibri"/>
          <w:iCs w:val="0"/>
          <w:color w:val="auto"/>
          <w:sz w:val="24"/>
          <w:szCs w:val="24"/>
        </w:rPr>
        <w:t>The WPP aims to deliver investment solutions that allow the Constituent Authorities to implement their own investment strategies with material cost savings while continuing to deliver investment performance to their stakeholders. The WPP have made significant progress towards delivering on this objective. The launching of WPPs first three active equity sub-funds in 2019/20, five fixed income sub-funds in 2020/21 and the Emerging Markets equity sub-fund in 2021/22, alongside the Constituent Authorities existing passive investments, has meant that that the WPP has now pooled 72% of assets.</w:t>
      </w:r>
    </w:p>
    <w:p w14:paraId="23469056" w14:textId="77777777" w:rsidR="00142F24" w:rsidRDefault="00142F24" w:rsidP="00142F24">
      <w:pPr>
        <w:pStyle w:val="BodyTextGrey"/>
        <w:spacing w:line="240" w:lineRule="auto"/>
        <w:rPr>
          <w:rFonts w:eastAsia="Calibri"/>
          <w:iCs w:val="0"/>
          <w:color w:val="auto"/>
          <w:sz w:val="24"/>
          <w:szCs w:val="24"/>
        </w:rPr>
      </w:pPr>
      <w:r>
        <w:rPr>
          <w:rFonts w:eastAsia="Calibri"/>
          <w:iCs w:val="0"/>
          <w:color w:val="auto"/>
          <w:sz w:val="24"/>
          <w:szCs w:val="24"/>
        </w:rPr>
        <w:lastRenderedPageBreak/>
        <w:t xml:space="preserve">As at 31 March 2022, WPP has total assets worth £23.1bn, £16.6bn of which sits within the pool, see breakdown below:  </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964"/>
        <w:gridCol w:w="1802"/>
        <w:gridCol w:w="1634"/>
        <w:gridCol w:w="1516"/>
      </w:tblGrid>
      <w:tr w:rsidR="00142F24" w:rsidRPr="00142F24" w14:paraId="7F3A6238" w14:textId="77777777" w:rsidTr="00142F24">
        <w:trPr>
          <w:trHeight w:val="698"/>
        </w:trPr>
        <w:tc>
          <w:tcPr>
            <w:tcW w:w="2100" w:type="dxa"/>
            <w:tcBorders>
              <w:top w:val="single" w:sz="4" w:space="0" w:color="auto"/>
              <w:left w:val="single" w:sz="4" w:space="0" w:color="auto"/>
              <w:bottom w:val="single" w:sz="4" w:space="0" w:color="auto"/>
              <w:right w:val="single" w:sz="4" w:space="0" w:color="auto"/>
            </w:tcBorders>
            <w:hideMark/>
          </w:tcPr>
          <w:p w14:paraId="651BF926" w14:textId="77777777" w:rsidR="00142F24" w:rsidRDefault="00142F24">
            <w:pPr>
              <w:pStyle w:val="BodyTextGrey"/>
              <w:jc w:val="both"/>
              <w:rPr>
                <w:rFonts w:eastAsia="Calibri"/>
                <w:b/>
                <w:bCs/>
                <w:iCs w:val="0"/>
                <w:color w:val="auto"/>
              </w:rPr>
            </w:pPr>
            <w:r>
              <w:rPr>
                <w:rFonts w:eastAsia="Calibri"/>
                <w:b/>
                <w:bCs/>
                <w:iCs w:val="0"/>
                <w:color w:val="auto"/>
              </w:rPr>
              <w:t>Asset Class</w:t>
            </w:r>
          </w:p>
        </w:tc>
        <w:tc>
          <w:tcPr>
            <w:tcW w:w="1964" w:type="dxa"/>
            <w:tcBorders>
              <w:top w:val="single" w:sz="4" w:space="0" w:color="auto"/>
              <w:left w:val="single" w:sz="4" w:space="0" w:color="auto"/>
              <w:bottom w:val="single" w:sz="4" w:space="0" w:color="auto"/>
              <w:right w:val="single" w:sz="4" w:space="0" w:color="auto"/>
            </w:tcBorders>
            <w:hideMark/>
          </w:tcPr>
          <w:p w14:paraId="7D3212B3" w14:textId="77777777" w:rsidR="00142F24" w:rsidRDefault="00142F24">
            <w:pPr>
              <w:pStyle w:val="BodyTextGrey"/>
              <w:jc w:val="both"/>
              <w:rPr>
                <w:rFonts w:eastAsia="Calibri"/>
                <w:b/>
                <w:bCs/>
                <w:iCs w:val="0"/>
                <w:color w:val="auto"/>
              </w:rPr>
            </w:pPr>
            <w:r>
              <w:rPr>
                <w:rFonts w:eastAsia="Calibri"/>
                <w:b/>
                <w:bCs/>
                <w:iCs w:val="0"/>
                <w:color w:val="auto"/>
              </w:rPr>
              <w:t>Managed by</w:t>
            </w:r>
          </w:p>
        </w:tc>
        <w:tc>
          <w:tcPr>
            <w:tcW w:w="1802" w:type="dxa"/>
            <w:tcBorders>
              <w:top w:val="single" w:sz="4" w:space="0" w:color="auto"/>
              <w:left w:val="single" w:sz="4" w:space="0" w:color="auto"/>
              <w:bottom w:val="single" w:sz="4" w:space="0" w:color="auto"/>
              <w:right w:val="single" w:sz="4" w:space="0" w:color="auto"/>
            </w:tcBorders>
            <w:hideMark/>
          </w:tcPr>
          <w:p w14:paraId="05044C73" w14:textId="77777777" w:rsidR="00142F24" w:rsidRDefault="00142F24">
            <w:pPr>
              <w:pStyle w:val="BodyTextGrey"/>
              <w:rPr>
                <w:rFonts w:eastAsia="Calibri"/>
                <w:b/>
                <w:bCs/>
                <w:iCs w:val="0"/>
                <w:color w:val="auto"/>
              </w:rPr>
            </w:pPr>
            <w:r>
              <w:rPr>
                <w:rFonts w:eastAsia="Calibri"/>
                <w:b/>
                <w:bCs/>
                <w:iCs w:val="0"/>
                <w:color w:val="auto"/>
              </w:rPr>
              <w:t>Launch Date</w:t>
            </w:r>
          </w:p>
        </w:tc>
        <w:tc>
          <w:tcPr>
            <w:tcW w:w="1634" w:type="dxa"/>
            <w:tcBorders>
              <w:top w:val="single" w:sz="4" w:space="0" w:color="auto"/>
              <w:left w:val="single" w:sz="4" w:space="0" w:color="auto"/>
              <w:bottom w:val="single" w:sz="4" w:space="0" w:color="auto"/>
              <w:right w:val="single" w:sz="4" w:space="0" w:color="auto"/>
            </w:tcBorders>
            <w:hideMark/>
          </w:tcPr>
          <w:p w14:paraId="10F58F27" w14:textId="77777777" w:rsidR="00142F24" w:rsidRDefault="00142F24">
            <w:pPr>
              <w:pStyle w:val="BodyTextGrey"/>
              <w:spacing w:after="0"/>
              <w:jc w:val="center"/>
              <w:rPr>
                <w:rFonts w:eastAsia="Calibri"/>
                <w:b/>
                <w:bCs/>
                <w:iCs w:val="0"/>
                <w:color w:val="auto"/>
              </w:rPr>
            </w:pPr>
            <w:r>
              <w:rPr>
                <w:rFonts w:eastAsia="Calibri"/>
                <w:b/>
                <w:bCs/>
                <w:iCs w:val="0"/>
                <w:color w:val="auto"/>
              </w:rPr>
              <w:t xml:space="preserve"> 31 March 2022 £000</w:t>
            </w:r>
          </w:p>
        </w:tc>
        <w:tc>
          <w:tcPr>
            <w:tcW w:w="1516" w:type="dxa"/>
            <w:tcBorders>
              <w:top w:val="single" w:sz="4" w:space="0" w:color="auto"/>
              <w:left w:val="single" w:sz="4" w:space="0" w:color="auto"/>
              <w:bottom w:val="single" w:sz="4" w:space="0" w:color="auto"/>
              <w:right w:val="single" w:sz="4" w:space="0" w:color="auto"/>
            </w:tcBorders>
            <w:hideMark/>
          </w:tcPr>
          <w:p w14:paraId="37818790" w14:textId="77777777" w:rsidR="00142F24" w:rsidRDefault="00142F24">
            <w:pPr>
              <w:pStyle w:val="BodyTextGrey"/>
              <w:spacing w:after="0"/>
              <w:jc w:val="center"/>
              <w:rPr>
                <w:rFonts w:eastAsia="Calibri"/>
                <w:b/>
                <w:bCs/>
                <w:iCs w:val="0"/>
                <w:color w:val="auto"/>
              </w:rPr>
            </w:pPr>
            <w:r>
              <w:rPr>
                <w:rFonts w:eastAsia="Calibri"/>
                <w:b/>
                <w:bCs/>
                <w:iCs w:val="0"/>
                <w:color w:val="auto"/>
              </w:rPr>
              <w:t>%</w:t>
            </w:r>
          </w:p>
        </w:tc>
      </w:tr>
      <w:tr w:rsidR="00142F24" w:rsidRPr="00142F24" w14:paraId="04BA2E12" w14:textId="77777777" w:rsidTr="00142F24">
        <w:tc>
          <w:tcPr>
            <w:tcW w:w="2100" w:type="dxa"/>
            <w:tcBorders>
              <w:top w:val="single" w:sz="4" w:space="0" w:color="auto"/>
              <w:left w:val="single" w:sz="4" w:space="0" w:color="auto"/>
              <w:bottom w:val="single" w:sz="4" w:space="0" w:color="auto"/>
              <w:right w:val="single" w:sz="4" w:space="0" w:color="auto"/>
            </w:tcBorders>
            <w:hideMark/>
          </w:tcPr>
          <w:p w14:paraId="7DD70669" w14:textId="77777777" w:rsidR="00142F24" w:rsidRDefault="00142F24">
            <w:pPr>
              <w:pStyle w:val="BodyTextGrey"/>
              <w:spacing w:before="0" w:after="0"/>
              <w:rPr>
                <w:rFonts w:eastAsia="Calibri"/>
                <w:iCs w:val="0"/>
                <w:color w:val="auto"/>
              </w:rPr>
            </w:pPr>
            <w:r>
              <w:rPr>
                <w:rFonts w:eastAsia="Calibri"/>
                <w:iCs w:val="0"/>
                <w:color w:val="auto"/>
              </w:rPr>
              <w:t>Global Growth Equity Fund</w:t>
            </w:r>
          </w:p>
        </w:tc>
        <w:tc>
          <w:tcPr>
            <w:tcW w:w="1964" w:type="dxa"/>
            <w:tcBorders>
              <w:top w:val="single" w:sz="4" w:space="0" w:color="auto"/>
              <w:left w:val="single" w:sz="4" w:space="0" w:color="auto"/>
              <w:bottom w:val="single" w:sz="4" w:space="0" w:color="auto"/>
              <w:right w:val="single" w:sz="4" w:space="0" w:color="auto"/>
            </w:tcBorders>
            <w:hideMark/>
          </w:tcPr>
          <w:p w14:paraId="3D1DE4F4" w14:textId="77777777" w:rsidR="00142F24" w:rsidRDefault="00142F24">
            <w:pPr>
              <w:pStyle w:val="BodyTextGrey"/>
              <w:spacing w:before="0"/>
              <w:rPr>
                <w:rFonts w:eastAsia="Calibri"/>
                <w:iCs w:val="0"/>
                <w:color w:val="auto"/>
              </w:rPr>
            </w:pPr>
            <w:r>
              <w:rPr>
                <w:rFonts w:eastAsia="Calibri"/>
                <w:iCs w:val="0"/>
                <w:color w:val="auto"/>
              </w:rPr>
              <w:t>Link Fund Solutions</w:t>
            </w:r>
          </w:p>
        </w:tc>
        <w:tc>
          <w:tcPr>
            <w:tcW w:w="1802" w:type="dxa"/>
            <w:tcBorders>
              <w:top w:val="single" w:sz="4" w:space="0" w:color="auto"/>
              <w:left w:val="single" w:sz="4" w:space="0" w:color="auto"/>
              <w:bottom w:val="single" w:sz="4" w:space="0" w:color="auto"/>
              <w:right w:val="single" w:sz="4" w:space="0" w:color="auto"/>
            </w:tcBorders>
            <w:hideMark/>
          </w:tcPr>
          <w:p w14:paraId="3EE53364" w14:textId="77777777" w:rsidR="00142F24" w:rsidRDefault="00142F24">
            <w:pPr>
              <w:pStyle w:val="BodyTextGrey"/>
              <w:spacing w:before="0"/>
              <w:rPr>
                <w:rFonts w:eastAsia="Calibri"/>
                <w:iCs w:val="0"/>
                <w:color w:val="auto"/>
              </w:rPr>
            </w:pPr>
            <w:r>
              <w:rPr>
                <w:rFonts w:eastAsia="Calibri"/>
                <w:iCs w:val="0"/>
                <w:color w:val="auto"/>
              </w:rPr>
              <w:t>February 2019</w:t>
            </w:r>
          </w:p>
        </w:tc>
        <w:tc>
          <w:tcPr>
            <w:tcW w:w="1634" w:type="dxa"/>
            <w:tcBorders>
              <w:top w:val="single" w:sz="4" w:space="0" w:color="auto"/>
              <w:left w:val="single" w:sz="4" w:space="0" w:color="auto"/>
              <w:bottom w:val="single" w:sz="4" w:space="0" w:color="auto"/>
              <w:right w:val="single" w:sz="4" w:space="0" w:color="auto"/>
            </w:tcBorders>
            <w:hideMark/>
          </w:tcPr>
          <w:p w14:paraId="79F1597E" w14:textId="77777777" w:rsidR="00142F24" w:rsidRDefault="00142F24">
            <w:pPr>
              <w:pStyle w:val="BodyTextGrey"/>
              <w:spacing w:before="0"/>
              <w:jc w:val="right"/>
              <w:rPr>
                <w:rFonts w:eastAsia="Calibri"/>
                <w:iCs w:val="0"/>
                <w:color w:val="auto"/>
              </w:rPr>
            </w:pPr>
            <w:r>
              <w:rPr>
                <w:rFonts w:eastAsia="Calibri"/>
                <w:iCs w:val="0"/>
                <w:color w:val="auto"/>
              </w:rPr>
              <w:t>3,303,494</w:t>
            </w:r>
          </w:p>
        </w:tc>
        <w:tc>
          <w:tcPr>
            <w:tcW w:w="1516" w:type="dxa"/>
            <w:tcBorders>
              <w:top w:val="single" w:sz="4" w:space="0" w:color="auto"/>
              <w:left w:val="single" w:sz="4" w:space="0" w:color="auto"/>
              <w:bottom w:val="single" w:sz="4" w:space="0" w:color="auto"/>
              <w:right w:val="single" w:sz="4" w:space="0" w:color="auto"/>
            </w:tcBorders>
            <w:hideMark/>
          </w:tcPr>
          <w:p w14:paraId="3B0332A1" w14:textId="77777777" w:rsidR="00142F24" w:rsidRDefault="00142F24">
            <w:pPr>
              <w:pStyle w:val="BodyTextGrey"/>
              <w:spacing w:before="0"/>
              <w:jc w:val="center"/>
              <w:rPr>
                <w:rFonts w:eastAsia="Calibri"/>
                <w:iCs w:val="0"/>
                <w:color w:val="auto"/>
              </w:rPr>
            </w:pPr>
            <w:r>
              <w:rPr>
                <w:rFonts w:eastAsia="Calibri"/>
                <w:iCs w:val="0"/>
                <w:color w:val="auto"/>
              </w:rPr>
              <w:t>14.3</w:t>
            </w:r>
          </w:p>
        </w:tc>
      </w:tr>
      <w:tr w:rsidR="00142F24" w:rsidRPr="00142F24" w14:paraId="32FEB8BB" w14:textId="77777777" w:rsidTr="00142F24">
        <w:tc>
          <w:tcPr>
            <w:tcW w:w="2100" w:type="dxa"/>
            <w:tcBorders>
              <w:top w:val="single" w:sz="4" w:space="0" w:color="auto"/>
              <w:left w:val="single" w:sz="4" w:space="0" w:color="auto"/>
              <w:bottom w:val="single" w:sz="4" w:space="0" w:color="auto"/>
              <w:right w:val="single" w:sz="4" w:space="0" w:color="auto"/>
            </w:tcBorders>
            <w:hideMark/>
          </w:tcPr>
          <w:p w14:paraId="75862B5F" w14:textId="77777777" w:rsidR="00142F24" w:rsidRDefault="00142F24">
            <w:pPr>
              <w:pStyle w:val="BodyTextGrey"/>
              <w:spacing w:before="0" w:after="0"/>
              <w:rPr>
                <w:rFonts w:eastAsia="Calibri"/>
                <w:iCs w:val="0"/>
                <w:color w:val="auto"/>
              </w:rPr>
            </w:pPr>
            <w:r>
              <w:rPr>
                <w:rFonts w:eastAsia="Calibri"/>
                <w:iCs w:val="0"/>
                <w:color w:val="auto"/>
              </w:rPr>
              <w:t>Global Opportunities Equity Fund</w:t>
            </w:r>
          </w:p>
        </w:tc>
        <w:tc>
          <w:tcPr>
            <w:tcW w:w="1964" w:type="dxa"/>
            <w:tcBorders>
              <w:top w:val="single" w:sz="4" w:space="0" w:color="auto"/>
              <w:left w:val="single" w:sz="4" w:space="0" w:color="auto"/>
              <w:bottom w:val="single" w:sz="4" w:space="0" w:color="auto"/>
              <w:right w:val="single" w:sz="4" w:space="0" w:color="auto"/>
            </w:tcBorders>
            <w:hideMark/>
          </w:tcPr>
          <w:p w14:paraId="373ADC9D" w14:textId="77777777" w:rsidR="00142F24" w:rsidRDefault="00142F24">
            <w:pPr>
              <w:pStyle w:val="BodyTextGrey"/>
              <w:spacing w:before="0" w:after="0"/>
              <w:rPr>
                <w:rFonts w:eastAsia="Calibri"/>
                <w:iCs w:val="0"/>
                <w:color w:val="auto"/>
              </w:rPr>
            </w:pPr>
            <w:r>
              <w:rPr>
                <w:rFonts w:eastAsia="Calibri"/>
                <w:iCs w:val="0"/>
                <w:color w:val="auto"/>
              </w:rPr>
              <w:t>Russell Investments</w:t>
            </w:r>
          </w:p>
        </w:tc>
        <w:tc>
          <w:tcPr>
            <w:tcW w:w="1802" w:type="dxa"/>
            <w:tcBorders>
              <w:top w:val="single" w:sz="4" w:space="0" w:color="auto"/>
              <w:left w:val="single" w:sz="4" w:space="0" w:color="auto"/>
              <w:bottom w:val="single" w:sz="4" w:space="0" w:color="auto"/>
              <w:right w:val="single" w:sz="4" w:space="0" w:color="auto"/>
            </w:tcBorders>
            <w:hideMark/>
          </w:tcPr>
          <w:p w14:paraId="682E4BAC" w14:textId="77777777" w:rsidR="00142F24" w:rsidRDefault="00142F24">
            <w:pPr>
              <w:pStyle w:val="BodyTextGrey"/>
              <w:spacing w:before="0"/>
              <w:rPr>
                <w:rFonts w:eastAsia="Calibri"/>
                <w:iCs w:val="0"/>
                <w:color w:val="auto"/>
              </w:rPr>
            </w:pPr>
            <w:r>
              <w:rPr>
                <w:rFonts w:eastAsia="Calibri"/>
                <w:iCs w:val="0"/>
                <w:color w:val="auto"/>
              </w:rPr>
              <w:t>February 2019</w:t>
            </w:r>
          </w:p>
        </w:tc>
        <w:tc>
          <w:tcPr>
            <w:tcW w:w="1634" w:type="dxa"/>
            <w:tcBorders>
              <w:top w:val="single" w:sz="4" w:space="0" w:color="auto"/>
              <w:left w:val="single" w:sz="4" w:space="0" w:color="auto"/>
              <w:bottom w:val="single" w:sz="4" w:space="0" w:color="auto"/>
              <w:right w:val="single" w:sz="4" w:space="0" w:color="auto"/>
            </w:tcBorders>
            <w:hideMark/>
          </w:tcPr>
          <w:p w14:paraId="531A011D" w14:textId="77777777" w:rsidR="00142F24" w:rsidRDefault="00142F24">
            <w:pPr>
              <w:pStyle w:val="BodyTextGrey"/>
              <w:spacing w:before="0"/>
              <w:jc w:val="right"/>
              <w:rPr>
                <w:rFonts w:eastAsia="Calibri"/>
                <w:iCs w:val="0"/>
                <w:color w:val="auto"/>
              </w:rPr>
            </w:pPr>
            <w:r>
              <w:rPr>
                <w:rFonts w:eastAsia="Calibri"/>
                <w:iCs w:val="0"/>
                <w:color w:val="auto"/>
              </w:rPr>
              <w:t>3,387,940</w:t>
            </w:r>
          </w:p>
        </w:tc>
        <w:tc>
          <w:tcPr>
            <w:tcW w:w="1516" w:type="dxa"/>
            <w:tcBorders>
              <w:top w:val="single" w:sz="4" w:space="0" w:color="auto"/>
              <w:left w:val="single" w:sz="4" w:space="0" w:color="auto"/>
              <w:bottom w:val="single" w:sz="4" w:space="0" w:color="auto"/>
              <w:right w:val="single" w:sz="4" w:space="0" w:color="auto"/>
            </w:tcBorders>
            <w:hideMark/>
          </w:tcPr>
          <w:p w14:paraId="27A9AA80" w14:textId="77777777" w:rsidR="00142F24" w:rsidRDefault="00142F24">
            <w:pPr>
              <w:pStyle w:val="BodyTextGrey"/>
              <w:spacing w:before="0"/>
              <w:jc w:val="center"/>
              <w:rPr>
                <w:rFonts w:eastAsia="Calibri"/>
                <w:iCs w:val="0"/>
                <w:color w:val="auto"/>
              </w:rPr>
            </w:pPr>
            <w:r>
              <w:rPr>
                <w:rFonts w:eastAsia="Calibri"/>
                <w:iCs w:val="0"/>
                <w:color w:val="auto"/>
              </w:rPr>
              <w:t>14.7</w:t>
            </w:r>
          </w:p>
        </w:tc>
      </w:tr>
      <w:tr w:rsidR="00142F24" w:rsidRPr="00142F24" w14:paraId="28DAB6DA" w14:textId="77777777" w:rsidTr="00142F24">
        <w:tc>
          <w:tcPr>
            <w:tcW w:w="2100" w:type="dxa"/>
            <w:tcBorders>
              <w:top w:val="single" w:sz="4" w:space="0" w:color="auto"/>
              <w:left w:val="single" w:sz="4" w:space="0" w:color="auto"/>
              <w:bottom w:val="single" w:sz="4" w:space="0" w:color="auto"/>
              <w:right w:val="single" w:sz="4" w:space="0" w:color="auto"/>
            </w:tcBorders>
            <w:hideMark/>
          </w:tcPr>
          <w:p w14:paraId="7101BBAB" w14:textId="77777777" w:rsidR="00142F24" w:rsidRDefault="00142F24">
            <w:pPr>
              <w:pStyle w:val="BodyTextGrey"/>
              <w:spacing w:before="0" w:after="0"/>
              <w:rPr>
                <w:rFonts w:eastAsia="Calibri"/>
                <w:iCs w:val="0"/>
                <w:color w:val="auto"/>
              </w:rPr>
            </w:pPr>
            <w:r>
              <w:rPr>
                <w:rFonts w:eastAsia="Calibri"/>
                <w:iCs w:val="0"/>
                <w:color w:val="auto"/>
              </w:rPr>
              <w:t>UK Opportunities Equity Fund</w:t>
            </w:r>
          </w:p>
        </w:tc>
        <w:tc>
          <w:tcPr>
            <w:tcW w:w="1964" w:type="dxa"/>
            <w:tcBorders>
              <w:top w:val="single" w:sz="4" w:space="0" w:color="auto"/>
              <w:left w:val="single" w:sz="4" w:space="0" w:color="auto"/>
              <w:bottom w:val="single" w:sz="4" w:space="0" w:color="auto"/>
              <w:right w:val="single" w:sz="4" w:space="0" w:color="auto"/>
            </w:tcBorders>
            <w:hideMark/>
          </w:tcPr>
          <w:p w14:paraId="6A8971E0" w14:textId="77777777" w:rsidR="00142F24" w:rsidRDefault="00142F24">
            <w:pPr>
              <w:pStyle w:val="BodyTextGrey"/>
              <w:spacing w:before="0" w:after="0"/>
              <w:rPr>
                <w:rFonts w:eastAsia="Calibri"/>
                <w:iCs w:val="0"/>
                <w:color w:val="auto"/>
              </w:rPr>
            </w:pPr>
            <w:r>
              <w:rPr>
                <w:rFonts w:eastAsia="Calibri"/>
                <w:iCs w:val="0"/>
                <w:color w:val="auto"/>
              </w:rPr>
              <w:t>Russell Investments</w:t>
            </w:r>
          </w:p>
        </w:tc>
        <w:tc>
          <w:tcPr>
            <w:tcW w:w="1802" w:type="dxa"/>
            <w:tcBorders>
              <w:top w:val="single" w:sz="4" w:space="0" w:color="auto"/>
              <w:left w:val="single" w:sz="4" w:space="0" w:color="auto"/>
              <w:bottom w:val="single" w:sz="4" w:space="0" w:color="auto"/>
              <w:right w:val="single" w:sz="4" w:space="0" w:color="auto"/>
            </w:tcBorders>
            <w:hideMark/>
          </w:tcPr>
          <w:p w14:paraId="35E287CD" w14:textId="77777777" w:rsidR="00142F24" w:rsidRDefault="00142F24">
            <w:pPr>
              <w:pStyle w:val="BodyTextGrey"/>
              <w:spacing w:before="0"/>
              <w:rPr>
                <w:rFonts w:eastAsia="Calibri"/>
                <w:iCs w:val="0"/>
                <w:color w:val="auto"/>
              </w:rPr>
            </w:pPr>
            <w:r>
              <w:rPr>
                <w:rFonts w:eastAsia="Calibri"/>
                <w:iCs w:val="0"/>
                <w:color w:val="auto"/>
              </w:rPr>
              <w:t>September 2019</w:t>
            </w:r>
          </w:p>
        </w:tc>
        <w:tc>
          <w:tcPr>
            <w:tcW w:w="1634" w:type="dxa"/>
            <w:tcBorders>
              <w:top w:val="single" w:sz="4" w:space="0" w:color="auto"/>
              <w:left w:val="single" w:sz="4" w:space="0" w:color="auto"/>
              <w:bottom w:val="single" w:sz="4" w:space="0" w:color="auto"/>
              <w:right w:val="single" w:sz="4" w:space="0" w:color="auto"/>
            </w:tcBorders>
            <w:hideMark/>
          </w:tcPr>
          <w:p w14:paraId="4E808CC1" w14:textId="77777777" w:rsidR="00142F24" w:rsidRDefault="00142F24">
            <w:pPr>
              <w:pStyle w:val="BodyTextGrey"/>
              <w:spacing w:before="0"/>
              <w:jc w:val="right"/>
              <w:rPr>
                <w:rFonts w:eastAsia="Calibri"/>
                <w:iCs w:val="0"/>
                <w:color w:val="auto"/>
              </w:rPr>
            </w:pPr>
            <w:r>
              <w:rPr>
                <w:rFonts w:eastAsia="Calibri"/>
                <w:iCs w:val="0"/>
                <w:color w:val="auto"/>
              </w:rPr>
              <w:t>730,278</w:t>
            </w:r>
          </w:p>
        </w:tc>
        <w:tc>
          <w:tcPr>
            <w:tcW w:w="1516" w:type="dxa"/>
            <w:tcBorders>
              <w:top w:val="single" w:sz="4" w:space="0" w:color="auto"/>
              <w:left w:val="single" w:sz="4" w:space="0" w:color="auto"/>
              <w:bottom w:val="single" w:sz="4" w:space="0" w:color="auto"/>
              <w:right w:val="single" w:sz="4" w:space="0" w:color="auto"/>
            </w:tcBorders>
            <w:hideMark/>
          </w:tcPr>
          <w:p w14:paraId="34A49451" w14:textId="77777777" w:rsidR="00142F24" w:rsidRDefault="00142F24">
            <w:pPr>
              <w:pStyle w:val="BodyTextGrey"/>
              <w:spacing w:before="0"/>
              <w:jc w:val="center"/>
              <w:rPr>
                <w:rFonts w:eastAsia="Calibri"/>
                <w:iCs w:val="0"/>
                <w:color w:val="auto"/>
              </w:rPr>
            </w:pPr>
            <w:r>
              <w:rPr>
                <w:rFonts w:eastAsia="Calibri"/>
                <w:iCs w:val="0"/>
                <w:color w:val="auto"/>
              </w:rPr>
              <w:t>3.2</w:t>
            </w:r>
          </w:p>
        </w:tc>
      </w:tr>
      <w:tr w:rsidR="00142F24" w:rsidRPr="00142F24" w14:paraId="2A46D26B" w14:textId="77777777" w:rsidTr="00142F24">
        <w:tc>
          <w:tcPr>
            <w:tcW w:w="2100" w:type="dxa"/>
            <w:tcBorders>
              <w:top w:val="single" w:sz="4" w:space="0" w:color="auto"/>
              <w:left w:val="single" w:sz="4" w:space="0" w:color="auto"/>
              <w:bottom w:val="single" w:sz="4" w:space="0" w:color="auto"/>
              <w:right w:val="single" w:sz="4" w:space="0" w:color="auto"/>
            </w:tcBorders>
            <w:hideMark/>
          </w:tcPr>
          <w:p w14:paraId="69A59159" w14:textId="77777777" w:rsidR="00142F24" w:rsidRDefault="00142F24">
            <w:pPr>
              <w:pStyle w:val="BodyTextGrey"/>
              <w:spacing w:before="0"/>
              <w:rPr>
                <w:rFonts w:eastAsia="Calibri"/>
                <w:iCs w:val="0"/>
                <w:color w:val="auto"/>
              </w:rPr>
            </w:pPr>
            <w:r>
              <w:rPr>
                <w:rFonts w:eastAsia="Calibri"/>
                <w:iCs w:val="0"/>
                <w:color w:val="auto"/>
              </w:rPr>
              <w:t xml:space="preserve">Emerging Markets Equity Fund </w:t>
            </w:r>
          </w:p>
        </w:tc>
        <w:tc>
          <w:tcPr>
            <w:tcW w:w="1964" w:type="dxa"/>
            <w:tcBorders>
              <w:top w:val="single" w:sz="4" w:space="0" w:color="auto"/>
              <w:left w:val="single" w:sz="4" w:space="0" w:color="auto"/>
              <w:bottom w:val="single" w:sz="4" w:space="0" w:color="auto"/>
              <w:right w:val="single" w:sz="4" w:space="0" w:color="auto"/>
            </w:tcBorders>
            <w:hideMark/>
          </w:tcPr>
          <w:p w14:paraId="0FC60077" w14:textId="77777777" w:rsidR="00142F24" w:rsidRDefault="00142F24">
            <w:pPr>
              <w:pStyle w:val="BodyTextGrey"/>
              <w:spacing w:before="0" w:after="0"/>
              <w:rPr>
                <w:rFonts w:eastAsia="Calibri"/>
                <w:iCs w:val="0"/>
                <w:color w:val="auto"/>
              </w:rPr>
            </w:pPr>
            <w:r>
              <w:rPr>
                <w:rFonts w:eastAsia="Calibri"/>
                <w:iCs w:val="0"/>
                <w:color w:val="auto"/>
              </w:rPr>
              <w:t>Russell Investments</w:t>
            </w:r>
          </w:p>
        </w:tc>
        <w:tc>
          <w:tcPr>
            <w:tcW w:w="1802" w:type="dxa"/>
            <w:tcBorders>
              <w:top w:val="single" w:sz="4" w:space="0" w:color="auto"/>
              <w:left w:val="single" w:sz="4" w:space="0" w:color="auto"/>
              <w:bottom w:val="single" w:sz="4" w:space="0" w:color="auto"/>
              <w:right w:val="single" w:sz="4" w:space="0" w:color="auto"/>
            </w:tcBorders>
            <w:hideMark/>
          </w:tcPr>
          <w:p w14:paraId="3A0C95BF" w14:textId="77777777" w:rsidR="00142F24" w:rsidRDefault="00142F24">
            <w:pPr>
              <w:pStyle w:val="BodyTextGrey"/>
              <w:spacing w:before="0"/>
              <w:rPr>
                <w:rFonts w:eastAsia="Calibri"/>
                <w:iCs w:val="0"/>
                <w:color w:val="auto"/>
              </w:rPr>
            </w:pPr>
            <w:r>
              <w:rPr>
                <w:rFonts w:eastAsia="Calibri"/>
                <w:iCs w:val="0"/>
                <w:color w:val="auto"/>
              </w:rPr>
              <w:t>October 2021</w:t>
            </w:r>
          </w:p>
        </w:tc>
        <w:tc>
          <w:tcPr>
            <w:tcW w:w="1634" w:type="dxa"/>
            <w:tcBorders>
              <w:top w:val="single" w:sz="4" w:space="0" w:color="auto"/>
              <w:left w:val="single" w:sz="4" w:space="0" w:color="auto"/>
              <w:bottom w:val="single" w:sz="4" w:space="0" w:color="auto"/>
              <w:right w:val="single" w:sz="4" w:space="0" w:color="auto"/>
            </w:tcBorders>
            <w:hideMark/>
          </w:tcPr>
          <w:p w14:paraId="0FD982ED" w14:textId="77777777" w:rsidR="00142F24" w:rsidRDefault="00142F24">
            <w:pPr>
              <w:pStyle w:val="BodyTextGrey"/>
              <w:spacing w:before="0"/>
              <w:jc w:val="right"/>
              <w:rPr>
                <w:rFonts w:eastAsia="Calibri"/>
                <w:iCs w:val="0"/>
                <w:color w:val="auto"/>
              </w:rPr>
            </w:pPr>
            <w:r>
              <w:rPr>
                <w:rFonts w:eastAsia="Calibri"/>
                <w:iCs w:val="0"/>
                <w:color w:val="auto"/>
              </w:rPr>
              <w:t>464,615</w:t>
            </w:r>
          </w:p>
        </w:tc>
        <w:tc>
          <w:tcPr>
            <w:tcW w:w="1516" w:type="dxa"/>
            <w:tcBorders>
              <w:top w:val="single" w:sz="4" w:space="0" w:color="auto"/>
              <w:left w:val="single" w:sz="4" w:space="0" w:color="auto"/>
              <w:bottom w:val="single" w:sz="4" w:space="0" w:color="auto"/>
              <w:right w:val="single" w:sz="4" w:space="0" w:color="auto"/>
            </w:tcBorders>
            <w:hideMark/>
          </w:tcPr>
          <w:p w14:paraId="26807CF7" w14:textId="77777777" w:rsidR="00142F24" w:rsidRDefault="00142F24">
            <w:pPr>
              <w:pStyle w:val="BodyTextGrey"/>
              <w:spacing w:before="0"/>
              <w:jc w:val="center"/>
              <w:rPr>
                <w:rFonts w:eastAsia="Calibri"/>
                <w:iCs w:val="0"/>
                <w:color w:val="auto"/>
              </w:rPr>
            </w:pPr>
            <w:r>
              <w:rPr>
                <w:rFonts w:eastAsia="Calibri"/>
                <w:iCs w:val="0"/>
                <w:color w:val="auto"/>
              </w:rPr>
              <w:t>2</w:t>
            </w:r>
          </w:p>
        </w:tc>
      </w:tr>
      <w:tr w:rsidR="00142F24" w:rsidRPr="00142F24" w14:paraId="0B5A4785" w14:textId="77777777" w:rsidTr="00142F24">
        <w:tc>
          <w:tcPr>
            <w:tcW w:w="2100" w:type="dxa"/>
            <w:tcBorders>
              <w:top w:val="single" w:sz="4" w:space="0" w:color="auto"/>
              <w:left w:val="single" w:sz="4" w:space="0" w:color="auto"/>
              <w:bottom w:val="single" w:sz="4" w:space="0" w:color="auto"/>
              <w:right w:val="single" w:sz="4" w:space="0" w:color="auto"/>
            </w:tcBorders>
            <w:hideMark/>
          </w:tcPr>
          <w:p w14:paraId="7A031FAB" w14:textId="77777777" w:rsidR="00142F24" w:rsidRDefault="00142F24">
            <w:pPr>
              <w:pStyle w:val="BodyTextGrey"/>
              <w:spacing w:before="0"/>
              <w:rPr>
                <w:rFonts w:eastAsia="Calibri"/>
                <w:iCs w:val="0"/>
                <w:color w:val="auto"/>
              </w:rPr>
            </w:pPr>
            <w:r>
              <w:rPr>
                <w:rFonts w:eastAsia="Calibri"/>
                <w:iCs w:val="0"/>
                <w:color w:val="auto"/>
              </w:rPr>
              <w:t>Global Credit Fund</w:t>
            </w:r>
          </w:p>
        </w:tc>
        <w:tc>
          <w:tcPr>
            <w:tcW w:w="1964" w:type="dxa"/>
            <w:tcBorders>
              <w:top w:val="single" w:sz="4" w:space="0" w:color="auto"/>
              <w:left w:val="single" w:sz="4" w:space="0" w:color="auto"/>
              <w:bottom w:val="single" w:sz="4" w:space="0" w:color="auto"/>
              <w:right w:val="single" w:sz="4" w:space="0" w:color="auto"/>
            </w:tcBorders>
            <w:hideMark/>
          </w:tcPr>
          <w:p w14:paraId="64E2EA4A" w14:textId="77777777" w:rsidR="00142F24" w:rsidRDefault="00142F24">
            <w:pPr>
              <w:pStyle w:val="BodyTextGrey"/>
              <w:spacing w:before="0" w:after="0"/>
              <w:rPr>
                <w:rFonts w:eastAsia="Calibri"/>
                <w:iCs w:val="0"/>
                <w:color w:val="auto"/>
              </w:rPr>
            </w:pPr>
            <w:r>
              <w:rPr>
                <w:rFonts w:eastAsia="Calibri"/>
                <w:iCs w:val="0"/>
                <w:color w:val="auto"/>
              </w:rPr>
              <w:t xml:space="preserve">Russell Investments </w:t>
            </w:r>
          </w:p>
        </w:tc>
        <w:tc>
          <w:tcPr>
            <w:tcW w:w="1802" w:type="dxa"/>
            <w:tcBorders>
              <w:top w:val="single" w:sz="4" w:space="0" w:color="auto"/>
              <w:left w:val="single" w:sz="4" w:space="0" w:color="auto"/>
              <w:bottom w:val="single" w:sz="4" w:space="0" w:color="auto"/>
              <w:right w:val="single" w:sz="4" w:space="0" w:color="auto"/>
            </w:tcBorders>
            <w:hideMark/>
          </w:tcPr>
          <w:p w14:paraId="70430CCB" w14:textId="77777777" w:rsidR="00142F24" w:rsidRDefault="00142F24">
            <w:pPr>
              <w:pStyle w:val="BodyTextGrey"/>
              <w:spacing w:before="0"/>
              <w:rPr>
                <w:rFonts w:eastAsia="Calibri"/>
                <w:iCs w:val="0"/>
                <w:color w:val="auto"/>
              </w:rPr>
            </w:pPr>
            <w:r>
              <w:rPr>
                <w:rFonts w:eastAsia="Calibri"/>
                <w:iCs w:val="0"/>
                <w:color w:val="auto"/>
              </w:rPr>
              <w:t>July 2020</w:t>
            </w:r>
          </w:p>
        </w:tc>
        <w:tc>
          <w:tcPr>
            <w:tcW w:w="1634" w:type="dxa"/>
            <w:tcBorders>
              <w:top w:val="single" w:sz="4" w:space="0" w:color="auto"/>
              <w:left w:val="single" w:sz="4" w:space="0" w:color="auto"/>
              <w:bottom w:val="single" w:sz="4" w:space="0" w:color="auto"/>
              <w:right w:val="single" w:sz="4" w:space="0" w:color="auto"/>
            </w:tcBorders>
            <w:hideMark/>
          </w:tcPr>
          <w:p w14:paraId="574EC7DF" w14:textId="77777777" w:rsidR="00142F24" w:rsidRDefault="00142F24">
            <w:pPr>
              <w:pStyle w:val="BodyTextGrey"/>
              <w:spacing w:before="0"/>
              <w:jc w:val="right"/>
              <w:rPr>
                <w:rFonts w:eastAsia="Calibri"/>
                <w:iCs w:val="0"/>
                <w:color w:val="auto"/>
              </w:rPr>
            </w:pPr>
            <w:r>
              <w:rPr>
                <w:rFonts w:eastAsia="Calibri"/>
                <w:iCs w:val="0"/>
                <w:color w:val="auto"/>
              </w:rPr>
              <w:t>757,659</w:t>
            </w:r>
          </w:p>
        </w:tc>
        <w:tc>
          <w:tcPr>
            <w:tcW w:w="1516" w:type="dxa"/>
            <w:tcBorders>
              <w:top w:val="single" w:sz="4" w:space="0" w:color="auto"/>
              <w:left w:val="single" w:sz="4" w:space="0" w:color="auto"/>
              <w:bottom w:val="single" w:sz="4" w:space="0" w:color="auto"/>
              <w:right w:val="single" w:sz="4" w:space="0" w:color="auto"/>
            </w:tcBorders>
            <w:hideMark/>
          </w:tcPr>
          <w:p w14:paraId="0456A73B" w14:textId="77777777" w:rsidR="00142F24" w:rsidRDefault="00142F24">
            <w:pPr>
              <w:pStyle w:val="BodyTextGrey"/>
              <w:spacing w:before="0"/>
              <w:jc w:val="center"/>
              <w:rPr>
                <w:rFonts w:eastAsia="Calibri"/>
                <w:iCs w:val="0"/>
                <w:color w:val="auto"/>
              </w:rPr>
            </w:pPr>
            <w:r>
              <w:rPr>
                <w:rFonts w:eastAsia="Calibri"/>
                <w:iCs w:val="0"/>
                <w:color w:val="auto"/>
              </w:rPr>
              <w:t>3.3</w:t>
            </w:r>
          </w:p>
        </w:tc>
      </w:tr>
      <w:tr w:rsidR="00142F24" w:rsidRPr="00142F24" w14:paraId="3D8EC00A" w14:textId="77777777" w:rsidTr="00142F24">
        <w:tc>
          <w:tcPr>
            <w:tcW w:w="2100" w:type="dxa"/>
            <w:tcBorders>
              <w:top w:val="single" w:sz="4" w:space="0" w:color="auto"/>
              <w:left w:val="single" w:sz="4" w:space="0" w:color="auto"/>
              <w:bottom w:val="single" w:sz="4" w:space="0" w:color="auto"/>
              <w:right w:val="single" w:sz="4" w:space="0" w:color="auto"/>
            </w:tcBorders>
            <w:hideMark/>
          </w:tcPr>
          <w:p w14:paraId="21767EED" w14:textId="77777777" w:rsidR="00142F24" w:rsidRDefault="00142F24">
            <w:pPr>
              <w:pStyle w:val="BodyTextGrey"/>
              <w:spacing w:before="0" w:after="0"/>
              <w:rPr>
                <w:rFonts w:eastAsia="Calibri"/>
                <w:iCs w:val="0"/>
                <w:color w:val="auto"/>
              </w:rPr>
            </w:pPr>
            <w:r>
              <w:rPr>
                <w:rFonts w:eastAsia="Calibri"/>
                <w:iCs w:val="0"/>
                <w:color w:val="auto"/>
              </w:rPr>
              <w:t>Global Government Bond Fund</w:t>
            </w:r>
          </w:p>
        </w:tc>
        <w:tc>
          <w:tcPr>
            <w:tcW w:w="1964" w:type="dxa"/>
            <w:tcBorders>
              <w:top w:val="single" w:sz="4" w:space="0" w:color="auto"/>
              <w:left w:val="single" w:sz="4" w:space="0" w:color="auto"/>
              <w:bottom w:val="single" w:sz="4" w:space="0" w:color="auto"/>
              <w:right w:val="single" w:sz="4" w:space="0" w:color="auto"/>
            </w:tcBorders>
            <w:hideMark/>
          </w:tcPr>
          <w:p w14:paraId="59F01A1F" w14:textId="77777777" w:rsidR="00142F24" w:rsidRDefault="00142F24">
            <w:pPr>
              <w:pStyle w:val="BodyTextGrey"/>
              <w:spacing w:before="0" w:after="0"/>
              <w:rPr>
                <w:rFonts w:eastAsia="Calibri"/>
                <w:iCs w:val="0"/>
                <w:color w:val="auto"/>
              </w:rPr>
            </w:pPr>
            <w:r>
              <w:rPr>
                <w:rFonts w:eastAsia="Calibri"/>
                <w:iCs w:val="0"/>
                <w:color w:val="auto"/>
              </w:rPr>
              <w:t>Russell Investments</w:t>
            </w:r>
          </w:p>
        </w:tc>
        <w:tc>
          <w:tcPr>
            <w:tcW w:w="1802" w:type="dxa"/>
            <w:tcBorders>
              <w:top w:val="single" w:sz="4" w:space="0" w:color="auto"/>
              <w:left w:val="single" w:sz="4" w:space="0" w:color="auto"/>
              <w:bottom w:val="single" w:sz="4" w:space="0" w:color="auto"/>
              <w:right w:val="single" w:sz="4" w:space="0" w:color="auto"/>
            </w:tcBorders>
            <w:hideMark/>
          </w:tcPr>
          <w:p w14:paraId="6B26F0CC" w14:textId="77777777" w:rsidR="00142F24" w:rsidRDefault="00142F24">
            <w:pPr>
              <w:pStyle w:val="BodyTextGrey"/>
              <w:spacing w:before="0"/>
              <w:rPr>
                <w:rFonts w:eastAsia="Calibri"/>
                <w:iCs w:val="0"/>
                <w:color w:val="auto"/>
              </w:rPr>
            </w:pPr>
            <w:r>
              <w:rPr>
                <w:rFonts w:eastAsia="Calibri"/>
                <w:iCs w:val="0"/>
                <w:color w:val="auto"/>
              </w:rPr>
              <w:t>July 2020</w:t>
            </w:r>
          </w:p>
        </w:tc>
        <w:tc>
          <w:tcPr>
            <w:tcW w:w="1634" w:type="dxa"/>
            <w:tcBorders>
              <w:top w:val="single" w:sz="4" w:space="0" w:color="auto"/>
              <w:left w:val="single" w:sz="4" w:space="0" w:color="auto"/>
              <w:bottom w:val="single" w:sz="4" w:space="0" w:color="auto"/>
              <w:right w:val="single" w:sz="4" w:space="0" w:color="auto"/>
            </w:tcBorders>
            <w:hideMark/>
          </w:tcPr>
          <w:p w14:paraId="4FF0C4A2" w14:textId="77777777" w:rsidR="00142F24" w:rsidRDefault="00142F24">
            <w:pPr>
              <w:pStyle w:val="BodyTextGrey"/>
              <w:spacing w:before="0"/>
              <w:jc w:val="right"/>
              <w:rPr>
                <w:rFonts w:eastAsia="Calibri"/>
                <w:iCs w:val="0"/>
                <w:color w:val="auto"/>
              </w:rPr>
            </w:pPr>
            <w:r>
              <w:rPr>
                <w:rFonts w:eastAsia="Calibri"/>
                <w:iCs w:val="0"/>
                <w:color w:val="auto"/>
              </w:rPr>
              <w:t>507,273</w:t>
            </w:r>
          </w:p>
        </w:tc>
        <w:tc>
          <w:tcPr>
            <w:tcW w:w="1516" w:type="dxa"/>
            <w:tcBorders>
              <w:top w:val="single" w:sz="4" w:space="0" w:color="auto"/>
              <w:left w:val="single" w:sz="4" w:space="0" w:color="auto"/>
              <w:bottom w:val="single" w:sz="4" w:space="0" w:color="auto"/>
              <w:right w:val="single" w:sz="4" w:space="0" w:color="auto"/>
            </w:tcBorders>
            <w:hideMark/>
          </w:tcPr>
          <w:p w14:paraId="62B464E0" w14:textId="77777777" w:rsidR="00142F24" w:rsidRDefault="00142F24">
            <w:pPr>
              <w:pStyle w:val="BodyTextGrey"/>
              <w:spacing w:before="0"/>
              <w:jc w:val="center"/>
              <w:rPr>
                <w:rFonts w:eastAsia="Calibri"/>
                <w:iCs w:val="0"/>
                <w:color w:val="auto"/>
              </w:rPr>
            </w:pPr>
            <w:r>
              <w:rPr>
                <w:rFonts w:eastAsia="Calibri"/>
                <w:iCs w:val="0"/>
                <w:color w:val="auto"/>
              </w:rPr>
              <w:t>2.2</w:t>
            </w:r>
          </w:p>
        </w:tc>
      </w:tr>
      <w:tr w:rsidR="00142F24" w:rsidRPr="00142F24" w14:paraId="1F97A651" w14:textId="77777777" w:rsidTr="00142F24">
        <w:tc>
          <w:tcPr>
            <w:tcW w:w="2100" w:type="dxa"/>
            <w:tcBorders>
              <w:top w:val="single" w:sz="4" w:space="0" w:color="auto"/>
              <w:left w:val="single" w:sz="4" w:space="0" w:color="auto"/>
              <w:bottom w:val="single" w:sz="4" w:space="0" w:color="auto"/>
              <w:right w:val="single" w:sz="4" w:space="0" w:color="auto"/>
            </w:tcBorders>
            <w:hideMark/>
          </w:tcPr>
          <w:p w14:paraId="286A113B" w14:textId="77777777" w:rsidR="00142F24" w:rsidRDefault="00142F24">
            <w:pPr>
              <w:pStyle w:val="BodyTextGrey"/>
              <w:spacing w:before="0"/>
              <w:rPr>
                <w:rFonts w:eastAsia="Calibri"/>
                <w:iCs w:val="0"/>
                <w:color w:val="auto"/>
              </w:rPr>
            </w:pPr>
            <w:r>
              <w:rPr>
                <w:rFonts w:eastAsia="Calibri"/>
                <w:iCs w:val="0"/>
                <w:color w:val="auto"/>
              </w:rPr>
              <w:t>UK Credit Fund</w:t>
            </w:r>
          </w:p>
        </w:tc>
        <w:tc>
          <w:tcPr>
            <w:tcW w:w="1964" w:type="dxa"/>
            <w:tcBorders>
              <w:top w:val="single" w:sz="4" w:space="0" w:color="auto"/>
              <w:left w:val="single" w:sz="4" w:space="0" w:color="auto"/>
              <w:bottom w:val="single" w:sz="4" w:space="0" w:color="auto"/>
              <w:right w:val="single" w:sz="4" w:space="0" w:color="auto"/>
            </w:tcBorders>
            <w:hideMark/>
          </w:tcPr>
          <w:p w14:paraId="0823D6DC" w14:textId="77777777" w:rsidR="00142F24" w:rsidRDefault="00142F24">
            <w:pPr>
              <w:pStyle w:val="BodyTextGrey"/>
              <w:spacing w:before="0"/>
              <w:rPr>
                <w:rFonts w:eastAsia="Calibri"/>
                <w:iCs w:val="0"/>
                <w:color w:val="auto"/>
              </w:rPr>
            </w:pPr>
            <w:r>
              <w:rPr>
                <w:rFonts w:eastAsia="Calibri"/>
                <w:iCs w:val="0"/>
                <w:color w:val="auto"/>
              </w:rPr>
              <w:t>Link Fund Solutions</w:t>
            </w:r>
          </w:p>
        </w:tc>
        <w:tc>
          <w:tcPr>
            <w:tcW w:w="1802" w:type="dxa"/>
            <w:tcBorders>
              <w:top w:val="single" w:sz="4" w:space="0" w:color="auto"/>
              <w:left w:val="single" w:sz="4" w:space="0" w:color="auto"/>
              <w:bottom w:val="single" w:sz="4" w:space="0" w:color="auto"/>
              <w:right w:val="single" w:sz="4" w:space="0" w:color="auto"/>
            </w:tcBorders>
            <w:hideMark/>
          </w:tcPr>
          <w:p w14:paraId="61F661E7" w14:textId="77777777" w:rsidR="00142F24" w:rsidRDefault="00142F24">
            <w:pPr>
              <w:pStyle w:val="BodyTextGrey"/>
              <w:spacing w:before="0"/>
              <w:rPr>
                <w:rFonts w:eastAsia="Calibri"/>
                <w:iCs w:val="0"/>
                <w:color w:val="auto"/>
              </w:rPr>
            </w:pPr>
            <w:r>
              <w:rPr>
                <w:rFonts w:eastAsia="Calibri"/>
                <w:iCs w:val="0"/>
                <w:color w:val="auto"/>
              </w:rPr>
              <w:t>July 2020</w:t>
            </w:r>
          </w:p>
        </w:tc>
        <w:tc>
          <w:tcPr>
            <w:tcW w:w="1634" w:type="dxa"/>
            <w:tcBorders>
              <w:top w:val="single" w:sz="4" w:space="0" w:color="auto"/>
              <w:left w:val="single" w:sz="4" w:space="0" w:color="auto"/>
              <w:bottom w:val="single" w:sz="4" w:space="0" w:color="auto"/>
              <w:right w:val="single" w:sz="4" w:space="0" w:color="auto"/>
            </w:tcBorders>
            <w:hideMark/>
          </w:tcPr>
          <w:p w14:paraId="4416CCA9" w14:textId="77777777" w:rsidR="00142F24" w:rsidRDefault="00142F24">
            <w:pPr>
              <w:pStyle w:val="BodyTextGrey"/>
              <w:spacing w:before="0"/>
              <w:jc w:val="right"/>
              <w:rPr>
                <w:rFonts w:eastAsia="Calibri"/>
                <w:iCs w:val="0"/>
                <w:color w:val="auto"/>
              </w:rPr>
            </w:pPr>
            <w:r>
              <w:rPr>
                <w:rFonts w:eastAsia="Calibri"/>
                <w:iCs w:val="0"/>
                <w:color w:val="auto"/>
              </w:rPr>
              <w:t>574,224</w:t>
            </w:r>
          </w:p>
        </w:tc>
        <w:tc>
          <w:tcPr>
            <w:tcW w:w="1516" w:type="dxa"/>
            <w:tcBorders>
              <w:top w:val="single" w:sz="4" w:space="0" w:color="auto"/>
              <w:left w:val="single" w:sz="4" w:space="0" w:color="auto"/>
              <w:bottom w:val="single" w:sz="4" w:space="0" w:color="auto"/>
              <w:right w:val="single" w:sz="4" w:space="0" w:color="auto"/>
            </w:tcBorders>
            <w:hideMark/>
          </w:tcPr>
          <w:p w14:paraId="39B63EE5" w14:textId="77777777" w:rsidR="00142F24" w:rsidRDefault="00142F24">
            <w:pPr>
              <w:pStyle w:val="BodyTextGrey"/>
              <w:spacing w:before="0"/>
              <w:jc w:val="center"/>
              <w:rPr>
                <w:rFonts w:eastAsia="Calibri"/>
                <w:iCs w:val="0"/>
                <w:color w:val="auto"/>
              </w:rPr>
            </w:pPr>
            <w:r>
              <w:rPr>
                <w:rFonts w:eastAsia="Calibri"/>
                <w:iCs w:val="0"/>
                <w:color w:val="auto"/>
              </w:rPr>
              <w:t>2.5</w:t>
            </w:r>
          </w:p>
        </w:tc>
      </w:tr>
      <w:tr w:rsidR="00142F24" w:rsidRPr="00142F24" w14:paraId="1A0A7BF1" w14:textId="77777777" w:rsidTr="00142F24">
        <w:trPr>
          <w:trHeight w:val="556"/>
        </w:trPr>
        <w:tc>
          <w:tcPr>
            <w:tcW w:w="2100" w:type="dxa"/>
            <w:tcBorders>
              <w:top w:val="single" w:sz="4" w:space="0" w:color="auto"/>
              <w:left w:val="single" w:sz="4" w:space="0" w:color="auto"/>
              <w:bottom w:val="single" w:sz="4" w:space="0" w:color="auto"/>
              <w:right w:val="single" w:sz="4" w:space="0" w:color="auto"/>
            </w:tcBorders>
            <w:hideMark/>
          </w:tcPr>
          <w:p w14:paraId="17D44413" w14:textId="77777777" w:rsidR="00142F24" w:rsidRDefault="00142F24">
            <w:pPr>
              <w:shd w:val="clear" w:color="auto" w:fill="FFFFFF"/>
              <w:spacing w:line="264" w:lineRule="atLeast"/>
              <w:outlineLvl w:val="2"/>
              <w:rPr>
                <w:rFonts w:ascii="Arial" w:hAnsi="Arial" w:cs="Arial"/>
                <w:sz w:val="20"/>
              </w:rPr>
            </w:pPr>
            <w:r>
              <w:rPr>
                <w:rFonts w:ascii="Arial" w:hAnsi="Arial" w:cs="Arial"/>
                <w:sz w:val="20"/>
              </w:rPr>
              <w:t>Multi-Asset Credit Fund</w:t>
            </w:r>
          </w:p>
        </w:tc>
        <w:tc>
          <w:tcPr>
            <w:tcW w:w="1964" w:type="dxa"/>
            <w:tcBorders>
              <w:top w:val="single" w:sz="4" w:space="0" w:color="auto"/>
              <w:left w:val="single" w:sz="4" w:space="0" w:color="auto"/>
              <w:bottom w:val="single" w:sz="4" w:space="0" w:color="auto"/>
              <w:right w:val="single" w:sz="4" w:space="0" w:color="auto"/>
            </w:tcBorders>
            <w:hideMark/>
          </w:tcPr>
          <w:p w14:paraId="45444DCA" w14:textId="77777777" w:rsidR="00142F24" w:rsidRDefault="00142F24">
            <w:pPr>
              <w:pStyle w:val="BodyTextGrey"/>
              <w:spacing w:before="0" w:after="0"/>
              <w:rPr>
                <w:rFonts w:eastAsia="Calibri"/>
                <w:iCs w:val="0"/>
                <w:color w:val="auto"/>
              </w:rPr>
            </w:pPr>
            <w:r>
              <w:rPr>
                <w:rFonts w:eastAsia="Calibri"/>
                <w:iCs w:val="0"/>
                <w:color w:val="auto"/>
              </w:rPr>
              <w:t>Russell Investments</w:t>
            </w:r>
          </w:p>
        </w:tc>
        <w:tc>
          <w:tcPr>
            <w:tcW w:w="1802" w:type="dxa"/>
            <w:tcBorders>
              <w:top w:val="single" w:sz="4" w:space="0" w:color="auto"/>
              <w:left w:val="single" w:sz="4" w:space="0" w:color="auto"/>
              <w:bottom w:val="single" w:sz="4" w:space="0" w:color="auto"/>
              <w:right w:val="single" w:sz="4" w:space="0" w:color="auto"/>
            </w:tcBorders>
            <w:hideMark/>
          </w:tcPr>
          <w:p w14:paraId="686923C2" w14:textId="77777777" w:rsidR="00142F24" w:rsidRDefault="00142F24">
            <w:pPr>
              <w:pStyle w:val="BodyTextGrey"/>
              <w:spacing w:before="0"/>
              <w:rPr>
                <w:rFonts w:eastAsia="Calibri"/>
                <w:iCs w:val="0"/>
                <w:color w:val="auto"/>
              </w:rPr>
            </w:pPr>
            <w:r>
              <w:rPr>
                <w:rFonts w:eastAsia="Calibri"/>
                <w:iCs w:val="0"/>
                <w:color w:val="auto"/>
              </w:rPr>
              <w:t>July 2020</w:t>
            </w:r>
          </w:p>
        </w:tc>
        <w:tc>
          <w:tcPr>
            <w:tcW w:w="1634" w:type="dxa"/>
            <w:tcBorders>
              <w:top w:val="single" w:sz="4" w:space="0" w:color="auto"/>
              <w:left w:val="single" w:sz="4" w:space="0" w:color="auto"/>
              <w:bottom w:val="single" w:sz="4" w:space="0" w:color="auto"/>
              <w:right w:val="single" w:sz="4" w:space="0" w:color="auto"/>
            </w:tcBorders>
            <w:hideMark/>
          </w:tcPr>
          <w:p w14:paraId="248DC077" w14:textId="77777777" w:rsidR="00142F24" w:rsidRDefault="00142F24">
            <w:pPr>
              <w:pStyle w:val="BodyTextGrey"/>
              <w:spacing w:before="0"/>
              <w:jc w:val="right"/>
              <w:rPr>
                <w:rFonts w:eastAsia="Calibri"/>
                <w:iCs w:val="0"/>
                <w:color w:val="auto"/>
              </w:rPr>
            </w:pPr>
            <w:r>
              <w:rPr>
                <w:rFonts w:eastAsia="Calibri"/>
                <w:iCs w:val="0"/>
                <w:color w:val="auto"/>
              </w:rPr>
              <w:t>723,184</w:t>
            </w:r>
          </w:p>
        </w:tc>
        <w:tc>
          <w:tcPr>
            <w:tcW w:w="1516" w:type="dxa"/>
            <w:tcBorders>
              <w:top w:val="single" w:sz="4" w:space="0" w:color="auto"/>
              <w:left w:val="single" w:sz="4" w:space="0" w:color="auto"/>
              <w:bottom w:val="single" w:sz="4" w:space="0" w:color="auto"/>
              <w:right w:val="single" w:sz="4" w:space="0" w:color="auto"/>
            </w:tcBorders>
            <w:hideMark/>
          </w:tcPr>
          <w:p w14:paraId="6D1D59CA" w14:textId="77777777" w:rsidR="00142F24" w:rsidRDefault="00142F24">
            <w:pPr>
              <w:pStyle w:val="BodyTextGrey"/>
              <w:spacing w:before="0"/>
              <w:jc w:val="center"/>
              <w:rPr>
                <w:rFonts w:eastAsia="Calibri"/>
                <w:iCs w:val="0"/>
                <w:color w:val="auto"/>
              </w:rPr>
            </w:pPr>
            <w:r>
              <w:rPr>
                <w:rFonts w:eastAsia="Calibri"/>
                <w:iCs w:val="0"/>
                <w:color w:val="auto"/>
              </w:rPr>
              <w:t>3.1</w:t>
            </w:r>
          </w:p>
        </w:tc>
      </w:tr>
      <w:tr w:rsidR="00142F24" w:rsidRPr="00142F24" w14:paraId="19098789" w14:textId="77777777" w:rsidTr="00142F24">
        <w:tc>
          <w:tcPr>
            <w:tcW w:w="2100" w:type="dxa"/>
            <w:tcBorders>
              <w:top w:val="single" w:sz="4" w:space="0" w:color="auto"/>
              <w:left w:val="single" w:sz="4" w:space="0" w:color="auto"/>
              <w:bottom w:val="single" w:sz="4" w:space="0" w:color="auto"/>
              <w:right w:val="single" w:sz="4" w:space="0" w:color="auto"/>
            </w:tcBorders>
            <w:hideMark/>
          </w:tcPr>
          <w:p w14:paraId="1F419336" w14:textId="77777777" w:rsidR="00142F24" w:rsidRDefault="00142F24">
            <w:pPr>
              <w:pStyle w:val="Heading3"/>
              <w:shd w:val="clear" w:color="auto" w:fill="FFFFFF"/>
              <w:spacing w:line="264" w:lineRule="atLeast"/>
              <w:jc w:val="left"/>
              <w:rPr>
                <w:rFonts w:eastAsia="Calibri" w:cs="Arial"/>
                <w:b w:val="0"/>
                <w:bCs/>
                <w:sz w:val="20"/>
              </w:rPr>
            </w:pPr>
            <w:r>
              <w:rPr>
                <w:rFonts w:eastAsia="Calibri" w:cs="Arial"/>
                <w:b w:val="0"/>
                <w:sz w:val="20"/>
              </w:rPr>
              <w:t>Absolute Return Bond Fund</w:t>
            </w:r>
          </w:p>
        </w:tc>
        <w:tc>
          <w:tcPr>
            <w:tcW w:w="1964" w:type="dxa"/>
            <w:tcBorders>
              <w:top w:val="single" w:sz="4" w:space="0" w:color="auto"/>
              <w:left w:val="single" w:sz="4" w:space="0" w:color="auto"/>
              <w:bottom w:val="single" w:sz="4" w:space="0" w:color="auto"/>
              <w:right w:val="single" w:sz="4" w:space="0" w:color="auto"/>
            </w:tcBorders>
            <w:hideMark/>
          </w:tcPr>
          <w:p w14:paraId="31B93D1C" w14:textId="77777777" w:rsidR="00142F24" w:rsidRDefault="00142F24">
            <w:pPr>
              <w:pStyle w:val="BodyTextGrey"/>
              <w:spacing w:before="0" w:after="0"/>
              <w:rPr>
                <w:rFonts w:eastAsia="Calibri"/>
                <w:iCs w:val="0"/>
                <w:color w:val="auto"/>
              </w:rPr>
            </w:pPr>
            <w:r>
              <w:rPr>
                <w:rFonts w:eastAsia="Calibri"/>
                <w:iCs w:val="0"/>
                <w:color w:val="auto"/>
              </w:rPr>
              <w:t>Russell Investments</w:t>
            </w:r>
          </w:p>
        </w:tc>
        <w:tc>
          <w:tcPr>
            <w:tcW w:w="1802" w:type="dxa"/>
            <w:tcBorders>
              <w:top w:val="single" w:sz="4" w:space="0" w:color="auto"/>
              <w:left w:val="single" w:sz="4" w:space="0" w:color="auto"/>
              <w:bottom w:val="single" w:sz="4" w:space="0" w:color="auto"/>
              <w:right w:val="single" w:sz="4" w:space="0" w:color="auto"/>
            </w:tcBorders>
            <w:hideMark/>
          </w:tcPr>
          <w:p w14:paraId="2A6A2162" w14:textId="77777777" w:rsidR="00142F24" w:rsidRDefault="00142F24">
            <w:pPr>
              <w:pStyle w:val="BodyTextGrey"/>
              <w:spacing w:before="0"/>
              <w:rPr>
                <w:rFonts w:eastAsia="Calibri"/>
                <w:iCs w:val="0"/>
                <w:color w:val="auto"/>
              </w:rPr>
            </w:pPr>
            <w:r>
              <w:rPr>
                <w:rFonts w:eastAsia="Calibri"/>
                <w:iCs w:val="0"/>
                <w:color w:val="auto"/>
              </w:rPr>
              <w:t>September 2020</w:t>
            </w:r>
          </w:p>
        </w:tc>
        <w:tc>
          <w:tcPr>
            <w:tcW w:w="1634" w:type="dxa"/>
            <w:tcBorders>
              <w:top w:val="single" w:sz="4" w:space="0" w:color="auto"/>
              <w:left w:val="single" w:sz="4" w:space="0" w:color="auto"/>
              <w:bottom w:val="single" w:sz="4" w:space="0" w:color="auto"/>
              <w:right w:val="single" w:sz="4" w:space="0" w:color="auto"/>
            </w:tcBorders>
            <w:hideMark/>
          </w:tcPr>
          <w:p w14:paraId="448F67A5" w14:textId="77777777" w:rsidR="00142F24" w:rsidRDefault="00142F24">
            <w:pPr>
              <w:pStyle w:val="BodyTextGrey"/>
              <w:spacing w:before="0"/>
              <w:jc w:val="right"/>
              <w:rPr>
                <w:rFonts w:eastAsia="Calibri"/>
                <w:iCs w:val="0"/>
                <w:color w:val="auto"/>
              </w:rPr>
            </w:pPr>
            <w:r>
              <w:rPr>
                <w:rFonts w:eastAsia="Calibri"/>
                <w:iCs w:val="0"/>
                <w:color w:val="auto"/>
              </w:rPr>
              <w:t>509,605</w:t>
            </w:r>
          </w:p>
        </w:tc>
        <w:tc>
          <w:tcPr>
            <w:tcW w:w="1516" w:type="dxa"/>
            <w:tcBorders>
              <w:top w:val="single" w:sz="4" w:space="0" w:color="auto"/>
              <w:left w:val="single" w:sz="4" w:space="0" w:color="auto"/>
              <w:bottom w:val="single" w:sz="4" w:space="0" w:color="auto"/>
              <w:right w:val="single" w:sz="4" w:space="0" w:color="auto"/>
            </w:tcBorders>
            <w:hideMark/>
          </w:tcPr>
          <w:p w14:paraId="4C8803E0" w14:textId="77777777" w:rsidR="00142F24" w:rsidRDefault="00142F24">
            <w:pPr>
              <w:pStyle w:val="BodyTextGrey"/>
              <w:spacing w:before="0"/>
              <w:jc w:val="center"/>
              <w:rPr>
                <w:rFonts w:eastAsia="Calibri"/>
                <w:iCs w:val="0"/>
                <w:color w:val="auto"/>
              </w:rPr>
            </w:pPr>
            <w:r>
              <w:rPr>
                <w:rFonts w:eastAsia="Calibri"/>
                <w:iCs w:val="0"/>
                <w:color w:val="auto"/>
              </w:rPr>
              <w:t>2.2</w:t>
            </w:r>
          </w:p>
        </w:tc>
      </w:tr>
      <w:tr w:rsidR="00142F24" w:rsidRPr="00142F24" w14:paraId="74E1BA95" w14:textId="77777777" w:rsidTr="00142F24">
        <w:tc>
          <w:tcPr>
            <w:tcW w:w="2100" w:type="dxa"/>
            <w:tcBorders>
              <w:top w:val="single" w:sz="4" w:space="0" w:color="auto"/>
              <w:left w:val="single" w:sz="4" w:space="0" w:color="auto"/>
              <w:bottom w:val="single" w:sz="4" w:space="0" w:color="auto"/>
              <w:right w:val="single" w:sz="4" w:space="0" w:color="auto"/>
            </w:tcBorders>
            <w:hideMark/>
          </w:tcPr>
          <w:p w14:paraId="1DA16079" w14:textId="77777777" w:rsidR="00142F24" w:rsidRDefault="00142F24">
            <w:pPr>
              <w:pStyle w:val="BodyTextGrey"/>
              <w:spacing w:before="0"/>
              <w:rPr>
                <w:rFonts w:eastAsia="Calibri"/>
                <w:iCs w:val="0"/>
                <w:color w:val="auto"/>
              </w:rPr>
            </w:pPr>
            <w:r>
              <w:rPr>
                <w:rFonts w:eastAsia="Calibri"/>
                <w:iCs w:val="0"/>
                <w:color w:val="auto"/>
              </w:rPr>
              <w:t>Passive Investments</w:t>
            </w:r>
          </w:p>
        </w:tc>
        <w:tc>
          <w:tcPr>
            <w:tcW w:w="1964" w:type="dxa"/>
            <w:tcBorders>
              <w:top w:val="single" w:sz="4" w:space="0" w:color="auto"/>
              <w:left w:val="single" w:sz="4" w:space="0" w:color="auto"/>
              <w:bottom w:val="single" w:sz="4" w:space="0" w:color="auto"/>
              <w:right w:val="single" w:sz="4" w:space="0" w:color="auto"/>
            </w:tcBorders>
            <w:hideMark/>
          </w:tcPr>
          <w:p w14:paraId="52FEC34B" w14:textId="77777777" w:rsidR="00142F24" w:rsidRDefault="00142F24">
            <w:pPr>
              <w:pStyle w:val="BodyTextGrey"/>
              <w:spacing w:before="0"/>
              <w:rPr>
                <w:rFonts w:eastAsia="Calibri"/>
                <w:iCs w:val="0"/>
                <w:color w:val="auto"/>
              </w:rPr>
            </w:pPr>
            <w:r>
              <w:rPr>
                <w:rFonts w:eastAsia="Calibri"/>
                <w:iCs w:val="0"/>
                <w:color w:val="auto"/>
              </w:rPr>
              <w:t>BlackRock</w:t>
            </w:r>
          </w:p>
        </w:tc>
        <w:tc>
          <w:tcPr>
            <w:tcW w:w="1802" w:type="dxa"/>
            <w:tcBorders>
              <w:top w:val="single" w:sz="4" w:space="0" w:color="auto"/>
              <w:left w:val="single" w:sz="4" w:space="0" w:color="auto"/>
              <w:bottom w:val="single" w:sz="4" w:space="0" w:color="auto"/>
              <w:right w:val="single" w:sz="4" w:space="0" w:color="auto"/>
            </w:tcBorders>
            <w:hideMark/>
          </w:tcPr>
          <w:p w14:paraId="1296FD13" w14:textId="77777777" w:rsidR="00142F24" w:rsidRDefault="00142F24">
            <w:pPr>
              <w:pStyle w:val="BodyTextGrey"/>
              <w:spacing w:before="0"/>
              <w:rPr>
                <w:rFonts w:eastAsia="Calibri"/>
                <w:iCs w:val="0"/>
                <w:color w:val="auto"/>
              </w:rPr>
            </w:pPr>
            <w:r>
              <w:rPr>
                <w:rFonts w:eastAsia="Calibri"/>
                <w:iCs w:val="0"/>
                <w:color w:val="auto"/>
              </w:rPr>
              <w:t>March 2016</w:t>
            </w:r>
          </w:p>
        </w:tc>
        <w:tc>
          <w:tcPr>
            <w:tcW w:w="1634" w:type="dxa"/>
            <w:tcBorders>
              <w:top w:val="single" w:sz="4" w:space="0" w:color="auto"/>
              <w:left w:val="single" w:sz="4" w:space="0" w:color="auto"/>
              <w:bottom w:val="single" w:sz="4" w:space="0" w:color="auto"/>
              <w:right w:val="single" w:sz="4" w:space="0" w:color="auto"/>
            </w:tcBorders>
            <w:hideMark/>
          </w:tcPr>
          <w:p w14:paraId="457779CD" w14:textId="77777777" w:rsidR="00142F24" w:rsidRDefault="00142F24">
            <w:pPr>
              <w:pStyle w:val="BodyTextGrey"/>
              <w:spacing w:before="0"/>
              <w:jc w:val="right"/>
              <w:rPr>
                <w:rFonts w:eastAsia="Calibri"/>
                <w:iCs w:val="0"/>
                <w:color w:val="auto"/>
              </w:rPr>
            </w:pPr>
            <w:r>
              <w:rPr>
                <w:rFonts w:eastAsia="Calibri"/>
                <w:iCs w:val="0"/>
                <w:color w:val="auto"/>
              </w:rPr>
              <w:t>5,599,927</w:t>
            </w:r>
          </w:p>
        </w:tc>
        <w:tc>
          <w:tcPr>
            <w:tcW w:w="1516" w:type="dxa"/>
            <w:tcBorders>
              <w:top w:val="single" w:sz="4" w:space="0" w:color="auto"/>
              <w:left w:val="single" w:sz="4" w:space="0" w:color="auto"/>
              <w:bottom w:val="single" w:sz="4" w:space="0" w:color="auto"/>
              <w:right w:val="single" w:sz="4" w:space="0" w:color="auto"/>
            </w:tcBorders>
            <w:hideMark/>
          </w:tcPr>
          <w:p w14:paraId="13887448" w14:textId="77777777" w:rsidR="00142F24" w:rsidRDefault="00142F24">
            <w:pPr>
              <w:pStyle w:val="BodyTextGrey"/>
              <w:spacing w:before="0"/>
              <w:jc w:val="center"/>
              <w:rPr>
                <w:rFonts w:eastAsia="Calibri"/>
                <w:iCs w:val="0"/>
                <w:color w:val="auto"/>
              </w:rPr>
            </w:pPr>
            <w:r>
              <w:rPr>
                <w:rFonts w:eastAsia="Calibri"/>
                <w:iCs w:val="0"/>
                <w:color w:val="auto"/>
              </w:rPr>
              <w:t>24.2</w:t>
            </w:r>
          </w:p>
        </w:tc>
      </w:tr>
      <w:tr w:rsidR="00142F24" w:rsidRPr="00142F24" w14:paraId="735EE81A" w14:textId="77777777" w:rsidTr="00142F24">
        <w:tc>
          <w:tcPr>
            <w:tcW w:w="4064" w:type="dxa"/>
            <w:gridSpan w:val="2"/>
            <w:tcBorders>
              <w:top w:val="single" w:sz="4" w:space="0" w:color="auto"/>
              <w:left w:val="single" w:sz="4" w:space="0" w:color="auto"/>
              <w:bottom w:val="single" w:sz="4" w:space="0" w:color="auto"/>
              <w:right w:val="single" w:sz="4" w:space="0" w:color="auto"/>
            </w:tcBorders>
            <w:vAlign w:val="center"/>
            <w:hideMark/>
          </w:tcPr>
          <w:p w14:paraId="12BFCA76" w14:textId="77777777" w:rsidR="00142F24" w:rsidRDefault="00142F24">
            <w:pPr>
              <w:pStyle w:val="BodyTextGrey"/>
              <w:spacing w:before="0"/>
              <w:rPr>
                <w:rFonts w:eastAsia="Calibri"/>
                <w:iCs w:val="0"/>
                <w:color w:val="auto"/>
              </w:rPr>
            </w:pPr>
            <w:r>
              <w:rPr>
                <w:rFonts w:eastAsia="Calibri"/>
                <w:iCs w:val="0"/>
                <w:color w:val="auto"/>
              </w:rPr>
              <w:t xml:space="preserve">Investments not yet pooled </w:t>
            </w:r>
          </w:p>
        </w:tc>
        <w:tc>
          <w:tcPr>
            <w:tcW w:w="1802" w:type="dxa"/>
            <w:tcBorders>
              <w:top w:val="single" w:sz="4" w:space="0" w:color="auto"/>
              <w:left w:val="single" w:sz="4" w:space="0" w:color="auto"/>
              <w:bottom w:val="single" w:sz="4" w:space="0" w:color="auto"/>
              <w:right w:val="single" w:sz="4" w:space="0" w:color="auto"/>
            </w:tcBorders>
          </w:tcPr>
          <w:p w14:paraId="62C6CCBC" w14:textId="77777777" w:rsidR="00142F24" w:rsidRDefault="00142F24">
            <w:pPr>
              <w:pStyle w:val="BodyTextGrey"/>
              <w:spacing w:before="0"/>
              <w:rPr>
                <w:rFonts w:eastAsia="Calibri"/>
                <w:iCs w:val="0"/>
                <w:color w:val="auto"/>
              </w:rPr>
            </w:pPr>
          </w:p>
        </w:tc>
        <w:tc>
          <w:tcPr>
            <w:tcW w:w="1634" w:type="dxa"/>
            <w:tcBorders>
              <w:top w:val="single" w:sz="4" w:space="0" w:color="auto"/>
              <w:left w:val="single" w:sz="4" w:space="0" w:color="auto"/>
              <w:bottom w:val="single" w:sz="4" w:space="0" w:color="auto"/>
              <w:right w:val="single" w:sz="4" w:space="0" w:color="auto"/>
            </w:tcBorders>
            <w:hideMark/>
          </w:tcPr>
          <w:p w14:paraId="7FA92727" w14:textId="77777777" w:rsidR="00142F24" w:rsidRDefault="00142F24">
            <w:pPr>
              <w:pStyle w:val="BodyTextGrey"/>
              <w:spacing w:before="0"/>
              <w:jc w:val="right"/>
              <w:rPr>
                <w:rFonts w:eastAsia="Calibri"/>
                <w:iCs w:val="0"/>
                <w:color w:val="auto"/>
              </w:rPr>
            </w:pPr>
            <w:r>
              <w:rPr>
                <w:rFonts w:eastAsia="Calibri"/>
                <w:iCs w:val="0"/>
                <w:color w:val="auto"/>
              </w:rPr>
              <w:t>6,534,711</w:t>
            </w:r>
          </w:p>
        </w:tc>
        <w:tc>
          <w:tcPr>
            <w:tcW w:w="1516" w:type="dxa"/>
            <w:tcBorders>
              <w:top w:val="single" w:sz="4" w:space="0" w:color="auto"/>
              <w:left w:val="single" w:sz="4" w:space="0" w:color="auto"/>
              <w:bottom w:val="single" w:sz="4" w:space="0" w:color="auto"/>
              <w:right w:val="single" w:sz="4" w:space="0" w:color="auto"/>
            </w:tcBorders>
            <w:hideMark/>
          </w:tcPr>
          <w:p w14:paraId="175001BA" w14:textId="77777777" w:rsidR="00142F24" w:rsidRDefault="00142F24">
            <w:pPr>
              <w:pStyle w:val="BodyTextGrey"/>
              <w:spacing w:before="0"/>
              <w:jc w:val="center"/>
              <w:rPr>
                <w:rFonts w:eastAsia="Calibri"/>
                <w:iCs w:val="0"/>
                <w:color w:val="auto"/>
              </w:rPr>
            </w:pPr>
            <w:r>
              <w:rPr>
                <w:rFonts w:eastAsia="Calibri"/>
                <w:iCs w:val="0"/>
                <w:color w:val="auto"/>
              </w:rPr>
              <w:t>28.3</w:t>
            </w:r>
          </w:p>
        </w:tc>
      </w:tr>
      <w:tr w:rsidR="00142F24" w:rsidRPr="00142F24" w14:paraId="6C51EF61" w14:textId="77777777" w:rsidTr="00142F24">
        <w:tc>
          <w:tcPr>
            <w:tcW w:w="5866" w:type="dxa"/>
            <w:gridSpan w:val="3"/>
            <w:tcBorders>
              <w:top w:val="single" w:sz="4" w:space="0" w:color="auto"/>
              <w:left w:val="single" w:sz="4" w:space="0" w:color="auto"/>
              <w:bottom w:val="single" w:sz="4" w:space="0" w:color="auto"/>
              <w:right w:val="single" w:sz="4" w:space="0" w:color="auto"/>
            </w:tcBorders>
            <w:vAlign w:val="center"/>
            <w:hideMark/>
          </w:tcPr>
          <w:p w14:paraId="1AFB1BBE" w14:textId="77777777" w:rsidR="00142F24" w:rsidRDefault="00142F24">
            <w:pPr>
              <w:pStyle w:val="BodyTextGrey"/>
              <w:spacing w:before="0"/>
              <w:rPr>
                <w:rFonts w:eastAsia="Calibri"/>
                <w:iCs w:val="0"/>
                <w:color w:val="auto"/>
              </w:rPr>
            </w:pPr>
            <w:r>
              <w:rPr>
                <w:rFonts w:eastAsia="Calibri"/>
                <w:b/>
                <w:bCs/>
                <w:iCs w:val="0"/>
                <w:color w:val="auto"/>
              </w:rPr>
              <w:t>Total Investments across all 8 Pension Funds</w:t>
            </w:r>
          </w:p>
        </w:tc>
        <w:tc>
          <w:tcPr>
            <w:tcW w:w="1634" w:type="dxa"/>
            <w:tcBorders>
              <w:top w:val="single" w:sz="4" w:space="0" w:color="auto"/>
              <w:left w:val="single" w:sz="4" w:space="0" w:color="auto"/>
              <w:bottom w:val="single" w:sz="4" w:space="0" w:color="auto"/>
              <w:right w:val="single" w:sz="4" w:space="0" w:color="auto"/>
            </w:tcBorders>
            <w:hideMark/>
          </w:tcPr>
          <w:p w14:paraId="2E6409E3" w14:textId="77777777" w:rsidR="00142F24" w:rsidRDefault="00142F24">
            <w:pPr>
              <w:pStyle w:val="BodyTextGrey"/>
              <w:spacing w:before="0"/>
              <w:jc w:val="right"/>
              <w:rPr>
                <w:rFonts w:eastAsia="Calibri"/>
                <w:b/>
                <w:bCs/>
                <w:iCs w:val="0"/>
                <w:color w:val="auto"/>
              </w:rPr>
            </w:pPr>
            <w:r>
              <w:rPr>
                <w:rFonts w:eastAsia="Calibri"/>
                <w:b/>
                <w:bCs/>
                <w:iCs w:val="0"/>
                <w:color w:val="auto"/>
              </w:rPr>
              <w:t>23,092,910</w:t>
            </w:r>
          </w:p>
        </w:tc>
        <w:tc>
          <w:tcPr>
            <w:tcW w:w="1516" w:type="dxa"/>
            <w:tcBorders>
              <w:top w:val="single" w:sz="4" w:space="0" w:color="auto"/>
              <w:left w:val="single" w:sz="4" w:space="0" w:color="auto"/>
              <w:bottom w:val="single" w:sz="4" w:space="0" w:color="auto"/>
              <w:right w:val="single" w:sz="4" w:space="0" w:color="auto"/>
            </w:tcBorders>
            <w:hideMark/>
          </w:tcPr>
          <w:p w14:paraId="4EDC1657" w14:textId="77777777" w:rsidR="00142F24" w:rsidRDefault="00142F24">
            <w:pPr>
              <w:pStyle w:val="BodyTextGrey"/>
              <w:spacing w:before="0"/>
              <w:jc w:val="center"/>
              <w:rPr>
                <w:rFonts w:eastAsia="Calibri"/>
                <w:b/>
                <w:bCs/>
                <w:iCs w:val="0"/>
                <w:color w:val="auto"/>
              </w:rPr>
            </w:pPr>
            <w:r>
              <w:rPr>
                <w:rFonts w:eastAsia="Calibri"/>
                <w:b/>
                <w:bCs/>
                <w:iCs w:val="0"/>
                <w:color w:val="auto"/>
              </w:rPr>
              <w:t>100</w:t>
            </w:r>
          </w:p>
        </w:tc>
      </w:tr>
    </w:tbl>
    <w:p w14:paraId="1E594C09" w14:textId="77777777" w:rsidR="00142F24" w:rsidRDefault="00142F24" w:rsidP="00142F24">
      <w:pPr>
        <w:jc w:val="both"/>
      </w:pPr>
    </w:p>
    <w:p w14:paraId="62C6A90B" w14:textId="77777777" w:rsidR="00142F24" w:rsidRDefault="00142F24" w:rsidP="007501E4">
      <w:pPr>
        <w:jc w:val="both"/>
      </w:pPr>
    </w:p>
    <w:p w14:paraId="7A4FF88A" w14:textId="77777777" w:rsidR="00142F24" w:rsidRDefault="00142F24" w:rsidP="007501E4">
      <w:pPr>
        <w:jc w:val="both"/>
      </w:pPr>
    </w:p>
    <w:p w14:paraId="68FEB566" w14:textId="77777777" w:rsidR="00FD006E" w:rsidRPr="00FD006E" w:rsidRDefault="007501E4" w:rsidP="007501E4">
      <w:pPr>
        <w:jc w:val="both"/>
        <w:rPr>
          <w:rFonts w:ascii="Arial" w:hAnsi="Arial" w:cs="Arial"/>
          <w:sz w:val="20"/>
        </w:rPr>
      </w:pPr>
      <w:r w:rsidRPr="00FD006E">
        <w:rPr>
          <w:rFonts w:ascii="Arial" w:hAnsi="Arial" w:cs="Arial"/>
          <w:sz w:val="24"/>
          <w:szCs w:val="24"/>
        </w:rPr>
        <w:t xml:space="preserve">Investment assets split between </w:t>
      </w:r>
      <w:r w:rsidR="00FD006E">
        <w:rPr>
          <w:rFonts w:ascii="Arial" w:hAnsi="Arial" w:cs="Arial"/>
          <w:sz w:val="24"/>
          <w:szCs w:val="24"/>
        </w:rPr>
        <w:t xml:space="preserve">City &amp; County of Swansea Pension </w:t>
      </w:r>
      <w:r w:rsidRPr="00FD006E">
        <w:rPr>
          <w:rFonts w:ascii="Arial" w:hAnsi="Arial" w:cs="Arial"/>
          <w:sz w:val="24"/>
          <w:szCs w:val="24"/>
        </w:rPr>
        <w:t xml:space="preserve">Fund and WPP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984"/>
        <w:gridCol w:w="1508"/>
      </w:tblGrid>
      <w:tr w:rsidR="007501E4" w:rsidRPr="00502E3B" w14:paraId="6BAE8148" w14:textId="77777777" w:rsidTr="00502E3B">
        <w:tc>
          <w:tcPr>
            <w:tcW w:w="5524" w:type="dxa"/>
            <w:shd w:val="clear" w:color="auto" w:fill="auto"/>
          </w:tcPr>
          <w:p w14:paraId="0E820038" w14:textId="77777777" w:rsidR="007501E4" w:rsidRPr="00502E3B" w:rsidRDefault="007501E4" w:rsidP="00502E3B">
            <w:pPr>
              <w:jc w:val="center"/>
              <w:rPr>
                <w:rFonts w:ascii="Arial" w:hAnsi="Arial" w:cs="Arial"/>
                <w:sz w:val="20"/>
              </w:rPr>
            </w:pPr>
          </w:p>
        </w:tc>
        <w:tc>
          <w:tcPr>
            <w:tcW w:w="1984" w:type="dxa"/>
            <w:shd w:val="clear" w:color="auto" w:fill="auto"/>
          </w:tcPr>
          <w:p w14:paraId="2C4F28FB" w14:textId="77777777" w:rsidR="007501E4" w:rsidRPr="00502E3B" w:rsidRDefault="007501E4" w:rsidP="00502E3B">
            <w:pPr>
              <w:jc w:val="center"/>
              <w:rPr>
                <w:rFonts w:ascii="Arial" w:hAnsi="Arial" w:cs="Arial"/>
                <w:b/>
                <w:bCs/>
                <w:sz w:val="20"/>
              </w:rPr>
            </w:pPr>
            <w:r w:rsidRPr="00502E3B">
              <w:rPr>
                <w:rFonts w:ascii="Arial" w:hAnsi="Arial" w:cs="Arial"/>
                <w:b/>
                <w:bCs/>
                <w:sz w:val="20"/>
              </w:rPr>
              <w:t>31 March 202</w:t>
            </w:r>
            <w:r w:rsidR="007C714F">
              <w:rPr>
                <w:rFonts w:ascii="Arial" w:hAnsi="Arial" w:cs="Arial"/>
                <w:b/>
                <w:bCs/>
                <w:sz w:val="20"/>
              </w:rPr>
              <w:t>2</w:t>
            </w:r>
          </w:p>
          <w:p w14:paraId="73E3E758" w14:textId="77777777" w:rsidR="007501E4" w:rsidRPr="00502E3B" w:rsidRDefault="007501E4" w:rsidP="00502E3B">
            <w:pPr>
              <w:jc w:val="center"/>
              <w:rPr>
                <w:rFonts w:ascii="Arial" w:hAnsi="Arial" w:cs="Arial"/>
                <w:b/>
                <w:bCs/>
                <w:sz w:val="20"/>
              </w:rPr>
            </w:pPr>
            <w:r w:rsidRPr="00502E3B">
              <w:rPr>
                <w:rFonts w:ascii="Arial" w:hAnsi="Arial" w:cs="Arial"/>
                <w:b/>
                <w:bCs/>
                <w:sz w:val="20"/>
              </w:rPr>
              <w:t>£000</w:t>
            </w:r>
          </w:p>
        </w:tc>
        <w:tc>
          <w:tcPr>
            <w:tcW w:w="1508" w:type="dxa"/>
            <w:shd w:val="clear" w:color="auto" w:fill="auto"/>
          </w:tcPr>
          <w:p w14:paraId="092F03B9" w14:textId="77777777" w:rsidR="007501E4" w:rsidRPr="00502E3B" w:rsidRDefault="007501E4" w:rsidP="00502E3B">
            <w:pPr>
              <w:jc w:val="center"/>
              <w:rPr>
                <w:rFonts w:ascii="Arial" w:hAnsi="Arial" w:cs="Arial"/>
                <w:b/>
                <w:bCs/>
                <w:sz w:val="20"/>
              </w:rPr>
            </w:pPr>
            <w:r w:rsidRPr="00502E3B">
              <w:rPr>
                <w:rFonts w:ascii="Arial" w:hAnsi="Arial" w:cs="Arial"/>
                <w:b/>
                <w:bCs/>
                <w:sz w:val="20"/>
              </w:rPr>
              <w:t>%</w:t>
            </w:r>
          </w:p>
        </w:tc>
      </w:tr>
      <w:tr w:rsidR="007501E4" w:rsidRPr="00502E3B" w14:paraId="7E9B218A" w14:textId="77777777" w:rsidTr="00502E3B">
        <w:tc>
          <w:tcPr>
            <w:tcW w:w="5524" w:type="dxa"/>
            <w:shd w:val="clear" w:color="auto" w:fill="auto"/>
          </w:tcPr>
          <w:p w14:paraId="20A2A663" w14:textId="77777777" w:rsidR="007501E4" w:rsidRPr="00502E3B" w:rsidRDefault="00FD006E" w:rsidP="00502E3B">
            <w:pPr>
              <w:spacing w:line="360" w:lineRule="auto"/>
              <w:jc w:val="both"/>
              <w:rPr>
                <w:rFonts w:ascii="Arial" w:hAnsi="Arial" w:cs="Arial"/>
                <w:sz w:val="20"/>
              </w:rPr>
            </w:pPr>
            <w:r w:rsidRPr="00502E3B">
              <w:rPr>
                <w:rFonts w:ascii="Arial" w:hAnsi="Arial" w:cs="Arial"/>
                <w:sz w:val="20"/>
              </w:rPr>
              <w:t xml:space="preserve">WPP </w:t>
            </w:r>
            <w:r w:rsidR="007501E4" w:rsidRPr="00502E3B">
              <w:rPr>
                <w:rFonts w:ascii="Arial" w:hAnsi="Arial" w:cs="Arial"/>
                <w:sz w:val="20"/>
              </w:rPr>
              <w:t>Global Opportunities Equity Fund</w:t>
            </w:r>
            <w:r w:rsidR="00714E37" w:rsidRPr="00502E3B">
              <w:rPr>
                <w:rFonts w:ascii="Arial" w:hAnsi="Arial" w:cs="Arial"/>
                <w:sz w:val="20"/>
              </w:rPr>
              <w:t xml:space="preserve"> </w:t>
            </w:r>
          </w:p>
        </w:tc>
        <w:tc>
          <w:tcPr>
            <w:tcW w:w="1984" w:type="dxa"/>
            <w:shd w:val="clear" w:color="auto" w:fill="auto"/>
          </w:tcPr>
          <w:p w14:paraId="1AD5E7ED" w14:textId="77777777" w:rsidR="007501E4" w:rsidRPr="00502E3B" w:rsidRDefault="007C714F" w:rsidP="00502E3B">
            <w:pPr>
              <w:spacing w:line="360" w:lineRule="auto"/>
              <w:jc w:val="right"/>
              <w:rPr>
                <w:rFonts w:ascii="Arial" w:hAnsi="Arial" w:cs="Arial"/>
                <w:sz w:val="20"/>
              </w:rPr>
            </w:pPr>
            <w:r>
              <w:rPr>
                <w:rFonts w:ascii="Arial" w:hAnsi="Arial" w:cs="Arial"/>
                <w:sz w:val="20"/>
              </w:rPr>
              <w:t>1,329,086</w:t>
            </w:r>
          </w:p>
        </w:tc>
        <w:tc>
          <w:tcPr>
            <w:tcW w:w="1508" w:type="dxa"/>
            <w:shd w:val="clear" w:color="auto" w:fill="auto"/>
          </w:tcPr>
          <w:p w14:paraId="1B2F3F46" w14:textId="77777777" w:rsidR="007501E4" w:rsidRPr="00502E3B" w:rsidRDefault="007C714F" w:rsidP="00A30E85">
            <w:pPr>
              <w:spacing w:line="360" w:lineRule="auto"/>
              <w:jc w:val="center"/>
              <w:rPr>
                <w:rFonts w:ascii="Arial" w:hAnsi="Arial" w:cs="Arial"/>
                <w:sz w:val="20"/>
              </w:rPr>
            </w:pPr>
            <w:r>
              <w:rPr>
                <w:rFonts w:ascii="Arial" w:hAnsi="Arial" w:cs="Arial"/>
                <w:sz w:val="20"/>
              </w:rPr>
              <w:t>4</w:t>
            </w:r>
            <w:r w:rsidR="00E07DF1">
              <w:rPr>
                <w:rFonts w:ascii="Arial" w:hAnsi="Arial" w:cs="Arial"/>
                <w:sz w:val="20"/>
              </w:rPr>
              <w:t>5</w:t>
            </w:r>
          </w:p>
        </w:tc>
      </w:tr>
      <w:tr w:rsidR="007501E4" w:rsidRPr="00502E3B" w14:paraId="494B0443" w14:textId="77777777" w:rsidTr="00502E3B">
        <w:tc>
          <w:tcPr>
            <w:tcW w:w="5524" w:type="dxa"/>
            <w:shd w:val="clear" w:color="auto" w:fill="auto"/>
          </w:tcPr>
          <w:p w14:paraId="2062A56B" w14:textId="77777777" w:rsidR="007501E4" w:rsidRPr="00502E3B" w:rsidRDefault="00FD006E" w:rsidP="00502E3B">
            <w:pPr>
              <w:spacing w:line="360" w:lineRule="auto"/>
              <w:jc w:val="both"/>
              <w:rPr>
                <w:rFonts w:ascii="Arial" w:hAnsi="Arial" w:cs="Arial"/>
                <w:sz w:val="20"/>
              </w:rPr>
            </w:pPr>
            <w:r w:rsidRPr="00502E3B">
              <w:rPr>
                <w:rFonts w:ascii="Arial" w:hAnsi="Arial" w:cs="Arial"/>
                <w:sz w:val="20"/>
              </w:rPr>
              <w:t>WPP Fixed Income Funds</w:t>
            </w:r>
          </w:p>
        </w:tc>
        <w:tc>
          <w:tcPr>
            <w:tcW w:w="1984" w:type="dxa"/>
            <w:shd w:val="clear" w:color="auto" w:fill="auto"/>
          </w:tcPr>
          <w:p w14:paraId="0370BE23" w14:textId="77777777" w:rsidR="007501E4" w:rsidRPr="00502E3B" w:rsidRDefault="007C714F" w:rsidP="00502E3B">
            <w:pPr>
              <w:spacing w:line="360" w:lineRule="auto"/>
              <w:jc w:val="right"/>
              <w:rPr>
                <w:rFonts w:ascii="Arial" w:hAnsi="Arial" w:cs="Arial"/>
                <w:sz w:val="20"/>
              </w:rPr>
            </w:pPr>
            <w:r>
              <w:rPr>
                <w:rFonts w:ascii="Arial" w:hAnsi="Arial" w:cs="Arial"/>
                <w:sz w:val="20"/>
              </w:rPr>
              <w:t>128,818</w:t>
            </w:r>
          </w:p>
        </w:tc>
        <w:tc>
          <w:tcPr>
            <w:tcW w:w="1508" w:type="dxa"/>
            <w:shd w:val="clear" w:color="auto" w:fill="auto"/>
          </w:tcPr>
          <w:p w14:paraId="173AE40A" w14:textId="77777777" w:rsidR="007501E4" w:rsidRPr="00502E3B" w:rsidRDefault="007C714F" w:rsidP="00502E3B">
            <w:pPr>
              <w:spacing w:line="360" w:lineRule="auto"/>
              <w:jc w:val="center"/>
              <w:rPr>
                <w:rFonts w:ascii="Arial" w:hAnsi="Arial" w:cs="Arial"/>
                <w:sz w:val="20"/>
              </w:rPr>
            </w:pPr>
            <w:r>
              <w:rPr>
                <w:rFonts w:ascii="Arial" w:hAnsi="Arial" w:cs="Arial"/>
                <w:sz w:val="20"/>
              </w:rPr>
              <w:t>4</w:t>
            </w:r>
          </w:p>
        </w:tc>
      </w:tr>
      <w:tr w:rsidR="007501E4" w:rsidRPr="00502E3B" w14:paraId="3C116889" w14:textId="77777777" w:rsidTr="00502E3B">
        <w:tc>
          <w:tcPr>
            <w:tcW w:w="5524" w:type="dxa"/>
            <w:shd w:val="clear" w:color="auto" w:fill="auto"/>
          </w:tcPr>
          <w:p w14:paraId="5DEF53C2" w14:textId="77777777" w:rsidR="007501E4" w:rsidRPr="00460CEB" w:rsidRDefault="007501E4" w:rsidP="00502E3B">
            <w:pPr>
              <w:spacing w:line="360" w:lineRule="auto"/>
              <w:jc w:val="both"/>
              <w:rPr>
                <w:rFonts w:ascii="Arial" w:hAnsi="Arial" w:cs="Arial"/>
                <w:sz w:val="20"/>
              </w:rPr>
            </w:pPr>
            <w:r w:rsidRPr="00460CEB">
              <w:rPr>
                <w:rFonts w:ascii="Arial" w:hAnsi="Arial" w:cs="Arial"/>
                <w:sz w:val="20"/>
              </w:rPr>
              <w:t>Passive Equities</w:t>
            </w:r>
          </w:p>
        </w:tc>
        <w:tc>
          <w:tcPr>
            <w:tcW w:w="1984" w:type="dxa"/>
            <w:shd w:val="clear" w:color="auto" w:fill="auto"/>
          </w:tcPr>
          <w:p w14:paraId="416D1603" w14:textId="77777777" w:rsidR="007501E4" w:rsidRPr="00502E3B" w:rsidRDefault="007C714F" w:rsidP="00502E3B">
            <w:pPr>
              <w:spacing w:line="360" w:lineRule="auto"/>
              <w:jc w:val="right"/>
              <w:rPr>
                <w:rFonts w:ascii="Arial" w:hAnsi="Arial" w:cs="Arial"/>
                <w:sz w:val="20"/>
              </w:rPr>
            </w:pPr>
            <w:r>
              <w:rPr>
                <w:rFonts w:ascii="Arial" w:hAnsi="Arial" w:cs="Arial"/>
                <w:sz w:val="20"/>
              </w:rPr>
              <w:t>866,812</w:t>
            </w:r>
          </w:p>
        </w:tc>
        <w:tc>
          <w:tcPr>
            <w:tcW w:w="1508" w:type="dxa"/>
            <w:shd w:val="clear" w:color="auto" w:fill="auto"/>
          </w:tcPr>
          <w:p w14:paraId="10F25772" w14:textId="77777777" w:rsidR="007501E4" w:rsidRPr="00502E3B" w:rsidRDefault="00E07DF1" w:rsidP="00A30E85">
            <w:pPr>
              <w:spacing w:line="360" w:lineRule="auto"/>
              <w:jc w:val="center"/>
              <w:rPr>
                <w:rFonts w:ascii="Arial" w:hAnsi="Arial" w:cs="Arial"/>
                <w:sz w:val="20"/>
              </w:rPr>
            </w:pPr>
            <w:r>
              <w:rPr>
                <w:rFonts w:ascii="Arial" w:hAnsi="Arial" w:cs="Arial"/>
                <w:sz w:val="20"/>
              </w:rPr>
              <w:t>30</w:t>
            </w:r>
          </w:p>
        </w:tc>
      </w:tr>
      <w:tr w:rsidR="00714E37" w:rsidRPr="00502E3B" w14:paraId="132BD7B6" w14:textId="77777777" w:rsidTr="00502E3B">
        <w:tc>
          <w:tcPr>
            <w:tcW w:w="5524" w:type="dxa"/>
            <w:shd w:val="clear" w:color="auto" w:fill="auto"/>
          </w:tcPr>
          <w:p w14:paraId="02E42B7C" w14:textId="77777777" w:rsidR="00714E37" w:rsidRPr="00460CEB" w:rsidRDefault="006B1161" w:rsidP="00502E3B">
            <w:pPr>
              <w:spacing w:line="360" w:lineRule="auto"/>
              <w:jc w:val="both"/>
              <w:rPr>
                <w:rFonts w:ascii="Arial" w:hAnsi="Arial" w:cs="Arial"/>
                <w:sz w:val="20"/>
              </w:rPr>
            </w:pPr>
            <w:r w:rsidRPr="00460CEB">
              <w:rPr>
                <w:rFonts w:ascii="Arial" w:hAnsi="Arial" w:cs="Arial"/>
                <w:sz w:val="20"/>
              </w:rPr>
              <w:t>Equity Protection Mandate</w:t>
            </w:r>
          </w:p>
        </w:tc>
        <w:tc>
          <w:tcPr>
            <w:tcW w:w="1984" w:type="dxa"/>
            <w:shd w:val="clear" w:color="auto" w:fill="auto"/>
          </w:tcPr>
          <w:p w14:paraId="0664F41D" w14:textId="77777777" w:rsidR="00714E37" w:rsidRPr="00502E3B" w:rsidRDefault="00E07DF1" w:rsidP="00502E3B">
            <w:pPr>
              <w:spacing w:line="360" w:lineRule="auto"/>
              <w:jc w:val="right"/>
              <w:rPr>
                <w:rFonts w:ascii="Arial" w:hAnsi="Arial" w:cs="Arial"/>
                <w:sz w:val="20"/>
              </w:rPr>
            </w:pPr>
            <w:r>
              <w:rPr>
                <w:rFonts w:ascii="Arial" w:hAnsi="Arial" w:cs="Arial"/>
                <w:sz w:val="20"/>
              </w:rPr>
              <w:t>35,481</w:t>
            </w:r>
          </w:p>
        </w:tc>
        <w:tc>
          <w:tcPr>
            <w:tcW w:w="1508" w:type="dxa"/>
            <w:shd w:val="clear" w:color="auto" w:fill="auto"/>
          </w:tcPr>
          <w:p w14:paraId="69F5BBA0" w14:textId="77777777" w:rsidR="00714E37" w:rsidRPr="00502E3B" w:rsidRDefault="00E07DF1" w:rsidP="00502E3B">
            <w:pPr>
              <w:spacing w:line="360" w:lineRule="auto"/>
              <w:jc w:val="center"/>
              <w:rPr>
                <w:rFonts w:ascii="Arial" w:hAnsi="Arial" w:cs="Arial"/>
                <w:sz w:val="20"/>
              </w:rPr>
            </w:pPr>
            <w:r>
              <w:rPr>
                <w:rFonts w:ascii="Arial" w:hAnsi="Arial" w:cs="Arial"/>
                <w:sz w:val="20"/>
              </w:rPr>
              <w:t>2</w:t>
            </w:r>
          </w:p>
        </w:tc>
      </w:tr>
      <w:tr w:rsidR="007501E4" w14:paraId="3ED82B91" w14:textId="77777777" w:rsidTr="00502E3B">
        <w:tc>
          <w:tcPr>
            <w:tcW w:w="5524" w:type="dxa"/>
            <w:shd w:val="clear" w:color="auto" w:fill="auto"/>
          </w:tcPr>
          <w:p w14:paraId="13FF2F92" w14:textId="77777777" w:rsidR="007501E4" w:rsidRPr="00502E3B" w:rsidRDefault="007501E4" w:rsidP="00502E3B">
            <w:pPr>
              <w:spacing w:line="360" w:lineRule="auto"/>
              <w:jc w:val="both"/>
              <w:rPr>
                <w:rFonts w:ascii="Arial" w:hAnsi="Arial" w:cs="Arial"/>
                <w:sz w:val="20"/>
              </w:rPr>
            </w:pPr>
            <w:r w:rsidRPr="00502E3B">
              <w:rPr>
                <w:rFonts w:ascii="Arial" w:hAnsi="Arial" w:cs="Arial"/>
                <w:sz w:val="20"/>
              </w:rPr>
              <w:t xml:space="preserve">Investments not yet pooled </w:t>
            </w:r>
          </w:p>
        </w:tc>
        <w:tc>
          <w:tcPr>
            <w:tcW w:w="1984" w:type="dxa"/>
            <w:shd w:val="clear" w:color="auto" w:fill="auto"/>
          </w:tcPr>
          <w:p w14:paraId="3FD0AE55" w14:textId="77777777" w:rsidR="007501E4" w:rsidRPr="00502E3B" w:rsidRDefault="00B4408B" w:rsidP="00A30E85">
            <w:pPr>
              <w:spacing w:line="360" w:lineRule="auto"/>
              <w:jc w:val="right"/>
              <w:rPr>
                <w:rFonts w:ascii="Arial" w:hAnsi="Arial" w:cs="Arial"/>
                <w:sz w:val="20"/>
              </w:rPr>
            </w:pPr>
            <w:r>
              <w:rPr>
                <w:rFonts w:ascii="Arial" w:hAnsi="Arial" w:cs="Arial"/>
                <w:sz w:val="20"/>
              </w:rPr>
              <w:t>561,470</w:t>
            </w:r>
          </w:p>
        </w:tc>
        <w:tc>
          <w:tcPr>
            <w:tcW w:w="1508" w:type="dxa"/>
            <w:shd w:val="clear" w:color="auto" w:fill="auto"/>
          </w:tcPr>
          <w:p w14:paraId="43BCD8DB" w14:textId="77777777" w:rsidR="007501E4" w:rsidRPr="00502E3B" w:rsidRDefault="007C714F" w:rsidP="00A30E85">
            <w:pPr>
              <w:spacing w:line="360" w:lineRule="auto"/>
              <w:jc w:val="center"/>
              <w:rPr>
                <w:rFonts w:ascii="Arial" w:hAnsi="Arial" w:cs="Arial"/>
                <w:sz w:val="20"/>
              </w:rPr>
            </w:pPr>
            <w:r>
              <w:rPr>
                <w:rFonts w:ascii="Arial" w:hAnsi="Arial" w:cs="Arial"/>
                <w:sz w:val="20"/>
              </w:rPr>
              <w:t>19</w:t>
            </w:r>
          </w:p>
        </w:tc>
      </w:tr>
      <w:tr w:rsidR="007501E4" w14:paraId="6742F231" w14:textId="77777777" w:rsidTr="00502E3B">
        <w:tc>
          <w:tcPr>
            <w:tcW w:w="5524" w:type="dxa"/>
            <w:shd w:val="clear" w:color="auto" w:fill="auto"/>
          </w:tcPr>
          <w:p w14:paraId="060C23A2" w14:textId="77777777" w:rsidR="007501E4" w:rsidRPr="00502E3B" w:rsidRDefault="007501E4" w:rsidP="00502E3B">
            <w:pPr>
              <w:spacing w:line="360" w:lineRule="auto"/>
              <w:jc w:val="both"/>
              <w:rPr>
                <w:rFonts w:ascii="Arial" w:hAnsi="Arial" w:cs="Arial"/>
                <w:b/>
                <w:sz w:val="20"/>
              </w:rPr>
            </w:pPr>
            <w:r w:rsidRPr="00502E3B">
              <w:rPr>
                <w:rFonts w:ascii="Arial" w:hAnsi="Arial" w:cs="Arial"/>
                <w:b/>
                <w:sz w:val="20"/>
              </w:rPr>
              <w:t>Total Investment Assets</w:t>
            </w:r>
          </w:p>
        </w:tc>
        <w:tc>
          <w:tcPr>
            <w:tcW w:w="1984" w:type="dxa"/>
            <w:shd w:val="clear" w:color="auto" w:fill="auto"/>
          </w:tcPr>
          <w:p w14:paraId="1ABFBC0B" w14:textId="77777777" w:rsidR="007501E4" w:rsidRPr="00502E3B" w:rsidRDefault="007F573C" w:rsidP="00A30E85">
            <w:pPr>
              <w:spacing w:line="360" w:lineRule="auto"/>
              <w:jc w:val="right"/>
              <w:rPr>
                <w:rFonts w:ascii="Arial" w:hAnsi="Arial" w:cs="Arial"/>
                <w:b/>
                <w:sz w:val="20"/>
              </w:rPr>
            </w:pPr>
            <w:r w:rsidRPr="00502E3B">
              <w:rPr>
                <w:rFonts w:ascii="Arial" w:hAnsi="Arial" w:cs="Arial"/>
                <w:b/>
                <w:sz w:val="20"/>
              </w:rPr>
              <w:t>2,</w:t>
            </w:r>
            <w:r w:rsidR="00E07DF1">
              <w:rPr>
                <w:rFonts w:ascii="Arial" w:hAnsi="Arial" w:cs="Arial"/>
                <w:b/>
                <w:sz w:val="20"/>
              </w:rPr>
              <w:t>92</w:t>
            </w:r>
            <w:r w:rsidR="00B4408B">
              <w:rPr>
                <w:rFonts w:ascii="Arial" w:hAnsi="Arial" w:cs="Arial"/>
                <w:b/>
                <w:sz w:val="20"/>
              </w:rPr>
              <w:t>1</w:t>
            </w:r>
            <w:r w:rsidR="00E07DF1">
              <w:rPr>
                <w:rFonts w:ascii="Arial" w:hAnsi="Arial" w:cs="Arial"/>
                <w:b/>
                <w:sz w:val="20"/>
              </w:rPr>
              <w:t>,</w:t>
            </w:r>
            <w:r w:rsidR="00B4408B">
              <w:rPr>
                <w:rFonts w:ascii="Arial" w:hAnsi="Arial" w:cs="Arial"/>
                <w:b/>
                <w:sz w:val="20"/>
              </w:rPr>
              <w:t>667</w:t>
            </w:r>
          </w:p>
        </w:tc>
        <w:tc>
          <w:tcPr>
            <w:tcW w:w="1508" w:type="dxa"/>
            <w:shd w:val="clear" w:color="auto" w:fill="auto"/>
          </w:tcPr>
          <w:p w14:paraId="489DC2B2" w14:textId="77777777" w:rsidR="007501E4" w:rsidRPr="00502E3B" w:rsidRDefault="007501E4" w:rsidP="00502E3B">
            <w:pPr>
              <w:spacing w:line="360" w:lineRule="auto"/>
              <w:jc w:val="center"/>
              <w:rPr>
                <w:rFonts w:ascii="Arial" w:hAnsi="Arial" w:cs="Arial"/>
                <w:b/>
                <w:sz w:val="20"/>
              </w:rPr>
            </w:pPr>
            <w:r w:rsidRPr="00502E3B">
              <w:rPr>
                <w:rFonts w:ascii="Arial" w:hAnsi="Arial" w:cs="Arial"/>
                <w:b/>
                <w:sz w:val="20"/>
              </w:rPr>
              <w:t>100</w:t>
            </w:r>
          </w:p>
        </w:tc>
      </w:tr>
    </w:tbl>
    <w:p w14:paraId="0E521F3D" w14:textId="77777777" w:rsidR="00714E37" w:rsidRDefault="00714E37" w:rsidP="00714E37">
      <w:pPr>
        <w:ind w:left="720"/>
        <w:jc w:val="both"/>
        <w:rPr>
          <w:rFonts w:ascii="Arial" w:hAnsi="Arial" w:cs="Arial"/>
          <w:sz w:val="16"/>
          <w:szCs w:val="16"/>
        </w:rPr>
      </w:pPr>
    </w:p>
    <w:p w14:paraId="7F852E0A" w14:textId="77777777" w:rsidR="00714E37" w:rsidRPr="00714E37" w:rsidRDefault="00714E37" w:rsidP="00714E37">
      <w:pPr>
        <w:ind w:left="720"/>
        <w:jc w:val="both"/>
        <w:rPr>
          <w:rFonts w:ascii="Arial" w:hAnsi="Arial" w:cs="Arial"/>
          <w:sz w:val="16"/>
          <w:szCs w:val="16"/>
        </w:rPr>
      </w:pPr>
    </w:p>
    <w:p w14:paraId="33442F64" w14:textId="77777777" w:rsidR="007501E4" w:rsidRPr="007F573C" w:rsidRDefault="007501E4" w:rsidP="00D730B9">
      <w:pPr>
        <w:ind w:left="142"/>
        <w:jc w:val="both"/>
        <w:rPr>
          <w:rFonts w:ascii="Arial" w:hAnsi="Arial" w:cs="Arial"/>
          <w:sz w:val="24"/>
          <w:szCs w:val="24"/>
        </w:rPr>
      </w:pPr>
      <w:r w:rsidRPr="007F573C">
        <w:rPr>
          <w:rFonts w:ascii="Arial" w:hAnsi="Arial" w:cs="Arial"/>
          <w:sz w:val="24"/>
          <w:szCs w:val="24"/>
        </w:rPr>
        <w:t xml:space="preserve">The above table is an extract taken </w:t>
      </w:r>
      <w:r w:rsidR="007F573C">
        <w:rPr>
          <w:rFonts w:ascii="Arial" w:hAnsi="Arial" w:cs="Arial"/>
          <w:sz w:val="24"/>
          <w:szCs w:val="24"/>
        </w:rPr>
        <w:t xml:space="preserve">the note </w:t>
      </w:r>
      <w:r w:rsidR="007F573C" w:rsidRPr="0032357B">
        <w:rPr>
          <w:rFonts w:ascii="Arial" w:hAnsi="Arial" w:cs="Arial"/>
          <w:sz w:val="24"/>
          <w:szCs w:val="24"/>
        </w:rPr>
        <w:t xml:space="preserve">on page </w:t>
      </w:r>
      <w:r w:rsidR="00D42EC9" w:rsidRPr="0032357B">
        <w:rPr>
          <w:rFonts w:ascii="Arial" w:hAnsi="Arial" w:cs="Arial"/>
          <w:sz w:val="24"/>
          <w:szCs w:val="24"/>
        </w:rPr>
        <w:t>12</w:t>
      </w:r>
      <w:r w:rsidR="0032357B" w:rsidRPr="0032357B">
        <w:rPr>
          <w:rFonts w:ascii="Arial" w:hAnsi="Arial" w:cs="Arial"/>
          <w:sz w:val="24"/>
          <w:szCs w:val="24"/>
        </w:rPr>
        <w:t>3</w:t>
      </w:r>
      <w:r w:rsidRPr="0032357B">
        <w:rPr>
          <w:rFonts w:ascii="Arial" w:hAnsi="Arial" w:cs="Arial"/>
          <w:sz w:val="24"/>
          <w:szCs w:val="24"/>
        </w:rPr>
        <w:t xml:space="preserve"> </w:t>
      </w:r>
      <w:r w:rsidR="007F573C" w:rsidRPr="0032357B">
        <w:rPr>
          <w:rFonts w:ascii="Arial" w:hAnsi="Arial" w:cs="Arial"/>
          <w:sz w:val="24"/>
          <w:szCs w:val="24"/>
        </w:rPr>
        <w:t>of</w:t>
      </w:r>
      <w:r w:rsidRPr="0032357B">
        <w:rPr>
          <w:rFonts w:ascii="Arial" w:hAnsi="Arial" w:cs="Arial"/>
          <w:sz w:val="24"/>
          <w:szCs w:val="24"/>
        </w:rPr>
        <w:t xml:space="preserve"> the</w:t>
      </w:r>
      <w:r w:rsidRPr="007F573C">
        <w:rPr>
          <w:rFonts w:ascii="Arial" w:hAnsi="Arial" w:cs="Arial"/>
          <w:sz w:val="24"/>
          <w:szCs w:val="24"/>
        </w:rPr>
        <w:t xml:space="preserve"> accounts and summarises </w:t>
      </w:r>
      <w:r w:rsidR="007F573C">
        <w:rPr>
          <w:rFonts w:ascii="Arial" w:hAnsi="Arial" w:cs="Arial"/>
          <w:sz w:val="24"/>
          <w:szCs w:val="24"/>
        </w:rPr>
        <w:t>City &amp; County of Swansea Pension</w:t>
      </w:r>
      <w:r w:rsidRPr="007F573C">
        <w:rPr>
          <w:rFonts w:ascii="Arial" w:hAnsi="Arial" w:cs="Arial"/>
          <w:sz w:val="24"/>
          <w:szCs w:val="24"/>
        </w:rPr>
        <w:t xml:space="preserve"> Fund’s investment in the WPP, together with the assets that remain under the direct oversight of the Fund.</w:t>
      </w:r>
      <w:r w:rsidR="00E07DF1">
        <w:rPr>
          <w:rFonts w:ascii="Arial" w:hAnsi="Arial" w:cs="Arial"/>
          <w:sz w:val="24"/>
          <w:szCs w:val="24"/>
        </w:rPr>
        <w:t xml:space="preserve"> T</w:t>
      </w:r>
      <w:r w:rsidRPr="007F573C">
        <w:rPr>
          <w:rFonts w:ascii="Arial" w:hAnsi="Arial" w:cs="Arial"/>
          <w:sz w:val="24"/>
          <w:szCs w:val="24"/>
        </w:rPr>
        <w:t xml:space="preserve">he </w:t>
      </w:r>
      <w:r w:rsidRPr="007F573C">
        <w:rPr>
          <w:rFonts w:ascii="Arial" w:hAnsi="Arial" w:cs="Arial"/>
          <w:sz w:val="24"/>
          <w:szCs w:val="24"/>
        </w:rPr>
        <w:lastRenderedPageBreak/>
        <w:t>table above shows the assets currently managed by the pool as at 31</w:t>
      </w:r>
      <w:r w:rsidR="009F05E2">
        <w:rPr>
          <w:rFonts w:ascii="Arial" w:hAnsi="Arial" w:cs="Arial"/>
          <w:sz w:val="24"/>
          <w:szCs w:val="24"/>
        </w:rPr>
        <w:t>st</w:t>
      </w:r>
      <w:r w:rsidRPr="007F573C">
        <w:rPr>
          <w:rFonts w:ascii="Arial" w:hAnsi="Arial" w:cs="Arial"/>
          <w:sz w:val="24"/>
          <w:szCs w:val="24"/>
        </w:rPr>
        <w:t xml:space="preserve"> March 202</w:t>
      </w:r>
      <w:r w:rsidR="00E07DF1">
        <w:rPr>
          <w:rFonts w:ascii="Arial" w:hAnsi="Arial" w:cs="Arial"/>
          <w:sz w:val="24"/>
          <w:szCs w:val="24"/>
        </w:rPr>
        <w:t>2</w:t>
      </w:r>
      <w:r w:rsidRPr="007F573C">
        <w:rPr>
          <w:rFonts w:ascii="Arial" w:hAnsi="Arial" w:cs="Arial"/>
          <w:sz w:val="24"/>
          <w:szCs w:val="24"/>
        </w:rPr>
        <w:t>.</w:t>
      </w:r>
    </w:p>
    <w:p w14:paraId="59DAEF9C" w14:textId="77777777" w:rsidR="007F573C" w:rsidRDefault="007F573C" w:rsidP="007501E4">
      <w:pPr>
        <w:pStyle w:val="BodyTextGrey"/>
        <w:rPr>
          <w:rFonts w:ascii="Calibri" w:eastAsia="Calibri" w:hAnsi="Calibri" w:cs="Times New Roman"/>
          <w:b/>
          <w:bCs/>
          <w:iCs w:val="0"/>
          <w:color w:val="auto"/>
          <w:sz w:val="22"/>
          <w:szCs w:val="22"/>
        </w:rPr>
      </w:pPr>
    </w:p>
    <w:p w14:paraId="3F271D2C" w14:textId="77777777" w:rsidR="007501E4" w:rsidRPr="007F573C" w:rsidRDefault="007501E4" w:rsidP="007501E4">
      <w:pPr>
        <w:pStyle w:val="BodyTextGrey"/>
        <w:rPr>
          <w:rFonts w:eastAsia="Calibri"/>
          <w:b/>
          <w:bCs/>
          <w:iCs w:val="0"/>
          <w:color w:val="auto"/>
          <w:sz w:val="24"/>
          <w:szCs w:val="24"/>
        </w:rPr>
      </w:pPr>
      <w:r w:rsidRPr="007F573C">
        <w:rPr>
          <w:rFonts w:eastAsia="Calibri"/>
          <w:b/>
          <w:bCs/>
          <w:iCs w:val="0"/>
          <w:color w:val="auto"/>
          <w:sz w:val="24"/>
          <w:szCs w:val="24"/>
        </w:rPr>
        <w:t>Pooling costs</w:t>
      </w:r>
    </w:p>
    <w:p w14:paraId="5A96F13B" w14:textId="77777777" w:rsidR="007501E4" w:rsidRPr="007F573C" w:rsidRDefault="007501E4" w:rsidP="007501E4">
      <w:pPr>
        <w:jc w:val="both"/>
        <w:rPr>
          <w:rFonts w:ascii="Arial" w:hAnsi="Arial" w:cs="Arial"/>
          <w:sz w:val="24"/>
          <w:szCs w:val="24"/>
        </w:rPr>
      </w:pPr>
      <w:r w:rsidRPr="007F573C">
        <w:rPr>
          <w:rFonts w:ascii="Arial" w:hAnsi="Arial" w:cs="Arial"/>
          <w:sz w:val="24"/>
          <w:szCs w:val="24"/>
        </w:rPr>
        <w:t xml:space="preserve">Carmarthenshire County Council, as the Host Authority for the Wales Pension Partnership is responsible for providing administrative and secretarial support and liaising day to day with the Operator on behalf of all of the LGPS funds in Wales. The WPP budget is included in the WPP Business Plan and approved annually by all eight Constituent Authorities. </w:t>
      </w:r>
    </w:p>
    <w:p w14:paraId="6BB152E0" w14:textId="77777777" w:rsidR="007501E4" w:rsidRDefault="007501E4" w:rsidP="007501E4">
      <w:pPr>
        <w:jc w:val="both"/>
      </w:pPr>
    </w:p>
    <w:p w14:paraId="0CC5518A" w14:textId="77777777" w:rsidR="007501E4" w:rsidRPr="007F573C" w:rsidRDefault="007501E4" w:rsidP="007501E4">
      <w:pPr>
        <w:jc w:val="both"/>
        <w:rPr>
          <w:rFonts w:ascii="Arial" w:hAnsi="Arial" w:cs="Arial"/>
          <w:sz w:val="24"/>
          <w:szCs w:val="24"/>
        </w:rPr>
      </w:pPr>
      <w:r w:rsidRPr="007F573C">
        <w:rPr>
          <w:rFonts w:ascii="Arial" w:hAnsi="Arial" w:cs="Arial"/>
          <w:sz w:val="24"/>
          <w:szCs w:val="24"/>
        </w:rPr>
        <w:t>The Host Authority and External Advisor costs, the running costs are funded equally (unless specific projects have been agreed for individual Funds) by all eight of the Constituent Authorities and recharged on an annual basis. The amount recharged to the</w:t>
      </w:r>
      <w:r w:rsidR="007F573C">
        <w:rPr>
          <w:rFonts w:ascii="Arial" w:hAnsi="Arial" w:cs="Arial"/>
          <w:sz w:val="24"/>
          <w:szCs w:val="24"/>
        </w:rPr>
        <w:t xml:space="preserve"> City &amp; County of Swansea Pension Fund</w:t>
      </w:r>
      <w:r w:rsidRPr="007F573C">
        <w:rPr>
          <w:rFonts w:ascii="Arial" w:hAnsi="Arial" w:cs="Arial"/>
          <w:sz w:val="24"/>
          <w:szCs w:val="24"/>
        </w:rPr>
        <w:t xml:space="preserve"> for the financial year ending 31 March 202</w:t>
      </w:r>
      <w:r w:rsidR="00FD643B">
        <w:rPr>
          <w:rFonts w:ascii="Arial" w:hAnsi="Arial" w:cs="Arial"/>
          <w:sz w:val="24"/>
          <w:szCs w:val="24"/>
        </w:rPr>
        <w:t>2</w:t>
      </w:r>
      <w:r w:rsidRPr="007F573C">
        <w:rPr>
          <w:rFonts w:ascii="Arial" w:hAnsi="Arial" w:cs="Arial"/>
          <w:sz w:val="24"/>
          <w:szCs w:val="24"/>
        </w:rPr>
        <w:t xml:space="preserve"> was £</w:t>
      </w:r>
      <w:r w:rsidR="00E07DF1">
        <w:rPr>
          <w:rFonts w:ascii="Arial" w:hAnsi="Arial" w:cs="Arial"/>
          <w:sz w:val="24"/>
          <w:szCs w:val="24"/>
        </w:rPr>
        <w:t>135</w:t>
      </w:r>
      <w:r w:rsidRPr="007F573C">
        <w:rPr>
          <w:rFonts w:ascii="Arial" w:hAnsi="Arial" w:cs="Arial"/>
          <w:sz w:val="24"/>
          <w:szCs w:val="24"/>
        </w:rPr>
        <w:t>k, see table below.</w:t>
      </w:r>
    </w:p>
    <w:p w14:paraId="08D5DFD9" w14:textId="77777777" w:rsidR="007501E4" w:rsidRDefault="007501E4" w:rsidP="007501E4">
      <w:pPr>
        <w:spacing w:line="140" w:lineRule="atLeast"/>
        <w:jc w:val="both"/>
      </w:pPr>
    </w:p>
    <w:p w14:paraId="0FF92A9A" w14:textId="77777777" w:rsidR="00B26B35" w:rsidRPr="006918A0" w:rsidRDefault="00B26B35" w:rsidP="00B26B35">
      <w:pPr>
        <w:pStyle w:val="Header"/>
        <w:tabs>
          <w:tab w:val="clear" w:pos="4153"/>
          <w:tab w:val="clear" w:pos="8306"/>
          <w:tab w:val="right" w:pos="2017"/>
          <w:tab w:val="right" w:pos="5326"/>
          <w:tab w:val="right" w:pos="6557"/>
        </w:tabs>
        <w:jc w:val="both"/>
        <w:rPr>
          <w:rFonts w:ascii="Arial" w:hAnsi="Arial" w:cs="Arial"/>
          <w:color w:val="000000"/>
          <w:sz w:val="24"/>
          <w:szCs w:val="24"/>
        </w:rPr>
      </w:pPr>
      <w:r w:rsidRPr="006918A0">
        <w:rPr>
          <w:rFonts w:ascii="Arial" w:hAnsi="Arial" w:cs="Arial"/>
          <w:color w:val="000000"/>
          <w:sz w:val="24"/>
          <w:szCs w:val="24"/>
        </w:rPr>
        <w:t>Included in the management expenses is the cost of our involvement in the Wales Pension Partnership (WPP) collective Investment Pooling arrangements.</w:t>
      </w:r>
    </w:p>
    <w:p w14:paraId="64E41435" w14:textId="77777777" w:rsidR="00B26B35" w:rsidRPr="006918A0" w:rsidRDefault="00B26B35" w:rsidP="00B26B35">
      <w:pPr>
        <w:pStyle w:val="Header"/>
        <w:tabs>
          <w:tab w:val="clear" w:pos="4153"/>
          <w:tab w:val="clear" w:pos="8306"/>
          <w:tab w:val="right" w:pos="2017"/>
          <w:tab w:val="right" w:pos="5326"/>
          <w:tab w:val="right" w:pos="6557"/>
        </w:tabs>
        <w:jc w:val="both"/>
        <w:rPr>
          <w:rFonts w:ascii="Arial" w:hAnsi="Arial" w:cs="Arial"/>
          <w:color w:val="000000"/>
          <w:sz w:val="24"/>
          <w:szCs w:val="24"/>
        </w:rPr>
      </w:pPr>
    </w:p>
    <w:p w14:paraId="1CE83349" w14:textId="77777777" w:rsidR="00B26B35" w:rsidRDefault="00D30BC6" w:rsidP="00B26B35">
      <w:pPr>
        <w:pStyle w:val="Header"/>
        <w:tabs>
          <w:tab w:val="clear" w:pos="4153"/>
          <w:tab w:val="clear" w:pos="8306"/>
          <w:tab w:val="right" w:pos="2017"/>
          <w:tab w:val="right" w:pos="5326"/>
          <w:tab w:val="right" w:pos="6557"/>
        </w:tabs>
        <w:rPr>
          <w:rFonts w:ascii="Arial" w:hAnsi="Arial" w:cs="Arial"/>
          <w:sz w:val="24"/>
          <w:szCs w:val="24"/>
        </w:rPr>
      </w:pPr>
      <w:r w:rsidRPr="00BF66AA">
        <w:rPr>
          <w:rFonts w:ascii="Arial" w:hAnsi="Arial" w:cs="Arial"/>
          <w:sz w:val="24"/>
          <w:szCs w:val="24"/>
        </w:rPr>
        <w:t xml:space="preserve">The table </w:t>
      </w:r>
      <w:r>
        <w:rPr>
          <w:rFonts w:ascii="Arial" w:hAnsi="Arial" w:cs="Arial"/>
          <w:sz w:val="24"/>
          <w:szCs w:val="24"/>
        </w:rPr>
        <w:t xml:space="preserve">below </w:t>
      </w:r>
      <w:r w:rsidRPr="00BF66AA">
        <w:rPr>
          <w:rFonts w:ascii="Arial" w:hAnsi="Arial" w:cs="Arial"/>
          <w:sz w:val="24"/>
          <w:szCs w:val="24"/>
        </w:rPr>
        <w:t>reflects the costs incurred in financial year</w:t>
      </w:r>
      <w:r w:rsidR="00683264">
        <w:rPr>
          <w:rFonts w:ascii="Arial" w:hAnsi="Arial" w:cs="Arial"/>
          <w:sz w:val="24"/>
          <w:szCs w:val="24"/>
        </w:rPr>
        <w:t>s</w:t>
      </w:r>
      <w:r w:rsidRPr="00BF66AA">
        <w:rPr>
          <w:rFonts w:ascii="Arial" w:hAnsi="Arial" w:cs="Arial"/>
          <w:sz w:val="24"/>
          <w:szCs w:val="24"/>
        </w:rPr>
        <w:t xml:space="preserve"> 20</w:t>
      </w:r>
      <w:r w:rsidR="00E07DF1">
        <w:rPr>
          <w:rFonts w:ascii="Arial" w:hAnsi="Arial" w:cs="Arial"/>
          <w:sz w:val="24"/>
          <w:szCs w:val="24"/>
        </w:rPr>
        <w:t>20/</w:t>
      </w:r>
      <w:r w:rsidRPr="00BF66AA">
        <w:rPr>
          <w:rFonts w:ascii="Arial" w:hAnsi="Arial" w:cs="Arial"/>
          <w:sz w:val="24"/>
          <w:szCs w:val="24"/>
        </w:rPr>
        <w:t>2</w:t>
      </w:r>
      <w:r w:rsidR="00E07DF1">
        <w:rPr>
          <w:rFonts w:ascii="Arial" w:hAnsi="Arial" w:cs="Arial"/>
          <w:sz w:val="24"/>
          <w:szCs w:val="24"/>
        </w:rPr>
        <w:t>1</w:t>
      </w:r>
      <w:r w:rsidRPr="00BF66AA">
        <w:rPr>
          <w:rFonts w:ascii="Arial" w:hAnsi="Arial" w:cs="Arial"/>
          <w:sz w:val="24"/>
          <w:szCs w:val="24"/>
        </w:rPr>
        <w:t xml:space="preserve"> and 202</w:t>
      </w:r>
      <w:r w:rsidR="00E07DF1">
        <w:rPr>
          <w:rFonts w:ascii="Arial" w:hAnsi="Arial" w:cs="Arial"/>
          <w:sz w:val="24"/>
          <w:szCs w:val="24"/>
        </w:rPr>
        <w:t>1/22</w:t>
      </w:r>
    </w:p>
    <w:p w14:paraId="13043EEE" w14:textId="77777777" w:rsidR="00D30BC6" w:rsidRDefault="00D30BC6" w:rsidP="00B26B35">
      <w:pPr>
        <w:pStyle w:val="Header"/>
        <w:tabs>
          <w:tab w:val="clear" w:pos="4153"/>
          <w:tab w:val="clear" w:pos="8306"/>
          <w:tab w:val="right" w:pos="2017"/>
          <w:tab w:val="right" w:pos="5326"/>
          <w:tab w:val="right" w:pos="6557"/>
        </w:tabs>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8"/>
        <w:gridCol w:w="1275"/>
        <w:gridCol w:w="1302"/>
      </w:tblGrid>
      <w:tr w:rsidR="00B26B35" w:rsidRPr="00DE2AE0" w14:paraId="7E87CA2E" w14:textId="77777777" w:rsidTr="00502E3B">
        <w:tc>
          <w:tcPr>
            <w:tcW w:w="6118" w:type="dxa"/>
            <w:shd w:val="clear" w:color="auto" w:fill="auto"/>
          </w:tcPr>
          <w:p w14:paraId="24EEE7E9" w14:textId="77777777" w:rsidR="00B26B35" w:rsidRPr="00DE2AE0" w:rsidRDefault="00B26B35" w:rsidP="00502E3B">
            <w:pPr>
              <w:pStyle w:val="Header"/>
              <w:tabs>
                <w:tab w:val="clear" w:pos="4153"/>
                <w:tab w:val="clear" w:pos="8306"/>
                <w:tab w:val="right" w:pos="2017"/>
                <w:tab w:val="right" w:pos="5326"/>
                <w:tab w:val="right" w:pos="6557"/>
              </w:tabs>
              <w:rPr>
                <w:rFonts w:ascii="Arial" w:hAnsi="Arial" w:cs="Arial"/>
                <w:color w:val="000000"/>
                <w:sz w:val="24"/>
                <w:szCs w:val="24"/>
              </w:rPr>
            </w:pPr>
          </w:p>
        </w:tc>
        <w:tc>
          <w:tcPr>
            <w:tcW w:w="1275" w:type="dxa"/>
            <w:shd w:val="clear" w:color="auto" w:fill="auto"/>
          </w:tcPr>
          <w:p w14:paraId="7C439900" w14:textId="77777777" w:rsidR="00B26B35" w:rsidRPr="00DE2AE0" w:rsidRDefault="00D57009" w:rsidP="00502E3B">
            <w:pPr>
              <w:pStyle w:val="Header"/>
              <w:tabs>
                <w:tab w:val="clear" w:pos="4153"/>
                <w:tab w:val="clear" w:pos="8306"/>
                <w:tab w:val="right" w:pos="2017"/>
                <w:tab w:val="right" w:pos="5326"/>
                <w:tab w:val="right" w:pos="6557"/>
              </w:tabs>
              <w:jc w:val="center"/>
              <w:rPr>
                <w:rFonts w:ascii="Arial" w:hAnsi="Arial" w:cs="Arial"/>
                <w:b/>
                <w:color w:val="000000"/>
                <w:sz w:val="24"/>
                <w:szCs w:val="24"/>
              </w:rPr>
            </w:pPr>
            <w:r>
              <w:rPr>
                <w:rFonts w:ascii="Arial" w:hAnsi="Arial" w:cs="Arial"/>
                <w:b/>
                <w:color w:val="000000"/>
                <w:sz w:val="24"/>
                <w:szCs w:val="24"/>
              </w:rPr>
              <w:t>2020/21</w:t>
            </w:r>
          </w:p>
        </w:tc>
        <w:tc>
          <w:tcPr>
            <w:tcW w:w="1302" w:type="dxa"/>
            <w:shd w:val="clear" w:color="auto" w:fill="auto"/>
          </w:tcPr>
          <w:p w14:paraId="4851A084" w14:textId="77777777" w:rsidR="00B26B35" w:rsidRPr="00DE2AE0" w:rsidRDefault="00D57009" w:rsidP="00502E3B">
            <w:pPr>
              <w:pStyle w:val="Header"/>
              <w:tabs>
                <w:tab w:val="clear" w:pos="4153"/>
                <w:tab w:val="clear" w:pos="8306"/>
                <w:tab w:val="right" w:pos="2017"/>
                <w:tab w:val="right" w:pos="5326"/>
                <w:tab w:val="right" w:pos="6557"/>
              </w:tabs>
              <w:jc w:val="center"/>
              <w:rPr>
                <w:rFonts w:ascii="Arial" w:hAnsi="Arial" w:cs="Arial"/>
                <w:b/>
                <w:color w:val="000000"/>
                <w:sz w:val="24"/>
                <w:szCs w:val="24"/>
              </w:rPr>
            </w:pPr>
            <w:r>
              <w:rPr>
                <w:rFonts w:ascii="Arial" w:hAnsi="Arial" w:cs="Arial"/>
                <w:b/>
                <w:color w:val="000000"/>
                <w:sz w:val="24"/>
                <w:szCs w:val="24"/>
              </w:rPr>
              <w:t>2021/22</w:t>
            </w:r>
          </w:p>
        </w:tc>
      </w:tr>
      <w:tr w:rsidR="00B26B35" w:rsidRPr="00DE2AE0" w14:paraId="75ED3F89" w14:textId="77777777" w:rsidTr="00502E3B">
        <w:tc>
          <w:tcPr>
            <w:tcW w:w="6118" w:type="dxa"/>
            <w:shd w:val="clear" w:color="auto" w:fill="auto"/>
          </w:tcPr>
          <w:p w14:paraId="3A644BEF" w14:textId="77777777" w:rsidR="00B26B35" w:rsidRPr="00DE2AE0" w:rsidRDefault="00B26B35" w:rsidP="00502E3B">
            <w:pPr>
              <w:pStyle w:val="Header"/>
              <w:tabs>
                <w:tab w:val="clear" w:pos="4153"/>
                <w:tab w:val="clear" w:pos="8306"/>
                <w:tab w:val="right" w:pos="2017"/>
                <w:tab w:val="right" w:pos="5326"/>
                <w:tab w:val="right" w:pos="6557"/>
              </w:tabs>
              <w:rPr>
                <w:rFonts w:ascii="Arial" w:hAnsi="Arial" w:cs="Arial"/>
                <w:color w:val="000000"/>
                <w:sz w:val="24"/>
                <w:szCs w:val="24"/>
              </w:rPr>
            </w:pPr>
          </w:p>
        </w:tc>
        <w:tc>
          <w:tcPr>
            <w:tcW w:w="1275" w:type="dxa"/>
            <w:shd w:val="clear" w:color="auto" w:fill="auto"/>
          </w:tcPr>
          <w:p w14:paraId="34C1E82A" w14:textId="77777777" w:rsidR="00B26B35" w:rsidRPr="00DE2AE0" w:rsidRDefault="00B26B35" w:rsidP="00502E3B">
            <w:pPr>
              <w:pStyle w:val="Header"/>
              <w:tabs>
                <w:tab w:val="clear" w:pos="4153"/>
                <w:tab w:val="clear" w:pos="8306"/>
                <w:tab w:val="right" w:pos="2017"/>
                <w:tab w:val="right" w:pos="5326"/>
                <w:tab w:val="right" w:pos="6557"/>
              </w:tabs>
              <w:jc w:val="center"/>
              <w:rPr>
                <w:rFonts w:ascii="Arial" w:hAnsi="Arial" w:cs="Arial"/>
                <w:b/>
                <w:color w:val="000000"/>
                <w:sz w:val="24"/>
                <w:szCs w:val="24"/>
              </w:rPr>
            </w:pPr>
            <w:r w:rsidRPr="00DE2AE0">
              <w:rPr>
                <w:rFonts w:ascii="Arial" w:hAnsi="Arial" w:cs="Arial"/>
                <w:b/>
                <w:color w:val="000000"/>
                <w:sz w:val="24"/>
                <w:szCs w:val="24"/>
              </w:rPr>
              <w:t>£’000</w:t>
            </w:r>
          </w:p>
        </w:tc>
        <w:tc>
          <w:tcPr>
            <w:tcW w:w="1302" w:type="dxa"/>
            <w:shd w:val="clear" w:color="auto" w:fill="auto"/>
          </w:tcPr>
          <w:p w14:paraId="0DF47305" w14:textId="77777777" w:rsidR="00B26B35" w:rsidRPr="00DE2AE0" w:rsidRDefault="00B26B35" w:rsidP="00502E3B">
            <w:pPr>
              <w:pStyle w:val="Header"/>
              <w:tabs>
                <w:tab w:val="clear" w:pos="4153"/>
                <w:tab w:val="clear" w:pos="8306"/>
                <w:tab w:val="right" w:pos="2017"/>
                <w:tab w:val="right" w:pos="5326"/>
                <w:tab w:val="right" w:pos="6557"/>
              </w:tabs>
              <w:jc w:val="center"/>
              <w:rPr>
                <w:rFonts w:ascii="Arial" w:hAnsi="Arial" w:cs="Arial"/>
                <w:b/>
                <w:color w:val="000000"/>
                <w:sz w:val="24"/>
                <w:szCs w:val="24"/>
              </w:rPr>
            </w:pPr>
            <w:r w:rsidRPr="00DE2AE0">
              <w:rPr>
                <w:rFonts w:ascii="Arial" w:hAnsi="Arial" w:cs="Arial"/>
                <w:b/>
                <w:color w:val="000000"/>
                <w:sz w:val="24"/>
                <w:szCs w:val="24"/>
              </w:rPr>
              <w:t>£’000</w:t>
            </w:r>
          </w:p>
        </w:tc>
      </w:tr>
      <w:tr w:rsidR="00B26B35" w:rsidRPr="00DE2AE0" w14:paraId="204FF6C3" w14:textId="77777777" w:rsidTr="00502E3B">
        <w:tc>
          <w:tcPr>
            <w:tcW w:w="6118" w:type="dxa"/>
            <w:shd w:val="clear" w:color="auto" w:fill="auto"/>
          </w:tcPr>
          <w:p w14:paraId="29AB57DE" w14:textId="77777777" w:rsidR="00B26B35" w:rsidRPr="00DE2AE0" w:rsidRDefault="00B26B35" w:rsidP="00502E3B">
            <w:pPr>
              <w:pStyle w:val="Header"/>
              <w:tabs>
                <w:tab w:val="clear" w:pos="4153"/>
                <w:tab w:val="clear" w:pos="8306"/>
                <w:tab w:val="right" w:pos="2017"/>
                <w:tab w:val="right" w:pos="5326"/>
                <w:tab w:val="right" w:pos="6557"/>
              </w:tabs>
              <w:rPr>
                <w:rFonts w:ascii="Arial" w:hAnsi="Arial" w:cs="Arial"/>
                <w:b/>
                <w:color w:val="000000"/>
                <w:sz w:val="24"/>
                <w:szCs w:val="24"/>
              </w:rPr>
            </w:pPr>
            <w:r w:rsidRPr="00DE2AE0">
              <w:rPr>
                <w:rFonts w:ascii="Arial" w:hAnsi="Arial" w:cs="Arial"/>
                <w:b/>
                <w:color w:val="000000"/>
                <w:sz w:val="24"/>
                <w:szCs w:val="24"/>
              </w:rPr>
              <w:t>WPP Oversight &amp; Governance Costs</w:t>
            </w:r>
          </w:p>
        </w:tc>
        <w:tc>
          <w:tcPr>
            <w:tcW w:w="1275" w:type="dxa"/>
            <w:shd w:val="clear" w:color="auto" w:fill="auto"/>
          </w:tcPr>
          <w:p w14:paraId="2D56A51C" w14:textId="77777777" w:rsidR="00B26B35" w:rsidRPr="00DE2AE0" w:rsidRDefault="00B26B35" w:rsidP="00502E3B">
            <w:pPr>
              <w:pStyle w:val="Header"/>
              <w:tabs>
                <w:tab w:val="clear" w:pos="4153"/>
                <w:tab w:val="clear" w:pos="8306"/>
                <w:tab w:val="right" w:pos="2017"/>
                <w:tab w:val="right" w:pos="5326"/>
                <w:tab w:val="right" w:pos="6557"/>
              </w:tabs>
              <w:rPr>
                <w:rFonts w:ascii="Arial" w:hAnsi="Arial" w:cs="Arial"/>
                <w:color w:val="000000"/>
                <w:sz w:val="24"/>
                <w:szCs w:val="24"/>
              </w:rPr>
            </w:pPr>
          </w:p>
        </w:tc>
        <w:tc>
          <w:tcPr>
            <w:tcW w:w="1302" w:type="dxa"/>
            <w:shd w:val="clear" w:color="auto" w:fill="auto"/>
          </w:tcPr>
          <w:p w14:paraId="7008E542" w14:textId="77777777" w:rsidR="00B26B35" w:rsidRPr="00DE2AE0" w:rsidRDefault="00B26B35" w:rsidP="00502E3B">
            <w:pPr>
              <w:pStyle w:val="Header"/>
              <w:tabs>
                <w:tab w:val="clear" w:pos="4153"/>
                <w:tab w:val="clear" w:pos="8306"/>
                <w:tab w:val="right" w:pos="2017"/>
                <w:tab w:val="right" w:pos="5326"/>
                <w:tab w:val="right" w:pos="6557"/>
              </w:tabs>
              <w:rPr>
                <w:rFonts w:ascii="Arial" w:hAnsi="Arial" w:cs="Arial"/>
                <w:color w:val="000000"/>
                <w:sz w:val="24"/>
                <w:szCs w:val="24"/>
              </w:rPr>
            </w:pPr>
          </w:p>
        </w:tc>
      </w:tr>
      <w:tr w:rsidR="00D57009" w:rsidRPr="00DE2AE0" w14:paraId="4731DBA5" w14:textId="77777777" w:rsidTr="00502E3B">
        <w:tc>
          <w:tcPr>
            <w:tcW w:w="6118" w:type="dxa"/>
            <w:shd w:val="clear" w:color="auto" w:fill="auto"/>
          </w:tcPr>
          <w:p w14:paraId="36BA4BF7" w14:textId="77777777" w:rsidR="00D57009" w:rsidRPr="00DE2AE0" w:rsidRDefault="00D57009" w:rsidP="00D57009">
            <w:pPr>
              <w:pStyle w:val="Header"/>
              <w:tabs>
                <w:tab w:val="clear" w:pos="4153"/>
                <w:tab w:val="clear" w:pos="8306"/>
                <w:tab w:val="right" w:pos="2017"/>
                <w:tab w:val="right" w:pos="5326"/>
                <w:tab w:val="right" w:pos="6557"/>
              </w:tabs>
              <w:rPr>
                <w:rFonts w:ascii="Arial" w:hAnsi="Arial" w:cs="Arial"/>
                <w:color w:val="000000"/>
                <w:sz w:val="24"/>
                <w:szCs w:val="24"/>
              </w:rPr>
            </w:pPr>
            <w:r w:rsidRPr="00DE2AE0">
              <w:rPr>
                <w:rFonts w:ascii="Arial" w:hAnsi="Arial" w:cs="Arial"/>
                <w:color w:val="000000"/>
                <w:sz w:val="24"/>
                <w:szCs w:val="24"/>
              </w:rPr>
              <w:t>Host Authority Costs</w:t>
            </w:r>
          </w:p>
        </w:tc>
        <w:tc>
          <w:tcPr>
            <w:tcW w:w="1275" w:type="dxa"/>
            <w:shd w:val="clear" w:color="auto" w:fill="auto"/>
          </w:tcPr>
          <w:p w14:paraId="24011441" w14:textId="77777777" w:rsidR="00D57009" w:rsidRPr="00DE2AE0" w:rsidRDefault="00D57009"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sidRPr="00DE2AE0">
              <w:rPr>
                <w:rFonts w:ascii="Arial" w:hAnsi="Arial" w:cs="Arial"/>
                <w:color w:val="000000"/>
                <w:sz w:val="24"/>
                <w:szCs w:val="24"/>
              </w:rPr>
              <w:t>88</w:t>
            </w:r>
          </w:p>
        </w:tc>
        <w:tc>
          <w:tcPr>
            <w:tcW w:w="1302" w:type="dxa"/>
            <w:shd w:val="clear" w:color="auto" w:fill="auto"/>
          </w:tcPr>
          <w:p w14:paraId="5872CD11" w14:textId="77777777" w:rsidR="00D57009" w:rsidRPr="00DE2AE0" w:rsidRDefault="007D50CF"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hAnsi="Arial" w:cs="Arial"/>
                <w:color w:val="000000"/>
                <w:sz w:val="24"/>
                <w:szCs w:val="24"/>
              </w:rPr>
              <w:t>135</w:t>
            </w:r>
          </w:p>
        </w:tc>
      </w:tr>
      <w:tr w:rsidR="00D57009" w:rsidRPr="00DE2AE0" w14:paraId="6900215B" w14:textId="77777777" w:rsidTr="00502E3B">
        <w:tc>
          <w:tcPr>
            <w:tcW w:w="6118" w:type="dxa"/>
            <w:shd w:val="clear" w:color="auto" w:fill="auto"/>
          </w:tcPr>
          <w:p w14:paraId="5EC413F1" w14:textId="77777777" w:rsidR="00D57009" w:rsidRPr="00DE2AE0" w:rsidRDefault="00D57009" w:rsidP="00D57009">
            <w:pPr>
              <w:pStyle w:val="Header"/>
              <w:tabs>
                <w:tab w:val="clear" w:pos="4153"/>
                <w:tab w:val="clear" w:pos="8306"/>
                <w:tab w:val="right" w:pos="2017"/>
                <w:tab w:val="right" w:pos="5326"/>
                <w:tab w:val="right" w:pos="6557"/>
              </w:tabs>
              <w:rPr>
                <w:rFonts w:ascii="Arial" w:hAnsi="Arial" w:cs="Arial"/>
                <w:b/>
                <w:color w:val="000000"/>
                <w:sz w:val="24"/>
                <w:szCs w:val="24"/>
              </w:rPr>
            </w:pPr>
            <w:r w:rsidRPr="00DE2AE0">
              <w:rPr>
                <w:rFonts w:ascii="Arial" w:hAnsi="Arial" w:cs="Arial"/>
                <w:b/>
                <w:color w:val="000000"/>
                <w:sz w:val="24"/>
                <w:szCs w:val="24"/>
              </w:rPr>
              <w:t>WPP Investment Management Expenses</w:t>
            </w:r>
          </w:p>
        </w:tc>
        <w:tc>
          <w:tcPr>
            <w:tcW w:w="1275" w:type="dxa"/>
            <w:shd w:val="clear" w:color="auto" w:fill="auto"/>
          </w:tcPr>
          <w:p w14:paraId="233DFDF0" w14:textId="77777777" w:rsidR="00D57009" w:rsidRPr="00DE2AE0" w:rsidRDefault="00D57009"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p>
        </w:tc>
        <w:tc>
          <w:tcPr>
            <w:tcW w:w="1302" w:type="dxa"/>
            <w:shd w:val="clear" w:color="auto" w:fill="auto"/>
          </w:tcPr>
          <w:p w14:paraId="1C439D8E" w14:textId="77777777" w:rsidR="00D57009" w:rsidRPr="00DE2AE0" w:rsidRDefault="00D57009"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p>
        </w:tc>
      </w:tr>
      <w:tr w:rsidR="00D57009" w:rsidRPr="00DE2AE0" w14:paraId="04A3010B" w14:textId="77777777" w:rsidTr="00502E3B">
        <w:tc>
          <w:tcPr>
            <w:tcW w:w="6118" w:type="dxa"/>
            <w:shd w:val="clear" w:color="auto" w:fill="auto"/>
          </w:tcPr>
          <w:p w14:paraId="450C98EB" w14:textId="77777777" w:rsidR="00D57009" w:rsidRPr="00DE2AE0" w:rsidRDefault="00D57009" w:rsidP="00D57009">
            <w:pPr>
              <w:pStyle w:val="Header"/>
              <w:tabs>
                <w:tab w:val="clear" w:pos="4153"/>
                <w:tab w:val="clear" w:pos="8306"/>
                <w:tab w:val="right" w:pos="2017"/>
                <w:tab w:val="right" w:pos="5326"/>
                <w:tab w:val="right" w:pos="6557"/>
              </w:tabs>
              <w:rPr>
                <w:rFonts w:ascii="Arial" w:hAnsi="Arial" w:cs="Arial"/>
                <w:color w:val="000000"/>
                <w:sz w:val="24"/>
                <w:szCs w:val="24"/>
              </w:rPr>
            </w:pPr>
            <w:r w:rsidRPr="00DE2AE0">
              <w:rPr>
                <w:rFonts w:ascii="Arial" w:hAnsi="Arial" w:cs="Arial"/>
                <w:color w:val="000000"/>
                <w:sz w:val="24"/>
                <w:szCs w:val="24"/>
              </w:rPr>
              <w:t>Fund Manager Fees</w:t>
            </w:r>
          </w:p>
        </w:tc>
        <w:tc>
          <w:tcPr>
            <w:tcW w:w="1275" w:type="dxa"/>
            <w:shd w:val="clear" w:color="auto" w:fill="auto"/>
          </w:tcPr>
          <w:p w14:paraId="0F5348B0" w14:textId="77777777" w:rsidR="00D57009" w:rsidRPr="00DE2AE0" w:rsidRDefault="00D57009"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sidRPr="00DE2AE0">
              <w:rPr>
                <w:rFonts w:ascii="Arial" w:hAnsi="Arial" w:cs="Arial"/>
                <w:color w:val="000000"/>
                <w:sz w:val="24"/>
                <w:szCs w:val="24"/>
              </w:rPr>
              <w:t>898</w:t>
            </w:r>
          </w:p>
        </w:tc>
        <w:tc>
          <w:tcPr>
            <w:tcW w:w="1302" w:type="dxa"/>
            <w:shd w:val="clear" w:color="auto" w:fill="auto"/>
          </w:tcPr>
          <w:p w14:paraId="09184F33" w14:textId="77777777" w:rsidR="00D57009" w:rsidRPr="00DE2AE0" w:rsidRDefault="007D50CF"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hAnsi="Arial" w:cs="Arial"/>
                <w:color w:val="000000"/>
                <w:sz w:val="24"/>
                <w:szCs w:val="24"/>
              </w:rPr>
              <w:t>983</w:t>
            </w:r>
          </w:p>
        </w:tc>
      </w:tr>
      <w:tr w:rsidR="00D57009" w:rsidRPr="00DE2AE0" w14:paraId="09EDCD71" w14:textId="77777777" w:rsidTr="00502E3B">
        <w:tc>
          <w:tcPr>
            <w:tcW w:w="6118" w:type="dxa"/>
            <w:shd w:val="clear" w:color="auto" w:fill="auto"/>
          </w:tcPr>
          <w:p w14:paraId="7C6BA83B" w14:textId="77777777" w:rsidR="00D57009" w:rsidRPr="00DE2AE0" w:rsidRDefault="00D57009" w:rsidP="00D57009">
            <w:pPr>
              <w:pStyle w:val="Header"/>
              <w:tabs>
                <w:tab w:val="clear" w:pos="4153"/>
                <w:tab w:val="clear" w:pos="8306"/>
                <w:tab w:val="right" w:pos="2017"/>
                <w:tab w:val="right" w:pos="5326"/>
                <w:tab w:val="right" w:pos="6557"/>
              </w:tabs>
              <w:rPr>
                <w:rFonts w:ascii="Arial" w:hAnsi="Arial" w:cs="Arial"/>
                <w:color w:val="000000"/>
                <w:sz w:val="24"/>
                <w:szCs w:val="24"/>
              </w:rPr>
            </w:pPr>
            <w:r w:rsidRPr="00DE2AE0">
              <w:rPr>
                <w:rFonts w:ascii="Arial" w:hAnsi="Arial" w:cs="Arial"/>
                <w:color w:val="000000"/>
                <w:sz w:val="24"/>
                <w:szCs w:val="24"/>
              </w:rPr>
              <w:t>Custody Fees</w:t>
            </w:r>
          </w:p>
        </w:tc>
        <w:tc>
          <w:tcPr>
            <w:tcW w:w="1275" w:type="dxa"/>
            <w:shd w:val="clear" w:color="auto" w:fill="auto"/>
          </w:tcPr>
          <w:p w14:paraId="4921EA33" w14:textId="77777777" w:rsidR="00D57009" w:rsidRPr="00DE2AE0" w:rsidRDefault="00D57009"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sidRPr="00DE2AE0">
              <w:rPr>
                <w:rFonts w:ascii="Arial" w:hAnsi="Arial" w:cs="Arial"/>
                <w:color w:val="000000"/>
                <w:sz w:val="24"/>
                <w:szCs w:val="24"/>
              </w:rPr>
              <w:t>238</w:t>
            </w:r>
          </w:p>
        </w:tc>
        <w:tc>
          <w:tcPr>
            <w:tcW w:w="1302" w:type="dxa"/>
            <w:shd w:val="clear" w:color="auto" w:fill="auto"/>
          </w:tcPr>
          <w:p w14:paraId="35228FA7" w14:textId="77777777" w:rsidR="00D57009" w:rsidRPr="00DE2AE0" w:rsidRDefault="007D50CF"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hAnsi="Arial" w:cs="Arial"/>
                <w:color w:val="000000"/>
                <w:sz w:val="24"/>
                <w:szCs w:val="24"/>
              </w:rPr>
              <w:t>252</w:t>
            </w:r>
          </w:p>
        </w:tc>
      </w:tr>
      <w:tr w:rsidR="00D57009" w:rsidRPr="00DE2AE0" w14:paraId="33F33BF2" w14:textId="77777777" w:rsidTr="00502E3B">
        <w:tc>
          <w:tcPr>
            <w:tcW w:w="6118" w:type="dxa"/>
            <w:shd w:val="clear" w:color="auto" w:fill="auto"/>
          </w:tcPr>
          <w:p w14:paraId="02EF1E61" w14:textId="77777777" w:rsidR="00D57009" w:rsidRPr="00DE2AE0" w:rsidRDefault="00D57009" w:rsidP="00D57009">
            <w:pPr>
              <w:pStyle w:val="Header"/>
              <w:tabs>
                <w:tab w:val="clear" w:pos="4153"/>
                <w:tab w:val="clear" w:pos="8306"/>
                <w:tab w:val="right" w:pos="2017"/>
                <w:tab w:val="right" w:pos="5326"/>
                <w:tab w:val="right" w:pos="6557"/>
              </w:tabs>
              <w:rPr>
                <w:rFonts w:ascii="Arial" w:hAnsi="Arial" w:cs="Arial"/>
                <w:color w:val="000000"/>
                <w:sz w:val="24"/>
                <w:szCs w:val="24"/>
              </w:rPr>
            </w:pPr>
            <w:r w:rsidRPr="00DE2AE0">
              <w:rPr>
                <w:rFonts w:ascii="Arial" w:hAnsi="Arial" w:cs="Arial"/>
                <w:color w:val="000000"/>
                <w:sz w:val="24"/>
                <w:szCs w:val="24"/>
              </w:rPr>
              <w:t>Transaction Costs</w:t>
            </w:r>
            <w:r>
              <w:rPr>
                <w:rFonts w:ascii="Arial" w:hAnsi="Arial" w:cs="Arial"/>
                <w:color w:val="000000"/>
                <w:sz w:val="24"/>
                <w:szCs w:val="24"/>
              </w:rPr>
              <w:t xml:space="preserve"> </w:t>
            </w:r>
          </w:p>
        </w:tc>
        <w:tc>
          <w:tcPr>
            <w:tcW w:w="1275" w:type="dxa"/>
            <w:shd w:val="clear" w:color="auto" w:fill="auto"/>
          </w:tcPr>
          <w:p w14:paraId="2A6D16CD" w14:textId="77777777" w:rsidR="00D57009" w:rsidRPr="00DE2AE0" w:rsidRDefault="00D57009"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sidRPr="00DE2AE0">
              <w:rPr>
                <w:rFonts w:ascii="Arial" w:hAnsi="Arial" w:cs="Arial"/>
                <w:color w:val="000000"/>
                <w:sz w:val="24"/>
                <w:szCs w:val="24"/>
              </w:rPr>
              <w:t>834</w:t>
            </w:r>
          </w:p>
        </w:tc>
        <w:tc>
          <w:tcPr>
            <w:tcW w:w="1302" w:type="dxa"/>
            <w:shd w:val="clear" w:color="auto" w:fill="auto"/>
          </w:tcPr>
          <w:p w14:paraId="36108CB8" w14:textId="77777777" w:rsidR="00D57009" w:rsidRPr="00DE2AE0" w:rsidRDefault="007D50CF"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hAnsi="Arial" w:cs="Arial"/>
                <w:color w:val="000000"/>
                <w:sz w:val="24"/>
                <w:szCs w:val="24"/>
              </w:rPr>
              <w:t>1,165</w:t>
            </w:r>
          </w:p>
        </w:tc>
      </w:tr>
      <w:tr w:rsidR="00D57009" w:rsidRPr="00DE2AE0" w14:paraId="366A4FD6" w14:textId="77777777" w:rsidTr="00502E3B">
        <w:tc>
          <w:tcPr>
            <w:tcW w:w="6118" w:type="dxa"/>
            <w:shd w:val="clear" w:color="auto" w:fill="auto"/>
          </w:tcPr>
          <w:p w14:paraId="154F893C" w14:textId="77777777" w:rsidR="00D57009" w:rsidRPr="00DE2AE0" w:rsidRDefault="00D57009" w:rsidP="00D57009">
            <w:pPr>
              <w:pStyle w:val="Header"/>
              <w:tabs>
                <w:tab w:val="clear" w:pos="4153"/>
                <w:tab w:val="clear" w:pos="8306"/>
                <w:tab w:val="right" w:pos="2017"/>
                <w:tab w:val="right" w:pos="5326"/>
                <w:tab w:val="right" w:pos="6557"/>
              </w:tabs>
              <w:rPr>
                <w:rFonts w:ascii="Arial" w:hAnsi="Arial" w:cs="Arial"/>
                <w:color w:val="000000"/>
                <w:sz w:val="24"/>
                <w:szCs w:val="24"/>
              </w:rPr>
            </w:pPr>
          </w:p>
          <w:p w14:paraId="27507FDE" w14:textId="77777777" w:rsidR="00D57009" w:rsidRPr="00DE2AE0" w:rsidRDefault="00D57009" w:rsidP="00D57009">
            <w:pPr>
              <w:pStyle w:val="Header"/>
              <w:tabs>
                <w:tab w:val="clear" w:pos="4153"/>
                <w:tab w:val="clear" w:pos="8306"/>
                <w:tab w:val="right" w:pos="2017"/>
                <w:tab w:val="right" w:pos="5326"/>
                <w:tab w:val="right" w:pos="6557"/>
              </w:tabs>
              <w:rPr>
                <w:rFonts w:ascii="Arial" w:hAnsi="Arial" w:cs="Arial"/>
                <w:b/>
                <w:color w:val="000000"/>
                <w:sz w:val="24"/>
                <w:szCs w:val="24"/>
              </w:rPr>
            </w:pPr>
            <w:r w:rsidRPr="00DE2AE0">
              <w:rPr>
                <w:rFonts w:ascii="Arial" w:hAnsi="Arial" w:cs="Arial"/>
                <w:b/>
                <w:color w:val="000000"/>
                <w:sz w:val="24"/>
                <w:szCs w:val="24"/>
              </w:rPr>
              <w:t>Total</w:t>
            </w:r>
          </w:p>
        </w:tc>
        <w:tc>
          <w:tcPr>
            <w:tcW w:w="1275" w:type="dxa"/>
            <w:shd w:val="clear" w:color="auto" w:fill="auto"/>
          </w:tcPr>
          <w:p w14:paraId="56461C8C" w14:textId="77777777" w:rsidR="00D57009" w:rsidRPr="00DE2AE0" w:rsidRDefault="00D57009" w:rsidP="00D57009">
            <w:pPr>
              <w:pStyle w:val="Header"/>
              <w:tabs>
                <w:tab w:val="clear" w:pos="4153"/>
                <w:tab w:val="clear" w:pos="8306"/>
                <w:tab w:val="right" w:pos="2017"/>
                <w:tab w:val="right" w:pos="5326"/>
                <w:tab w:val="right" w:pos="6557"/>
              </w:tabs>
              <w:jc w:val="right"/>
              <w:rPr>
                <w:rFonts w:ascii="Arial" w:hAnsi="Arial" w:cs="Arial"/>
                <w:b/>
                <w:color w:val="000000"/>
                <w:sz w:val="24"/>
                <w:szCs w:val="24"/>
              </w:rPr>
            </w:pPr>
          </w:p>
          <w:p w14:paraId="5AC209D7" w14:textId="77777777" w:rsidR="00D57009" w:rsidRPr="00DE2AE0" w:rsidRDefault="00D57009" w:rsidP="00D57009">
            <w:pPr>
              <w:pStyle w:val="Header"/>
              <w:tabs>
                <w:tab w:val="clear" w:pos="4153"/>
                <w:tab w:val="clear" w:pos="8306"/>
                <w:tab w:val="right" w:pos="2017"/>
                <w:tab w:val="right" w:pos="5326"/>
                <w:tab w:val="right" w:pos="6557"/>
              </w:tabs>
              <w:jc w:val="right"/>
              <w:rPr>
                <w:rFonts w:ascii="Arial" w:hAnsi="Arial" w:cs="Arial"/>
                <w:b/>
                <w:color w:val="000000"/>
                <w:sz w:val="24"/>
                <w:szCs w:val="24"/>
              </w:rPr>
            </w:pPr>
            <w:r w:rsidRPr="00DE2AE0">
              <w:rPr>
                <w:rFonts w:ascii="Arial" w:hAnsi="Arial" w:cs="Arial"/>
                <w:b/>
                <w:color w:val="000000"/>
                <w:sz w:val="24"/>
                <w:szCs w:val="24"/>
              </w:rPr>
              <w:t>2,058</w:t>
            </w:r>
          </w:p>
        </w:tc>
        <w:tc>
          <w:tcPr>
            <w:tcW w:w="1302" w:type="dxa"/>
            <w:shd w:val="clear" w:color="auto" w:fill="auto"/>
          </w:tcPr>
          <w:p w14:paraId="610054EB" w14:textId="77777777" w:rsidR="00D57009" w:rsidRDefault="00D57009" w:rsidP="00D57009">
            <w:pPr>
              <w:pStyle w:val="Header"/>
              <w:tabs>
                <w:tab w:val="clear" w:pos="4153"/>
                <w:tab w:val="clear" w:pos="8306"/>
                <w:tab w:val="right" w:pos="2017"/>
                <w:tab w:val="right" w:pos="5326"/>
                <w:tab w:val="right" w:pos="6557"/>
              </w:tabs>
              <w:jc w:val="right"/>
              <w:rPr>
                <w:rFonts w:ascii="Arial" w:hAnsi="Arial" w:cs="Arial"/>
                <w:b/>
                <w:color w:val="000000"/>
                <w:sz w:val="24"/>
                <w:szCs w:val="24"/>
              </w:rPr>
            </w:pPr>
          </w:p>
          <w:p w14:paraId="64C6B713" w14:textId="77777777" w:rsidR="007D50CF" w:rsidRPr="00DE2AE0" w:rsidRDefault="007D50CF" w:rsidP="00D57009">
            <w:pPr>
              <w:pStyle w:val="Header"/>
              <w:tabs>
                <w:tab w:val="clear" w:pos="4153"/>
                <w:tab w:val="clear" w:pos="8306"/>
                <w:tab w:val="right" w:pos="2017"/>
                <w:tab w:val="right" w:pos="5326"/>
                <w:tab w:val="right" w:pos="6557"/>
              </w:tabs>
              <w:jc w:val="right"/>
              <w:rPr>
                <w:rFonts w:ascii="Arial" w:hAnsi="Arial" w:cs="Arial"/>
                <w:b/>
                <w:color w:val="000000"/>
                <w:sz w:val="24"/>
                <w:szCs w:val="24"/>
              </w:rPr>
            </w:pPr>
            <w:r>
              <w:rPr>
                <w:rFonts w:ascii="Arial" w:hAnsi="Arial" w:cs="Arial"/>
                <w:b/>
                <w:color w:val="000000"/>
                <w:sz w:val="24"/>
                <w:szCs w:val="24"/>
              </w:rPr>
              <w:t>2,535</w:t>
            </w:r>
          </w:p>
        </w:tc>
      </w:tr>
    </w:tbl>
    <w:p w14:paraId="278588DB" w14:textId="77777777" w:rsidR="00B26B35" w:rsidRDefault="00B26B35" w:rsidP="00FB1154">
      <w:pPr>
        <w:pStyle w:val="Header"/>
        <w:tabs>
          <w:tab w:val="clear" w:pos="4153"/>
          <w:tab w:val="clear" w:pos="8306"/>
          <w:tab w:val="right" w:pos="2017"/>
          <w:tab w:val="right" w:pos="5326"/>
          <w:tab w:val="right" w:pos="6557"/>
        </w:tabs>
        <w:ind w:left="720"/>
        <w:rPr>
          <w:rFonts w:ascii="Arial" w:hAnsi="Arial" w:cs="Arial"/>
          <w:color w:val="000000"/>
          <w:sz w:val="24"/>
          <w:szCs w:val="24"/>
        </w:rPr>
      </w:pPr>
    </w:p>
    <w:p w14:paraId="48DFF14E" w14:textId="77777777" w:rsidR="00FB1154" w:rsidRDefault="00FB1154" w:rsidP="00B26B35">
      <w:pPr>
        <w:pStyle w:val="Header"/>
        <w:tabs>
          <w:tab w:val="clear" w:pos="4153"/>
          <w:tab w:val="clear" w:pos="8306"/>
          <w:tab w:val="right" w:pos="2017"/>
          <w:tab w:val="right" w:pos="5326"/>
          <w:tab w:val="right" w:pos="6557"/>
        </w:tabs>
        <w:jc w:val="both"/>
        <w:rPr>
          <w:rFonts w:ascii="Arial" w:hAnsi="Arial" w:cs="Arial"/>
          <w:color w:val="000000"/>
          <w:sz w:val="24"/>
          <w:szCs w:val="24"/>
        </w:rPr>
      </w:pPr>
    </w:p>
    <w:p w14:paraId="52391C92" w14:textId="77777777" w:rsidR="00B26B35" w:rsidRPr="006918A0" w:rsidRDefault="00B26B35" w:rsidP="00B26B35">
      <w:pPr>
        <w:pStyle w:val="Header"/>
        <w:tabs>
          <w:tab w:val="clear" w:pos="4153"/>
          <w:tab w:val="clear" w:pos="8306"/>
          <w:tab w:val="right" w:pos="2017"/>
          <w:tab w:val="right" w:pos="5326"/>
          <w:tab w:val="right" w:pos="6557"/>
        </w:tabs>
        <w:jc w:val="both"/>
        <w:rPr>
          <w:rFonts w:ascii="Arial" w:hAnsi="Arial" w:cs="Arial"/>
          <w:color w:val="000000"/>
          <w:sz w:val="24"/>
          <w:szCs w:val="24"/>
        </w:rPr>
      </w:pPr>
      <w:r w:rsidRPr="006918A0">
        <w:rPr>
          <w:rFonts w:ascii="Arial" w:hAnsi="Arial" w:cs="Arial"/>
          <w:color w:val="000000"/>
          <w:sz w:val="24"/>
          <w:szCs w:val="24"/>
        </w:rPr>
        <w:t>The oversight and governance costs are the annual running costs of the pool which includes the host authority costs and other external advisor costs. These costs are funded equally by all eight of the local authority Pension Funds in Wales. The investment management expenses are fees payable to Link Fund Solutions (the WPP Operator) and include fund manager fees (which also includes the operator fee and other associated costs), transaction costs and custody fees. These costs are based on each Fund’s percentage share of WPP pooled assets and are deducted from the Net Asset Value (NAV).</w:t>
      </w:r>
    </w:p>
    <w:p w14:paraId="7409E1B5" w14:textId="77777777" w:rsidR="00B700E6" w:rsidRDefault="00B700E6" w:rsidP="00B26B35">
      <w:pPr>
        <w:pStyle w:val="Header"/>
        <w:tabs>
          <w:tab w:val="clear" w:pos="4153"/>
          <w:tab w:val="clear" w:pos="8306"/>
          <w:tab w:val="right" w:pos="2017"/>
          <w:tab w:val="right" w:pos="5326"/>
          <w:tab w:val="right" w:pos="6557"/>
        </w:tabs>
        <w:rPr>
          <w:rFonts w:ascii="Arial" w:hAnsi="Arial" w:cs="Arial"/>
          <w:sz w:val="24"/>
          <w:szCs w:val="24"/>
        </w:rPr>
      </w:pPr>
    </w:p>
    <w:p w14:paraId="3A24C056" w14:textId="77777777" w:rsidR="00E4076E" w:rsidRDefault="00E4076E" w:rsidP="00B26B35">
      <w:pPr>
        <w:pStyle w:val="Header"/>
        <w:tabs>
          <w:tab w:val="clear" w:pos="4153"/>
          <w:tab w:val="clear" w:pos="8306"/>
          <w:tab w:val="right" w:pos="2017"/>
          <w:tab w:val="right" w:pos="5326"/>
          <w:tab w:val="right" w:pos="6557"/>
        </w:tabs>
        <w:rPr>
          <w:rFonts w:ascii="Arial" w:hAnsi="Arial" w:cs="Arial"/>
          <w:b/>
          <w:color w:val="000000"/>
          <w:sz w:val="24"/>
          <w:szCs w:val="24"/>
        </w:rPr>
      </w:pPr>
    </w:p>
    <w:p w14:paraId="2EF36628" w14:textId="77777777" w:rsidR="00135E52" w:rsidRDefault="00135E52" w:rsidP="00B26B35">
      <w:pPr>
        <w:pStyle w:val="Header"/>
        <w:tabs>
          <w:tab w:val="clear" w:pos="4153"/>
          <w:tab w:val="clear" w:pos="8306"/>
          <w:tab w:val="right" w:pos="2017"/>
          <w:tab w:val="right" w:pos="5326"/>
          <w:tab w:val="right" w:pos="6557"/>
        </w:tabs>
        <w:rPr>
          <w:rFonts w:ascii="Arial" w:hAnsi="Arial" w:cs="Arial"/>
          <w:b/>
          <w:color w:val="000000"/>
          <w:sz w:val="24"/>
          <w:szCs w:val="24"/>
        </w:rPr>
      </w:pPr>
    </w:p>
    <w:p w14:paraId="4AA2C7E0" w14:textId="77777777" w:rsidR="00135E52" w:rsidRDefault="00135E52" w:rsidP="00B26B35">
      <w:pPr>
        <w:pStyle w:val="Header"/>
        <w:tabs>
          <w:tab w:val="clear" w:pos="4153"/>
          <w:tab w:val="clear" w:pos="8306"/>
          <w:tab w:val="right" w:pos="2017"/>
          <w:tab w:val="right" w:pos="5326"/>
          <w:tab w:val="right" w:pos="6557"/>
        </w:tabs>
        <w:rPr>
          <w:rFonts w:ascii="Arial" w:hAnsi="Arial" w:cs="Arial"/>
          <w:b/>
          <w:color w:val="000000"/>
          <w:sz w:val="24"/>
          <w:szCs w:val="24"/>
        </w:rPr>
      </w:pPr>
    </w:p>
    <w:p w14:paraId="61DAB0D1" w14:textId="77777777" w:rsidR="00135E52" w:rsidRDefault="00135E52" w:rsidP="00B26B35">
      <w:pPr>
        <w:pStyle w:val="Header"/>
        <w:tabs>
          <w:tab w:val="clear" w:pos="4153"/>
          <w:tab w:val="clear" w:pos="8306"/>
          <w:tab w:val="right" w:pos="2017"/>
          <w:tab w:val="right" w:pos="5326"/>
          <w:tab w:val="right" w:pos="6557"/>
        </w:tabs>
        <w:rPr>
          <w:rFonts w:ascii="Arial" w:hAnsi="Arial" w:cs="Arial"/>
          <w:b/>
          <w:color w:val="000000"/>
          <w:sz w:val="24"/>
          <w:szCs w:val="24"/>
        </w:rPr>
      </w:pPr>
    </w:p>
    <w:p w14:paraId="1DBE36F7" w14:textId="77777777" w:rsidR="00135E52" w:rsidRDefault="00135E52" w:rsidP="00B26B35">
      <w:pPr>
        <w:pStyle w:val="Header"/>
        <w:tabs>
          <w:tab w:val="clear" w:pos="4153"/>
          <w:tab w:val="clear" w:pos="8306"/>
          <w:tab w:val="right" w:pos="2017"/>
          <w:tab w:val="right" w:pos="5326"/>
          <w:tab w:val="right" w:pos="6557"/>
        </w:tabs>
        <w:rPr>
          <w:rFonts w:ascii="Arial" w:hAnsi="Arial" w:cs="Arial"/>
          <w:b/>
          <w:color w:val="000000"/>
          <w:sz w:val="24"/>
          <w:szCs w:val="24"/>
        </w:rPr>
      </w:pPr>
    </w:p>
    <w:p w14:paraId="254F70EE" w14:textId="77777777" w:rsidR="00135E52" w:rsidRDefault="00135E52" w:rsidP="00B26B35">
      <w:pPr>
        <w:pStyle w:val="Header"/>
        <w:tabs>
          <w:tab w:val="clear" w:pos="4153"/>
          <w:tab w:val="clear" w:pos="8306"/>
          <w:tab w:val="right" w:pos="2017"/>
          <w:tab w:val="right" w:pos="5326"/>
          <w:tab w:val="right" w:pos="6557"/>
        </w:tabs>
        <w:rPr>
          <w:rFonts w:ascii="Arial" w:hAnsi="Arial" w:cs="Arial"/>
          <w:b/>
          <w:color w:val="000000"/>
          <w:sz w:val="24"/>
          <w:szCs w:val="24"/>
        </w:rPr>
      </w:pPr>
    </w:p>
    <w:p w14:paraId="73AC3413" w14:textId="77777777" w:rsidR="00B26B35" w:rsidRPr="003A565E" w:rsidRDefault="00B26B35" w:rsidP="00B26B35">
      <w:pPr>
        <w:pStyle w:val="Header"/>
        <w:tabs>
          <w:tab w:val="clear" w:pos="4153"/>
          <w:tab w:val="clear" w:pos="8306"/>
          <w:tab w:val="right" w:pos="2017"/>
          <w:tab w:val="right" w:pos="5326"/>
          <w:tab w:val="right" w:pos="6557"/>
        </w:tabs>
        <w:rPr>
          <w:rFonts w:ascii="Arial" w:hAnsi="Arial" w:cs="Arial"/>
          <w:b/>
          <w:color w:val="000000"/>
          <w:sz w:val="24"/>
          <w:szCs w:val="24"/>
        </w:rPr>
      </w:pPr>
      <w:r w:rsidRPr="003A565E">
        <w:rPr>
          <w:rFonts w:ascii="Arial" w:hAnsi="Arial" w:cs="Arial"/>
          <w:b/>
          <w:color w:val="000000"/>
          <w:sz w:val="24"/>
          <w:szCs w:val="24"/>
        </w:rPr>
        <w:lastRenderedPageBreak/>
        <w:t>Transition Costs</w:t>
      </w:r>
    </w:p>
    <w:p w14:paraId="3056A009" w14:textId="77777777" w:rsidR="00B26B35" w:rsidRDefault="00B26B35" w:rsidP="00B26B35">
      <w:pPr>
        <w:pStyle w:val="Header"/>
        <w:tabs>
          <w:tab w:val="clear" w:pos="4153"/>
          <w:tab w:val="clear" w:pos="8306"/>
          <w:tab w:val="right" w:pos="2017"/>
          <w:tab w:val="right" w:pos="5326"/>
          <w:tab w:val="right" w:pos="6557"/>
        </w:tabs>
        <w:rPr>
          <w:rFonts w:ascii="Arial" w:hAnsi="Arial" w:cs="Arial"/>
          <w:color w:val="000000"/>
          <w:sz w:val="24"/>
          <w:szCs w:val="24"/>
        </w:rPr>
      </w:pPr>
    </w:p>
    <w:p w14:paraId="064638BD" w14:textId="77777777" w:rsidR="00B26B35" w:rsidRDefault="00B26B35" w:rsidP="00D730B9">
      <w:pPr>
        <w:pStyle w:val="Header"/>
        <w:tabs>
          <w:tab w:val="clear" w:pos="4153"/>
          <w:tab w:val="clear" w:pos="8306"/>
          <w:tab w:val="right" w:pos="2017"/>
          <w:tab w:val="right" w:pos="5326"/>
          <w:tab w:val="right" w:pos="6557"/>
        </w:tabs>
        <w:jc w:val="both"/>
        <w:rPr>
          <w:rFonts w:ascii="Arial" w:hAnsi="Arial" w:cs="Arial"/>
          <w:sz w:val="24"/>
          <w:szCs w:val="24"/>
        </w:rPr>
      </w:pPr>
      <w:r w:rsidRPr="003A565E">
        <w:rPr>
          <w:rFonts w:ascii="Arial" w:hAnsi="Arial" w:cs="Arial"/>
          <w:sz w:val="24"/>
          <w:szCs w:val="24"/>
        </w:rPr>
        <w:t xml:space="preserve">In addition to the WPP Oversight and Governance costs shown above, the Fund also incurred costs associated with the transition of its assets into the pool. To date, the Fund has undergone </w:t>
      </w:r>
      <w:r>
        <w:rPr>
          <w:rFonts w:ascii="Arial" w:hAnsi="Arial" w:cs="Arial"/>
          <w:sz w:val="24"/>
          <w:szCs w:val="24"/>
        </w:rPr>
        <w:t>three</w:t>
      </w:r>
      <w:r w:rsidRPr="003A565E">
        <w:rPr>
          <w:rFonts w:ascii="Arial" w:hAnsi="Arial" w:cs="Arial"/>
          <w:sz w:val="24"/>
          <w:szCs w:val="24"/>
        </w:rPr>
        <w:t xml:space="preserve"> transitions in relation to the WPP, one in 2018/19 (Global equities)</w:t>
      </w:r>
      <w:r>
        <w:rPr>
          <w:rFonts w:ascii="Arial" w:hAnsi="Arial" w:cs="Arial"/>
          <w:sz w:val="24"/>
          <w:szCs w:val="24"/>
        </w:rPr>
        <w:t xml:space="preserve"> </w:t>
      </w:r>
      <w:r w:rsidRPr="003A565E">
        <w:rPr>
          <w:rFonts w:ascii="Arial" w:hAnsi="Arial" w:cs="Arial"/>
          <w:sz w:val="24"/>
          <w:szCs w:val="24"/>
        </w:rPr>
        <w:t>and a further two transitions in 2020/21 (Fixed Income).</w:t>
      </w:r>
    </w:p>
    <w:p w14:paraId="4EFB585E" w14:textId="77777777" w:rsidR="00B26B35" w:rsidRDefault="00B26B35" w:rsidP="00D730B9">
      <w:pPr>
        <w:pStyle w:val="Header"/>
        <w:tabs>
          <w:tab w:val="clear" w:pos="4153"/>
          <w:tab w:val="clear" w:pos="8306"/>
          <w:tab w:val="right" w:pos="2017"/>
          <w:tab w:val="right" w:pos="5326"/>
          <w:tab w:val="right" w:pos="6557"/>
        </w:tabs>
        <w:jc w:val="both"/>
        <w:rPr>
          <w:rFonts w:ascii="Arial" w:hAnsi="Arial" w:cs="Arial"/>
          <w:sz w:val="24"/>
          <w:szCs w:val="24"/>
        </w:rPr>
      </w:pPr>
    </w:p>
    <w:p w14:paraId="1B79E059" w14:textId="77777777" w:rsidR="00B26B35" w:rsidRPr="003A565E" w:rsidRDefault="00B26B35" w:rsidP="00D730B9">
      <w:pPr>
        <w:pStyle w:val="Header"/>
        <w:tabs>
          <w:tab w:val="clear" w:pos="4153"/>
          <w:tab w:val="clear" w:pos="8306"/>
          <w:tab w:val="right" w:pos="2017"/>
          <w:tab w:val="right" w:pos="5326"/>
          <w:tab w:val="right" w:pos="6557"/>
        </w:tabs>
        <w:jc w:val="both"/>
        <w:rPr>
          <w:rFonts w:ascii="Arial" w:hAnsi="Arial" w:cs="Arial"/>
          <w:color w:val="000000"/>
          <w:sz w:val="24"/>
          <w:szCs w:val="24"/>
        </w:rPr>
      </w:pPr>
      <w:r w:rsidRPr="00A80231">
        <w:rPr>
          <w:rFonts w:ascii="Arial" w:hAnsi="Arial" w:cs="Arial"/>
          <w:sz w:val="24"/>
          <w:szCs w:val="24"/>
        </w:rPr>
        <w:t>The costs of transitioning assets can be categorised in terms of direct and indirect costs. Direct costs include the costs of appointing a transition manager to undertake the transition, together with any additional oversight of this process undertaken from a research and reflection perspective. Indirect costs are both the explicit and implicit costs of transition, such as commissions, spread and impact and opportunity costs known as Implementation Shortfall. Aside from the direct transition costs disclosed above, the majority of transition costs are directly attributable to the assets undergoing the transition and are therefore deducted from their value as opposed to a direct charge to the Fund.</w:t>
      </w:r>
    </w:p>
    <w:p w14:paraId="2DA073C6" w14:textId="77777777" w:rsidR="00B26B35" w:rsidRDefault="00B26B35" w:rsidP="00B26B35">
      <w:pPr>
        <w:pStyle w:val="Header"/>
        <w:tabs>
          <w:tab w:val="clear" w:pos="4153"/>
          <w:tab w:val="clear" w:pos="8306"/>
          <w:tab w:val="right" w:pos="2017"/>
          <w:tab w:val="right" w:pos="5326"/>
          <w:tab w:val="right" w:pos="6557"/>
        </w:tabs>
        <w:rPr>
          <w:rFonts w:ascii="Arial" w:hAnsi="Arial" w:cs="Arial"/>
          <w:color w:val="000000"/>
          <w:sz w:val="24"/>
          <w:szCs w:val="24"/>
        </w:rPr>
      </w:pPr>
    </w:p>
    <w:p w14:paraId="7F864AAB" w14:textId="77777777" w:rsidR="007501E4" w:rsidRDefault="007501E4" w:rsidP="007501E4">
      <w:pPr>
        <w:contextualSpacing/>
        <w:jc w:val="both"/>
        <w:rPr>
          <w:rFonts w:ascii="Arial" w:hAnsi="Arial" w:cs="Arial"/>
          <w:sz w:val="24"/>
          <w:szCs w:val="24"/>
        </w:rPr>
      </w:pPr>
      <w:r w:rsidRPr="00B700E6">
        <w:rPr>
          <w:rFonts w:ascii="Arial" w:hAnsi="Arial" w:cs="Arial"/>
          <w:sz w:val="24"/>
          <w:szCs w:val="24"/>
        </w:rPr>
        <w:t>The</w:t>
      </w:r>
      <w:r w:rsidR="00913FE0">
        <w:rPr>
          <w:rFonts w:ascii="Arial" w:hAnsi="Arial" w:cs="Arial"/>
          <w:sz w:val="24"/>
          <w:szCs w:val="24"/>
        </w:rPr>
        <w:t xml:space="preserve">re were no </w:t>
      </w:r>
      <w:r w:rsidRPr="00B700E6">
        <w:rPr>
          <w:rFonts w:ascii="Arial" w:hAnsi="Arial" w:cs="Arial"/>
          <w:sz w:val="24"/>
          <w:szCs w:val="24"/>
        </w:rPr>
        <w:t xml:space="preserve">direct </w:t>
      </w:r>
      <w:r w:rsidR="00F400D2">
        <w:rPr>
          <w:rFonts w:ascii="Arial" w:hAnsi="Arial" w:cs="Arial"/>
          <w:sz w:val="24"/>
          <w:szCs w:val="24"/>
        </w:rPr>
        <w:t xml:space="preserve">transition </w:t>
      </w:r>
      <w:r w:rsidRPr="00B700E6">
        <w:rPr>
          <w:rFonts w:ascii="Arial" w:hAnsi="Arial" w:cs="Arial"/>
          <w:sz w:val="24"/>
          <w:szCs w:val="24"/>
        </w:rPr>
        <w:t xml:space="preserve">costs </w:t>
      </w:r>
      <w:r w:rsidR="00960887">
        <w:rPr>
          <w:rFonts w:ascii="Arial" w:hAnsi="Arial" w:cs="Arial"/>
          <w:sz w:val="24"/>
          <w:szCs w:val="24"/>
        </w:rPr>
        <w:t>incurred by the</w:t>
      </w:r>
      <w:r w:rsidR="00B700E6" w:rsidRPr="00B700E6">
        <w:rPr>
          <w:rFonts w:ascii="Arial" w:hAnsi="Arial" w:cs="Arial"/>
          <w:sz w:val="24"/>
          <w:szCs w:val="24"/>
        </w:rPr>
        <w:t xml:space="preserve"> City &amp; County of Swansea</w:t>
      </w:r>
      <w:r w:rsidR="00960887">
        <w:rPr>
          <w:rFonts w:ascii="Arial" w:hAnsi="Arial" w:cs="Arial"/>
          <w:sz w:val="24"/>
          <w:szCs w:val="24"/>
        </w:rPr>
        <w:t xml:space="preserve"> Pension Fund </w:t>
      </w:r>
      <w:r w:rsidR="00913FE0">
        <w:rPr>
          <w:rFonts w:ascii="Arial" w:hAnsi="Arial" w:cs="Arial"/>
          <w:sz w:val="24"/>
          <w:szCs w:val="24"/>
        </w:rPr>
        <w:t>i</w:t>
      </w:r>
      <w:r w:rsidR="00960887">
        <w:rPr>
          <w:rFonts w:ascii="Arial" w:hAnsi="Arial" w:cs="Arial"/>
          <w:sz w:val="24"/>
          <w:szCs w:val="24"/>
        </w:rPr>
        <w:t>n 202</w:t>
      </w:r>
      <w:r w:rsidR="00913FE0">
        <w:rPr>
          <w:rFonts w:ascii="Arial" w:hAnsi="Arial" w:cs="Arial"/>
          <w:sz w:val="24"/>
          <w:szCs w:val="24"/>
        </w:rPr>
        <w:t>1/22</w:t>
      </w:r>
      <w:r w:rsidR="00960887">
        <w:rPr>
          <w:rFonts w:ascii="Arial" w:hAnsi="Arial" w:cs="Arial"/>
          <w:sz w:val="24"/>
          <w:szCs w:val="24"/>
        </w:rPr>
        <w:t>.</w:t>
      </w:r>
    </w:p>
    <w:p w14:paraId="5DEB76DC" w14:textId="77777777" w:rsidR="00BD26D1" w:rsidRDefault="00BD26D1" w:rsidP="00BD26D1">
      <w:pPr>
        <w:pStyle w:val="BodyTextGrey"/>
        <w:rPr>
          <w:rFonts w:ascii="Calibri" w:eastAsia="Calibri" w:hAnsi="Calibri" w:cs="Times New Roman"/>
          <w:b/>
          <w:bCs/>
          <w:iCs w:val="0"/>
          <w:color w:val="auto"/>
          <w:sz w:val="22"/>
          <w:szCs w:val="22"/>
        </w:rPr>
      </w:pPr>
    </w:p>
    <w:p w14:paraId="2D3BAFC3" w14:textId="77777777" w:rsidR="00BD26D1" w:rsidRPr="00F8257B" w:rsidRDefault="00BD26D1" w:rsidP="00BD26D1">
      <w:pPr>
        <w:pStyle w:val="BodyTextGrey"/>
        <w:rPr>
          <w:rFonts w:eastAsia="Calibri"/>
          <w:b/>
          <w:bCs/>
          <w:iCs w:val="0"/>
          <w:color w:val="auto"/>
          <w:sz w:val="24"/>
          <w:szCs w:val="24"/>
        </w:rPr>
      </w:pPr>
      <w:r w:rsidRPr="00F8257B">
        <w:rPr>
          <w:rFonts w:eastAsia="Calibri"/>
          <w:b/>
          <w:bCs/>
          <w:iCs w:val="0"/>
          <w:color w:val="auto"/>
          <w:sz w:val="24"/>
          <w:szCs w:val="24"/>
        </w:rPr>
        <w:t xml:space="preserve">Ongoing Investment Management Costs </w:t>
      </w:r>
    </w:p>
    <w:p w14:paraId="65D29D82" w14:textId="77777777" w:rsidR="00BD26D1" w:rsidRPr="00F8257B" w:rsidRDefault="00BD26D1" w:rsidP="00E4076E">
      <w:pPr>
        <w:pStyle w:val="BodyTextGrey"/>
        <w:spacing w:line="240" w:lineRule="auto"/>
        <w:jc w:val="both"/>
        <w:rPr>
          <w:noProof/>
          <w:lang w:eastAsia="en-GB"/>
        </w:rPr>
      </w:pPr>
      <w:r w:rsidRPr="00F8257B">
        <w:rPr>
          <w:rFonts w:eastAsia="Calibri"/>
          <w:iCs w:val="0"/>
          <w:color w:val="auto"/>
          <w:sz w:val="24"/>
          <w:szCs w:val="24"/>
        </w:rPr>
        <w:t xml:space="preserve">The table below discloses the investment management costs split between those held by the WPP (including the passive equities) and those held outside of the WPP. </w:t>
      </w:r>
      <w:r w:rsidR="00E4076E" w:rsidRPr="00F8257B">
        <w:rPr>
          <w:rFonts w:eastAsia="Calibri"/>
          <w:iCs w:val="0"/>
          <w:color w:val="auto"/>
          <w:sz w:val="24"/>
          <w:szCs w:val="24"/>
        </w:rPr>
        <w:t>Noting that only the Direct costs are chargeable to the Fund, the Indirect costs represent the underlying fees paid to fund managers and are disclosed as a note only in the accounts.</w:t>
      </w:r>
    </w:p>
    <w:p w14:paraId="5BF183FA" w14:textId="77777777" w:rsidR="00F8257B" w:rsidRPr="00F8257B" w:rsidRDefault="00F8257B" w:rsidP="007501E4">
      <w:pPr>
        <w:pStyle w:val="BodyTextGrey"/>
        <w:rPr>
          <w:noProof/>
        </w:rPr>
      </w:pPr>
    </w:p>
    <w:p w14:paraId="5B610268" w14:textId="04C981A0" w:rsidR="00960887" w:rsidRDefault="00516E75" w:rsidP="007501E4">
      <w:pPr>
        <w:pStyle w:val="BodyTextGrey"/>
        <w:rPr>
          <w:rFonts w:ascii="Calibri" w:eastAsia="Calibri" w:hAnsi="Calibri" w:cs="Times New Roman"/>
          <w:b/>
          <w:bCs/>
          <w:iCs w:val="0"/>
          <w:color w:val="auto"/>
          <w:sz w:val="22"/>
          <w:szCs w:val="22"/>
        </w:rPr>
      </w:pPr>
      <w:r>
        <w:rPr>
          <w:noProof/>
        </w:rPr>
        <w:drawing>
          <wp:inline distT="0" distB="0" distL="0" distR="0" wp14:anchorId="53E23926" wp14:editId="195FA1A9">
            <wp:extent cx="5746115" cy="3198495"/>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115" cy="3198495"/>
                    </a:xfrm>
                    <a:prstGeom prst="rect">
                      <a:avLst/>
                    </a:prstGeom>
                    <a:noFill/>
                    <a:ln>
                      <a:noFill/>
                    </a:ln>
                  </pic:spPr>
                </pic:pic>
              </a:graphicData>
            </a:graphic>
          </wp:inline>
        </w:drawing>
      </w:r>
    </w:p>
    <w:p w14:paraId="33A641E6" w14:textId="77777777" w:rsidR="00B458E3" w:rsidRDefault="00B458E3" w:rsidP="00FC1D3A">
      <w:pPr>
        <w:rPr>
          <w:rFonts w:ascii="Arial" w:hAnsi="Arial" w:cs="Arial"/>
          <w:b/>
          <w:bCs/>
          <w:sz w:val="24"/>
          <w:szCs w:val="24"/>
        </w:rPr>
      </w:pPr>
    </w:p>
    <w:p w14:paraId="0C3AE089" w14:textId="77777777" w:rsidR="00B458E3" w:rsidRDefault="00B458E3" w:rsidP="00FC1D3A">
      <w:pPr>
        <w:rPr>
          <w:rFonts w:ascii="Arial" w:hAnsi="Arial" w:cs="Arial"/>
          <w:b/>
          <w:bCs/>
          <w:sz w:val="24"/>
          <w:szCs w:val="24"/>
        </w:rPr>
      </w:pPr>
    </w:p>
    <w:p w14:paraId="49C4A24A" w14:textId="77777777" w:rsidR="00B458E3" w:rsidRDefault="00B458E3" w:rsidP="00FC1D3A">
      <w:pPr>
        <w:rPr>
          <w:rFonts w:ascii="Arial" w:hAnsi="Arial" w:cs="Arial"/>
          <w:b/>
          <w:bCs/>
          <w:sz w:val="24"/>
          <w:szCs w:val="24"/>
        </w:rPr>
      </w:pPr>
    </w:p>
    <w:p w14:paraId="1792C568" w14:textId="77777777" w:rsidR="00B458E3" w:rsidRDefault="00B458E3" w:rsidP="00FC1D3A">
      <w:pPr>
        <w:rPr>
          <w:rFonts w:ascii="Arial" w:hAnsi="Arial" w:cs="Arial"/>
          <w:b/>
          <w:bCs/>
          <w:sz w:val="24"/>
          <w:szCs w:val="24"/>
        </w:rPr>
      </w:pPr>
    </w:p>
    <w:p w14:paraId="74ABD60F" w14:textId="77777777" w:rsidR="00B458E3" w:rsidRDefault="00B458E3" w:rsidP="00FC1D3A">
      <w:pPr>
        <w:rPr>
          <w:rFonts w:ascii="Arial" w:hAnsi="Arial" w:cs="Arial"/>
          <w:b/>
          <w:bCs/>
          <w:sz w:val="24"/>
          <w:szCs w:val="24"/>
        </w:rPr>
      </w:pPr>
    </w:p>
    <w:p w14:paraId="7F3FEEE3" w14:textId="77777777" w:rsidR="00135E52" w:rsidRPr="00135E52" w:rsidRDefault="00B458E3" w:rsidP="00FC1D3A">
      <w:pPr>
        <w:rPr>
          <w:rFonts w:ascii="Arial" w:hAnsi="Arial" w:cs="Arial"/>
          <w:b/>
          <w:bCs/>
          <w:sz w:val="24"/>
          <w:szCs w:val="24"/>
        </w:rPr>
      </w:pPr>
      <w:r w:rsidRPr="00135E52">
        <w:rPr>
          <w:rFonts w:ascii="Arial" w:hAnsi="Arial" w:cs="Arial"/>
          <w:b/>
          <w:bCs/>
          <w:sz w:val="24"/>
          <w:szCs w:val="24"/>
        </w:rPr>
        <w:t xml:space="preserve">Asset Allocation and Performance </w:t>
      </w:r>
    </w:p>
    <w:p w14:paraId="52BC7AF7" w14:textId="77777777" w:rsidR="00135E52" w:rsidRDefault="00135E52" w:rsidP="00FC1D3A">
      <w:pPr>
        <w:rPr>
          <w:rFonts w:ascii="Arial" w:hAnsi="Arial" w:cs="Arial"/>
          <w:sz w:val="24"/>
          <w:szCs w:val="24"/>
        </w:rPr>
      </w:pPr>
    </w:p>
    <w:p w14:paraId="23C6435A" w14:textId="77777777" w:rsidR="00B458E3" w:rsidRPr="00B458E3" w:rsidRDefault="00B458E3" w:rsidP="00FC1D3A">
      <w:pPr>
        <w:rPr>
          <w:rFonts w:ascii="Arial" w:hAnsi="Arial" w:cs="Arial"/>
          <w:b/>
          <w:bCs/>
          <w:sz w:val="24"/>
          <w:szCs w:val="24"/>
        </w:rPr>
      </w:pPr>
      <w:r w:rsidRPr="00B458E3">
        <w:rPr>
          <w:rFonts w:ascii="Arial" w:hAnsi="Arial" w:cs="Arial"/>
          <w:sz w:val="24"/>
          <w:szCs w:val="24"/>
        </w:rPr>
        <w:t>The following table shows how each of the investment mandates has performed during the year, with opening and closing values and one year performance included net of fees where available. In addition, the table splits out investments under pooled arrangements with the WPP and those that remain under non-pooled investment arrangements with the Fund’s legacy managers as at 31st March 202</w:t>
      </w:r>
      <w:r>
        <w:rPr>
          <w:rFonts w:ascii="Arial" w:hAnsi="Arial" w:cs="Arial"/>
          <w:sz w:val="24"/>
          <w:szCs w:val="24"/>
        </w:rPr>
        <w:t>2</w:t>
      </w:r>
      <w:r w:rsidRPr="00B458E3">
        <w:rPr>
          <w:rFonts w:ascii="Arial" w:hAnsi="Arial" w:cs="Arial"/>
          <w:sz w:val="24"/>
          <w:szCs w:val="24"/>
        </w:rPr>
        <w:t>.</w:t>
      </w:r>
    </w:p>
    <w:p w14:paraId="0812A393" w14:textId="77777777" w:rsidR="00B458E3" w:rsidRPr="00B458E3" w:rsidRDefault="00B458E3" w:rsidP="00FC1D3A">
      <w:pPr>
        <w:rPr>
          <w:rFonts w:ascii="Arial" w:hAnsi="Arial" w:cs="Arial"/>
          <w:b/>
          <w:bCs/>
          <w:sz w:val="24"/>
          <w:szCs w:val="24"/>
        </w:rPr>
      </w:pPr>
    </w:p>
    <w:p w14:paraId="4E19E3A4" w14:textId="77777777" w:rsidR="00B458E3" w:rsidRDefault="00B458E3" w:rsidP="00FC1D3A">
      <w:pPr>
        <w:rPr>
          <w:rFonts w:ascii="Arial" w:hAnsi="Arial" w:cs="Arial"/>
          <w:b/>
          <w:bCs/>
          <w:sz w:val="24"/>
          <w:szCs w:val="24"/>
        </w:rPr>
      </w:pPr>
    </w:p>
    <w:p w14:paraId="523EEEFB" w14:textId="6017E6F9" w:rsidR="00B458E3" w:rsidRDefault="00516E75" w:rsidP="00FC1D3A">
      <w:pPr>
        <w:rPr>
          <w:rFonts w:ascii="Arial" w:hAnsi="Arial" w:cs="Arial"/>
          <w:b/>
          <w:bCs/>
          <w:sz w:val="24"/>
          <w:szCs w:val="24"/>
        </w:rPr>
      </w:pPr>
      <w:r>
        <w:rPr>
          <w:noProof/>
        </w:rPr>
        <w:drawing>
          <wp:inline distT="0" distB="0" distL="0" distR="0" wp14:anchorId="28B74717" wp14:editId="2BCFDB2C">
            <wp:extent cx="5746750" cy="3918585"/>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750" cy="3918585"/>
                    </a:xfrm>
                    <a:prstGeom prst="rect">
                      <a:avLst/>
                    </a:prstGeom>
                    <a:noFill/>
                    <a:ln>
                      <a:noFill/>
                    </a:ln>
                  </pic:spPr>
                </pic:pic>
              </a:graphicData>
            </a:graphic>
          </wp:inline>
        </w:drawing>
      </w:r>
    </w:p>
    <w:p w14:paraId="5362FC4F" w14:textId="77777777" w:rsidR="00B458E3" w:rsidRDefault="00B458E3" w:rsidP="00FC1D3A">
      <w:pPr>
        <w:rPr>
          <w:rFonts w:ascii="Arial" w:hAnsi="Arial" w:cs="Arial"/>
          <w:b/>
          <w:bCs/>
          <w:sz w:val="24"/>
          <w:szCs w:val="24"/>
        </w:rPr>
      </w:pPr>
    </w:p>
    <w:p w14:paraId="17763679" w14:textId="77777777" w:rsidR="00B458E3" w:rsidRDefault="00B458E3" w:rsidP="00FC1D3A">
      <w:pPr>
        <w:rPr>
          <w:rFonts w:ascii="Arial" w:hAnsi="Arial" w:cs="Arial"/>
          <w:b/>
          <w:bCs/>
          <w:sz w:val="24"/>
          <w:szCs w:val="24"/>
        </w:rPr>
      </w:pPr>
    </w:p>
    <w:p w14:paraId="2D147648" w14:textId="77777777" w:rsidR="00FC1D3A" w:rsidRDefault="00FC1D3A" w:rsidP="00FC1D3A">
      <w:pPr>
        <w:rPr>
          <w:rFonts w:ascii="Arial" w:hAnsi="Arial" w:cs="Arial"/>
          <w:b/>
          <w:bCs/>
          <w:sz w:val="24"/>
          <w:szCs w:val="24"/>
        </w:rPr>
      </w:pPr>
      <w:r w:rsidRPr="00D730B9">
        <w:rPr>
          <w:rFonts w:ascii="Arial" w:hAnsi="Arial" w:cs="Arial"/>
          <w:b/>
          <w:bCs/>
          <w:sz w:val="24"/>
          <w:szCs w:val="24"/>
        </w:rPr>
        <w:t>Securities Lending</w:t>
      </w:r>
    </w:p>
    <w:p w14:paraId="050A7616" w14:textId="77777777" w:rsidR="00F562CB" w:rsidRPr="00D730B9" w:rsidRDefault="00F562CB" w:rsidP="00FC1D3A">
      <w:pPr>
        <w:rPr>
          <w:rFonts w:ascii="Arial" w:hAnsi="Arial" w:cs="Arial"/>
          <w:b/>
          <w:bCs/>
          <w:sz w:val="24"/>
          <w:szCs w:val="24"/>
        </w:rPr>
      </w:pPr>
    </w:p>
    <w:p w14:paraId="7D60D9DE" w14:textId="77777777" w:rsidR="00F8257B" w:rsidRDefault="00F562CB" w:rsidP="00C10974">
      <w:pPr>
        <w:jc w:val="both"/>
        <w:rPr>
          <w:rFonts w:ascii="Arial" w:hAnsi="Arial" w:cs="Arial"/>
          <w:sz w:val="24"/>
          <w:szCs w:val="24"/>
        </w:rPr>
      </w:pPr>
      <w:r w:rsidRPr="00F562CB">
        <w:rPr>
          <w:rFonts w:ascii="Arial" w:hAnsi="Arial" w:cs="Arial"/>
          <w:bCs/>
          <w:sz w:val="24"/>
          <w:szCs w:val="24"/>
        </w:rPr>
        <w:t>Northern Trust</w:t>
      </w:r>
      <w:r>
        <w:rPr>
          <w:rFonts w:ascii="Arial" w:hAnsi="Arial" w:cs="Arial"/>
          <w:bCs/>
          <w:sz w:val="24"/>
          <w:szCs w:val="24"/>
        </w:rPr>
        <w:t>,</w:t>
      </w:r>
      <w:r w:rsidRPr="00F562CB">
        <w:rPr>
          <w:rFonts w:ascii="Arial" w:hAnsi="Arial" w:cs="Arial"/>
          <w:bCs/>
          <w:sz w:val="24"/>
          <w:szCs w:val="24"/>
        </w:rPr>
        <w:t xml:space="preserve"> Custodian for the Wales Pension Partnership manages a s</w:t>
      </w:r>
      <w:r>
        <w:rPr>
          <w:rFonts w:ascii="Arial" w:hAnsi="Arial" w:cs="Arial"/>
          <w:bCs/>
          <w:sz w:val="24"/>
          <w:szCs w:val="24"/>
        </w:rPr>
        <w:t>ecurities</w:t>
      </w:r>
      <w:r w:rsidRPr="00F562CB">
        <w:rPr>
          <w:rFonts w:ascii="Arial" w:hAnsi="Arial" w:cs="Arial"/>
          <w:bCs/>
          <w:sz w:val="24"/>
          <w:szCs w:val="24"/>
        </w:rPr>
        <w:t xml:space="preserve"> lending programme for the fund.</w:t>
      </w:r>
      <w:r>
        <w:rPr>
          <w:rFonts w:ascii="Arial" w:hAnsi="Arial" w:cs="Arial"/>
          <w:bCs/>
          <w:sz w:val="24"/>
          <w:szCs w:val="24"/>
        </w:rPr>
        <w:t xml:space="preserve"> </w:t>
      </w:r>
      <w:r w:rsidR="00FC1D3A" w:rsidRPr="00D730B9">
        <w:rPr>
          <w:rFonts w:ascii="Arial" w:hAnsi="Arial" w:cs="Arial"/>
          <w:sz w:val="24"/>
          <w:szCs w:val="24"/>
        </w:rPr>
        <w:t>Securities lending commenced in March 2020. Revenue is split on a</w:t>
      </w:r>
      <w:r w:rsidR="00FC1D3A">
        <w:rPr>
          <w:rFonts w:ascii="Arial" w:hAnsi="Arial" w:cs="Arial"/>
          <w:sz w:val="24"/>
          <w:szCs w:val="24"/>
        </w:rPr>
        <w:t>n</w:t>
      </w:r>
      <w:r w:rsidR="00FC1D3A" w:rsidRPr="00D730B9">
        <w:rPr>
          <w:rFonts w:ascii="Arial" w:hAnsi="Arial" w:cs="Arial"/>
          <w:sz w:val="24"/>
          <w:szCs w:val="24"/>
        </w:rPr>
        <w:t xml:space="preserve"> 85:15 basis between WPP and Northern Trust with all costs for running the securities lending programme taken from Northern Trust’s share of the fee split. A minimum of 5% of the nominal quantity of each individual equity holding is held back and a maximum of 25% of total AUM is on loan at any one time. </w:t>
      </w:r>
    </w:p>
    <w:p w14:paraId="07931C7A" w14:textId="77777777" w:rsidR="00F8257B" w:rsidRDefault="00F8257B" w:rsidP="00C10974">
      <w:pPr>
        <w:jc w:val="both"/>
        <w:rPr>
          <w:rFonts w:ascii="Arial" w:hAnsi="Arial" w:cs="Arial"/>
          <w:sz w:val="24"/>
          <w:szCs w:val="24"/>
        </w:rPr>
      </w:pPr>
    </w:p>
    <w:p w14:paraId="31B82D7E" w14:textId="77777777" w:rsidR="001347C9" w:rsidRDefault="00FC1D3A" w:rsidP="00C10974">
      <w:pPr>
        <w:jc w:val="both"/>
        <w:rPr>
          <w:rFonts w:ascii="Arial" w:hAnsi="Arial" w:cs="Arial"/>
          <w:sz w:val="24"/>
          <w:szCs w:val="24"/>
        </w:rPr>
      </w:pPr>
      <w:r w:rsidRPr="00D730B9">
        <w:rPr>
          <w:rFonts w:ascii="Arial" w:hAnsi="Arial" w:cs="Arial"/>
          <w:sz w:val="24"/>
          <w:szCs w:val="24"/>
        </w:rPr>
        <w:t>Total revenue of LF Wales Revenue during 202</w:t>
      </w:r>
      <w:r w:rsidR="001347C9">
        <w:rPr>
          <w:rFonts w:ascii="Arial" w:hAnsi="Arial" w:cs="Arial"/>
          <w:sz w:val="24"/>
          <w:szCs w:val="24"/>
        </w:rPr>
        <w:t>1/22</w:t>
      </w:r>
      <w:r w:rsidRPr="00D730B9">
        <w:rPr>
          <w:rFonts w:ascii="Arial" w:hAnsi="Arial" w:cs="Arial"/>
          <w:sz w:val="24"/>
          <w:szCs w:val="24"/>
        </w:rPr>
        <w:t xml:space="preserve"> was £</w:t>
      </w:r>
      <w:r w:rsidR="001347C9">
        <w:rPr>
          <w:rFonts w:ascii="Arial" w:hAnsi="Arial" w:cs="Arial"/>
          <w:sz w:val="24"/>
          <w:szCs w:val="24"/>
        </w:rPr>
        <w:t>1,101,659</w:t>
      </w:r>
      <w:r w:rsidRPr="00D730B9">
        <w:rPr>
          <w:rFonts w:ascii="Arial" w:hAnsi="Arial" w:cs="Arial"/>
          <w:sz w:val="24"/>
          <w:szCs w:val="24"/>
        </w:rPr>
        <w:t xml:space="preserve"> with £</w:t>
      </w:r>
      <w:r w:rsidR="001347C9">
        <w:rPr>
          <w:rFonts w:ascii="Arial" w:hAnsi="Arial" w:cs="Arial"/>
          <w:sz w:val="24"/>
          <w:szCs w:val="24"/>
        </w:rPr>
        <w:t>430</w:t>
      </w:r>
      <w:r w:rsidRPr="00D730B9">
        <w:rPr>
          <w:rFonts w:ascii="Arial" w:hAnsi="Arial" w:cs="Arial"/>
          <w:sz w:val="24"/>
          <w:szCs w:val="24"/>
        </w:rPr>
        <w:t>,</w:t>
      </w:r>
      <w:r w:rsidR="001347C9">
        <w:rPr>
          <w:rFonts w:ascii="Arial" w:hAnsi="Arial" w:cs="Arial"/>
          <w:sz w:val="24"/>
          <w:szCs w:val="24"/>
        </w:rPr>
        <w:t>743,792</w:t>
      </w:r>
      <w:r w:rsidRPr="00D730B9">
        <w:rPr>
          <w:rFonts w:ascii="Arial" w:hAnsi="Arial" w:cs="Arial"/>
          <w:sz w:val="24"/>
          <w:szCs w:val="24"/>
        </w:rPr>
        <w:t xml:space="preserve"> out on loan as at 31</w:t>
      </w:r>
      <w:r w:rsidR="00F8257B">
        <w:rPr>
          <w:rFonts w:ascii="Arial" w:hAnsi="Arial" w:cs="Arial"/>
          <w:sz w:val="24"/>
          <w:szCs w:val="24"/>
        </w:rPr>
        <w:t>st</w:t>
      </w:r>
      <w:r w:rsidRPr="00D730B9">
        <w:rPr>
          <w:rFonts w:ascii="Arial" w:hAnsi="Arial" w:cs="Arial"/>
          <w:sz w:val="24"/>
          <w:szCs w:val="24"/>
        </w:rPr>
        <w:t xml:space="preserve"> March 202</w:t>
      </w:r>
      <w:r w:rsidR="001347C9">
        <w:rPr>
          <w:rFonts w:ascii="Arial" w:hAnsi="Arial" w:cs="Arial"/>
          <w:sz w:val="24"/>
          <w:szCs w:val="24"/>
        </w:rPr>
        <w:t>2.</w:t>
      </w:r>
    </w:p>
    <w:p w14:paraId="01B604F5" w14:textId="77777777" w:rsidR="00FC1D3A" w:rsidRPr="00D730B9" w:rsidRDefault="00FC1D3A" w:rsidP="00F562CB">
      <w:pPr>
        <w:rPr>
          <w:rFonts w:ascii="Arial" w:hAnsi="Arial" w:cs="Arial"/>
          <w:sz w:val="24"/>
          <w:szCs w:val="24"/>
        </w:rPr>
      </w:pPr>
      <w:r w:rsidRPr="00D730B9">
        <w:rPr>
          <w:rFonts w:ascii="Arial" w:hAnsi="Arial" w:cs="Arial"/>
          <w:sz w:val="24"/>
          <w:szCs w:val="24"/>
        </w:rPr>
        <w:t xml:space="preserve"> </w:t>
      </w:r>
    </w:p>
    <w:p w14:paraId="3EE8D7BD" w14:textId="77777777" w:rsidR="00BD26D1" w:rsidRDefault="00BD26D1" w:rsidP="00BD26D1">
      <w:pPr>
        <w:ind w:left="360"/>
        <w:jc w:val="both"/>
        <w:rPr>
          <w:rFonts w:ascii="Century Gothic" w:eastAsia="Calibri" w:hAnsi="Century Gothic" w:cs="Arial"/>
          <w:b/>
          <w:sz w:val="20"/>
        </w:rPr>
      </w:pPr>
    </w:p>
    <w:p w14:paraId="05A93200" w14:textId="77777777" w:rsidR="00322D5E" w:rsidRPr="00FE405E" w:rsidRDefault="00322D5E" w:rsidP="00BD26D1">
      <w:pPr>
        <w:jc w:val="both"/>
        <w:rPr>
          <w:rFonts w:ascii="Arial" w:hAnsi="Arial" w:cs="Arial"/>
          <w:b/>
          <w:color w:val="000000"/>
          <w:sz w:val="24"/>
          <w:szCs w:val="24"/>
        </w:rPr>
      </w:pPr>
      <w:r w:rsidRPr="00FE405E">
        <w:rPr>
          <w:rFonts w:ascii="Arial" w:hAnsi="Arial" w:cs="Arial"/>
          <w:b/>
          <w:color w:val="000000"/>
          <w:sz w:val="24"/>
          <w:szCs w:val="24"/>
        </w:rPr>
        <w:lastRenderedPageBreak/>
        <w:t>Responsible Investment</w:t>
      </w:r>
    </w:p>
    <w:p w14:paraId="46EFE74B" w14:textId="77777777" w:rsidR="00322D5E" w:rsidRPr="00FE405E" w:rsidRDefault="00322D5E" w:rsidP="00BD26D1">
      <w:pPr>
        <w:jc w:val="both"/>
        <w:rPr>
          <w:rFonts w:ascii="Arial" w:hAnsi="Arial" w:cs="Arial"/>
          <w:b/>
          <w:color w:val="000000"/>
          <w:sz w:val="24"/>
          <w:szCs w:val="24"/>
        </w:rPr>
      </w:pPr>
    </w:p>
    <w:p w14:paraId="7C88F20C" w14:textId="77777777" w:rsidR="00322D5E" w:rsidRPr="00FE405E" w:rsidRDefault="00322D5E" w:rsidP="00322D5E">
      <w:pPr>
        <w:pStyle w:val="BodyTextGrey"/>
        <w:jc w:val="both"/>
        <w:rPr>
          <w:color w:val="auto"/>
          <w:sz w:val="24"/>
          <w:szCs w:val="24"/>
        </w:rPr>
      </w:pPr>
      <w:r w:rsidRPr="00FE405E">
        <w:rPr>
          <w:color w:val="auto"/>
          <w:sz w:val="24"/>
          <w:szCs w:val="24"/>
        </w:rPr>
        <w:t xml:space="preserve">Responsible Investment (“RI”) continues to be a key priority for the Welsh Constituent Authorities. </w:t>
      </w:r>
      <w:r w:rsidR="00FE405E" w:rsidRPr="00FE405E">
        <w:rPr>
          <w:color w:val="auto"/>
          <w:sz w:val="24"/>
          <w:szCs w:val="24"/>
        </w:rPr>
        <w:t xml:space="preserve">In 2020/21 </w:t>
      </w:r>
      <w:r w:rsidRPr="00FE405E">
        <w:rPr>
          <w:color w:val="auto"/>
          <w:sz w:val="24"/>
          <w:szCs w:val="24"/>
        </w:rPr>
        <w:t xml:space="preserve">WPP </w:t>
      </w:r>
      <w:r w:rsidR="00FE405E" w:rsidRPr="00FE405E">
        <w:rPr>
          <w:color w:val="auto"/>
          <w:sz w:val="24"/>
          <w:szCs w:val="24"/>
        </w:rPr>
        <w:t>w</w:t>
      </w:r>
      <w:r w:rsidRPr="00FE405E">
        <w:rPr>
          <w:color w:val="auto"/>
          <w:sz w:val="24"/>
          <w:szCs w:val="24"/>
        </w:rPr>
        <w:t>orked towards  drafting and agreeing a Climate Risk Policy – this outlines</w:t>
      </w:r>
      <w:r w:rsidR="00FE405E" w:rsidRPr="00FE405E">
        <w:rPr>
          <w:color w:val="auto"/>
          <w:sz w:val="24"/>
          <w:szCs w:val="24"/>
        </w:rPr>
        <w:t xml:space="preserve"> the</w:t>
      </w:r>
      <w:r w:rsidRPr="00FE405E">
        <w:rPr>
          <w:color w:val="auto"/>
          <w:sz w:val="24"/>
          <w:szCs w:val="24"/>
        </w:rPr>
        <w:t xml:space="preserve"> unified climate risk beliefs and what measures we have adopted to manage climate risk within the WPP Sub-Funds. In August 2020, a dedicated WPP RI Sub-Group was established in recognition of the important of this subject matter. The Sub-Group meets twice a quarter and is responsible for progressing any RI related workstreams. The RI Sub-Group has already demonstrated its effectiveness and efficiency by delivering on one of the main commitments made in both the WPP’s RI and Climate Risk Policies – the development of reporting that allows the WPP to monitor and manage RI and Climate Risk risks. The sub group now receives detailed RI and Climate Risk monitoring reports for each of the WPP’s Sub-Funds on a quarterly basis.</w:t>
      </w:r>
    </w:p>
    <w:p w14:paraId="2CBAB357" w14:textId="77777777" w:rsidR="00427C3D" w:rsidRDefault="00F400D2" w:rsidP="00427C3D">
      <w:pPr>
        <w:jc w:val="both"/>
        <w:rPr>
          <w:rFonts w:ascii="Arial" w:eastAsia="Calibri" w:hAnsi="Arial" w:cs="Arial"/>
          <w:sz w:val="24"/>
          <w:szCs w:val="24"/>
        </w:rPr>
      </w:pPr>
      <w:r>
        <w:rPr>
          <w:rFonts w:ascii="Arial" w:eastAsia="Calibri" w:hAnsi="Arial" w:cs="Arial"/>
          <w:sz w:val="24"/>
          <w:szCs w:val="24"/>
        </w:rPr>
        <w:t xml:space="preserve">In 2022 </w:t>
      </w:r>
      <w:r w:rsidRPr="002835F8">
        <w:rPr>
          <w:rFonts w:ascii="Arial" w:eastAsia="Calibri" w:hAnsi="Arial" w:cs="Arial"/>
          <w:sz w:val="24"/>
          <w:szCs w:val="24"/>
        </w:rPr>
        <w:t>the WPP established its approach as a responsible investor involving oversight and monitoring of its voting policy, the establishment of an engagement framework, Environmental, Social and Governance (ESG) metrics monitoring and reporting output in accordance with the requirements</w:t>
      </w:r>
      <w:r w:rsidR="00007D7F">
        <w:rPr>
          <w:rFonts w:ascii="Arial" w:eastAsia="Calibri" w:hAnsi="Arial" w:cs="Arial"/>
          <w:sz w:val="24"/>
          <w:szCs w:val="24"/>
        </w:rPr>
        <w:t xml:space="preserve"> namely the </w:t>
      </w:r>
      <w:r w:rsidR="00427C3D">
        <w:rPr>
          <w:rFonts w:ascii="Arial" w:eastAsia="Calibri" w:hAnsi="Arial" w:cs="Arial"/>
          <w:sz w:val="24"/>
          <w:szCs w:val="24"/>
        </w:rPr>
        <w:t>Task Force on Climate Related Financial Disclosures (TCFD). This guidance is currently out for consultation.</w:t>
      </w:r>
    </w:p>
    <w:p w14:paraId="117EE98C" w14:textId="77777777" w:rsidR="00427C3D" w:rsidRDefault="00427C3D" w:rsidP="00427C3D">
      <w:pPr>
        <w:jc w:val="both"/>
        <w:rPr>
          <w:rFonts w:ascii="Arial" w:eastAsia="Calibri" w:hAnsi="Arial" w:cs="Arial"/>
          <w:sz w:val="24"/>
          <w:szCs w:val="24"/>
        </w:rPr>
      </w:pPr>
    </w:p>
    <w:p w14:paraId="4CD26AA3" w14:textId="77777777" w:rsidR="000E7C21" w:rsidRPr="002835F8" w:rsidRDefault="00427C3D" w:rsidP="00F400D2">
      <w:pPr>
        <w:jc w:val="both"/>
        <w:rPr>
          <w:rFonts w:ascii="Arial" w:eastAsia="Calibri" w:hAnsi="Arial" w:cs="Arial"/>
          <w:sz w:val="24"/>
          <w:szCs w:val="24"/>
        </w:rPr>
      </w:pPr>
      <w:r>
        <w:rPr>
          <w:rFonts w:ascii="Arial" w:eastAsia="Calibri" w:hAnsi="Arial" w:cs="Arial"/>
          <w:sz w:val="24"/>
          <w:szCs w:val="24"/>
        </w:rPr>
        <w:t>(</w:t>
      </w:r>
      <w:r w:rsidRPr="00427C3D">
        <w:rPr>
          <w:rFonts w:ascii="Arial" w:eastAsia="Calibri" w:hAnsi="Arial" w:cs="Arial"/>
          <w:sz w:val="24"/>
          <w:szCs w:val="24"/>
        </w:rPr>
        <w:t xml:space="preserve">TCFD - </w:t>
      </w:r>
      <w:r w:rsidRPr="00427C3D">
        <w:rPr>
          <w:rFonts w:ascii="Arial" w:hAnsi="Arial" w:cs="Arial"/>
          <w:color w:val="202124"/>
          <w:sz w:val="24"/>
          <w:szCs w:val="24"/>
          <w:lang w:val="en" w:eastAsia="en-GB"/>
        </w:rPr>
        <w:t>A description of the governance-related arrangements</w:t>
      </w:r>
      <w:r>
        <w:rPr>
          <w:rFonts w:ascii="Arial" w:hAnsi="Arial" w:cs="Arial"/>
          <w:color w:val="202124"/>
          <w:sz w:val="24"/>
          <w:szCs w:val="24"/>
          <w:lang w:val="en" w:eastAsia="en-GB"/>
        </w:rPr>
        <w:t xml:space="preserve"> of an organisation</w:t>
      </w:r>
      <w:r w:rsidRPr="00427C3D">
        <w:rPr>
          <w:rFonts w:ascii="Arial" w:hAnsi="Arial" w:cs="Arial"/>
          <w:color w:val="202124"/>
          <w:sz w:val="24"/>
          <w:szCs w:val="24"/>
          <w:lang w:val="en" w:eastAsia="en-GB"/>
        </w:rPr>
        <w:t xml:space="preserve"> to measur</w:t>
      </w:r>
      <w:r>
        <w:rPr>
          <w:rFonts w:ascii="Arial" w:hAnsi="Arial" w:cs="Arial"/>
          <w:color w:val="202124"/>
          <w:sz w:val="24"/>
          <w:szCs w:val="24"/>
          <w:lang w:val="en" w:eastAsia="en-GB"/>
        </w:rPr>
        <w:t>e</w:t>
      </w:r>
      <w:r w:rsidRPr="00427C3D">
        <w:rPr>
          <w:rFonts w:ascii="Arial" w:hAnsi="Arial" w:cs="Arial"/>
          <w:color w:val="202124"/>
          <w:sz w:val="24"/>
          <w:szCs w:val="24"/>
          <w:lang w:val="en" w:eastAsia="en-GB"/>
        </w:rPr>
        <w:t xml:space="preserve"> and managing climate-related risks and opportunities. A description of the processes in place for measuring and managing climate-related risks and opportunities</w:t>
      </w:r>
      <w:r>
        <w:rPr>
          <w:rFonts w:ascii="Arial" w:hAnsi="Arial" w:cs="Arial"/>
          <w:color w:val="202124"/>
          <w:sz w:val="24"/>
          <w:szCs w:val="24"/>
          <w:lang w:val="en" w:eastAsia="en-GB"/>
        </w:rPr>
        <w:t xml:space="preserve">). </w:t>
      </w:r>
    </w:p>
    <w:p w14:paraId="3F51D3B2" w14:textId="77777777" w:rsidR="000E7C21" w:rsidRDefault="000E7C21" w:rsidP="00322D5E">
      <w:pPr>
        <w:pStyle w:val="BodyTextGrey"/>
        <w:spacing w:line="240" w:lineRule="auto"/>
        <w:jc w:val="both"/>
        <w:rPr>
          <w:rFonts w:eastAsia="Calibri"/>
          <w:b/>
          <w:iCs w:val="0"/>
          <w:color w:val="auto"/>
          <w:sz w:val="24"/>
          <w:szCs w:val="24"/>
        </w:rPr>
      </w:pPr>
    </w:p>
    <w:p w14:paraId="41331D65" w14:textId="77777777" w:rsidR="00322D5E" w:rsidRDefault="00322D5E" w:rsidP="00322D5E">
      <w:pPr>
        <w:pStyle w:val="BodyTextGrey"/>
        <w:spacing w:line="240" w:lineRule="auto"/>
        <w:jc w:val="both"/>
        <w:rPr>
          <w:rFonts w:eastAsia="Calibri"/>
          <w:b/>
          <w:iCs w:val="0"/>
          <w:color w:val="auto"/>
          <w:sz w:val="24"/>
          <w:szCs w:val="24"/>
        </w:rPr>
      </w:pPr>
      <w:r w:rsidRPr="00D3399F">
        <w:rPr>
          <w:rFonts w:eastAsia="Calibri"/>
          <w:b/>
          <w:iCs w:val="0"/>
          <w:color w:val="auto"/>
          <w:sz w:val="24"/>
          <w:szCs w:val="24"/>
        </w:rPr>
        <w:t>Objectives 2021/22</w:t>
      </w:r>
    </w:p>
    <w:p w14:paraId="60FB7B57" w14:textId="77777777" w:rsidR="002353D4" w:rsidRDefault="002353D4" w:rsidP="00322D5E">
      <w:pPr>
        <w:pStyle w:val="BodyTextGrey"/>
        <w:spacing w:line="240" w:lineRule="auto"/>
        <w:jc w:val="both"/>
        <w:rPr>
          <w:rFonts w:eastAsia="Calibri"/>
          <w:b/>
          <w:iCs w:val="0"/>
          <w:color w:val="auto"/>
          <w:sz w:val="24"/>
          <w:szCs w:val="24"/>
        </w:rPr>
      </w:pPr>
      <w:r>
        <w:rPr>
          <w:rFonts w:eastAsia="Calibri"/>
          <w:b/>
          <w:iCs w:val="0"/>
          <w:color w:val="auto"/>
          <w:sz w:val="24"/>
          <w:szCs w:val="24"/>
        </w:rPr>
        <w:t>Private Market Sub Funds</w:t>
      </w:r>
    </w:p>
    <w:p w14:paraId="2AB795AB" w14:textId="77777777" w:rsidR="00322D5E" w:rsidRDefault="002353D4" w:rsidP="002353D4">
      <w:pPr>
        <w:pStyle w:val="BodyTextGrey"/>
        <w:spacing w:line="240" w:lineRule="auto"/>
        <w:jc w:val="both"/>
        <w:rPr>
          <w:rFonts w:eastAsia="Calibri"/>
          <w:bCs/>
          <w:color w:val="auto"/>
          <w:sz w:val="24"/>
          <w:szCs w:val="24"/>
        </w:rPr>
      </w:pPr>
      <w:r w:rsidRPr="002353D4">
        <w:rPr>
          <w:rFonts w:eastAsia="Calibri"/>
          <w:bCs/>
          <w:iCs w:val="0"/>
          <w:color w:val="auto"/>
          <w:sz w:val="24"/>
          <w:szCs w:val="24"/>
        </w:rPr>
        <w:t>Followin</w:t>
      </w:r>
      <w:r>
        <w:rPr>
          <w:rFonts w:eastAsia="Calibri"/>
          <w:bCs/>
          <w:iCs w:val="0"/>
          <w:color w:val="auto"/>
          <w:sz w:val="24"/>
          <w:szCs w:val="24"/>
        </w:rPr>
        <w:t>g</w:t>
      </w:r>
      <w:r w:rsidR="00322D5E" w:rsidRPr="002353D4">
        <w:rPr>
          <w:rFonts w:eastAsia="Calibri"/>
          <w:bCs/>
          <w:color w:val="auto"/>
          <w:sz w:val="24"/>
          <w:szCs w:val="24"/>
        </w:rPr>
        <w:t xml:space="preserve"> the launch of a number of sub-funds to date, progress continue</w:t>
      </w:r>
      <w:r w:rsidR="00A50ED5" w:rsidRPr="002353D4">
        <w:rPr>
          <w:rFonts w:eastAsia="Calibri"/>
          <w:bCs/>
          <w:color w:val="auto"/>
          <w:sz w:val="24"/>
          <w:szCs w:val="24"/>
        </w:rPr>
        <w:t>s</w:t>
      </w:r>
      <w:r w:rsidR="00322D5E" w:rsidRPr="002353D4">
        <w:rPr>
          <w:rFonts w:eastAsia="Calibri"/>
          <w:bCs/>
          <w:color w:val="auto"/>
          <w:sz w:val="24"/>
          <w:szCs w:val="24"/>
        </w:rPr>
        <w:t xml:space="preserve"> to be made with significant rationalisation of the existing range of mandates. The operator will be developing and launching a further series of sub-funds which will collectively reflect the strategic asset allocation needs of the eight constituent funds and facilitate a significant move of the assets to be pooled. </w:t>
      </w:r>
    </w:p>
    <w:p w14:paraId="5FF58B86" w14:textId="77777777" w:rsidR="00A50ED5" w:rsidRDefault="002353D4" w:rsidP="002353D4">
      <w:pPr>
        <w:pStyle w:val="BodyTextGrey"/>
        <w:spacing w:line="240" w:lineRule="auto"/>
        <w:jc w:val="both"/>
        <w:rPr>
          <w:rFonts w:eastAsia="Calibri"/>
          <w:color w:val="auto"/>
          <w:sz w:val="24"/>
          <w:szCs w:val="24"/>
        </w:rPr>
      </w:pPr>
      <w:r w:rsidRPr="002353D4">
        <w:rPr>
          <w:rFonts w:eastAsia="Calibri"/>
          <w:bCs/>
          <w:color w:val="auto"/>
          <w:sz w:val="24"/>
          <w:szCs w:val="24"/>
        </w:rPr>
        <w:t>In establishing</w:t>
      </w:r>
      <w:r w:rsidR="00322D5E" w:rsidRPr="002353D4">
        <w:rPr>
          <w:rFonts w:eastAsia="Calibri"/>
          <w:color w:val="auto"/>
          <w:sz w:val="24"/>
          <w:szCs w:val="24"/>
        </w:rPr>
        <w:t xml:space="preserve"> the WPP pool, the focus has been on pooling the most liquid assets, namely equities and fixed income. The next step </w:t>
      </w:r>
      <w:r w:rsidR="00D3399F" w:rsidRPr="002353D4">
        <w:rPr>
          <w:rFonts w:eastAsia="Calibri"/>
          <w:color w:val="auto"/>
          <w:sz w:val="24"/>
          <w:szCs w:val="24"/>
        </w:rPr>
        <w:t>was</w:t>
      </w:r>
      <w:r w:rsidR="00322D5E" w:rsidRPr="002353D4">
        <w:rPr>
          <w:rFonts w:eastAsia="Calibri"/>
          <w:color w:val="auto"/>
          <w:sz w:val="24"/>
          <w:szCs w:val="24"/>
        </w:rPr>
        <w:t xml:space="preserve"> formulate an approach to pooling </w:t>
      </w:r>
      <w:r w:rsidR="00A50ED5" w:rsidRPr="002353D4">
        <w:rPr>
          <w:rFonts w:eastAsia="Calibri"/>
          <w:color w:val="auto"/>
          <w:sz w:val="24"/>
          <w:szCs w:val="24"/>
        </w:rPr>
        <w:t>to</w:t>
      </w:r>
      <w:r w:rsidR="00322D5E" w:rsidRPr="002353D4">
        <w:rPr>
          <w:rFonts w:eastAsia="Calibri"/>
          <w:color w:val="auto"/>
          <w:sz w:val="24"/>
          <w:szCs w:val="24"/>
        </w:rPr>
        <w:t xml:space="preserve"> manag</w:t>
      </w:r>
      <w:r w:rsidR="00A50ED5" w:rsidRPr="002353D4">
        <w:rPr>
          <w:rFonts w:eastAsia="Calibri"/>
          <w:color w:val="auto"/>
          <w:sz w:val="24"/>
          <w:szCs w:val="24"/>
        </w:rPr>
        <w:t>e</w:t>
      </w:r>
      <w:r w:rsidR="00322D5E" w:rsidRPr="002353D4">
        <w:rPr>
          <w:rFonts w:eastAsia="Calibri"/>
          <w:color w:val="auto"/>
          <w:sz w:val="24"/>
          <w:szCs w:val="24"/>
        </w:rPr>
        <w:t xml:space="preserve"> illiquid assets such as Private Equity, Property, Private Debt/Credit and Infrastructure</w:t>
      </w:r>
      <w:r w:rsidR="00A50ED5" w:rsidRPr="002353D4">
        <w:rPr>
          <w:rFonts w:eastAsia="Calibri"/>
          <w:color w:val="auto"/>
          <w:sz w:val="24"/>
          <w:szCs w:val="24"/>
        </w:rPr>
        <w:t>.</w:t>
      </w:r>
    </w:p>
    <w:p w14:paraId="69F67BAE" w14:textId="77777777" w:rsidR="002353D4" w:rsidRDefault="002353D4" w:rsidP="002353D4">
      <w:pPr>
        <w:pStyle w:val="BodyTextGrey"/>
        <w:spacing w:line="240" w:lineRule="auto"/>
        <w:jc w:val="both"/>
        <w:rPr>
          <w:color w:val="auto"/>
          <w:sz w:val="24"/>
          <w:szCs w:val="24"/>
        </w:rPr>
      </w:pPr>
      <w:r w:rsidRPr="002353D4">
        <w:rPr>
          <w:rFonts w:eastAsia="Calibri"/>
          <w:color w:val="auto"/>
          <w:sz w:val="24"/>
          <w:szCs w:val="24"/>
        </w:rPr>
        <w:t>For this to be successful</w:t>
      </w:r>
      <w:r w:rsidR="00A50ED5" w:rsidRPr="002353D4">
        <w:rPr>
          <w:rFonts w:eastAsia="Calibri"/>
          <w:color w:val="auto"/>
          <w:sz w:val="24"/>
          <w:szCs w:val="24"/>
        </w:rPr>
        <w:t xml:space="preserve">, it was determined that a </w:t>
      </w:r>
      <w:r w:rsidR="00D3399F" w:rsidRPr="002353D4">
        <w:rPr>
          <w:color w:val="auto"/>
          <w:sz w:val="24"/>
          <w:szCs w:val="24"/>
        </w:rPr>
        <w:t>formal procurement process</w:t>
      </w:r>
      <w:r w:rsidR="00A50ED5" w:rsidRPr="002353D4">
        <w:rPr>
          <w:color w:val="auto"/>
          <w:sz w:val="24"/>
          <w:szCs w:val="24"/>
        </w:rPr>
        <w:t xml:space="preserve"> would be undertaken</w:t>
      </w:r>
      <w:r w:rsidR="00D3399F" w:rsidRPr="002353D4">
        <w:rPr>
          <w:color w:val="auto"/>
          <w:sz w:val="24"/>
          <w:szCs w:val="24"/>
        </w:rPr>
        <w:t xml:space="preserve"> to appoint a private markets consultant with a view to them assisting in appointing</w:t>
      </w:r>
      <w:r w:rsidR="00F400D2">
        <w:rPr>
          <w:color w:val="auto"/>
          <w:sz w:val="24"/>
          <w:szCs w:val="24"/>
        </w:rPr>
        <w:t xml:space="preserve"> </w:t>
      </w:r>
      <w:r w:rsidR="00D3399F" w:rsidRPr="002353D4">
        <w:rPr>
          <w:color w:val="auto"/>
          <w:sz w:val="24"/>
          <w:szCs w:val="24"/>
        </w:rPr>
        <w:t xml:space="preserve">managers for each private market sub fund/asset class. Following the procurement process using the Norfolk LGPS framework for consultants, </w:t>
      </w:r>
      <w:r w:rsidR="00A50ED5" w:rsidRPr="002353D4">
        <w:rPr>
          <w:color w:val="auto"/>
          <w:sz w:val="24"/>
          <w:szCs w:val="24"/>
        </w:rPr>
        <w:t>Bfinance were appointed as private market advisor to facilitate the procurement exercise</w:t>
      </w:r>
      <w:r w:rsidR="00F400D2">
        <w:rPr>
          <w:color w:val="auto"/>
          <w:sz w:val="24"/>
          <w:szCs w:val="24"/>
        </w:rPr>
        <w:t>, this</w:t>
      </w:r>
      <w:r w:rsidR="00A50ED5" w:rsidRPr="002353D4">
        <w:rPr>
          <w:color w:val="auto"/>
          <w:sz w:val="24"/>
          <w:szCs w:val="24"/>
        </w:rPr>
        <w:t xml:space="preserve"> culminated in interviews with the short-listed fund managers in February 2022. The appointment of the three successful managers for Private Credit, Close-ended </w:t>
      </w:r>
      <w:r w:rsidR="00A50ED5" w:rsidRPr="002353D4">
        <w:rPr>
          <w:color w:val="auto"/>
          <w:sz w:val="24"/>
          <w:szCs w:val="24"/>
        </w:rPr>
        <w:lastRenderedPageBreak/>
        <w:t xml:space="preserve">Infrastructure and Open-ended Infrastructure were approved </w:t>
      </w:r>
      <w:r>
        <w:rPr>
          <w:color w:val="auto"/>
          <w:sz w:val="24"/>
          <w:szCs w:val="24"/>
        </w:rPr>
        <w:t xml:space="preserve">by the Joint Governance Committee </w:t>
      </w:r>
      <w:r w:rsidR="00A50ED5" w:rsidRPr="002353D4">
        <w:rPr>
          <w:color w:val="auto"/>
          <w:sz w:val="24"/>
          <w:szCs w:val="24"/>
        </w:rPr>
        <w:t>on the 23</w:t>
      </w:r>
      <w:r w:rsidR="00A50ED5" w:rsidRPr="002353D4">
        <w:rPr>
          <w:color w:val="auto"/>
          <w:sz w:val="24"/>
          <w:szCs w:val="24"/>
          <w:vertAlign w:val="superscript"/>
        </w:rPr>
        <w:t>rd</w:t>
      </w:r>
      <w:r w:rsidR="00A50ED5" w:rsidRPr="002353D4">
        <w:rPr>
          <w:color w:val="auto"/>
          <w:sz w:val="24"/>
          <w:szCs w:val="24"/>
        </w:rPr>
        <w:t xml:space="preserve"> March 2022.</w:t>
      </w:r>
    </w:p>
    <w:p w14:paraId="2FF3A08C" w14:textId="77777777" w:rsidR="00A50ED5" w:rsidRDefault="002353D4" w:rsidP="002353D4">
      <w:pPr>
        <w:pStyle w:val="BodyTextGrey"/>
        <w:spacing w:line="240" w:lineRule="auto"/>
        <w:jc w:val="both"/>
        <w:rPr>
          <w:color w:val="auto"/>
          <w:sz w:val="24"/>
          <w:szCs w:val="24"/>
        </w:rPr>
      </w:pPr>
      <w:r>
        <w:rPr>
          <w:color w:val="auto"/>
          <w:sz w:val="24"/>
          <w:szCs w:val="24"/>
        </w:rPr>
        <w:t>The process for procuring a Private Equity Allocator has commenced with the RFP (Request for Proposal) being launched in April 2022, with the hope that the successful managers will be approved by JGC in September 2022.</w:t>
      </w:r>
    </w:p>
    <w:tbl>
      <w:tblPr>
        <w:tblW w:w="0" w:type="auto"/>
        <w:tblLook w:val="01E0" w:firstRow="1" w:lastRow="1" w:firstColumn="1" w:lastColumn="1" w:noHBand="0" w:noVBand="0"/>
      </w:tblPr>
      <w:tblGrid>
        <w:gridCol w:w="9026"/>
      </w:tblGrid>
      <w:tr w:rsidR="00A50ED5" w:rsidRPr="00AF7BEA" w14:paraId="1CAA426D" w14:textId="77777777" w:rsidTr="002835F8">
        <w:tc>
          <w:tcPr>
            <w:tcW w:w="9180" w:type="dxa"/>
            <w:shd w:val="clear" w:color="auto" w:fill="auto"/>
          </w:tcPr>
          <w:p w14:paraId="3062E8A3" w14:textId="77777777" w:rsidR="00557E6B" w:rsidRDefault="00427C3D" w:rsidP="002353D4">
            <w:pPr>
              <w:jc w:val="both"/>
              <w:rPr>
                <w:rFonts w:ascii="Arial" w:hAnsi="Arial" w:cs="Arial"/>
                <w:b/>
                <w:bCs/>
                <w:sz w:val="24"/>
                <w:szCs w:val="24"/>
              </w:rPr>
            </w:pPr>
            <w:r>
              <w:rPr>
                <w:rFonts w:ascii="Arial" w:hAnsi="Arial" w:cs="Arial"/>
                <w:b/>
                <w:bCs/>
                <w:sz w:val="24"/>
                <w:szCs w:val="24"/>
              </w:rPr>
              <w:t>New Sub Fund – Sustainable Equity</w:t>
            </w:r>
          </w:p>
          <w:p w14:paraId="5D837D85" w14:textId="77777777" w:rsidR="00427C3D" w:rsidRDefault="00427C3D" w:rsidP="002353D4">
            <w:pPr>
              <w:jc w:val="both"/>
              <w:rPr>
                <w:rFonts w:ascii="Arial" w:hAnsi="Arial" w:cs="Arial"/>
                <w:b/>
                <w:bCs/>
                <w:sz w:val="24"/>
                <w:szCs w:val="24"/>
              </w:rPr>
            </w:pPr>
          </w:p>
          <w:p w14:paraId="18733C06" w14:textId="77777777" w:rsidR="00C93CCC" w:rsidRPr="00F30483" w:rsidRDefault="00C93CCC" w:rsidP="002353D4">
            <w:pPr>
              <w:jc w:val="both"/>
              <w:rPr>
                <w:rFonts w:ascii="Arial" w:hAnsi="Arial" w:cs="Arial"/>
                <w:sz w:val="24"/>
                <w:szCs w:val="24"/>
              </w:rPr>
            </w:pPr>
            <w:r w:rsidRPr="00F30483">
              <w:rPr>
                <w:rFonts w:ascii="Arial" w:hAnsi="Arial" w:cs="Arial"/>
                <w:sz w:val="24"/>
                <w:szCs w:val="24"/>
              </w:rPr>
              <w:t>Russell Investments</w:t>
            </w:r>
            <w:r w:rsidR="00D52401">
              <w:rPr>
                <w:rFonts w:ascii="Arial" w:hAnsi="Arial" w:cs="Arial"/>
                <w:sz w:val="24"/>
                <w:szCs w:val="24"/>
              </w:rPr>
              <w:t>, the funds appointed Investment Managers</w:t>
            </w:r>
            <w:r w:rsidRPr="00F30483">
              <w:rPr>
                <w:rFonts w:ascii="Arial" w:hAnsi="Arial" w:cs="Arial"/>
                <w:sz w:val="24"/>
                <w:szCs w:val="24"/>
              </w:rPr>
              <w:t xml:space="preserve"> </w:t>
            </w:r>
            <w:r w:rsidR="00F855FA" w:rsidRPr="00F30483">
              <w:rPr>
                <w:rFonts w:ascii="Arial" w:hAnsi="Arial" w:cs="Arial"/>
                <w:sz w:val="24"/>
                <w:szCs w:val="24"/>
              </w:rPr>
              <w:t>were tasked in 2021/22 to build</w:t>
            </w:r>
            <w:r w:rsidRPr="00F30483">
              <w:rPr>
                <w:rFonts w:ascii="Arial" w:hAnsi="Arial" w:cs="Arial"/>
                <w:sz w:val="24"/>
                <w:szCs w:val="24"/>
              </w:rPr>
              <w:t xml:space="preserve"> a </w:t>
            </w:r>
            <w:r w:rsidR="00F855FA" w:rsidRPr="00F30483">
              <w:rPr>
                <w:rFonts w:ascii="Arial" w:hAnsi="Arial" w:cs="Arial"/>
                <w:sz w:val="24"/>
                <w:szCs w:val="24"/>
              </w:rPr>
              <w:t xml:space="preserve">bespoke </w:t>
            </w:r>
            <w:r w:rsidRPr="00F30483">
              <w:rPr>
                <w:rFonts w:ascii="Arial" w:hAnsi="Arial" w:cs="Arial"/>
                <w:sz w:val="24"/>
                <w:szCs w:val="24"/>
              </w:rPr>
              <w:t>sustainable equity sub-fund to provide a framework for WPP’s proposed exclusions to include</w:t>
            </w:r>
            <w:r w:rsidR="00F855FA" w:rsidRPr="00F30483">
              <w:rPr>
                <w:rFonts w:ascii="Arial" w:hAnsi="Arial" w:cs="Arial"/>
                <w:sz w:val="24"/>
                <w:szCs w:val="24"/>
              </w:rPr>
              <w:t>:</w:t>
            </w:r>
          </w:p>
          <w:p w14:paraId="17D26A74" w14:textId="77777777" w:rsidR="00C93CCC" w:rsidRPr="00F30483" w:rsidRDefault="00C93CCC" w:rsidP="002353D4">
            <w:pPr>
              <w:jc w:val="both"/>
              <w:rPr>
                <w:rFonts w:ascii="Arial" w:hAnsi="Arial" w:cs="Arial"/>
                <w:sz w:val="24"/>
                <w:szCs w:val="24"/>
              </w:rPr>
            </w:pPr>
          </w:p>
          <w:p w14:paraId="7E4AA76C" w14:textId="77777777" w:rsidR="00C93CCC" w:rsidRPr="00F30483" w:rsidRDefault="00C93CCC" w:rsidP="0073304A">
            <w:pPr>
              <w:numPr>
                <w:ilvl w:val="0"/>
                <w:numId w:val="123"/>
              </w:numPr>
              <w:jc w:val="both"/>
              <w:rPr>
                <w:rFonts w:ascii="Arial" w:hAnsi="Arial" w:cs="Arial"/>
                <w:sz w:val="24"/>
                <w:szCs w:val="24"/>
              </w:rPr>
            </w:pPr>
            <w:r w:rsidRPr="00F30483">
              <w:rPr>
                <w:rFonts w:ascii="Arial" w:hAnsi="Arial" w:cs="Arial"/>
                <w:sz w:val="24"/>
                <w:szCs w:val="24"/>
              </w:rPr>
              <w:t>Diversified fund exposure</w:t>
            </w:r>
          </w:p>
          <w:p w14:paraId="1105DEC9" w14:textId="77777777" w:rsidR="00C93CCC" w:rsidRPr="00F30483" w:rsidRDefault="00C93CCC" w:rsidP="0073304A">
            <w:pPr>
              <w:numPr>
                <w:ilvl w:val="0"/>
                <w:numId w:val="123"/>
              </w:numPr>
              <w:jc w:val="both"/>
              <w:rPr>
                <w:rFonts w:ascii="Arial" w:hAnsi="Arial" w:cs="Arial"/>
                <w:sz w:val="24"/>
                <w:szCs w:val="24"/>
              </w:rPr>
            </w:pPr>
            <w:r w:rsidRPr="00F30483">
              <w:rPr>
                <w:rFonts w:ascii="Arial" w:hAnsi="Arial" w:cs="Arial"/>
                <w:sz w:val="24"/>
                <w:szCs w:val="24"/>
              </w:rPr>
              <w:t>Alignment to WPP sustainability goals including Net Zero alignment and a clear climate focus.</w:t>
            </w:r>
          </w:p>
          <w:p w14:paraId="294084EF" w14:textId="77777777" w:rsidR="00F30483" w:rsidRPr="00F30483" w:rsidRDefault="00F30483" w:rsidP="0073304A">
            <w:pPr>
              <w:numPr>
                <w:ilvl w:val="0"/>
                <w:numId w:val="123"/>
              </w:numPr>
              <w:jc w:val="both"/>
              <w:rPr>
                <w:rFonts w:ascii="Arial" w:hAnsi="Arial" w:cs="Arial"/>
                <w:sz w:val="24"/>
                <w:szCs w:val="24"/>
              </w:rPr>
            </w:pPr>
            <w:r w:rsidRPr="00F30483">
              <w:rPr>
                <w:rFonts w:ascii="Arial" w:hAnsi="Arial" w:cs="Arial"/>
                <w:sz w:val="24"/>
                <w:szCs w:val="24"/>
              </w:rPr>
              <w:t>Multi-channel approach to engagement and commitment to deliver reporting outcomes aligned with the Sustainable Development Goals (SDGs).</w:t>
            </w:r>
          </w:p>
          <w:p w14:paraId="2B389C58" w14:textId="77777777" w:rsidR="00F855FA" w:rsidRPr="00F30483" w:rsidRDefault="00F30483" w:rsidP="0073304A">
            <w:pPr>
              <w:numPr>
                <w:ilvl w:val="0"/>
                <w:numId w:val="123"/>
              </w:numPr>
              <w:jc w:val="both"/>
              <w:rPr>
                <w:rFonts w:ascii="Arial" w:hAnsi="Arial" w:cs="Arial"/>
                <w:sz w:val="24"/>
                <w:szCs w:val="24"/>
              </w:rPr>
            </w:pPr>
            <w:r w:rsidRPr="00F30483">
              <w:rPr>
                <w:rFonts w:ascii="Arial" w:hAnsi="Arial" w:cs="Arial"/>
                <w:sz w:val="24"/>
                <w:szCs w:val="24"/>
              </w:rPr>
              <w:t>To offer flexibility to evolve as the WPP’s requirements change, or as the sustainable themes develop further. Utilising Russell’s Enhanced Portfolio</w:t>
            </w:r>
            <w:r>
              <w:rPr>
                <w:rFonts w:ascii="Arial" w:hAnsi="Arial" w:cs="Arial"/>
                <w:sz w:val="24"/>
                <w:szCs w:val="24"/>
              </w:rPr>
              <w:t xml:space="preserve"> </w:t>
            </w:r>
            <w:r w:rsidRPr="00F30483">
              <w:rPr>
                <w:rFonts w:ascii="Arial" w:hAnsi="Arial" w:cs="Arial"/>
                <w:sz w:val="24"/>
                <w:szCs w:val="24"/>
              </w:rPr>
              <w:t>Implementation (EPI).</w:t>
            </w:r>
          </w:p>
          <w:p w14:paraId="35D29571" w14:textId="77777777" w:rsidR="00F30483" w:rsidRPr="00F30483" w:rsidRDefault="00F30483" w:rsidP="00F30483">
            <w:pPr>
              <w:jc w:val="both"/>
              <w:rPr>
                <w:rFonts w:ascii="Arial" w:hAnsi="Arial" w:cs="Arial"/>
                <w:sz w:val="24"/>
                <w:szCs w:val="24"/>
              </w:rPr>
            </w:pPr>
          </w:p>
          <w:p w14:paraId="6ABBCFBD" w14:textId="77777777" w:rsidR="00F855FA" w:rsidRPr="00F855FA" w:rsidRDefault="00F855FA" w:rsidP="00F855FA">
            <w:pPr>
              <w:jc w:val="both"/>
              <w:rPr>
                <w:rFonts w:ascii="Arial" w:hAnsi="Arial" w:cs="Arial"/>
                <w:sz w:val="24"/>
                <w:szCs w:val="24"/>
              </w:rPr>
            </w:pPr>
            <w:r w:rsidRPr="00F30483">
              <w:rPr>
                <w:rFonts w:ascii="Arial" w:hAnsi="Arial" w:cs="Arial"/>
                <w:sz w:val="24"/>
                <w:szCs w:val="24"/>
              </w:rPr>
              <w:t>The final proposed sub-fund structure was</w:t>
            </w:r>
            <w:r>
              <w:rPr>
                <w:rFonts w:ascii="Arial" w:hAnsi="Arial" w:cs="Arial"/>
                <w:sz w:val="24"/>
                <w:szCs w:val="24"/>
              </w:rPr>
              <w:t xml:space="preserve"> discussed at OWG in May 22 and will be taken to JGC in July 22 for approval.</w:t>
            </w:r>
          </w:p>
          <w:p w14:paraId="421D6EA3" w14:textId="77777777" w:rsidR="00427C3D" w:rsidRPr="00AF7BEA" w:rsidRDefault="00427C3D" w:rsidP="002353D4">
            <w:pPr>
              <w:jc w:val="both"/>
              <w:rPr>
                <w:rFonts w:ascii="Arial" w:hAnsi="Arial" w:cs="Arial"/>
                <w:b/>
                <w:bCs/>
                <w:sz w:val="24"/>
                <w:szCs w:val="24"/>
              </w:rPr>
            </w:pPr>
          </w:p>
          <w:p w14:paraId="7E2A290B" w14:textId="77777777" w:rsidR="002353D4" w:rsidRPr="00AF7BEA" w:rsidRDefault="002353D4" w:rsidP="002353D4">
            <w:pPr>
              <w:jc w:val="both"/>
              <w:rPr>
                <w:rFonts w:ascii="Arial" w:hAnsi="Arial" w:cs="Arial"/>
                <w:b/>
                <w:bCs/>
                <w:sz w:val="24"/>
                <w:szCs w:val="24"/>
              </w:rPr>
            </w:pPr>
            <w:r w:rsidRPr="00AF7BEA">
              <w:rPr>
                <w:rFonts w:ascii="Arial" w:hAnsi="Arial" w:cs="Arial"/>
                <w:b/>
                <w:bCs/>
                <w:sz w:val="24"/>
                <w:szCs w:val="24"/>
              </w:rPr>
              <w:t>Other Matters</w:t>
            </w:r>
          </w:p>
          <w:p w14:paraId="3275964A" w14:textId="77777777" w:rsidR="002353D4" w:rsidRPr="00AF7BEA" w:rsidRDefault="002353D4" w:rsidP="002353D4">
            <w:pPr>
              <w:jc w:val="both"/>
              <w:rPr>
                <w:rFonts w:ascii="Arial" w:hAnsi="Arial" w:cs="Arial"/>
                <w:b/>
                <w:bCs/>
                <w:sz w:val="24"/>
                <w:szCs w:val="24"/>
              </w:rPr>
            </w:pPr>
          </w:p>
          <w:p w14:paraId="64136222" w14:textId="77777777" w:rsidR="002835F8" w:rsidRPr="00AF7BEA" w:rsidRDefault="002835F8" w:rsidP="002353D4">
            <w:pPr>
              <w:jc w:val="both"/>
              <w:rPr>
                <w:rFonts w:ascii="Arial" w:hAnsi="Arial" w:cs="Arial"/>
                <w:b/>
                <w:bCs/>
                <w:sz w:val="24"/>
                <w:szCs w:val="24"/>
              </w:rPr>
            </w:pPr>
            <w:r w:rsidRPr="00AF7BEA">
              <w:rPr>
                <w:rFonts w:ascii="Arial" w:hAnsi="Arial" w:cs="Arial"/>
                <w:b/>
                <w:bCs/>
                <w:sz w:val="24"/>
                <w:szCs w:val="24"/>
              </w:rPr>
              <w:t>UK Stewardship Code</w:t>
            </w:r>
          </w:p>
          <w:p w14:paraId="56A8969B" w14:textId="77777777" w:rsidR="002835F8" w:rsidRPr="00AF7BEA" w:rsidRDefault="002835F8" w:rsidP="002353D4">
            <w:pPr>
              <w:jc w:val="both"/>
              <w:rPr>
                <w:rFonts w:ascii="Arial" w:hAnsi="Arial" w:cs="Arial"/>
                <w:b/>
                <w:bCs/>
                <w:sz w:val="24"/>
                <w:szCs w:val="24"/>
              </w:rPr>
            </w:pPr>
          </w:p>
          <w:p w14:paraId="1CA69380" w14:textId="77777777" w:rsidR="002835F8" w:rsidRDefault="002835F8" w:rsidP="00F2730D">
            <w:pPr>
              <w:jc w:val="both"/>
              <w:rPr>
                <w:rFonts w:ascii="Arial" w:hAnsi="Arial" w:cs="Arial"/>
                <w:sz w:val="24"/>
                <w:szCs w:val="24"/>
              </w:rPr>
            </w:pPr>
            <w:r w:rsidRPr="00AF7BEA">
              <w:rPr>
                <w:rFonts w:ascii="Arial" w:hAnsi="Arial" w:cs="Arial"/>
                <w:sz w:val="24"/>
                <w:szCs w:val="24"/>
              </w:rPr>
              <w:t>It was announced in March 2022 that Wales Pension Partnership bec</w:t>
            </w:r>
            <w:r w:rsidR="00557E6B" w:rsidRPr="00AF7BEA">
              <w:rPr>
                <w:rFonts w:ascii="Arial" w:hAnsi="Arial" w:cs="Arial"/>
                <w:sz w:val="24"/>
                <w:szCs w:val="24"/>
              </w:rPr>
              <w:t>a</w:t>
            </w:r>
            <w:r w:rsidRPr="00AF7BEA">
              <w:rPr>
                <w:rFonts w:ascii="Arial" w:hAnsi="Arial" w:cs="Arial"/>
                <w:sz w:val="24"/>
                <w:szCs w:val="24"/>
              </w:rPr>
              <w:t>me a signatory to the UK Stewardship Code.</w:t>
            </w:r>
          </w:p>
          <w:p w14:paraId="3D754B26" w14:textId="77777777" w:rsidR="00135E52" w:rsidRPr="00AF7BEA" w:rsidRDefault="00135E52" w:rsidP="00135E52">
            <w:pPr>
              <w:jc w:val="both"/>
              <w:rPr>
                <w:rFonts w:ascii="Arial" w:hAnsi="Arial" w:cs="Arial"/>
                <w:color w:val="0F2734"/>
              </w:rPr>
            </w:pPr>
          </w:p>
          <w:p w14:paraId="57D0CCBE" w14:textId="77777777" w:rsidR="002835F8" w:rsidRPr="00135E52" w:rsidRDefault="00516E75" w:rsidP="002835F8">
            <w:pPr>
              <w:pStyle w:val="NormalWeb"/>
              <w:shd w:val="clear" w:color="auto" w:fill="FFFFFF"/>
              <w:spacing w:before="0" w:after="0" w:line="336" w:lineRule="atLeast"/>
              <w:rPr>
                <w:rFonts w:ascii="Arial" w:hAnsi="Arial" w:cs="Arial"/>
                <w:color w:val="2F5496"/>
              </w:rPr>
            </w:pPr>
            <w:hyperlink r:id="rId18" w:history="1">
              <w:r w:rsidR="002835F8" w:rsidRPr="00135E52">
                <w:rPr>
                  <w:rStyle w:val="Hyperlink"/>
                  <w:rFonts w:ascii="Arial" w:hAnsi="Arial" w:cs="Arial"/>
                  <w:color w:val="2F5496"/>
                </w:rPr>
                <w:t>https://www.frc.org.uk/investors/uk-stewardship-code/uk-stewardship-code-signatories</w:t>
              </w:r>
            </w:hyperlink>
          </w:p>
          <w:p w14:paraId="004B69FF" w14:textId="77777777" w:rsidR="002835F8" w:rsidRPr="00AF7BEA" w:rsidRDefault="002835F8" w:rsidP="002835F8">
            <w:pPr>
              <w:pStyle w:val="NormalWeb"/>
              <w:shd w:val="clear" w:color="auto" w:fill="FFFFFF"/>
              <w:spacing w:before="0" w:after="0" w:line="336" w:lineRule="atLeast"/>
              <w:rPr>
                <w:rFonts w:ascii="Arial" w:hAnsi="Arial" w:cs="Arial"/>
                <w:color w:val="0F2734"/>
              </w:rPr>
            </w:pPr>
          </w:p>
          <w:p w14:paraId="682E0E5C" w14:textId="77777777" w:rsidR="002835F8" w:rsidRPr="00AF7BEA" w:rsidRDefault="002835F8" w:rsidP="00F2730D">
            <w:pPr>
              <w:pStyle w:val="NormalWeb"/>
              <w:shd w:val="clear" w:color="auto" w:fill="FFFFFF"/>
              <w:spacing w:before="0" w:after="0" w:line="0" w:lineRule="atLeast"/>
              <w:jc w:val="both"/>
              <w:rPr>
                <w:rFonts w:ascii="Arial" w:hAnsi="Arial" w:cs="Arial"/>
              </w:rPr>
            </w:pPr>
            <w:r w:rsidRPr="00AF7BEA">
              <w:rPr>
                <w:rFonts w:ascii="Arial" w:hAnsi="Arial" w:cs="Arial"/>
              </w:rPr>
              <w:t>The 2020 UK Stewardship Code sets a high bar for stewardship, a standard to which the WPP sought to meet through its approach to responsible investment. The WPP is therefore delighted to be recognised as a signatory to the Code. </w:t>
            </w:r>
          </w:p>
          <w:p w14:paraId="49E9DE80" w14:textId="77777777" w:rsidR="002835F8" w:rsidRPr="00AF7BEA" w:rsidRDefault="002835F8" w:rsidP="00F2730D">
            <w:pPr>
              <w:pStyle w:val="NormalWeb"/>
              <w:shd w:val="clear" w:color="auto" w:fill="FFFFFF"/>
              <w:spacing w:before="0" w:after="0" w:line="0" w:lineRule="atLeast"/>
              <w:jc w:val="both"/>
              <w:rPr>
                <w:rFonts w:ascii="Arial" w:hAnsi="Arial" w:cs="Arial"/>
                <w:szCs w:val="24"/>
              </w:rPr>
            </w:pPr>
            <w:r w:rsidRPr="00AF7BEA">
              <w:rPr>
                <w:rFonts w:ascii="Arial" w:hAnsi="Arial" w:cs="Arial"/>
                <w:szCs w:val="24"/>
              </w:rPr>
              <w:t>The report for the year ending 31 March 2021 covered the first step on WPP’s journey, a year when WPP put in place solid foundations through the appointment of Robeco as a stewardship provider, the establishment of our Responsible Investment Sub-Group and began the process of ensuring that our policy commitments were implemented.  WPP also worked closely with Link Fund Solutions and Russell Investments during the year to develop and implement an innovative decarbonisation strategy for our Global Opportunities Fund, a process that we have since sought to extend to our other Sub-Funds.</w:t>
            </w:r>
          </w:p>
          <w:p w14:paraId="2C09BF20" w14:textId="77777777" w:rsidR="002835F8" w:rsidRPr="00AF7BEA" w:rsidRDefault="002835F8" w:rsidP="002353D4">
            <w:pPr>
              <w:jc w:val="both"/>
              <w:rPr>
                <w:rFonts w:ascii="Arial" w:hAnsi="Arial" w:cs="Arial"/>
                <w:b/>
                <w:bCs/>
                <w:sz w:val="24"/>
                <w:szCs w:val="24"/>
              </w:rPr>
            </w:pPr>
          </w:p>
          <w:p w14:paraId="0CF5F450" w14:textId="77777777" w:rsidR="00F2730D" w:rsidRDefault="00F2730D" w:rsidP="002353D4">
            <w:pPr>
              <w:jc w:val="both"/>
              <w:rPr>
                <w:rFonts w:ascii="Arial" w:hAnsi="Arial" w:cs="Arial"/>
                <w:b/>
                <w:bCs/>
                <w:sz w:val="24"/>
                <w:szCs w:val="24"/>
              </w:rPr>
            </w:pPr>
          </w:p>
          <w:p w14:paraId="52AA51B1" w14:textId="77777777" w:rsidR="00F2730D" w:rsidRDefault="00F2730D" w:rsidP="002353D4">
            <w:pPr>
              <w:jc w:val="both"/>
              <w:rPr>
                <w:rFonts w:ascii="Arial" w:hAnsi="Arial" w:cs="Arial"/>
                <w:b/>
                <w:bCs/>
                <w:sz w:val="24"/>
                <w:szCs w:val="24"/>
              </w:rPr>
            </w:pPr>
          </w:p>
          <w:p w14:paraId="6B0CC8B7" w14:textId="77777777" w:rsidR="002835F8" w:rsidRPr="00AF7BEA" w:rsidRDefault="002835F8" w:rsidP="002353D4">
            <w:pPr>
              <w:jc w:val="both"/>
              <w:rPr>
                <w:rFonts w:ascii="Arial" w:hAnsi="Arial" w:cs="Arial"/>
                <w:b/>
                <w:bCs/>
                <w:sz w:val="24"/>
                <w:szCs w:val="24"/>
              </w:rPr>
            </w:pPr>
            <w:r w:rsidRPr="00AF7BEA">
              <w:rPr>
                <w:rFonts w:ascii="Arial" w:hAnsi="Arial" w:cs="Arial"/>
                <w:b/>
                <w:bCs/>
                <w:sz w:val="24"/>
                <w:szCs w:val="24"/>
              </w:rPr>
              <w:lastRenderedPageBreak/>
              <w:t>JGC Scheme Member Representative</w:t>
            </w:r>
          </w:p>
          <w:p w14:paraId="647D1761" w14:textId="77777777" w:rsidR="002835F8" w:rsidRPr="00AF7BEA" w:rsidRDefault="002835F8" w:rsidP="002353D4">
            <w:pPr>
              <w:jc w:val="both"/>
              <w:rPr>
                <w:rFonts w:ascii="Arial" w:hAnsi="Arial" w:cs="Arial"/>
                <w:sz w:val="24"/>
                <w:szCs w:val="24"/>
              </w:rPr>
            </w:pPr>
          </w:p>
          <w:p w14:paraId="2DF6CAAB" w14:textId="77777777" w:rsidR="002353D4" w:rsidRPr="00AF7BEA" w:rsidRDefault="002353D4" w:rsidP="002353D4">
            <w:pPr>
              <w:jc w:val="both"/>
              <w:rPr>
                <w:rFonts w:ascii="Arial" w:hAnsi="Arial" w:cs="Arial"/>
                <w:sz w:val="24"/>
                <w:szCs w:val="24"/>
              </w:rPr>
            </w:pPr>
            <w:r w:rsidRPr="00AF7BEA">
              <w:rPr>
                <w:rFonts w:ascii="Arial" w:hAnsi="Arial" w:cs="Arial"/>
                <w:sz w:val="24"/>
                <w:szCs w:val="24"/>
              </w:rPr>
              <w:t>In November 2021, the Inter Authority Agreement was amended to reflect the changes required to support the appointment of Scheme Member JGC representatives.</w:t>
            </w:r>
          </w:p>
          <w:p w14:paraId="6FC9C135" w14:textId="77777777" w:rsidR="002353D4" w:rsidRPr="00AF7BEA" w:rsidRDefault="002353D4" w:rsidP="002353D4">
            <w:pPr>
              <w:jc w:val="both"/>
              <w:rPr>
                <w:rFonts w:ascii="Arial" w:hAnsi="Arial" w:cs="Arial"/>
                <w:sz w:val="24"/>
                <w:szCs w:val="24"/>
              </w:rPr>
            </w:pPr>
          </w:p>
          <w:p w14:paraId="2A060C36" w14:textId="77777777" w:rsidR="002353D4" w:rsidRPr="00AF7BEA" w:rsidRDefault="002353D4" w:rsidP="002353D4">
            <w:pPr>
              <w:jc w:val="both"/>
              <w:rPr>
                <w:rFonts w:ascii="Arial" w:hAnsi="Arial" w:cs="Arial"/>
                <w:sz w:val="24"/>
                <w:szCs w:val="24"/>
              </w:rPr>
            </w:pPr>
            <w:r w:rsidRPr="00AF7BEA">
              <w:rPr>
                <w:rFonts w:ascii="Arial" w:hAnsi="Arial" w:cs="Arial"/>
                <w:sz w:val="24"/>
                <w:szCs w:val="24"/>
              </w:rPr>
              <w:t xml:space="preserve">The interviews took place in February 2022 and </w:t>
            </w:r>
            <w:r w:rsidR="002835F8" w:rsidRPr="00AF7BEA">
              <w:rPr>
                <w:rFonts w:ascii="Arial" w:hAnsi="Arial" w:cs="Arial"/>
                <w:sz w:val="24"/>
                <w:szCs w:val="24"/>
              </w:rPr>
              <w:t>the following appointments were made :</w:t>
            </w:r>
          </w:p>
          <w:p w14:paraId="450F3421" w14:textId="77777777" w:rsidR="002835F8" w:rsidRPr="00AF7BEA" w:rsidRDefault="002835F8" w:rsidP="002353D4">
            <w:pPr>
              <w:jc w:val="both"/>
              <w:rPr>
                <w:rFonts w:ascii="Arial" w:hAnsi="Arial" w:cs="Arial"/>
                <w:sz w:val="24"/>
                <w:szCs w:val="24"/>
              </w:rPr>
            </w:pPr>
          </w:p>
          <w:p w14:paraId="734FBEE3" w14:textId="77777777" w:rsidR="002835F8" w:rsidRPr="00AF7BEA" w:rsidRDefault="002835F8" w:rsidP="002353D4">
            <w:pPr>
              <w:jc w:val="both"/>
              <w:rPr>
                <w:rFonts w:ascii="Arial" w:hAnsi="Arial" w:cs="Arial"/>
                <w:sz w:val="24"/>
                <w:szCs w:val="24"/>
              </w:rPr>
            </w:pPr>
            <w:r w:rsidRPr="00AF7BEA">
              <w:rPr>
                <w:rFonts w:ascii="Arial" w:hAnsi="Arial" w:cs="Arial"/>
                <w:sz w:val="24"/>
                <w:szCs w:val="24"/>
              </w:rPr>
              <w:t>SMR – Osian Richards</w:t>
            </w:r>
          </w:p>
          <w:p w14:paraId="555AEFB1" w14:textId="77777777" w:rsidR="002835F8" w:rsidRPr="00AF7BEA" w:rsidRDefault="002835F8" w:rsidP="002353D4">
            <w:pPr>
              <w:jc w:val="both"/>
              <w:rPr>
                <w:rFonts w:ascii="Arial" w:hAnsi="Arial" w:cs="Arial"/>
                <w:sz w:val="24"/>
                <w:szCs w:val="24"/>
              </w:rPr>
            </w:pPr>
            <w:r w:rsidRPr="00AF7BEA">
              <w:rPr>
                <w:rFonts w:ascii="Arial" w:hAnsi="Arial" w:cs="Arial"/>
                <w:sz w:val="24"/>
                <w:szCs w:val="24"/>
              </w:rPr>
              <w:t>Deputy SMR – Ian Guy</w:t>
            </w:r>
          </w:p>
        </w:tc>
      </w:tr>
    </w:tbl>
    <w:p w14:paraId="4AC3235E" w14:textId="77777777" w:rsidR="00F855FA" w:rsidRDefault="00F855FA" w:rsidP="00322D5E">
      <w:pPr>
        <w:jc w:val="both"/>
        <w:rPr>
          <w:rFonts w:ascii="Arial" w:eastAsia="Calibri" w:hAnsi="Arial" w:cs="Arial"/>
          <w:sz w:val="24"/>
          <w:szCs w:val="24"/>
        </w:rPr>
      </w:pPr>
    </w:p>
    <w:p w14:paraId="3B30A9D6" w14:textId="77777777" w:rsidR="00F855FA" w:rsidRPr="00F855FA" w:rsidRDefault="00F855FA" w:rsidP="00322D5E">
      <w:pPr>
        <w:jc w:val="both"/>
        <w:rPr>
          <w:rFonts w:ascii="Arial" w:eastAsia="Calibri" w:hAnsi="Arial" w:cs="Arial"/>
          <w:b/>
          <w:bCs/>
          <w:sz w:val="24"/>
          <w:szCs w:val="24"/>
        </w:rPr>
      </w:pPr>
    </w:p>
    <w:p w14:paraId="54F044AB" w14:textId="77777777" w:rsidR="00D52401" w:rsidRDefault="00D52401" w:rsidP="00D52401">
      <w:pPr>
        <w:jc w:val="both"/>
        <w:rPr>
          <w:rFonts w:ascii="Arial" w:hAnsi="Arial" w:cs="Arial"/>
          <w:b/>
          <w:bCs/>
          <w:sz w:val="24"/>
          <w:szCs w:val="24"/>
        </w:rPr>
      </w:pPr>
      <w:r w:rsidRPr="00B912D5">
        <w:rPr>
          <w:rFonts w:ascii="Arial" w:hAnsi="Arial" w:cs="Arial"/>
          <w:b/>
          <w:bCs/>
          <w:sz w:val="24"/>
          <w:szCs w:val="24"/>
        </w:rPr>
        <w:t>Training</w:t>
      </w:r>
    </w:p>
    <w:p w14:paraId="20872A5E" w14:textId="77777777" w:rsidR="00D52401" w:rsidRPr="00B912D5" w:rsidRDefault="00D52401" w:rsidP="00D52401">
      <w:pPr>
        <w:jc w:val="both"/>
        <w:rPr>
          <w:rFonts w:ascii="Arial" w:hAnsi="Arial" w:cs="Arial"/>
          <w:b/>
          <w:bCs/>
          <w:sz w:val="24"/>
          <w:szCs w:val="24"/>
        </w:rPr>
      </w:pPr>
    </w:p>
    <w:p w14:paraId="7C710E3E" w14:textId="77777777" w:rsidR="00D52401" w:rsidRPr="008F24CB" w:rsidRDefault="00D52401" w:rsidP="00D52401">
      <w:pPr>
        <w:pStyle w:val="BodyTextGrey"/>
        <w:spacing w:line="240" w:lineRule="auto"/>
        <w:jc w:val="both"/>
        <w:rPr>
          <w:rFonts w:eastAsia="Calibri"/>
          <w:iCs w:val="0"/>
          <w:color w:val="auto"/>
          <w:sz w:val="24"/>
          <w:szCs w:val="24"/>
        </w:rPr>
      </w:pPr>
      <w:r w:rsidRPr="008F24CB">
        <w:rPr>
          <w:rFonts w:eastAsia="Calibri"/>
          <w:iCs w:val="0"/>
          <w:color w:val="auto"/>
          <w:sz w:val="24"/>
          <w:szCs w:val="24"/>
        </w:rPr>
        <w:t xml:space="preserve">The WPP has its own training policy and develops an annual training plan which is designed to supplement existing Constituent Authority training plans. Local level training needs will continue to be addressed by Constituent Authorities while the WPP training plan will offer training that is relevant to the WPP’s pooling activities. </w:t>
      </w:r>
    </w:p>
    <w:p w14:paraId="183C6646" w14:textId="77777777" w:rsidR="00F855FA" w:rsidRPr="00F855FA" w:rsidRDefault="00F855FA" w:rsidP="00322D5E">
      <w:pPr>
        <w:jc w:val="both"/>
        <w:rPr>
          <w:rFonts w:ascii="Arial" w:hAnsi="Arial" w:cs="Arial"/>
          <w:sz w:val="24"/>
          <w:szCs w:val="24"/>
        </w:rPr>
      </w:pPr>
      <w:r w:rsidRPr="00F855FA">
        <w:rPr>
          <w:rFonts w:ascii="Arial" w:hAnsi="Arial" w:cs="Arial"/>
          <w:sz w:val="24"/>
          <w:szCs w:val="24"/>
        </w:rPr>
        <w:t>It is best practice for WPP personnel to have appropriate knowledge and understanding of:</w:t>
      </w:r>
    </w:p>
    <w:p w14:paraId="602C47BF" w14:textId="77777777" w:rsidR="00F855FA" w:rsidRPr="00F855FA" w:rsidRDefault="00F855FA" w:rsidP="00322D5E">
      <w:pPr>
        <w:jc w:val="both"/>
        <w:rPr>
          <w:rFonts w:ascii="Arial" w:hAnsi="Arial" w:cs="Arial"/>
          <w:sz w:val="24"/>
          <w:szCs w:val="24"/>
        </w:rPr>
      </w:pPr>
    </w:p>
    <w:p w14:paraId="1DC94CB2" w14:textId="77777777" w:rsidR="00F855FA" w:rsidRPr="00F855FA" w:rsidRDefault="00F855FA" w:rsidP="00322D5E">
      <w:pPr>
        <w:jc w:val="both"/>
        <w:rPr>
          <w:rFonts w:ascii="Arial" w:hAnsi="Arial" w:cs="Arial"/>
          <w:sz w:val="24"/>
          <w:szCs w:val="24"/>
        </w:rPr>
      </w:pPr>
      <w:r w:rsidRPr="00F855FA">
        <w:rPr>
          <w:rFonts w:ascii="Arial" w:hAnsi="Arial" w:cs="Arial"/>
          <w:sz w:val="24"/>
          <w:szCs w:val="24"/>
        </w:rPr>
        <w:t xml:space="preserve">- the regulations and markets relating to pensions; </w:t>
      </w:r>
    </w:p>
    <w:p w14:paraId="4E900821" w14:textId="77777777" w:rsidR="00F855FA" w:rsidRPr="00F855FA" w:rsidRDefault="00F855FA" w:rsidP="00322D5E">
      <w:pPr>
        <w:jc w:val="both"/>
        <w:rPr>
          <w:rFonts w:ascii="Arial" w:hAnsi="Arial" w:cs="Arial"/>
          <w:sz w:val="24"/>
          <w:szCs w:val="24"/>
        </w:rPr>
      </w:pPr>
      <w:r w:rsidRPr="00F855FA">
        <w:rPr>
          <w:rFonts w:ascii="Arial" w:hAnsi="Arial" w:cs="Arial"/>
          <w:sz w:val="24"/>
          <w:szCs w:val="24"/>
        </w:rPr>
        <w:t xml:space="preserve">- the pooling of Local Authority Pension Schemes; </w:t>
      </w:r>
    </w:p>
    <w:p w14:paraId="0694AE10" w14:textId="77777777" w:rsidR="00F855FA" w:rsidRDefault="00F855FA" w:rsidP="00322D5E">
      <w:pPr>
        <w:jc w:val="both"/>
        <w:rPr>
          <w:rFonts w:ascii="Arial" w:hAnsi="Arial" w:cs="Arial"/>
          <w:sz w:val="24"/>
          <w:szCs w:val="24"/>
        </w:rPr>
      </w:pPr>
      <w:r w:rsidRPr="00F855FA">
        <w:rPr>
          <w:rFonts w:ascii="Arial" w:hAnsi="Arial" w:cs="Arial"/>
          <w:sz w:val="24"/>
          <w:szCs w:val="24"/>
        </w:rPr>
        <w:t>- relevant investment opportunities.</w:t>
      </w:r>
    </w:p>
    <w:p w14:paraId="10E647A6" w14:textId="77777777" w:rsidR="00F855FA" w:rsidRPr="00F855FA" w:rsidRDefault="00F855FA" w:rsidP="00322D5E">
      <w:pPr>
        <w:jc w:val="both"/>
        <w:rPr>
          <w:rFonts w:ascii="Arial" w:eastAsia="Calibri" w:hAnsi="Arial" w:cs="Arial"/>
          <w:sz w:val="24"/>
          <w:szCs w:val="24"/>
        </w:rPr>
      </w:pPr>
    </w:p>
    <w:p w14:paraId="6D5768BE" w14:textId="77777777" w:rsidR="00F855FA" w:rsidRPr="00F855FA" w:rsidRDefault="00F855FA" w:rsidP="00322D5E">
      <w:pPr>
        <w:jc w:val="both"/>
        <w:rPr>
          <w:rFonts w:ascii="Arial" w:eastAsia="Calibri" w:hAnsi="Arial" w:cs="Arial"/>
          <w:sz w:val="24"/>
          <w:szCs w:val="24"/>
        </w:rPr>
      </w:pPr>
      <w:r w:rsidRPr="00F855FA">
        <w:rPr>
          <w:rFonts w:ascii="Arial" w:eastAsia="Calibri" w:hAnsi="Arial" w:cs="Arial"/>
          <w:sz w:val="24"/>
          <w:szCs w:val="24"/>
        </w:rPr>
        <w:t>In accordance with the approved training plan, the following training was undertaken by both Committee and Board members during</w:t>
      </w:r>
      <w:r w:rsidR="00D52401">
        <w:rPr>
          <w:rFonts w:ascii="Arial" w:eastAsia="Calibri" w:hAnsi="Arial" w:cs="Arial"/>
          <w:sz w:val="24"/>
          <w:szCs w:val="24"/>
        </w:rPr>
        <w:t xml:space="preserve"> 2021/</w:t>
      </w:r>
      <w:r w:rsidRPr="00F855FA">
        <w:rPr>
          <w:rFonts w:ascii="Arial" w:eastAsia="Calibri" w:hAnsi="Arial" w:cs="Arial"/>
          <w:sz w:val="24"/>
          <w:szCs w:val="24"/>
        </w:rPr>
        <w:t>22.</w:t>
      </w:r>
    </w:p>
    <w:p w14:paraId="4D5A3F21" w14:textId="77777777" w:rsidR="00F855FA" w:rsidRPr="00F855FA" w:rsidRDefault="00F855FA" w:rsidP="00322D5E">
      <w:pPr>
        <w:jc w:val="both"/>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4220"/>
        <w:gridCol w:w="1791"/>
      </w:tblGrid>
      <w:tr w:rsidR="00F855FA" w:rsidRPr="00F855FA" w14:paraId="1536A700" w14:textId="77777777" w:rsidTr="00633457">
        <w:tc>
          <w:tcPr>
            <w:tcW w:w="3005" w:type="dxa"/>
            <w:shd w:val="clear" w:color="auto" w:fill="auto"/>
          </w:tcPr>
          <w:p w14:paraId="1A34A371" w14:textId="77777777" w:rsidR="00F855FA" w:rsidRPr="00F855FA" w:rsidRDefault="00F855FA" w:rsidP="00633457">
            <w:pPr>
              <w:rPr>
                <w:rFonts w:ascii="Arial" w:hAnsi="Arial" w:cs="Arial"/>
                <w:b/>
                <w:bCs/>
                <w:sz w:val="24"/>
                <w:szCs w:val="24"/>
              </w:rPr>
            </w:pPr>
            <w:r w:rsidRPr="00F855FA">
              <w:rPr>
                <w:rFonts w:ascii="Arial" w:hAnsi="Arial" w:cs="Arial"/>
                <w:b/>
                <w:bCs/>
                <w:sz w:val="24"/>
                <w:szCs w:val="24"/>
              </w:rPr>
              <w:t>Topic</w:t>
            </w:r>
          </w:p>
        </w:tc>
        <w:tc>
          <w:tcPr>
            <w:tcW w:w="4220" w:type="dxa"/>
            <w:shd w:val="clear" w:color="auto" w:fill="auto"/>
          </w:tcPr>
          <w:p w14:paraId="706EE058" w14:textId="77777777" w:rsidR="00F855FA" w:rsidRPr="00F855FA" w:rsidRDefault="00F855FA" w:rsidP="00633457">
            <w:pPr>
              <w:rPr>
                <w:rFonts w:ascii="Arial" w:hAnsi="Arial" w:cs="Arial"/>
                <w:b/>
                <w:bCs/>
                <w:sz w:val="24"/>
                <w:szCs w:val="24"/>
              </w:rPr>
            </w:pPr>
            <w:r w:rsidRPr="00F855FA">
              <w:rPr>
                <w:rFonts w:ascii="Arial" w:hAnsi="Arial" w:cs="Arial"/>
                <w:b/>
                <w:bCs/>
                <w:sz w:val="24"/>
                <w:szCs w:val="24"/>
              </w:rPr>
              <w:t>Product Knowledge</w:t>
            </w:r>
          </w:p>
        </w:tc>
        <w:tc>
          <w:tcPr>
            <w:tcW w:w="1791" w:type="dxa"/>
            <w:shd w:val="clear" w:color="auto" w:fill="auto"/>
          </w:tcPr>
          <w:p w14:paraId="68A175F2" w14:textId="77777777" w:rsidR="00F855FA" w:rsidRPr="00F855FA" w:rsidRDefault="00F855FA" w:rsidP="00633457">
            <w:pPr>
              <w:rPr>
                <w:rFonts w:ascii="Arial" w:hAnsi="Arial" w:cs="Arial"/>
                <w:b/>
                <w:bCs/>
                <w:sz w:val="24"/>
                <w:szCs w:val="24"/>
              </w:rPr>
            </w:pPr>
            <w:r w:rsidRPr="00F855FA">
              <w:rPr>
                <w:rFonts w:ascii="Arial" w:hAnsi="Arial" w:cs="Arial"/>
                <w:b/>
                <w:bCs/>
                <w:sz w:val="24"/>
                <w:szCs w:val="24"/>
              </w:rPr>
              <w:t>Date</w:t>
            </w:r>
          </w:p>
        </w:tc>
      </w:tr>
      <w:tr w:rsidR="00F855FA" w:rsidRPr="00F855FA" w14:paraId="158AFBBA" w14:textId="77777777" w:rsidTr="00633457">
        <w:tc>
          <w:tcPr>
            <w:tcW w:w="3005" w:type="dxa"/>
            <w:shd w:val="clear" w:color="auto" w:fill="auto"/>
          </w:tcPr>
          <w:p w14:paraId="6CB1558F" w14:textId="77777777" w:rsidR="00F855FA" w:rsidRPr="00F855FA" w:rsidRDefault="00F855FA" w:rsidP="00633457">
            <w:pPr>
              <w:rPr>
                <w:rFonts w:ascii="Arial" w:hAnsi="Arial" w:cs="Arial"/>
                <w:sz w:val="24"/>
                <w:szCs w:val="24"/>
              </w:rPr>
            </w:pPr>
            <w:r w:rsidRPr="00F855FA">
              <w:rPr>
                <w:rFonts w:ascii="Arial" w:hAnsi="Arial" w:cs="Arial"/>
                <w:sz w:val="24"/>
                <w:szCs w:val="24"/>
              </w:rPr>
              <w:t>Private Markets</w:t>
            </w:r>
          </w:p>
        </w:tc>
        <w:tc>
          <w:tcPr>
            <w:tcW w:w="4220" w:type="dxa"/>
            <w:shd w:val="clear" w:color="auto" w:fill="auto"/>
          </w:tcPr>
          <w:p w14:paraId="6A2C2F61" w14:textId="77777777" w:rsidR="00F855FA" w:rsidRPr="00F855FA" w:rsidRDefault="00F855FA" w:rsidP="00633457">
            <w:pPr>
              <w:rPr>
                <w:rFonts w:ascii="Arial" w:hAnsi="Arial" w:cs="Arial"/>
                <w:sz w:val="24"/>
                <w:szCs w:val="24"/>
              </w:rPr>
            </w:pPr>
            <w:r w:rsidRPr="00F855FA">
              <w:rPr>
                <w:rFonts w:ascii="Arial" w:hAnsi="Arial" w:cs="Arial"/>
                <w:sz w:val="24"/>
                <w:szCs w:val="24"/>
              </w:rPr>
              <w:t>Asset Classes &amp; Implementation, Fund Wrappers &amp; Governance</w:t>
            </w:r>
          </w:p>
        </w:tc>
        <w:tc>
          <w:tcPr>
            <w:tcW w:w="1791" w:type="dxa"/>
            <w:shd w:val="clear" w:color="auto" w:fill="auto"/>
          </w:tcPr>
          <w:p w14:paraId="3C2293C0" w14:textId="77777777" w:rsidR="00F855FA" w:rsidRPr="00F855FA" w:rsidRDefault="00F855FA" w:rsidP="00633457">
            <w:pPr>
              <w:rPr>
                <w:rFonts w:ascii="Arial" w:hAnsi="Arial" w:cs="Arial"/>
                <w:sz w:val="24"/>
                <w:szCs w:val="24"/>
              </w:rPr>
            </w:pPr>
            <w:r w:rsidRPr="00F855FA">
              <w:rPr>
                <w:rFonts w:ascii="Arial" w:hAnsi="Arial" w:cs="Arial"/>
                <w:sz w:val="24"/>
                <w:szCs w:val="24"/>
              </w:rPr>
              <w:t>21/04/2021</w:t>
            </w:r>
          </w:p>
        </w:tc>
      </w:tr>
      <w:tr w:rsidR="00F855FA" w:rsidRPr="00F855FA" w14:paraId="2BC17479" w14:textId="77777777" w:rsidTr="00633457">
        <w:tc>
          <w:tcPr>
            <w:tcW w:w="3005" w:type="dxa"/>
            <w:shd w:val="clear" w:color="auto" w:fill="auto"/>
          </w:tcPr>
          <w:p w14:paraId="0FE7D348" w14:textId="77777777" w:rsidR="00F855FA" w:rsidRPr="00F855FA" w:rsidRDefault="00F855FA" w:rsidP="00633457">
            <w:pPr>
              <w:rPr>
                <w:rFonts w:ascii="Arial" w:hAnsi="Arial" w:cs="Arial"/>
                <w:sz w:val="24"/>
                <w:szCs w:val="24"/>
              </w:rPr>
            </w:pPr>
            <w:r w:rsidRPr="00F855FA">
              <w:rPr>
                <w:rFonts w:ascii="Arial" w:hAnsi="Arial" w:cs="Arial"/>
                <w:sz w:val="24"/>
                <w:szCs w:val="24"/>
              </w:rPr>
              <w:t>Responsible Investment</w:t>
            </w:r>
          </w:p>
        </w:tc>
        <w:tc>
          <w:tcPr>
            <w:tcW w:w="4220" w:type="dxa"/>
            <w:shd w:val="clear" w:color="auto" w:fill="auto"/>
          </w:tcPr>
          <w:p w14:paraId="4BA13A49" w14:textId="77777777" w:rsidR="00F855FA" w:rsidRPr="00F855FA" w:rsidRDefault="00F855FA" w:rsidP="00633457">
            <w:pPr>
              <w:rPr>
                <w:rFonts w:ascii="Arial" w:hAnsi="Arial" w:cs="Arial"/>
                <w:sz w:val="24"/>
                <w:szCs w:val="24"/>
              </w:rPr>
            </w:pPr>
            <w:r w:rsidRPr="00F855FA">
              <w:rPr>
                <w:rFonts w:ascii="Arial" w:hAnsi="Arial" w:cs="Arial"/>
                <w:sz w:val="24"/>
                <w:szCs w:val="24"/>
              </w:rPr>
              <w:t>Responsible Investment Indices and Solutions, Responsible Investment Reporting</w:t>
            </w:r>
          </w:p>
        </w:tc>
        <w:tc>
          <w:tcPr>
            <w:tcW w:w="1791" w:type="dxa"/>
            <w:shd w:val="clear" w:color="auto" w:fill="auto"/>
          </w:tcPr>
          <w:p w14:paraId="0345E727" w14:textId="77777777" w:rsidR="00F855FA" w:rsidRPr="00F855FA" w:rsidRDefault="00F855FA" w:rsidP="00633457">
            <w:pPr>
              <w:rPr>
                <w:rFonts w:ascii="Arial" w:hAnsi="Arial" w:cs="Arial"/>
                <w:sz w:val="24"/>
                <w:szCs w:val="24"/>
              </w:rPr>
            </w:pPr>
            <w:r w:rsidRPr="00F855FA">
              <w:rPr>
                <w:rFonts w:ascii="Arial" w:hAnsi="Arial" w:cs="Arial"/>
                <w:sz w:val="24"/>
                <w:szCs w:val="24"/>
              </w:rPr>
              <w:t>20/07/2021</w:t>
            </w:r>
          </w:p>
        </w:tc>
      </w:tr>
      <w:tr w:rsidR="00F855FA" w:rsidRPr="00F855FA" w14:paraId="4D5B2523" w14:textId="77777777" w:rsidTr="00633457">
        <w:tc>
          <w:tcPr>
            <w:tcW w:w="3005" w:type="dxa"/>
            <w:shd w:val="clear" w:color="auto" w:fill="auto"/>
          </w:tcPr>
          <w:p w14:paraId="379E0D5E" w14:textId="77777777" w:rsidR="00F855FA" w:rsidRPr="00F855FA" w:rsidRDefault="00F855FA" w:rsidP="00633457">
            <w:pPr>
              <w:rPr>
                <w:rFonts w:ascii="Arial" w:hAnsi="Arial" w:cs="Arial"/>
                <w:sz w:val="24"/>
                <w:szCs w:val="24"/>
              </w:rPr>
            </w:pPr>
            <w:r w:rsidRPr="00F855FA">
              <w:rPr>
                <w:rFonts w:ascii="Arial" w:hAnsi="Arial" w:cs="Arial"/>
                <w:sz w:val="24"/>
                <w:szCs w:val="24"/>
              </w:rPr>
              <w:t>Investment Performance &amp; Risk Management</w:t>
            </w:r>
          </w:p>
        </w:tc>
        <w:tc>
          <w:tcPr>
            <w:tcW w:w="4220" w:type="dxa"/>
            <w:shd w:val="clear" w:color="auto" w:fill="auto"/>
          </w:tcPr>
          <w:p w14:paraId="45739D99" w14:textId="77777777" w:rsidR="00F855FA" w:rsidRPr="00F855FA" w:rsidRDefault="00F855FA" w:rsidP="00633457">
            <w:pPr>
              <w:rPr>
                <w:rFonts w:ascii="Arial" w:hAnsi="Arial" w:cs="Arial"/>
                <w:sz w:val="24"/>
                <w:szCs w:val="24"/>
              </w:rPr>
            </w:pPr>
            <w:r w:rsidRPr="00F855FA">
              <w:rPr>
                <w:rFonts w:ascii="Arial" w:hAnsi="Arial" w:cs="Arial"/>
                <w:sz w:val="24"/>
                <w:szCs w:val="24"/>
              </w:rPr>
              <w:t>Performance Reporting &amp; Manager Benchmarking. Roles &amp; Responsibilities with the ACS.</w:t>
            </w:r>
          </w:p>
        </w:tc>
        <w:tc>
          <w:tcPr>
            <w:tcW w:w="1791" w:type="dxa"/>
            <w:shd w:val="clear" w:color="auto" w:fill="auto"/>
          </w:tcPr>
          <w:p w14:paraId="7F71D73C" w14:textId="77777777" w:rsidR="00F855FA" w:rsidRPr="00F855FA" w:rsidRDefault="00F855FA" w:rsidP="00633457">
            <w:pPr>
              <w:rPr>
                <w:rFonts w:ascii="Arial" w:hAnsi="Arial" w:cs="Arial"/>
                <w:sz w:val="24"/>
                <w:szCs w:val="24"/>
              </w:rPr>
            </w:pPr>
            <w:r w:rsidRPr="00F855FA">
              <w:rPr>
                <w:rFonts w:ascii="Arial" w:hAnsi="Arial" w:cs="Arial"/>
                <w:sz w:val="24"/>
                <w:szCs w:val="24"/>
              </w:rPr>
              <w:t>18/09/2021</w:t>
            </w:r>
          </w:p>
        </w:tc>
      </w:tr>
      <w:tr w:rsidR="00F855FA" w:rsidRPr="00F855FA" w14:paraId="43D751AE" w14:textId="77777777" w:rsidTr="00633457">
        <w:tc>
          <w:tcPr>
            <w:tcW w:w="3005" w:type="dxa"/>
            <w:shd w:val="clear" w:color="auto" w:fill="auto"/>
          </w:tcPr>
          <w:p w14:paraId="3CAC91CC" w14:textId="77777777" w:rsidR="00F855FA" w:rsidRPr="00F855FA" w:rsidRDefault="00F855FA" w:rsidP="00633457">
            <w:pPr>
              <w:rPr>
                <w:rFonts w:ascii="Arial" w:hAnsi="Arial" w:cs="Arial"/>
                <w:sz w:val="24"/>
                <w:szCs w:val="24"/>
              </w:rPr>
            </w:pPr>
            <w:r w:rsidRPr="00F855FA">
              <w:rPr>
                <w:rFonts w:ascii="Arial" w:hAnsi="Arial" w:cs="Arial"/>
                <w:sz w:val="24"/>
                <w:szCs w:val="24"/>
              </w:rPr>
              <w:t>Guidance, Regulatory &amp; Best Practice</w:t>
            </w:r>
          </w:p>
        </w:tc>
        <w:tc>
          <w:tcPr>
            <w:tcW w:w="4220" w:type="dxa"/>
            <w:shd w:val="clear" w:color="auto" w:fill="auto"/>
          </w:tcPr>
          <w:p w14:paraId="43621008" w14:textId="77777777" w:rsidR="00F855FA" w:rsidRPr="00F855FA" w:rsidRDefault="00F855FA" w:rsidP="00633457">
            <w:pPr>
              <w:rPr>
                <w:rFonts w:ascii="Arial" w:hAnsi="Arial" w:cs="Arial"/>
                <w:sz w:val="24"/>
                <w:szCs w:val="24"/>
              </w:rPr>
            </w:pPr>
            <w:r w:rsidRPr="00F855FA">
              <w:rPr>
                <w:rFonts w:ascii="Arial" w:hAnsi="Arial" w:cs="Arial"/>
                <w:sz w:val="24"/>
                <w:szCs w:val="24"/>
              </w:rPr>
              <w:t xml:space="preserve">Good Governance &amp; Cost Transparency </w:t>
            </w:r>
          </w:p>
        </w:tc>
        <w:tc>
          <w:tcPr>
            <w:tcW w:w="1791" w:type="dxa"/>
            <w:shd w:val="clear" w:color="auto" w:fill="auto"/>
          </w:tcPr>
          <w:p w14:paraId="240DE357" w14:textId="77777777" w:rsidR="00F855FA" w:rsidRPr="00F855FA" w:rsidRDefault="00F855FA" w:rsidP="00633457">
            <w:pPr>
              <w:rPr>
                <w:rFonts w:ascii="Arial" w:hAnsi="Arial" w:cs="Arial"/>
                <w:sz w:val="24"/>
                <w:szCs w:val="24"/>
              </w:rPr>
            </w:pPr>
            <w:r w:rsidRPr="00F855FA">
              <w:rPr>
                <w:rFonts w:ascii="Arial" w:hAnsi="Arial" w:cs="Arial"/>
                <w:sz w:val="24"/>
                <w:szCs w:val="24"/>
              </w:rPr>
              <w:t>19/01/2022</w:t>
            </w:r>
          </w:p>
        </w:tc>
      </w:tr>
    </w:tbl>
    <w:p w14:paraId="36654838" w14:textId="77777777" w:rsidR="00135E52" w:rsidRDefault="00135E52" w:rsidP="00866CF4">
      <w:pPr>
        <w:rPr>
          <w:rFonts w:ascii="Arial" w:eastAsia="Calibri" w:hAnsi="Arial" w:cs="Arial"/>
          <w:b/>
          <w:sz w:val="24"/>
          <w:szCs w:val="24"/>
        </w:rPr>
      </w:pPr>
    </w:p>
    <w:p w14:paraId="6690552C" w14:textId="77777777" w:rsidR="00135E52" w:rsidRDefault="00135E52" w:rsidP="00866CF4">
      <w:pPr>
        <w:rPr>
          <w:rFonts w:ascii="Arial" w:eastAsia="Calibri" w:hAnsi="Arial" w:cs="Arial"/>
          <w:b/>
          <w:sz w:val="24"/>
          <w:szCs w:val="24"/>
        </w:rPr>
      </w:pPr>
    </w:p>
    <w:p w14:paraId="4A20681A" w14:textId="77777777" w:rsidR="00135E52" w:rsidRDefault="00135E52" w:rsidP="00866CF4">
      <w:pPr>
        <w:rPr>
          <w:rFonts w:ascii="Arial" w:eastAsia="Calibri" w:hAnsi="Arial" w:cs="Arial"/>
          <w:b/>
          <w:sz w:val="24"/>
          <w:szCs w:val="24"/>
        </w:rPr>
      </w:pPr>
    </w:p>
    <w:p w14:paraId="58469598" w14:textId="77777777" w:rsidR="00135E52" w:rsidRDefault="00135E52" w:rsidP="00866CF4">
      <w:pPr>
        <w:rPr>
          <w:rFonts w:ascii="Arial" w:eastAsia="Calibri" w:hAnsi="Arial" w:cs="Arial"/>
          <w:b/>
          <w:sz w:val="24"/>
          <w:szCs w:val="24"/>
        </w:rPr>
      </w:pPr>
    </w:p>
    <w:p w14:paraId="26E5D47E" w14:textId="77777777" w:rsidR="00135E52" w:rsidRDefault="00135E52" w:rsidP="00866CF4">
      <w:pPr>
        <w:rPr>
          <w:rFonts w:ascii="Arial" w:eastAsia="Calibri" w:hAnsi="Arial" w:cs="Arial"/>
          <w:b/>
          <w:sz w:val="24"/>
          <w:szCs w:val="24"/>
        </w:rPr>
      </w:pPr>
    </w:p>
    <w:p w14:paraId="5A15AB4E" w14:textId="77777777" w:rsidR="00135E52" w:rsidRDefault="00135E52" w:rsidP="00866CF4">
      <w:pPr>
        <w:rPr>
          <w:rFonts w:ascii="Arial" w:eastAsia="Calibri" w:hAnsi="Arial" w:cs="Arial"/>
          <w:b/>
          <w:sz w:val="24"/>
          <w:szCs w:val="24"/>
        </w:rPr>
      </w:pPr>
    </w:p>
    <w:p w14:paraId="0C59BEC2" w14:textId="77777777" w:rsidR="008F79D4" w:rsidRDefault="008F79D4" w:rsidP="00866CF4">
      <w:pPr>
        <w:rPr>
          <w:rFonts w:ascii="Arial" w:eastAsia="Calibri" w:hAnsi="Arial" w:cs="Arial"/>
          <w:b/>
          <w:sz w:val="24"/>
          <w:szCs w:val="24"/>
        </w:rPr>
      </w:pPr>
    </w:p>
    <w:p w14:paraId="69F7CFC5" w14:textId="77777777" w:rsidR="00135E52" w:rsidRDefault="00135E52" w:rsidP="00866CF4">
      <w:pPr>
        <w:rPr>
          <w:rFonts w:ascii="Arial" w:eastAsia="Calibri" w:hAnsi="Arial" w:cs="Arial"/>
          <w:b/>
          <w:sz w:val="24"/>
          <w:szCs w:val="24"/>
        </w:rPr>
      </w:pPr>
    </w:p>
    <w:p w14:paraId="62EABAB7" w14:textId="77777777" w:rsidR="00135E52" w:rsidRDefault="00135E52" w:rsidP="00866CF4">
      <w:pPr>
        <w:rPr>
          <w:rFonts w:ascii="Arial" w:eastAsia="Calibri" w:hAnsi="Arial" w:cs="Arial"/>
          <w:b/>
          <w:sz w:val="24"/>
          <w:szCs w:val="24"/>
        </w:rPr>
      </w:pPr>
    </w:p>
    <w:p w14:paraId="6209EBE0" w14:textId="77777777" w:rsidR="00217D42" w:rsidRPr="00217D42" w:rsidRDefault="00217D42" w:rsidP="00866CF4">
      <w:pPr>
        <w:rPr>
          <w:rFonts w:ascii="Arial" w:eastAsia="Calibri" w:hAnsi="Arial" w:cs="Arial"/>
          <w:b/>
          <w:sz w:val="24"/>
          <w:szCs w:val="24"/>
        </w:rPr>
      </w:pPr>
      <w:r w:rsidRPr="00217D42">
        <w:rPr>
          <w:rFonts w:ascii="Arial" w:eastAsia="Calibri" w:hAnsi="Arial" w:cs="Arial"/>
          <w:b/>
          <w:sz w:val="24"/>
          <w:szCs w:val="24"/>
        </w:rPr>
        <w:lastRenderedPageBreak/>
        <w:t>Pooling Risks</w:t>
      </w:r>
    </w:p>
    <w:p w14:paraId="31AAD1B5" w14:textId="77777777" w:rsidR="00217D42" w:rsidRDefault="00217D42" w:rsidP="00866CF4">
      <w:pPr>
        <w:rPr>
          <w:rFonts w:ascii="Arial" w:eastAsia="Calibri" w:hAnsi="Arial" w:cs="Arial"/>
          <w:sz w:val="24"/>
          <w:szCs w:val="24"/>
        </w:rPr>
      </w:pPr>
    </w:p>
    <w:p w14:paraId="013BE4B9" w14:textId="77777777" w:rsidR="00217D42" w:rsidRDefault="00217D42" w:rsidP="00866CF4">
      <w:pPr>
        <w:rPr>
          <w:rFonts w:ascii="Arial" w:eastAsia="Calibri" w:hAnsi="Arial" w:cs="Arial"/>
          <w:sz w:val="24"/>
          <w:szCs w:val="24"/>
        </w:rPr>
      </w:pPr>
      <w:r>
        <w:rPr>
          <w:rFonts w:ascii="Arial" w:eastAsia="Calibri" w:hAnsi="Arial" w:cs="Arial"/>
          <w:sz w:val="24"/>
          <w:szCs w:val="24"/>
        </w:rPr>
        <w:t xml:space="preserve">The following risk table identifies two frequently monitored risks from a Fund perspective when managing the arrangements in place through transitioning assets into the WPP. </w:t>
      </w:r>
    </w:p>
    <w:p w14:paraId="71C24A1F" w14:textId="77777777" w:rsidR="00340D2B" w:rsidRDefault="00340D2B" w:rsidP="00866CF4">
      <w:pPr>
        <w:rPr>
          <w:rFonts w:ascii="Arial" w:eastAsia="Calibri" w:hAnsi="Arial" w:cs="Arial"/>
          <w:sz w:val="24"/>
          <w:szCs w:val="24"/>
        </w:rPr>
      </w:pPr>
    </w:p>
    <w:p w14:paraId="45A27AF4" w14:textId="77777777" w:rsidR="00340D2B" w:rsidRDefault="00340D2B" w:rsidP="00866CF4">
      <w:pPr>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26"/>
        <w:gridCol w:w="1115"/>
        <w:gridCol w:w="2699"/>
      </w:tblGrid>
      <w:tr w:rsidR="00340D2B" w:rsidRPr="00502E3B" w14:paraId="3C3F8B7E" w14:textId="77777777" w:rsidTr="00502E3B">
        <w:tc>
          <w:tcPr>
            <w:tcW w:w="2235" w:type="dxa"/>
            <w:shd w:val="clear" w:color="auto" w:fill="auto"/>
          </w:tcPr>
          <w:p w14:paraId="0553B30B" w14:textId="77777777" w:rsidR="00340D2B" w:rsidRPr="00D036C2" w:rsidRDefault="001A4306" w:rsidP="00866CF4">
            <w:pPr>
              <w:rPr>
                <w:rFonts w:ascii="Arial" w:eastAsia="Calibri" w:hAnsi="Arial" w:cs="Arial"/>
                <w:b/>
                <w:sz w:val="20"/>
              </w:rPr>
            </w:pPr>
            <w:r w:rsidRPr="00D036C2">
              <w:rPr>
                <w:rFonts w:ascii="Arial" w:eastAsia="Calibri" w:hAnsi="Arial" w:cs="Arial"/>
                <w:b/>
                <w:sz w:val="20"/>
              </w:rPr>
              <w:t>Risk Identified</w:t>
            </w:r>
          </w:p>
        </w:tc>
        <w:tc>
          <w:tcPr>
            <w:tcW w:w="3118" w:type="dxa"/>
            <w:shd w:val="clear" w:color="auto" w:fill="auto"/>
          </w:tcPr>
          <w:p w14:paraId="77085CA6" w14:textId="77777777" w:rsidR="00340D2B" w:rsidRPr="00D036C2" w:rsidRDefault="001A4306" w:rsidP="00866CF4">
            <w:pPr>
              <w:rPr>
                <w:rFonts w:ascii="Arial" w:eastAsia="Calibri" w:hAnsi="Arial" w:cs="Arial"/>
                <w:b/>
                <w:sz w:val="20"/>
              </w:rPr>
            </w:pPr>
            <w:r w:rsidRPr="00D036C2">
              <w:rPr>
                <w:rFonts w:ascii="Arial" w:eastAsia="Calibri" w:hAnsi="Arial" w:cs="Arial"/>
                <w:b/>
                <w:sz w:val="20"/>
              </w:rPr>
              <w:t>Potential Consequences</w:t>
            </w:r>
          </w:p>
        </w:tc>
        <w:tc>
          <w:tcPr>
            <w:tcW w:w="1134" w:type="dxa"/>
            <w:shd w:val="clear" w:color="auto" w:fill="auto"/>
          </w:tcPr>
          <w:p w14:paraId="16D73A3A" w14:textId="77777777" w:rsidR="00340D2B" w:rsidRPr="00D036C2" w:rsidRDefault="001A4306" w:rsidP="00866CF4">
            <w:pPr>
              <w:rPr>
                <w:rFonts w:ascii="Arial" w:eastAsia="Calibri" w:hAnsi="Arial" w:cs="Arial"/>
                <w:b/>
                <w:sz w:val="20"/>
              </w:rPr>
            </w:pPr>
            <w:r w:rsidRPr="00D036C2">
              <w:rPr>
                <w:rFonts w:ascii="Arial" w:eastAsia="Calibri" w:hAnsi="Arial" w:cs="Arial"/>
                <w:b/>
                <w:sz w:val="20"/>
              </w:rPr>
              <w:t>Risk Score Range</w:t>
            </w:r>
          </w:p>
        </w:tc>
        <w:tc>
          <w:tcPr>
            <w:tcW w:w="2755" w:type="dxa"/>
            <w:shd w:val="clear" w:color="auto" w:fill="auto"/>
          </w:tcPr>
          <w:p w14:paraId="59E18887" w14:textId="77777777" w:rsidR="00340D2B" w:rsidRPr="00D036C2" w:rsidRDefault="001A4306" w:rsidP="00866CF4">
            <w:pPr>
              <w:rPr>
                <w:rFonts w:ascii="Arial" w:eastAsia="Calibri" w:hAnsi="Arial" w:cs="Arial"/>
                <w:b/>
                <w:sz w:val="20"/>
              </w:rPr>
            </w:pPr>
            <w:r w:rsidRPr="00D036C2">
              <w:rPr>
                <w:rFonts w:ascii="Arial" w:eastAsia="Calibri" w:hAnsi="Arial" w:cs="Arial"/>
                <w:b/>
                <w:sz w:val="20"/>
              </w:rPr>
              <w:t>Controls / Mitigation</w:t>
            </w:r>
          </w:p>
        </w:tc>
      </w:tr>
      <w:tr w:rsidR="001A4306" w:rsidRPr="00502E3B" w14:paraId="329FE1F4" w14:textId="77777777" w:rsidTr="00502E3B">
        <w:tc>
          <w:tcPr>
            <w:tcW w:w="2235" w:type="dxa"/>
            <w:shd w:val="clear" w:color="auto" w:fill="auto"/>
          </w:tcPr>
          <w:p w14:paraId="6CD7428D" w14:textId="77777777" w:rsidR="001A4306" w:rsidRPr="00502E3B" w:rsidRDefault="001A4306" w:rsidP="001A4306">
            <w:pPr>
              <w:rPr>
                <w:rFonts w:ascii="Arial" w:hAnsi="Arial" w:cs="Arial"/>
                <w:b/>
                <w:sz w:val="20"/>
              </w:rPr>
            </w:pPr>
            <w:r w:rsidRPr="00502E3B">
              <w:rPr>
                <w:rFonts w:ascii="Arial" w:hAnsi="Arial" w:cs="Arial"/>
                <w:sz w:val="20"/>
              </w:rPr>
              <w:t>Financial losses experienced during the process of transitioning Fund assets into the Wales Pension Partnership (WPP) pool.</w:t>
            </w:r>
          </w:p>
        </w:tc>
        <w:tc>
          <w:tcPr>
            <w:tcW w:w="3118" w:type="dxa"/>
            <w:shd w:val="clear" w:color="auto" w:fill="auto"/>
          </w:tcPr>
          <w:p w14:paraId="19211D00" w14:textId="77777777" w:rsidR="001A4306" w:rsidRPr="00502E3B" w:rsidRDefault="001A4306" w:rsidP="001A4306">
            <w:pPr>
              <w:rPr>
                <w:rFonts w:ascii="Arial" w:hAnsi="Arial" w:cs="Arial"/>
                <w:b/>
                <w:sz w:val="20"/>
              </w:rPr>
            </w:pPr>
            <w:r w:rsidRPr="00502E3B">
              <w:rPr>
                <w:rFonts w:ascii="Arial" w:hAnsi="Arial" w:cs="Arial"/>
                <w:sz w:val="20"/>
              </w:rPr>
              <w:t>Poorly executed transitions of pension assets could result in high trading costs or loss of Net Asset Value in the short-term.</w:t>
            </w:r>
          </w:p>
        </w:tc>
        <w:tc>
          <w:tcPr>
            <w:tcW w:w="1134" w:type="dxa"/>
            <w:shd w:val="clear" w:color="auto" w:fill="auto"/>
          </w:tcPr>
          <w:p w14:paraId="2662538E" w14:textId="77777777" w:rsidR="001A4306" w:rsidRPr="00502E3B" w:rsidRDefault="001A4306" w:rsidP="001A4306">
            <w:pPr>
              <w:rPr>
                <w:rFonts w:ascii="Arial" w:hAnsi="Arial" w:cs="Arial"/>
                <w:sz w:val="20"/>
              </w:rPr>
            </w:pPr>
            <w:r w:rsidRPr="00502E3B">
              <w:rPr>
                <w:rFonts w:ascii="Arial" w:hAnsi="Arial" w:cs="Arial"/>
                <w:sz w:val="20"/>
              </w:rPr>
              <w:t>High</w:t>
            </w:r>
          </w:p>
        </w:tc>
        <w:tc>
          <w:tcPr>
            <w:tcW w:w="2755" w:type="dxa"/>
            <w:shd w:val="clear" w:color="auto" w:fill="auto"/>
          </w:tcPr>
          <w:p w14:paraId="252C3E29" w14:textId="77777777" w:rsidR="001A4306" w:rsidRPr="00502E3B" w:rsidRDefault="001A4306" w:rsidP="0073304A">
            <w:pPr>
              <w:numPr>
                <w:ilvl w:val="0"/>
                <w:numId w:val="90"/>
              </w:numPr>
              <w:contextualSpacing/>
              <w:rPr>
                <w:rFonts w:ascii="Arial" w:hAnsi="Arial" w:cs="Arial"/>
                <w:sz w:val="20"/>
              </w:rPr>
            </w:pPr>
            <w:r w:rsidRPr="00502E3B">
              <w:rPr>
                <w:rFonts w:ascii="Arial" w:hAnsi="Arial" w:cs="Arial"/>
                <w:sz w:val="20"/>
              </w:rPr>
              <w:t>The WPP and its constituent authorities take professional and timely advice from its advisors to ensure it is undertaking transition activity within an appropriate market environment.</w:t>
            </w:r>
          </w:p>
          <w:p w14:paraId="2D5980FD" w14:textId="77777777" w:rsidR="001A4306" w:rsidRPr="00502E3B" w:rsidRDefault="001A4306" w:rsidP="0073304A">
            <w:pPr>
              <w:numPr>
                <w:ilvl w:val="0"/>
                <w:numId w:val="90"/>
              </w:numPr>
              <w:contextualSpacing/>
              <w:rPr>
                <w:rFonts w:ascii="Arial" w:hAnsi="Arial" w:cs="Arial"/>
                <w:b/>
                <w:sz w:val="20"/>
              </w:rPr>
            </w:pPr>
            <w:r w:rsidRPr="00502E3B">
              <w:rPr>
                <w:rFonts w:ascii="Arial" w:hAnsi="Arial" w:cs="Arial"/>
                <w:sz w:val="20"/>
              </w:rPr>
              <w:t>A reconciliation of assets transferred to the pool is undertaken by the investments team following each transition.</w:t>
            </w:r>
          </w:p>
          <w:p w14:paraId="5DB6386F" w14:textId="77777777" w:rsidR="001A4306" w:rsidRPr="00502E3B" w:rsidRDefault="001A4306" w:rsidP="0073304A">
            <w:pPr>
              <w:numPr>
                <w:ilvl w:val="0"/>
                <w:numId w:val="90"/>
              </w:numPr>
              <w:contextualSpacing/>
              <w:rPr>
                <w:rFonts w:ascii="Arial" w:hAnsi="Arial" w:cs="Arial"/>
                <w:b/>
                <w:sz w:val="20"/>
              </w:rPr>
            </w:pPr>
            <w:r w:rsidRPr="00502E3B">
              <w:rPr>
                <w:rFonts w:ascii="Arial" w:hAnsi="Arial" w:cs="Arial"/>
                <w:sz w:val="20"/>
              </w:rPr>
              <w:t>A detailed report from the appointed transition experts commissioned by the WPP will be produced following each transition to provide added assurance to constituent Funds and their elected members.</w:t>
            </w:r>
          </w:p>
        </w:tc>
      </w:tr>
      <w:tr w:rsidR="001A4306" w:rsidRPr="00502E3B" w14:paraId="15C9D4B5" w14:textId="77777777" w:rsidTr="00502E3B">
        <w:tc>
          <w:tcPr>
            <w:tcW w:w="2235" w:type="dxa"/>
            <w:shd w:val="clear" w:color="auto" w:fill="auto"/>
          </w:tcPr>
          <w:p w14:paraId="3AAC0922" w14:textId="77777777" w:rsidR="001A4306" w:rsidRPr="00502E3B" w:rsidRDefault="001A4306" w:rsidP="001A4306">
            <w:pPr>
              <w:rPr>
                <w:rFonts w:ascii="Arial" w:hAnsi="Arial" w:cs="Arial"/>
                <w:b/>
                <w:sz w:val="20"/>
              </w:rPr>
            </w:pPr>
            <w:r w:rsidRPr="00502E3B">
              <w:rPr>
                <w:rFonts w:ascii="Arial" w:hAnsi="Arial" w:cs="Arial"/>
                <w:sz w:val="20"/>
              </w:rPr>
              <w:t>Investment pooling with the Wales Pension Partnership (WPP) fails to deliver long-term investment returns.</w:t>
            </w:r>
          </w:p>
        </w:tc>
        <w:tc>
          <w:tcPr>
            <w:tcW w:w="3118" w:type="dxa"/>
            <w:shd w:val="clear" w:color="auto" w:fill="auto"/>
          </w:tcPr>
          <w:p w14:paraId="74E73FBB" w14:textId="77777777" w:rsidR="001A4306" w:rsidRPr="00502E3B" w:rsidRDefault="001A4306" w:rsidP="001A4306">
            <w:pPr>
              <w:rPr>
                <w:rFonts w:ascii="Arial" w:hAnsi="Arial" w:cs="Arial"/>
                <w:b/>
                <w:sz w:val="20"/>
              </w:rPr>
            </w:pPr>
            <w:r w:rsidRPr="00502E3B">
              <w:rPr>
                <w:rFonts w:ascii="Arial" w:hAnsi="Arial" w:cs="Arial"/>
                <w:sz w:val="20"/>
              </w:rPr>
              <w:t>The WPP fails to deliver long-term investment returns beyond what the Fund would have expected to generate had pooling not occurred. This would result in a longer payback period on the initial investment envisaged, and the likelihood of needing to increase employer contribution rates as a result in order to ensure pension liabilities are fully funded in the future.</w:t>
            </w:r>
          </w:p>
        </w:tc>
        <w:tc>
          <w:tcPr>
            <w:tcW w:w="1134" w:type="dxa"/>
            <w:shd w:val="clear" w:color="auto" w:fill="auto"/>
          </w:tcPr>
          <w:p w14:paraId="6684D5BA" w14:textId="77777777" w:rsidR="001A4306" w:rsidRPr="00502E3B" w:rsidRDefault="001A4306" w:rsidP="001A4306">
            <w:pPr>
              <w:rPr>
                <w:rFonts w:ascii="Arial" w:hAnsi="Arial" w:cs="Arial"/>
                <w:sz w:val="20"/>
              </w:rPr>
            </w:pPr>
            <w:r w:rsidRPr="00502E3B">
              <w:rPr>
                <w:rFonts w:ascii="Arial" w:hAnsi="Arial" w:cs="Arial"/>
                <w:sz w:val="20"/>
              </w:rPr>
              <w:t>High</w:t>
            </w:r>
          </w:p>
        </w:tc>
        <w:tc>
          <w:tcPr>
            <w:tcW w:w="2755" w:type="dxa"/>
            <w:shd w:val="clear" w:color="auto" w:fill="auto"/>
          </w:tcPr>
          <w:p w14:paraId="110836E3" w14:textId="77777777" w:rsidR="001A4306" w:rsidRPr="00502E3B" w:rsidRDefault="001A4306" w:rsidP="0073304A">
            <w:pPr>
              <w:numPr>
                <w:ilvl w:val="0"/>
                <w:numId w:val="91"/>
              </w:numPr>
              <w:contextualSpacing/>
              <w:rPr>
                <w:rFonts w:ascii="Arial" w:hAnsi="Arial" w:cs="Arial"/>
                <w:sz w:val="20"/>
              </w:rPr>
            </w:pPr>
            <w:r w:rsidRPr="00502E3B">
              <w:rPr>
                <w:rFonts w:ascii="Arial" w:hAnsi="Arial" w:cs="Arial"/>
                <w:sz w:val="20"/>
              </w:rPr>
              <w:t>Substantial governance arrangements are in place at both officer (Officer Working Group) and shareholder (Joint Governance Committee) levels.</w:t>
            </w:r>
          </w:p>
          <w:p w14:paraId="032E4EAD" w14:textId="77777777" w:rsidR="001A4306" w:rsidRPr="00502E3B" w:rsidRDefault="001A4306" w:rsidP="0073304A">
            <w:pPr>
              <w:numPr>
                <w:ilvl w:val="0"/>
                <w:numId w:val="91"/>
              </w:numPr>
              <w:contextualSpacing/>
              <w:rPr>
                <w:rFonts w:ascii="Arial" w:hAnsi="Arial" w:cs="Arial"/>
                <w:sz w:val="20"/>
              </w:rPr>
            </w:pPr>
            <w:r w:rsidRPr="00502E3B">
              <w:rPr>
                <w:rFonts w:ascii="Arial" w:hAnsi="Arial" w:cs="Arial"/>
                <w:sz w:val="20"/>
              </w:rPr>
              <w:t xml:space="preserve">Both the WPP and the constituent authorities take professional external advice on the opportunities for investment through the contractual relationship with Link Fund Solutions and Russell Investment advisors. </w:t>
            </w:r>
          </w:p>
          <w:p w14:paraId="228CFCC5" w14:textId="77777777" w:rsidR="001A4306" w:rsidRPr="00502E3B" w:rsidRDefault="001A4306" w:rsidP="0073304A">
            <w:pPr>
              <w:numPr>
                <w:ilvl w:val="0"/>
                <w:numId w:val="91"/>
              </w:numPr>
              <w:contextualSpacing/>
              <w:rPr>
                <w:rFonts w:ascii="Arial" w:hAnsi="Arial" w:cs="Arial"/>
                <w:b/>
                <w:sz w:val="20"/>
              </w:rPr>
            </w:pPr>
            <w:r w:rsidRPr="00502E3B">
              <w:rPr>
                <w:rFonts w:ascii="Arial" w:hAnsi="Arial" w:cs="Arial"/>
                <w:sz w:val="20"/>
              </w:rPr>
              <w:t>The WPP, together with constituent authorities, monitor the performance of investments and hold Link and Russell to account as necessary.</w:t>
            </w:r>
          </w:p>
        </w:tc>
      </w:tr>
    </w:tbl>
    <w:p w14:paraId="7AF1E4A3" w14:textId="77777777" w:rsidR="00340D2B" w:rsidRDefault="00340D2B" w:rsidP="00866CF4">
      <w:pPr>
        <w:rPr>
          <w:rFonts w:ascii="Arial" w:eastAsia="Calibri" w:hAnsi="Arial" w:cs="Arial"/>
          <w:sz w:val="24"/>
          <w:szCs w:val="24"/>
        </w:rPr>
      </w:pPr>
    </w:p>
    <w:p w14:paraId="2CDD4CF5" w14:textId="77777777" w:rsidR="00340D2B" w:rsidRDefault="00340D2B" w:rsidP="00866CF4">
      <w:pPr>
        <w:rPr>
          <w:rFonts w:ascii="Arial" w:eastAsia="Calibri" w:hAnsi="Arial" w:cs="Arial"/>
          <w:sz w:val="24"/>
          <w:szCs w:val="24"/>
        </w:rPr>
      </w:pPr>
    </w:p>
    <w:p w14:paraId="40DE23B4" w14:textId="77777777" w:rsidR="00217D42" w:rsidRDefault="00217D42" w:rsidP="00866CF4">
      <w:pPr>
        <w:rPr>
          <w:rFonts w:ascii="Century Gothic" w:eastAsia="Calibri" w:hAnsi="Century Gothic" w:cs="Arial"/>
          <w:sz w:val="20"/>
        </w:rPr>
      </w:pPr>
    </w:p>
    <w:p w14:paraId="250C7BEC" w14:textId="77777777" w:rsidR="00866CF4" w:rsidRPr="001A4306" w:rsidRDefault="00866CF4" w:rsidP="00217D42">
      <w:pPr>
        <w:spacing w:after="160" w:line="256" w:lineRule="auto"/>
        <w:ind w:left="142"/>
        <w:jc w:val="both"/>
        <w:rPr>
          <w:rFonts w:ascii="Arial" w:eastAsia="Calibri" w:hAnsi="Arial" w:cs="Arial"/>
          <w:sz w:val="24"/>
          <w:szCs w:val="24"/>
        </w:rPr>
      </w:pPr>
      <w:r w:rsidRPr="001A4306">
        <w:rPr>
          <w:rFonts w:ascii="Arial" w:eastAsia="Calibri" w:hAnsi="Arial" w:cs="Arial"/>
          <w:sz w:val="24"/>
          <w:szCs w:val="24"/>
        </w:rPr>
        <w:t>Whilst the risk score range attributable to the above is categorised as high, the Fund is comfortable with the level of mitigation in place in which to manage them. The Fund recognises that the process of transitioning assets will continue for a number of years and so this risk will continue to be monitored as appropriate until such time that we feel it can reduced to an acceptably low level or removed altogether. The risk of the WPP failing to deliver long-term performance remains high as this underpins the justification for pooling collaboration generally. As such, this risk is likely to remain in place for the foreseeable future. However, as the WPP continues to establish itself and the governance arrangements mature it is expected that this level of risk will be reduced to an acceptable level.</w:t>
      </w:r>
    </w:p>
    <w:p w14:paraId="6AFAC3CE" w14:textId="77777777" w:rsidR="007501E4" w:rsidRDefault="007501E4" w:rsidP="007501E4">
      <w:pPr>
        <w:keepNext/>
        <w:keepLines/>
        <w:spacing w:line="280" w:lineRule="atLeast"/>
        <w:outlineLvl w:val="1"/>
        <w:rPr>
          <w:rFonts w:ascii="Arial" w:eastAsia="+mn-ea" w:hAnsi="Arial" w:cs="Arial"/>
          <w:iCs/>
          <w:color w:val="455560"/>
          <w:sz w:val="20"/>
        </w:rPr>
      </w:pPr>
    </w:p>
    <w:p w14:paraId="3136A315" w14:textId="77777777" w:rsidR="00196720" w:rsidRPr="00F30483" w:rsidRDefault="00196720" w:rsidP="00D730B9">
      <w:pPr>
        <w:jc w:val="both"/>
        <w:rPr>
          <w:rFonts w:ascii="Arial" w:hAnsi="Arial" w:cs="Arial"/>
          <w:sz w:val="24"/>
          <w:szCs w:val="24"/>
        </w:rPr>
      </w:pPr>
      <w:r w:rsidRPr="00F30483">
        <w:rPr>
          <w:rFonts w:ascii="Arial" w:hAnsi="Arial" w:cs="Arial"/>
          <w:b/>
          <w:sz w:val="24"/>
          <w:szCs w:val="24"/>
        </w:rPr>
        <w:t xml:space="preserve">City &amp; County of Swansea </w:t>
      </w:r>
      <w:r w:rsidR="00B93A93">
        <w:rPr>
          <w:rFonts w:ascii="Arial" w:hAnsi="Arial" w:cs="Arial"/>
          <w:b/>
          <w:sz w:val="24"/>
          <w:szCs w:val="24"/>
        </w:rPr>
        <w:t>– WPP</w:t>
      </w:r>
      <w:r w:rsidR="0038786A" w:rsidRPr="00F30483">
        <w:rPr>
          <w:rFonts w:ascii="Arial" w:hAnsi="Arial" w:cs="Arial"/>
          <w:b/>
          <w:sz w:val="24"/>
          <w:szCs w:val="24"/>
        </w:rPr>
        <w:t xml:space="preserve"> </w:t>
      </w:r>
      <w:r w:rsidRPr="00F30483">
        <w:rPr>
          <w:rFonts w:ascii="Arial" w:hAnsi="Arial" w:cs="Arial"/>
          <w:b/>
          <w:sz w:val="24"/>
          <w:szCs w:val="24"/>
        </w:rPr>
        <w:t>Progress Update</w:t>
      </w:r>
    </w:p>
    <w:p w14:paraId="181B302D" w14:textId="77777777" w:rsidR="00196720" w:rsidRPr="00C82B84" w:rsidRDefault="00196720" w:rsidP="00D730B9">
      <w:pPr>
        <w:jc w:val="both"/>
        <w:rPr>
          <w:highlight w:val="yellow"/>
        </w:rPr>
      </w:pPr>
    </w:p>
    <w:tbl>
      <w:tblPr>
        <w:tblW w:w="0" w:type="auto"/>
        <w:tblLook w:val="01E0" w:firstRow="1" w:lastRow="1" w:firstColumn="1" w:lastColumn="1" w:noHBand="0" w:noVBand="0"/>
      </w:tblPr>
      <w:tblGrid>
        <w:gridCol w:w="8580"/>
      </w:tblGrid>
      <w:tr w:rsidR="005D79A1" w:rsidRPr="00C82B84" w14:paraId="0E8DBBED" w14:textId="77777777" w:rsidTr="00D95C5A">
        <w:tc>
          <w:tcPr>
            <w:tcW w:w="8580" w:type="dxa"/>
            <w:shd w:val="clear" w:color="auto" w:fill="auto"/>
          </w:tcPr>
          <w:p w14:paraId="6613F621" w14:textId="77777777" w:rsidR="00F30483" w:rsidRPr="00B93A93" w:rsidRDefault="00F30483" w:rsidP="00D95C5A">
            <w:pPr>
              <w:jc w:val="both"/>
              <w:rPr>
                <w:rFonts w:ascii="Arial" w:hAnsi="Arial" w:cs="Arial"/>
                <w:sz w:val="24"/>
                <w:szCs w:val="24"/>
              </w:rPr>
            </w:pPr>
            <w:r w:rsidRPr="00B93A93">
              <w:rPr>
                <w:rFonts w:ascii="Arial" w:hAnsi="Arial" w:cs="Arial"/>
                <w:sz w:val="24"/>
                <w:szCs w:val="24"/>
              </w:rPr>
              <w:t xml:space="preserve">City &amp; County of Swansea Pension Fund currently has three sub-funds </w:t>
            </w:r>
            <w:r w:rsidR="00B93A93" w:rsidRPr="00B93A93">
              <w:rPr>
                <w:rFonts w:ascii="Arial" w:hAnsi="Arial" w:cs="Arial"/>
                <w:sz w:val="24"/>
                <w:szCs w:val="24"/>
              </w:rPr>
              <w:t xml:space="preserve">invested via WPP, a Global Equity portfolio and two fixed income mandates – a Multi Asset Credit fund and an Absolute Return Bond fund. Together with the Blackrock Passive equity fund, this equates to 81% </w:t>
            </w:r>
            <w:r w:rsidR="00D93D7D">
              <w:rPr>
                <w:rFonts w:ascii="Arial" w:hAnsi="Arial" w:cs="Arial"/>
                <w:sz w:val="24"/>
                <w:szCs w:val="24"/>
              </w:rPr>
              <w:t xml:space="preserve">(£2.3b) </w:t>
            </w:r>
            <w:r w:rsidR="00B93A93" w:rsidRPr="00B93A93">
              <w:rPr>
                <w:rFonts w:ascii="Arial" w:hAnsi="Arial" w:cs="Arial"/>
                <w:sz w:val="24"/>
                <w:szCs w:val="24"/>
              </w:rPr>
              <w:t>of the fund being pooled as at 31st March 2022.</w:t>
            </w:r>
          </w:p>
          <w:p w14:paraId="26D62A47" w14:textId="77777777" w:rsidR="00F30483" w:rsidRPr="00B93A93" w:rsidRDefault="00F30483" w:rsidP="00D95C5A">
            <w:pPr>
              <w:jc w:val="both"/>
              <w:rPr>
                <w:rFonts w:ascii="Arial" w:hAnsi="Arial" w:cs="Arial"/>
                <w:sz w:val="24"/>
                <w:szCs w:val="24"/>
              </w:rPr>
            </w:pPr>
          </w:p>
          <w:p w14:paraId="0120BAEA" w14:textId="77777777" w:rsidR="005D79A1" w:rsidRPr="00B93A93" w:rsidRDefault="005D79A1" w:rsidP="007B2AA5">
            <w:pPr>
              <w:jc w:val="both"/>
              <w:rPr>
                <w:rFonts w:ascii="Arial" w:hAnsi="Arial" w:cs="Arial"/>
                <w:sz w:val="24"/>
                <w:szCs w:val="24"/>
              </w:rPr>
            </w:pPr>
            <w:r w:rsidRPr="00B93A93">
              <w:rPr>
                <w:rFonts w:ascii="Arial" w:hAnsi="Arial" w:cs="Arial"/>
                <w:sz w:val="24"/>
                <w:szCs w:val="24"/>
              </w:rPr>
              <w:t>The City &amp; County of Swansea Pension Fund currently has an allocation to emerging markets within its passive mandate</w:t>
            </w:r>
            <w:r w:rsidR="00B93A93" w:rsidRPr="00B93A93">
              <w:rPr>
                <w:rFonts w:ascii="Arial" w:hAnsi="Arial" w:cs="Arial"/>
                <w:sz w:val="24"/>
                <w:szCs w:val="24"/>
              </w:rPr>
              <w:t>, so did not participate in the Emerging Market mandate w</w:t>
            </w:r>
            <w:r w:rsidRPr="00B93A93">
              <w:rPr>
                <w:rFonts w:ascii="Arial" w:hAnsi="Arial" w:cs="Arial"/>
                <w:sz w:val="24"/>
                <w:szCs w:val="24"/>
              </w:rPr>
              <w:t xml:space="preserve">hich </w:t>
            </w:r>
            <w:r w:rsidR="00B93A93" w:rsidRPr="00B93A93">
              <w:rPr>
                <w:rFonts w:ascii="Arial" w:hAnsi="Arial" w:cs="Arial"/>
                <w:sz w:val="24"/>
                <w:szCs w:val="24"/>
              </w:rPr>
              <w:t>was established by WPP in 2020/21</w:t>
            </w:r>
          </w:p>
          <w:p w14:paraId="5FAF63AB" w14:textId="77777777" w:rsidR="007B2AA5" w:rsidRPr="00B93A93" w:rsidRDefault="007B2AA5" w:rsidP="007B2AA5">
            <w:pPr>
              <w:jc w:val="both"/>
              <w:rPr>
                <w:rFonts w:ascii="Arial" w:hAnsi="Arial" w:cs="Arial"/>
                <w:sz w:val="24"/>
                <w:szCs w:val="24"/>
              </w:rPr>
            </w:pPr>
          </w:p>
          <w:p w14:paraId="668F8DF5" w14:textId="77777777" w:rsidR="00B912D5" w:rsidRPr="00B93A93" w:rsidRDefault="00B912D5" w:rsidP="00B912D5">
            <w:pPr>
              <w:jc w:val="both"/>
              <w:rPr>
                <w:rFonts w:ascii="Arial" w:hAnsi="Arial" w:cs="Arial"/>
                <w:sz w:val="24"/>
                <w:szCs w:val="24"/>
              </w:rPr>
            </w:pPr>
            <w:r w:rsidRPr="00B93A93">
              <w:rPr>
                <w:rFonts w:ascii="Arial" w:hAnsi="Arial" w:cs="Arial"/>
                <w:sz w:val="24"/>
                <w:szCs w:val="24"/>
              </w:rPr>
              <w:t xml:space="preserve">As part of the WPP, City &amp; County of Swansea </w:t>
            </w:r>
            <w:r w:rsidR="000D2D7E" w:rsidRPr="00B93A93">
              <w:rPr>
                <w:rFonts w:ascii="Arial" w:hAnsi="Arial" w:cs="Arial"/>
                <w:sz w:val="24"/>
                <w:szCs w:val="24"/>
              </w:rPr>
              <w:t>officers</w:t>
            </w:r>
            <w:r w:rsidRPr="00B93A93">
              <w:rPr>
                <w:rFonts w:ascii="Arial" w:hAnsi="Arial" w:cs="Arial"/>
                <w:sz w:val="24"/>
                <w:szCs w:val="24"/>
              </w:rPr>
              <w:t xml:space="preserve"> participate in the Responsible Investment (RI) Sub Group. The group meets twice a quarter and is responsible for progressing any RI related work</w:t>
            </w:r>
            <w:r w:rsidR="000D2D7E" w:rsidRPr="00B93A93">
              <w:rPr>
                <w:rFonts w:ascii="Arial" w:hAnsi="Arial" w:cs="Arial"/>
                <w:sz w:val="24"/>
                <w:szCs w:val="24"/>
              </w:rPr>
              <w:t xml:space="preserve"> </w:t>
            </w:r>
            <w:r w:rsidRPr="00B93A93">
              <w:rPr>
                <w:rFonts w:ascii="Arial" w:hAnsi="Arial" w:cs="Arial"/>
                <w:sz w:val="24"/>
                <w:szCs w:val="24"/>
              </w:rPr>
              <w:t>streams</w:t>
            </w:r>
            <w:r w:rsidR="000D2D7E" w:rsidRPr="00B93A93">
              <w:rPr>
                <w:rFonts w:ascii="Arial" w:hAnsi="Arial" w:cs="Arial"/>
                <w:sz w:val="24"/>
                <w:szCs w:val="24"/>
              </w:rPr>
              <w:t xml:space="preserve">. </w:t>
            </w:r>
            <w:r w:rsidR="00F30483" w:rsidRPr="00B93A93">
              <w:rPr>
                <w:rFonts w:ascii="Arial" w:hAnsi="Arial" w:cs="Arial"/>
                <w:sz w:val="24"/>
                <w:szCs w:val="24"/>
              </w:rPr>
              <w:t xml:space="preserve">In </w:t>
            </w:r>
            <w:r w:rsidR="00D52401">
              <w:rPr>
                <w:rFonts w:ascii="Arial" w:hAnsi="Arial" w:cs="Arial"/>
                <w:sz w:val="24"/>
                <w:szCs w:val="24"/>
              </w:rPr>
              <w:t>2021/</w:t>
            </w:r>
            <w:r w:rsidR="00F30483" w:rsidRPr="00B93A93">
              <w:rPr>
                <w:rFonts w:ascii="Arial" w:hAnsi="Arial" w:cs="Arial"/>
                <w:sz w:val="24"/>
                <w:szCs w:val="24"/>
              </w:rPr>
              <w:t>2</w:t>
            </w:r>
            <w:r w:rsidR="00B93A93" w:rsidRPr="00B93A93">
              <w:rPr>
                <w:rFonts w:ascii="Arial" w:hAnsi="Arial" w:cs="Arial"/>
                <w:sz w:val="24"/>
                <w:szCs w:val="24"/>
              </w:rPr>
              <w:t>2</w:t>
            </w:r>
            <w:r w:rsidRPr="00B93A93">
              <w:rPr>
                <w:rFonts w:ascii="Arial" w:hAnsi="Arial" w:cs="Arial"/>
                <w:sz w:val="24"/>
                <w:szCs w:val="24"/>
              </w:rPr>
              <w:t xml:space="preserve"> </w:t>
            </w:r>
            <w:r w:rsidR="000D2D7E" w:rsidRPr="00B93A93">
              <w:rPr>
                <w:rFonts w:ascii="Arial" w:hAnsi="Arial" w:cs="Arial"/>
                <w:sz w:val="24"/>
                <w:szCs w:val="24"/>
              </w:rPr>
              <w:t xml:space="preserve">the group </w:t>
            </w:r>
            <w:r w:rsidRPr="00B93A93">
              <w:rPr>
                <w:rFonts w:ascii="Arial" w:hAnsi="Arial" w:cs="Arial"/>
                <w:sz w:val="24"/>
                <w:szCs w:val="24"/>
              </w:rPr>
              <w:t>has work</w:t>
            </w:r>
            <w:r w:rsidR="000D2D7E" w:rsidRPr="00B93A93">
              <w:rPr>
                <w:rFonts w:ascii="Arial" w:hAnsi="Arial" w:cs="Arial"/>
                <w:sz w:val="24"/>
                <w:szCs w:val="24"/>
              </w:rPr>
              <w:t>ed</w:t>
            </w:r>
            <w:r w:rsidRPr="00B93A93">
              <w:rPr>
                <w:rFonts w:ascii="Arial" w:hAnsi="Arial" w:cs="Arial"/>
                <w:sz w:val="24"/>
                <w:szCs w:val="24"/>
              </w:rPr>
              <w:t xml:space="preserve"> towards drafting and agreeing a Climate Risk Policy which is aligned to the RI policy of the </w:t>
            </w:r>
            <w:r w:rsidR="000D2D7E" w:rsidRPr="00B93A93">
              <w:rPr>
                <w:rFonts w:ascii="Arial" w:hAnsi="Arial" w:cs="Arial"/>
                <w:sz w:val="24"/>
                <w:szCs w:val="24"/>
              </w:rPr>
              <w:t>City &amp; County of Swansea Pension F</w:t>
            </w:r>
            <w:r w:rsidRPr="00B93A93">
              <w:rPr>
                <w:rFonts w:ascii="Arial" w:hAnsi="Arial" w:cs="Arial"/>
                <w:sz w:val="24"/>
                <w:szCs w:val="24"/>
              </w:rPr>
              <w:t>und.</w:t>
            </w:r>
          </w:p>
          <w:p w14:paraId="2C45D875" w14:textId="77777777" w:rsidR="00B912D5" w:rsidRPr="00B93A93" w:rsidRDefault="00B912D5" w:rsidP="00B912D5">
            <w:pPr>
              <w:jc w:val="both"/>
              <w:rPr>
                <w:rFonts w:ascii="Arial" w:hAnsi="Arial" w:cs="Arial"/>
                <w:sz w:val="24"/>
                <w:szCs w:val="24"/>
              </w:rPr>
            </w:pPr>
          </w:p>
        </w:tc>
      </w:tr>
      <w:tr w:rsidR="005D79A1" w14:paraId="48EA489A" w14:textId="77777777" w:rsidTr="00D95C5A">
        <w:tc>
          <w:tcPr>
            <w:tcW w:w="8580" w:type="dxa"/>
            <w:shd w:val="clear" w:color="auto" w:fill="auto"/>
          </w:tcPr>
          <w:p w14:paraId="6E6F2825" w14:textId="77777777" w:rsidR="00405A43" w:rsidRDefault="00B93A93" w:rsidP="00D95C5A">
            <w:pPr>
              <w:jc w:val="both"/>
              <w:rPr>
                <w:rFonts w:ascii="Arial" w:hAnsi="Arial" w:cs="Arial"/>
                <w:sz w:val="24"/>
                <w:szCs w:val="24"/>
              </w:rPr>
            </w:pPr>
            <w:r>
              <w:rPr>
                <w:rFonts w:ascii="Arial" w:hAnsi="Arial" w:cs="Arial"/>
                <w:sz w:val="24"/>
                <w:szCs w:val="24"/>
              </w:rPr>
              <w:t>To aid the RI progress, during 2021/22, Russell Investments implemented an E</w:t>
            </w:r>
            <w:r w:rsidR="005D79A1" w:rsidRPr="00B93A93">
              <w:rPr>
                <w:rFonts w:ascii="Arial" w:hAnsi="Arial" w:cs="Arial"/>
                <w:sz w:val="24"/>
                <w:szCs w:val="24"/>
              </w:rPr>
              <w:t>nhanced Portfolio Implementation (EPI) of a Low Carbon overlay for the Glo</w:t>
            </w:r>
            <w:r w:rsidR="004233E7" w:rsidRPr="00B93A93">
              <w:rPr>
                <w:rFonts w:ascii="Arial" w:hAnsi="Arial" w:cs="Arial"/>
                <w:sz w:val="24"/>
                <w:szCs w:val="24"/>
              </w:rPr>
              <w:t>bal Opportunities equity fund</w:t>
            </w:r>
            <w:r>
              <w:rPr>
                <w:rFonts w:ascii="Arial" w:hAnsi="Arial" w:cs="Arial"/>
                <w:sz w:val="24"/>
                <w:szCs w:val="24"/>
              </w:rPr>
              <w:t>.</w:t>
            </w:r>
          </w:p>
          <w:p w14:paraId="3964045C" w14:textId="77777777" w:rsidR="00843B0F" w:rsidRDefault="00843B0F" w:rsidP="00BB055D">
            <w:pPr>
              <w:jc w:val="both"/>
              <w:rPr>
                <w:rFonts w:ascii="Arial" w:hAnsi="Arial" w:cs="Arial"/>
                <w:sz w:val="24"/>
                <w:szCs w:val="24"/>
              </w:rPr>
            </w:pPr>
          </w:p>
          <w:p w14:paraId="4D080D12" w14:textId="77777777" w:rsidR="008F4DB3" w:rsidRPr="00B93A93" w:rsidRDefault="008F4DB3" w:rsidP="00BB055D">
            <w:pPr>
              <w:jc w:val="both"/>
              <w:rPr>
                <w:rFonts w:ascii="Arial" w:hAnsi="Arial" w:cs="Arial"/>
                <w:sz w:val="24"/>
                <w:szCs w:val="24"/>
              </w:rPr>
            </w:pPr>
            <w:r>
              <w:rPr>
                <w:rFonts w:ascii="Arial" w:hAnsi="Arial" w:cs="Arial"/>
                <w:sz w:val="24"/>
                <w:szCs w:val="24"/>
              </w:rPr>
              <w:t>In 2022/23 the fund will be participating in the new Sustainable Equity sub fund currently being developed by Russell Investments, as part of the Net Zero path.</w:t>
            </w:r>
          </w:p>
        </w:tc>
      </w:tr>
      <w:tr w:rsidR="005D79A1" w14:paraId="39306C55" w14:textId="77777777" w:rsidTr="00D95C5A">
        <w:tc>
          <w:tcPr>
            <w:tcW w:w="8580" w:type="dxa"/>
            <w:shd w:val="clear" w:color="auto" w:fill="auto"/>
          </w:tcPr>
          <w:p w14:paraId="5EF00659" w14:textId="77777777" w:rsidR="005D79A1" w:rsidRPr="007B2AA5" w:rsidRDefault="005D79A1" w:rsidP="007B2AA5">
            <w:pPr>
              <w:jc w:val="both"/>
              <w:rPr>
                <w:rFonts w:ascii="Arial" w:hAnsi="Arial" w:cs="Arial"/>
                <w:sz w:val="24"/>
                <w:szCs w:val="24"/>
              </w:rPr>
            </w:pPr>
          </w:p>
        </w:tc>
      </w:tr>
      <w:tr w:rsidR="005D79A1" w:rsidRPr="00843B0F" w14:paraId="5B4CA8C8" w14:textId="77777777" w:rsidTr="00D95C5A">
        <w:tc>
          <w:tcPr>
            <w:tcW w:w="8580" w:type="dxa"/>
            <w:shd w:val="clear" w:color="auto" w:fill="auto"/>
          </w:tcPr>
          <w:p w14:paraId="11B8D737" w14:textId="77777777" w:rsidR="00B912D5" w:rsidRDefault="00B912D5" w:rsidP="00D95C5A">
            <w:pPr>
              <w:jc w:val="both"/>
              <w:rPr>
                <w:rFonts w:ascii="Arial" w:hAnsi="Arial" w:cs="Arial"/>
                <w:sz w:val="24"/>
                <w:szCs w:val="24"/>
              </w:rPr>
            </w:pPr>
          </w:p>
          <w:p w14:paraId="7B2526C1" w14:textId="77777777" w:rsidR="005D79A1" w:rsidRPr="00843B0F" w:rsidRDefault="005D79A1" w:rsidP="00B912D5">
            <w:pPr>
              <w:jc w:val="both"/>
              <w:rPr>
                <w:rFonts w:ascii="Arial" w:hAnsi="Arial" w:cs="Arial"/>
                <w:sz w:val="24"/>
                <w:szCs w:val="24"/>
              </w:rPr>
            </w:pPr>
            <w:r w:rsidRPr="00843B0F">
              <w:rPr>
                <w:rFonts w:ascii="Arial" w:hAnsi="Arial" w:cs="Arial"/>
                <w:sz w:val="24"/>
                <w:szCs w:val="24"/>
              </w:rPr>
              <w:t xml:space="preserve">The Private Markets sub group has also been working together regularly to find a solution to pooling the private market assets, this will be tranche 5 of the pooling process and is progressing </w:t>
            </w:r>
            <w:r w:rsidR="00843B0F" w:rsidRPr="00843B0F">
              <w:rPr>
                <w:rFonts w:ascii="Arial" w:hAnsi="Arial" w:cs="Arial"/>
                <w:sz w:val="24"/>
                <w:szCs w:val="24"/>
              </w:rPr>
              <w:t>as disclosed o</w:t>
            </w:r>
            <w:r w:rsidR="00843B0F">
              <w:rPr>
                <w:rFonts w:ascii="Arial" w:hAnsi="Arial" w:cs="Arial"/>
                <w:sz w:val="24"/>
                <w:szCs w:val="24"/>
              </w:rPr>
              <w:t>n</w:t>
            </w:r>
            <w:r w:rsidR="00843B0F" w:rsidRPr="00843B0F">
              <w:rPr>
                <w:rFonts w:ascii="Arial" w:hAnsi="Arial" w:cs="Arial"/>
                <w:sz w:val="24"/>
                <w:szCs w:val="24"/>
              </w:rPr>
              <w:t xml:space="preserve"> </w:t>
            </w:r>
            <w:r w:rsidR="00843B0F" w:rsidRPr="0088046B">
              <w:rPr>
                <w:rFonts w:ascii="Arial" w:hAnsi="Arial" w:cs="Arial"/>
                <w:sz w:val="24"/>
                <w:szCs w:val="24"/>
              </w:rPr>
              <w:t>page 30</w:t>
            </w:r>
            <w:r w:rsidR="007B2AA5" w:rsidRPr="0088046B">
              <w:rPr>
                <w:rFonts w:ascii="Arial" w:hAnsi="Arial" w:cs="Arial"/>
                <w:sz w:val="24"/>
                <w:szCs w:val="24"/>
              </w:rPr>
              <w:t>.</w:t>
            </w:r>
          </w:p>
        </w:tc>
      </w:tr>
      <w:tr w:rsidR="005D79A1" w:rsidRPr="00843B0F" w14:paraId="75B5B8ED" w14:textId="77777777" w:rsidTr="00D95C5A">
        <w:tc>
          <w:tcPr>
            <w:tcW w:w="8580" w:type="dxa"/>
            <w:shd w:val="clear" w:color="auto" w:fill="auto"/>
          </w:tcPr>
          <w:p w14:paraId="26F3E570" w14:textId="77777777" w:rsidR="005D79A1" w:rsidRPr="00843B0F" w:rsidRDefault="005D79A1" w:rsidP="00D95C5A">
            <w:pPr>
              <w:jc w:val="both"/>
              <w:rPr>
                <w:rFonts w:ascii="Arial" w:hAnsi="Arial" w:cs="Arial"/>
                <w:sz w:val="24"/>
                <w:szCs w:val="24"/>
              </w:rPr>
            </w:pPr>
          </w:p>
        </w:tc>
      </w:tr>
      <w:tr w:rsidR="005D79A1" w:rsidRPr="00843B0F" w14:paraId="07D675C3" w14:textId="77777777" w:rsidTr="00D95C5A">
        <w:tc>
          <w:tcPr>
            <w:tcW w:w="8580" w:type="dxa"/>
            <w:shd w:val="clear" w:color="auto" w:fill="auto"/>
          </w:tcPr>
          <w:p w14:paraId="578441A0" w14:textId="77777777" w:rsidR="005D79A1" w:rsidRPr="00843B0F" w:rsidRDefault="005D79A1" w:rsidP="00D95C5A">
            <w:pPr>
              <w:jc w:val="both"/>
              <w:rPr>
                <w:rFonts w:cs="Arial"/>
              </w:rPr>
            </w:pPr>
          </w:p>
        </w:tc>
      </w:tr>
      <w:tr w:rsidR="005D79A1" w:rsidRPr="00843B0F" w14:paraId="7B7D12CE" w14:textId="77777777" w:rsidTr="00D95C5A">
        <w:tc>
          <w:tcPr>
            <w:tcW w:w="8580" w:type="dxa"/>
            <w:shd w:val="clear" w:color="auto" w:fill="auto"/>
          </w:tcPr>
          <w:p w14:paraId="49707D20" w14:textId="77777777" w:rsidR="005D79A1" w:rsidRPr="00843B0F" w:rsidRDefault="005D79A1" w:rsidP="00D95C5A">
            <w:pPr>
              <w:jc w:val="both"/>
              <w:rPr>
                <w:rFonts w:ascii="Arial" w:hAnsi="Arial" w:cs="Arial"/>
                <w:sz w:val="24"/>
                <w:szCs w:val="24"/>
              </w:rPr>
            </w:pPr>
          </w:p>
        </w:tc>
      </w:tr>
    </w:tbl>
    <w:p w14:paraId="08477568" w14:textId="77777777" w:rsidR="00196720" w:rsidRPr="00843B0F" w:rsidRDefault="00196720" w:rsidP="00D730B9">
      <w:pPr>
        <w:jc w:val="both"/>
        <w:rPr>
          <w:rFonts w:ascii="Arial" w:hAnsi="Arial" w:cs="Arial"/>
          <w:sz w:val="24"/>
          <w:szCs w:val="24"/>
        </w:rPr>
      </w:pPr>
    </w:p>
    <w:p w14:paraId="386FC0F7" w14:textId="77777777" w:rsidR="007501E4" w:rsidRPr="00843B0F" w:rsidRDefault="007501E4" w:rsidP="007501E4">
      <w:pPr>
        <w:rPr>
          <w:rStyle w:val="Hyperlink"/>
          <w:rFonts w:ascii="Arial" w:hAnsi="Arial" w:cs="Arial"/>
          <w:color w:val="48A0FA"/>
          <w:sz w:val="24"/>
          <w:szCs w:val="24"/>
        </w:rPr>
      </w:pPr>
      <w:r w:rsidRPr="00843B0F">
        <w:rPr>
          <w:rFonts w:ascii="Arial" w:hAnsi="Arial" w:cs="Arial"/>
          <w:sz w:val="24"/>
          <w:szCs w:val="24"/>
        </w:rPr>
        <w:t xml:space="preserve">More detailed information can be found in WPP’s Annual Return which is published on the WPP website - </w:t>
      </w:r>
      <w:r w:rsidRPr="00843B0F">
        <w:rPr>
          <w:rFonts w:ascii="Arial" w:hAnsi="Arial" w:cs="Arial"/>
          <w:color w:val="2E74B5"/>
          <w:sz w:val="24"/>
          <w:szCs w:val="24"/>
        </w:rPr>
        <w:fldChar w:fldCharType="begin"/>
      </w:r>
      <w:r w:rsidRPr="00843B0F">
        <w:rPr>
          <w:rFonts w:ascii="Arial" w:hAnsi="Arial" w:cs="Arial"/>
          <w:color w:val="2E74B5"/>
          <w:sz w:val="24"/>
          <w:szCs w:val="24"/>
        </w:rPr>
        <w:instrText xml:space="preserve"> HYPERLINK "https://www.walespensionpartnership.org/" </w:instrText>
      </w:r>
      <w:r w:rsidRPr="00843B0F">
        <w:rPr>
          <w:rFonts w:ascii="Arial" w:hAnsi="Arial" w:cs="Arial"/>
          <w:color w:val="2E74B5"/>
          <w:sz w:val="24"/>
          <w:szCs w:val="24"/>
        </w:rPr>
        <w:fldChar w:fldCharType="separate"/>
      </w:r>
      <w:r w:rsidRPr="00843B0F">
        <w:rPr>
          <w:rStyle w:val="Hyperlink"/>
          <w:rFonts w:ascii="Arial" w:hAnsi="Arial" w:cs="Arial"/>
          <w:color w:val="034990"/>
          <w:sz w:val="24"/>
          <w:szCs w:val="24"/>
        </w:rPr>
        <w:t>https://www.walespensionpartnership.org/</w:t>
      </w:r>
    </w:p>
    <w:p w14:paraId="324AA7B0" w14:textId="77777777" w:rsidR="008229A9" w:rsidRPr="00843B0F" w:rsidRDefault="007501E4" w:rsidP="00135E52">
      <w:pPr>
        <w:rPr>
          <w:rFonts w:ascii="Arial" w:hAnsi="Arial" w:cs="Arial"/>
          <w:b/>
          <w:sz w:val="24"/>
          <w:szCs w:val="24"/>
        </w:rPr>
      </w:pPr>
      <w:r w:rsidRPr="00843B0F">
        <w:rPr>
          <w:rFonts w:ascii="Arial" w:hAnsi="Arial" w:cs="Arial"/>
          <w:color w:val="2E74B5"/>
          <w:sz w:val="24"/>
          <w:szCs w:val="24"/>
        </w:rPr>
        <w:lastRenderedPageBreak/>
        <w:fldChar w:fldCharType="end"/>
      </w:r>
      <w:r w:rsidR="00217CE5" w:rsidRPr="00843B0F">
        <w:rPr>
          <w:rFonts w:ascii="Arial" w:hAnsi="Arial" w:cs="Arial"/>
          <w:b/>
          <w:sz w:val="24"/>
          <w:szCs w:val="24"/>
        </w:rPr>
        <w:t>L</w:t>
      </w:r>
      <w:r w:rsidR="008229A9" w:rsidRPr="00843B0F">
        <w:rPr>
          <w:rFonts w:ascii="Arial" w:hAnsi="Arial" w:cs="Arial"/>
          <w:b/>
          <w:sz w:val="24"/>
          <w:szCs w:val="24"/>
        </w:rPr>
        <w:t xml:space="preserve">ocal Pension Board - Annual Report </w:t>
      </w:r>
      <w:r w:rsidR="004B6654" w:rsidRPr="00843B0F">
        <w:rPr>
          <w:rFonts w:ascii="Arial" w:hAnsi="Arial" w:cs="Arial"/>
          <w:b/>
          <w:sz w:val="24"/>
          <w:szCs w:val="24"/>
        </w:rPr>
        <w:t>2021/22</w:t>
      </w:r>
    </w:p>
    <w:p w14:paraId="750FCA40" w14:textId="77777777" w:rsidR="008229A9" w:rsidRPr="00843B0F" w:rsidRDefault="008229A9" w:rsidP="008229A9">
      <w:pPr>
        <w:rPr>
          <w:rFonts w:ascii="Arial" w:hAnsi="Arial" w:cs="Arial"/>
          <w:b/>
          <w:sz w:val="24"/>
          <w:szCs w:val="24"/>
        </w:rPr>
      </w:pPr>
    </w:p>
    <w:p w14:paraId="79CEE5BE" w14:textId="77777777" w:rsidR="008229A9" w:rsidRPr="00843B0F" w:rsidRDefault="008229A9" w:rsidP="008229A9">
      <w:pPr>
        <w:rPr>
          <w:rFonts w:ascii="Arial" w:hAnsi="Arial" w:cs="Arial"/>
          <w:b/>
          <w:sz w:val="24"/>
          <w:szCs w:val="24"/>
        </w:rPr>
      </w:pPr>
      <w:r w:rsidRPr="00843B0F">
        <w:rPr>
          <w:rFonts w:ascii="Arial" w:hAnsi="Arial" w:cs="Arial"/>
          <w:b/>
          <w:sz w:val="24"/>
          <w:szCs w:val="24"/>
        </w:rPr>
        <w:t>Introduction</w:t>
      </w:r>
    </w:p>
    <w:p w14:paraId="1150AAD4" w14:textId="77777777" w:rsidR="008229A9" w:rsidRPr="00843B0F" w:rsidRDefault="008229A9" w:rsidP="008229A9">
      <w:pPr>
        <w:rPr>
          <w:rFonts w:ascii="Arial" w:hAnsi="Arial" w:cs="Arial"/>
          <w:b/>
          <w:sz w:val="24"/>
          <w:szCs w:val="24"/>
        </w:rPr>
      </w:pPr>
    </w:p>
    <w:p w14:paraId="5EB643C8" w14:textId="77777777" w:rsidR="008229A9" w:rsidRPr="00843B0F" w:rsidRDefault="008229A9" w:rsidP="008229A9">
      <w:pPr>
        <w:jc w:val="both"/>
        <w:rPr>
          <w:rFonts w:ascii="Arial" w:hAnsi="Arial" w:cs="Arial"/>
          <w:sz w:val="24"/>
          <w:szCs w:val="24"/>
        </w:rPr>
      </w:pPr>
      <w:r w:rsidRPr="00843B0F">
        <w:rPr>
          <w:rFonts w:ascii="Arial" w:hAnsi="Arial" w:cs="Arial"/>
          <w:sz w:val="24"/>
          <w:szCs w:val="24"/>
        </w:rPr>
        <w:t>In April 2016, the LGPS Scheme Advisory Board (SAB) was established as a statutory body, to encourage best practice, increase transparency and co-ordinate technical and statutory issues at national level. To assist each Pension fund achieve these standards each Pension Fund has a new Local Pension Board working to standard guidance set nationally.</w:t>
      </w:r>
    </w:p>
    <w:p w14:paraId="11533569" w14:textId="77777777" w:rsidR="008229A9" w:rsidRPr="00843B0F" w:rsidRDefault="008229A9" w:rsidP="008229A9">
      <w:pPr>
        <w:jc w:val="both"/>
        <w:rPr>
          <w:rFonts w:ascii="Arial" w:hAnsi="Arial" w:cs="Arial"/>
          <w:sz w:val="24"/>
          <w:szCs w:val="24"/>
        </w:rPr>
      </w:pPr>
    </w:p>
    <w:p w14:paraId="4034CA3F" w14:textId="77777777" w:rsidR="008229A9" w:rsidRPr="00843B0F" w:rsidRDefault="008229A9" w:rsidP="008229A9">
      <w:pPr>
        <w:jc w:val="both"/>
        <w:rPr>
          <w:rFonts w:ascii="Arial" w:hAnsi="Arial" w:cs="Arial"/>
          <w:sz w:val="24"/>
          <w:szCs w:val="24"/>
        </w:rPr>
      </w:pPr>
      <w:r w:rsidRPr="00843B0F">
        <w:rPr>
          <w:rFonts w:ascii="Arial" w:hAnsi="Arial" w:cs="Arial"/>
          <w:sz w:val="24"/>
          <w:szCs w:val="24"/>
        </w:rPr>
        <w:t xml:space="preserve">In addition 2015 saw the Pensions Regulator’s (tPR) role extended from private sector pension to also cover public sector schemes. New procedures </w:t>
      </w:r>
      <w:r w:rsidR="00194D3E" w:rsidRPr="00843B0F">
        <w:rPr>
          <w:rFonts w:ascii="Arial" w:hAnsi="Arial" w:cs="Arial"/>
          <w:sz w:val="24"/>
          <w:szCs w:val="24"/>
        </w:rPr>
        <w:t xml:space="preserve">were introduced during </w:t>
      </w:r>
      <w:r w:rsidRPr="00843B0F">
        <w:rPr>
          <w:rFonts w:ascii="Arial" w:hAnsi="Arial" w:cs="Arial"/>
          <w:sz w:val="24"/>
          <w:szCs w:val="24"/>
        </w:rPr>
        <w:t>the year to meet the requirements of the Pensions Regulator’s Code of Practice, including the reporting of statutory and regulatory breaches such as late payment of contributions.</w:t>
      </w:r>
    </w:p>
    <w:p w14:paraId="443FA934" w14:textId="77777777" w:rsidR="008229A9" w:rsidRPr="00843B0F" w:rsidRDefault="008229A9" w:rsidP="008229A9">
      <w:pPr>
        <w:jc w:val="both"/>
        <w:rPr>
          <w:rFonts w:ascii="Arial" w:hAnsi="Arial" w:cs="Arial"/>
          <w:sz w:val="24"/>
          <w:szCs w:val="24"/>
        </w:rPr>
      </w:pPr>
    </w:p>
    <w:p w14:paraId="594B1352" w14:textId="77777777" w:rsidR="008229A9" w:rsidRPr="00843B0F" w:rsidRDefault="008229A9" w:rsidP="008229A9">
      <w:pPr>
        <w:jc w:val="both"/>
        <w:rPr>
          <w:rFonts w:ascii="Arial" w:hAnsi="Arial" w:cs="Arial"/>
          <w:sz w:val="24"/>
          <w:szCs w:val="24"/>
        </w:rPr>
      </w:pPr>
      <w:r w:rsidRPr="00843B0F">
        <w:rPr>
          <w:rFonts w:ascii="Arial" w:hAnsi="Arial" w:cs="Arial"/>
          <w:sz w:val="24"/>
          <w:szCs w:val="24"/>
        </w:rPr>
        <w:t>The purpose of the board is not to be involved in the day to</w:t>
      </w:r>
      <w:r w:rsidR="00CD20E6" w:rsidRPr="00843B0F">
        <w:rPr>
          <w:rFonts w:ascii="Arial" w:hAnsi="Arial" w:cs="Arial"/>
          <w:sz w:val="24"/>
          <w:szCs w:val="24"/>
        </w:rPr>
        <w:t xml:space="preserve"> </w:t>
      </w:r>
      <w:r w:rsidRPr="00843B0F">
        <w:rPr>
          <w:rFonts w:ascii="Arial" w:hAnsi="Arial" w:cs="Arial"/>
          <w:sz w:val="24"/>
          <w:szCs w:val="24"/>
        </w:rPr>
        <w:t xml:space="preserve">day running of the Pension Fund but rather to assist the Administering Authority in the work carried out by the Fund and ensure that it complies with laws and regulations, including the requirements of the Pensions Regulator. </w:t>
      </w:r>
    </w:p>
    <w:p w14:paraId="30310C0E" w14:textId="77777777" w:rsidR="004103EE" w:rsidRPr="00C82B84" w:rsidRDefault="004103EE" w:rsidP="008229A9">
      <w:pPr>
        <w:jc w:val="both"/>
        <w:rPr>
          <w:rFonts w:ascii="Arial" w:hAnsi="Arial" w:cs="Arial"/>
          <w:sz w:val="24"/>
          <w:szCs w:val="24"/>
          <w:highlight w:val="yellow"/>
        </w:rPr>
      </w:pPr>
    </w:p>
    <w:p w14:paraId="64A831B3" w14:textId="77777777" w:rsidR="008229A9" w:rsidRPr="00843B0F" w:rsidRDefault="008229A9" w:rsidP="008229A9">
      <w:pPr>
        <w:jc w:val="both"/>
        <w:rPr>
          <w:rFonts w:ascii="Arial" w:hAnsi="Arial" w:cs="Arial"/>
          <w:sz w:val="24"/>
          <w:szCs w:val="24"/>
        </w:rPr>
      </w:pPr>
      <w:r w:rsidRPr="00843B0F">
        <w:rPr>
          <w:rFonts w:ascii="Arial" w:hAnsi="Arial" w:cs="Arial"/>
          <w:sz w:val="24"/>
          <w:szCs w:val="24"/>
        </w:rPr>
        <w:t>The Regulator has set clear standards which it expects Pension Funds to meet and will place reliance on the Local Pension Board to ensure these standards are met and that they assist the Pension Fund in continually improving its operations.</w:t>
      </w:r>
      <w:r w:rsidR="004103EE" w:rsidRPr="00843B0F">
        <w:rPr>
          <w:rFonts w:ascii="Arial" w:hAnsi="Arial" w:cs="Arial"/>
          <w:sz w:val="24"/>
          <w:szCs w:val="24"/>
        </w:rPr>
        <w:t xml:space="preserve"> </w:t>
      </w:r>
      <w:r w:rsidRPr="00843B0F">
        <w:rPr>
          <w:rFonts w:ascii="Arial" w:hAnsi="Arial" w:cs="Arial"/>
          <w:sz w:val="24"/>
          <w:szCs w:val="24"/>
        </w:rPr>
        <w:t>Since the Board was established the Board has attended appropriate training to understand requirements of the role, including the specific requirements of the Pensions Regulator</w:t>
      </w:r>
    </w:p>
    <w:p w14:paraId="23879E35" w14:textId="77777777" w:rsidR="008229A9" w:rsidRPr="00843B0F" w:rsidRDefault="008229A9" w:rsidP="008229A9">
      <w:pPr>
        <w:jc w:val="both"/>
        <w:rPr>
          <w:rFonts w:ascii="Arial" w:hAnsi="Arial" w:cs="Arial"/>
          <w:sz w:val="24"/>
          <w:szCs w:val="24"/>
        </w:rPr>
      </w:pPr>
    </w:p>
    <w:p w14:paraId="24CD2C99" w14:textId="77777777" w:rsidR="008229A9" w:rsidRPr="00843B0F" w:rsidRDefault="008229A9" w:rsidP="008229A9">
      <w:pPr>
        <w:rPr>
          <w:rFonts w:ascii="Arial" w:hAnsi="Arial" w:cs="Arial"/>
          <w:b/>
          <w:sz w:val="24"/>
          <w:szCs w:val="24"/>
        </w:rPr>
      </w:pPr>
      <w:r w:rsidRPr="00843B0F">
        <w:rPr>
          <w:rFonts w:ascii="Arial" w:hAnsi="Arial" w:cs="Arial"/>
          <w:b/>
          <w:sz w:val="24"/>
          <w:szCs w:val="24"/>
        </w:rPr>
        <w:t>Details of Membership</w:t>
      </w:r>
    </w:p>
    <w:p w14:paraId="6E34BF26" w14:textId="77777777" w:rsidR="008229A9" w:rsidRPr="00843B0F" w:rsidRDefault="001F1922" w:rsidP="008229A9">
      <w:pPr>
        <w:jc w:val="both"/>
        <w:rPr>
          <w:rFonts w:ascii="Arial" w:hAnsi="Arial" w:cs="Arial"/>
          <w:sz w:val="24"/>
          <w:szCs w:val="24"/>
        </w:rPr>
      </w:pPr>
      <w:r w:rsidRPr="00843B0F">
        <w:rPr>
          <w:rFonts w:ascii="Arial" w:hAnsi="Arial" w:cs="Arial"/>
          <w:sz w:val="24"/>
          <w:szCs w:val="24"/>
        </w:rPr>
        <w:t>T</w:t>
      </w:r>
      <w:r w:rsidR="008229A9" w:rsidRPr="00843B0F">
        <w:rPr>
          <w:rFonts w:ascii="Arial" w:hAnsi="Arial" w:cs="Arial"/>
          <w:sz w:val="24"/>
          <w:szCs w:val="24"/>
        </w:rPr>
        <w:t xml:space="preserve">he Board consists of 6 members, 3 member representatives and 3 employer representatives. All members are unpaid volunteers. </w:t>
      </w:r>
      <w:r w:rsidRPr="00843B0F">
        <w:rPr>
          <w:rFonts w:ascii="Arial" w:hAnsi="Arial" w:cs="Arial"/>
          <w:sz w:val="24"/>
          <w:szCs w:val="24"/>
        </w:rPr>
        <w:t xml:space="preserve">During </w:t>
      </w:r>
      <w:r w:rsidR="004B6654" w:rsidRPr="00843B0F">
        <w:rPr>
          <w:rFonts w:ascii="Arial" w:hAnsi="Arial" w:cs="Arial"/>
          <w:sz w:val="24"/>
          <w:szCs w:val="24"/>
        </w:rPr>
        <w:t>2021/22</w:t>
      </w:r>
      <w:r w:rsidRPr="00843B0F">
        <w:rPr>
          <w:rFonts w:ascii="Arial" w:hAnsi="Arial" w:cs="Arial"/>
          <w:sz w:val="24"/>
          <w:szCs w:val="24"/>
        </w:rPr>
        <w:t xml:space="preserve"> the Board was made up of the following members :</w:t>
      </w:r>
    </w:p>
    <w:p w14:paraId="7895FF46" w14:textId="77777777" w:rsidR="008229A9" w:rsidRPr="00C82B84" w:rsidRDefault="008229A9" w:rsidP="008229A9">
      <w:pPr>
        <w:jc w:val="both"/>
        <w:rPr>
          <w:rFonts w:ascii="Arial" w:hAnsi="Arial" w:cs="Arial"/>
          <w:b/>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631"/>
        <w:gridCol w:w="2348"/>
        <w:gridCol w:w="2696"/>
      </w:tblGrid>
      <w:tr w:rsidR="001F1922" w:rsidRPr="00C82B84" w14:paraId="072C3C90" w14:textId="77777777" w:rsidTr="001F1922">
        <w:tc>
          <w:tcPr>
            <w:tcW w:w="2408" w:type="dxa"/>
            <w:shd w:val="clear" w:color="auto" w:fill="auto"/>
          </w:tcPr>
          <w:p w14:paraId="2D6F24FB" w14:textId="77777777" w:rsidR="001F1922" w:rsidRPr="00843B0F" w:rsidRDefault="001F1922" w:rsidP="000C141D">
            <w:pPr>
              <w:rPr>
                <w:rFonts w:ascii="Arial" w:hAnsi="Arial" w:cs="Arial"/>
                <w:b/>
                <w:sz w:val="24"/>
                <w:szCs w:val="24"/>
              </w:rPr>
            </w:pPr>
            <w:r w:rsidRPr="00843B0F">
              <w:rPr>
                <w:rFonts w:ascii="Arial" w:hAnsi="Arial" w:cs="Arial"/>
                <w:b/>
                <w:sz w:val="24"/>
                <w:szCs w:val="24"/>
              </w:rPr>
              <w:t>Type</w:t>
            </w:r>
          </w:p>
        </w:tc>
        <w:tc>
          <w:tcPr>
            <w:tcW w:w="1669" w:type="dxa"/>
          </w:tcPr>
          <w:p w14:paraId="1BEA711A" w14:textId="77777777" w:rsidR="001F1922" w:rsidRPr="00843B0F" w:rsidRDefault="001F1922" w:rsidP="000C141D">
            <w:pPr>
              <w:rPr>
                <w:rFonts w:ascii="Arial" w:hAnsi="Arial" w:cs="Arial"/>
                <w:b/>
                <w:sz w:val="24"/>
                <w:szCs w:val="24"/>
              </w:rPr>
            </w:pPr>
            <w:r w:rsidRPr="00843B0F">
              <w:rPr>
                <w:rFonts w:ascii="Arial" w:hAnsi="Arial" w:cs="Arial"/>
                <w:b/>
                <w:sz w:val="24"/>
                <w:szCs w:val="24"/>
              </w:rPr>
              <w:t>Status</w:t>
            </w:r>
          </w:p>
        </w:tc>
        <w:tc>
          <w:tcPr>
            <w:tcW w:w="2410" w:type="dxa"/>
            <w:shd w:val="clear" w:color="auto" w:fill="auto"/>
          </w:tcPr>
          <w:p w14:paraId="0C01A39A" w14:textId="77777777" w:rsidR="001F1922" w:rsidRPr="00843B0F" w:rsidRDefault="001F1922" w:rsidP="000C141D">
            <w:pPr>
              <w:rPr>
                <w:rFonts w:ascii="Arial" w:hAnsi="Arial" w:cs="Arial"/>
                <w:b/>
                <w:sz w:val="24"/>
                <w:szCs w:val="24"/>
              </w:rPr>
            </w:pPr>
            <w:r w:rsidRPr="00843B0F">
              <w:rPr>
                <w:rFonts w:ascii="Arial" w:hAnsi="Arial" w:cs="Arial"/>
                <w:b/>
                <w:sz w:val="24"/>
                <w:szCs w:val="24"/>
              </w:rPr>
              <w:t>Name</w:t>
            </w:r>
          </w:p>
        </w:tc>
        <w:tc>
          <w:tcPr>
            <w:tcW w:w="2755" w:type="dxa"/>
            <w:shd w:val="clear" w:color="auto" w:fill="auto"/>
          </w:tcPr>
          <w:p w14:paraId="35EE046B" w14:textId="77777777" w:rsidR="001F1922" w:rsidRPr="00843B0F" w:rsidRDefault="001F1922" w:rsidP="000C141D">
            <w:pPr>
              <w:rPr>
                <w:rFonts w:ascii="Arial" w:hAnsi="Arial" w:cs="Arial"/>
                <w:b/>
                <w:sz w:val="24"/>
                <w:szCs w:val="24"/>
              </w:rPr>
            </w:pPr>
            <w:r w:rsidRPr="00843B0F">
              <w:rPr>
                <w:rFonts w:ascii="Arial" w:hAnsi="Arial" w:cs="Arial"/>
                <w:b/>
                <w:sz w:val="24"/>
                <w:szCs w:val="24"/>
              </w:rPr>
              <w:t>Organisation</w:t>
            </w:r>
          </w:p>
        </w:tc>
      </w:tr>
      <w:tr w:rsidR="001F1922" w:rsidRPr="00C82B84" w14:paraId="0360AD27" w14:textId="77777777" w:rsidTr="001F1922">
        <w:tc>
          <w:tcPr>
            <w:tcW w:w="2408" w:type="dxa"/>
            <w:shd w:val="clear" w:color="auto" w:fill="auto"/>
          </w:tcPr>
          <w:p w14:paraId="471C22EC" w14:textId="77777777" w:rsidR="001F1922" w:rsidRPr="00843B0F" w:rsidRDefault="001F1922" w:rsidP="000C141D">
            <w:pPr>
              <w:rPr>
                <w:rFonts w:ascii="Arial" w:hAnsi="Arial" w:cs="Arial"/>
                <w:sz w:val="24"/>
                <w:szCs w:val="24"/>
              </w:rPr>
            </w:pPr>
            <w:r w:rsidRPr="00843B0F">
              <w:rPr>
                <w:rFonts w:ascii="Arial" w:hAnsi="Arial" w:cs="Arial"/>
                <w:sz w:val="24"/>
                <w:szCs w:val="24"/>
              </w:rPr>
              <w:t>Employer</w:t>
            </w:r>
          </w:p>
        </w:tc>
        <w:tc>
          <w:tcPr>
            <w:tcW w:w="1669" w:type="dxa"/>
          </w:tcPr>
          <w:p w14:paraId="1D74A3EF" w14:textId="77777777" w:rsidR="001F1922" w:rsidRPr="00843B0F" w:rsidRDefault="00E05F5A" w:rsidP="000C141D">
            <w:pPr>
              <w:rPr>
                <w:rFonts w:ascii="Arial" w:hAnsi="Arial" w:cs="Arial"/>
                <w:sz w:val="24"/>
                <w:szCs w:val="24"/>
              </w:rPr>
            </w:pPr>
            <w:r w:rsidRPr="00843B0F">
              <w:rPr>
                <w:rFonts w:ascii="Arial" w:hAnsi="Arial" w:cs="Arial"/>
                <w:sz w:val="24"/>
                <w:szCs w:val="24"/>
              </w:rPr>
              <w:t>New</w:t>
            </w:r>
          </w:p>
        </w:tc>
        <w:tc>
          <w:tcPr>
            <w:tcW w:w="2410" w:type="dxa"/>
            <w:shd w:val="clear" w:color="auto" w:fill="auto"/>
          </w:tcPr>
          <w:p w14:paraId="1EC1C664" w14:textId="77777777" w:rsidR="001F1922" w:rsidRPr="00843B0F" w:rsidRDefault="001F1922" w:rsidP="00E05F5A">
            <w:pPr>
              <w:rPr>
                <w:rFonts w:ascii="Arial" w:hAnsi="Arial" w:cs="Arial"/>
                <w:sz w:val="24"/>
                <w:szCs w:val="24"/>
              </w:rPr>
            </w:pPr>
            <w:r w:rsidRPr="00843B0F">
              <w:rPr>
                <w:rFonts w:ascii="Arial" w:hAnsi="Arial" w:cs="Arial"/>
                <w:sz w:val="24"/>
                <w:szCs w:val="24"/>
              </w:rPr>
              <w:t xml:space="preserve">Cllr </w:t>
            </w:r>
            <w:r w:rsidR="00E05F5A" w:rsidRPr="00843B0F">
              <w:rPr>
                <w:rFonts w:ascii="Arial" w:hAnsi="Arial" w:cs="Arial"/>
                <w:sz w:val="24"/>
                <w:szCs w:val="24"/>
              </w:rPr>
              <w:t>Peter Jones</w:t>
            </w:r>
          </w:p>
        </w:tc>
        <w:tc>
          <w:tcPr>
            <w:tcW w:w="2755" w:type="dxa"/>
            <w:shd w:val="clear" w:color="auto" w:fill="auto"/>
          </w:tcPr>
          <w:p w14:paraId="0AE4B782" w14:textId="77777777" w:rsidR="001F1922" w:rsidRPr="00843B0F" w:rsidRDefault="001F1922" w:rsidP="000C141D">
            <w:pPr>
              <w:rPr>
                <w:rFonts w:ascii="Arial" w:hAnsi="Arial" w:cs="Arial"/>
                <w:sz w:val="24"/>
                <w:szCs w:val="24"/>
              </w:rPr>
            </w:pPr>
            <w:r w:rsidRPr="00843B0F">
              <w:rPr>
                <w:rFonts w:ascii="Arial" w:hAnsi="Arial" w:cs="Arial"/>
                <w:sz w:val="24"/>
                <w:szCs w:val="24"/>
              </w:rPr>
              <w:t>City &amp; County of Swansea</w:t>
            </w:r>
          </w:p>
        </w:tc>
      </w:tr>
      <w:tr w:rsidR="001F1922" w:rsidRPr="00C82B84" w14:paraId="09314658" w14:textId="77777777" w:rsidTr="001F1922">
        <w:tc>
          <w:tcPr>
            <w:tcW w:w="2408" w:type="dxa"/>
            <w:shd w:val="clear" w:color="auto" w:fill="auto"/>
          </w:tcPr>
          <w:p w14:paraId="2EDF6A1D" w14:textId="77777777" w:rsidR="001F1922" w:rsidRPr="00843B0F" w:rsidRDefault="001F1922" w:rsidP="000C141D">
            <w:pPr>
              <w:rPr>
                <w:rFonts w:ascii="Arial" w:hAnsi="Arial" w:cs="Arial"/>
                <w:sz w:val="24"/>
                <w:szCs w:val="24"/>
              </w:rPr>
            </w:pPr>
            <w:r w:rsidRPr="00843B0F">
              <w:rPr>
                <w:rFonts w:ascii="Arial" w:hAnsi="Arial" w:cs="Arial"/>
                <w:sz w:val="24"/>
                <w:szCs w:val="24"/>
              </w:rPr>
              <w:t>Employer</w:t>
            </w:r>
          </w:p>
        </w:tc>
        <w:tc>
          <w:tcPr>
            <w:tcW w:w="1669" w:type="dxa"/>
          </w:tcPr>
          <w:p w14:paraId="4BF6B62C" w14:textId="77777777" w:rsidR="001F1922" w:rsidRPr="00843B0F" w:rsidRDefault="001F1922" w:rsidP="00194D3E">
            <w:pPr>
              <w:rPr>
                <w:rFonts w:ascii="Arial" w:hAnsi="Arial" w:cs="Arial"/>
                <w:sz w:val="24"/>
                <w:szCs w:val="24"/>
              </w:rPr>
            </w:pPr>
            <w:r w:rsidRPr="00843B0F">
              <w:rPr>
                <w:rFonts w:ascii="Arial" w:hAnsi="Arial" w:cs="Arial"/>
                <w:sz w:val="24"/>
                <w:szCs w:val="24"/>
              </w:rPr>
              <w:t>Current</w:t>
            </w:r>
          </w:p>
        </w:tc>
        <w:tc>
          <w:tcPr>
            <w:tcW w:w="2410" w:type="dxa"/>
            <w:shd w:val="clear" w:color="auto" w:fill="auto"/>
          </w:tcPr>
          <w:p w14:paraId="52B79571" w14:textId="77777777" w:rsidR="001F1922" w:rsidRPr="00843B0F" w:rsidRDefault="001F1922" w:rsidP="00194D3E">
            <w:pPr>
              <w:rPr>
                <w:rFonts w:ascii="Arial" w:hAnsi="Arial" w:cs="Arial"/>
                <w:sz w:val="24"/>
                <w:szCs w:val="24"/>
              </w:rPr>
            </w:pPr>
            <w:r w:rsidRPr="00843B0F">
              <w:rPr>
                <w:rFonts w:ascii="Arial" w:hAnsi="Arial" w:cs="Arial"/>
                <w:sz w:val="24"/>
                <w:szCs w:val="24"/>
              </w:rPr>
              <w:t>Cllr Alan Lockyer</w:t>
            </w:r>
          </w:p>
        </w:tc>
        <w:tc>
          <w:tcPr>
            <w:tcW w:w="2755" w:type="dxa"/>
            <w:shd w:val="clear" w:color="auto" w:fill="auto"/>
          </w:tcPr>
          <w:p w14:paraId="67ECF99F" w14:textId="77777777" w:rsidR="001F1922" w:rsidRPr="00843B0F" w:rsidRDefault="001F1922" w:rsidP="000C141D">
            <w:pPr>
              <w:rPr>
                <w:rFonts w:ascii="Arial" w:hAnsi="Arial" w:cs="Arial"/>
                <w:sz w:val="24"/>
                <w:szCs w:val="24"/>
              </w:rPr>
            </w:pPr>
            <w:r w:rsidRPr="00843B0F">
              <w:rPr>
                <w:rFonts w:ascii="Arial" w:hAnsi="Arial" w:cs="Arial"/>
                <w:sz w:val="24"/>
                <w:szCs w:val="24"/>
              </w:rPr>
              <w:t>Neath County Borough Council</w:t>
            </w:r>
          </w:p>
        </w:tc>
      </w:tr>
      <w:tr w:rsidR="001F1922" w:rsidRPr="00C82B84" w14:paraId="7A78BFF2" w14:textId="77777777" w:rsidTr="001F1922">
        <w:tc>
          <w:tcPr>
            <w:tcW w:w="2408" w:type="dxa"/>
            <w:shd w:val="clear" w:color="auto" w:fill="auto"/>
          </w:tcPr>
          <w:p w14:paraId="426461EE" w14:textId="77777777" w:rsidR="001F1922" w:rsidRPr="00843B0F" w:rsidRDefault="001F1922" w:rsidP="001F1922">
            <w:pPr>
              <w:rPr>
                <w:rFonts w:ascii="Arial" w:hAnsi="Arial" w:cs="Arial"/>
                <w:sz w:val="24"/>
                <w:szCs w:val="24"/>
              </w:rPr>
            </w:pPr>
            <w:r w:rsidRPr="00843B0F">
              <w:rPr>
                <w:rFonts w:ascii="Arial" w:hAnsi="Arial" w:cs="Arial"/>
                <w:sz w:val="24"/>
                <w:szCs w:val="24"/>
              </w:rPr>
              <w:t>Employer</w:t>
            </w:r>
          </w:p>
        </w:tc>
        <w:tc>
          <w:tcPr>
            <w:tcW w:w="1669" w:type="dxa"/>
          </w:tcPr>
          <w:p w14:paraId="200DB7A3" w14:textId="77777777" w:rsidR="001F1922" w:rsidRPr="00843B0F" w:rsidRDefault="00A33322" w:rsidP="001F1922">
            <w:pPr>
              <w:rPr>
                <w:rFonts w:ascii="Arial" w:hAnsi="Arial" w:cs="Arial"/>
                <w:sz w:val="24"/>
                <w:szCs w:val="24"/>
              </w:rPr>
            </w:pPr>
            <w:r w:rsidRPr="00843B0F">
              <w:rPr>
                <w:rFonts w:ascii="Arial" w:hAnsi="Arial" w:cs="Arial"/>
                <w:sz w:val="24"/>
                <w:szCs w:val="24"/>
              </w:rPr>
              <w:t>Current</w:t>
            </w:r>
            <w:r w:rsidR="001F1922" w:rsidRPr="00843B0F">
              <w:rPr>
                <w:rFonts w:ascii="Arial" w:hAnsi="Arial" w:cs="Arial"/>
                <w:sz w:val="24"/>
                <w:szCs w:val="24"/>
              </w:rPr>
              <w:t xml:space="preserve"> </w:t>
            </w:r>
          </w:p>
        </w:tc>
        <w:tc>
          <w:tcPr>
            <w:tcW w:w="2410" w:type="dxa"/>
            <w:shd w:val="clear" w:color="auto" w:fill="auto"/>
          </w:tcPr>
          <w:p w14:paraId="494AA954" w14:textId="77777777" w:rsidR="001F1922" w:rsidRPr="00843B0F" w:rsidRDefault="001F1922" w:rsidP="001F1922">
            <w:pPr>
              <w:rPr>
                <w:rFonts w:ascii="Arial" w:hAnsi="Arial" w:cs="Arial"/>
                <w:sz w:val="24"/>
                <w:szCs w:val="24"/>
              </w:rPr>
            </w:pPr>
            <w:r w:rsidRPr="00843B0F">
              <w:rPr>
                <w:rFonts w:ascii="Arial" w:hAnsi="Arial" w:cs="Arial"/>
                <w:sz w:val="24"/>
                <w:szCs w:val="24"/>
              </w:rPr>
              <w:t>Mr David Mackerras</w:t>
            </w:r>
          </w:p>
        </w:tc>
        <w:tc>
          <w:tcPr>
            <w:tcW w:w="2755" w:type="dxa"/>
            <w:shd w:val="clear" w:color="auto" w:fill="auto"/>
          </w:tcPr>
          <w:p w14:paraId="504ECF6F" w14:textId="77777777" w:rsidR="001F1922" w:rsidRPr="00843B0F" w:rsidRDefault="001F1922" w:rsidP="001F1922">
            <w:pPr>
              <w:rPr>
                <w:rFonts w:ascii="Arial" w:hAnsi="Arial" w:cs="Arial"/>
                <w:sz w:val="24"/>
                <w:szCs w:val="24"/>
              </w:rPr>
            </w:pPr>
            <w:r w:rsidRPr="00843B0F">
              <w:rPr>
                <w:rFonts w:ascii="Arial" w:hAnsi="Arial" w:cs="Arial"/>
                <w:sz w:val="24"/>
                <w:szCs w:val="24"/>
              </w:rPr>
              <w:t>Pelenna Community Council</w:t>
            </w:r>
          </w:p>
        </w:tc>
      </w:tr>
      <w:tr w:rsidR="001F1922" w:rsidRPr="00C82B84" w14:paraId="78582255" w14:textId="77777777" w:rsidTr="001F1922">
        <w:tc>
          <w:tcPr>
            <w:tcW w:w="2408" w:type="dxa"/>
            <w:shd w:val="clear" w:color="auto" w:fill="auto"/>
          </w:tcPr>
          <w:p w14:paraId="056892F7" w14:textId="77777777" w:rsidR="001F1922" w:rsidRPr="00843B0F" w:rsidRDefault="001F1922" w:rsidP="001F1922">
            <w:pPr>
              <w:rPr>
                <w:rFonts w:ascii="Arial" w:hAnsi="Arial" w:cs="Arial"/>
                <w:sz w:val="24"/>
                <w:szCs w:val="24"/>
              </w:rPr>
            </w:pPr>
            <w:r w:rsidRPr="00843B0F">
              <w:rPr>
                <w:rFonts w:ascii="Arial" w:hAnsi="Arial" w:cs="Arial"/>
                <w:sz w:val="24"/>
                <w:szCs w:val="24"/>
              </w:rPr>
              <w:t>Member</w:t>
            </w:r>
          </w:p>
        </w:tc>
        <w:tc>
          <w:tcPr>
            <w:tcW w:w="1669" w:type="dxa"/>
          </w:tcPr>
          <w:p w14:paraId="17DABE83" w14:textId="77777777" w:rsidR="001F1922" w:rsidRPr="00843B0F" w:rsidRDefault="001F1922" w:rsidP="001F1922">
            <w:pPr>
              <w:rPr>
                <w:rFonts w:ascii="Arial" w:hAnsi="Arial" w:cs="Arial"/>
                <w:sz w:val="24"/>
                <w:szCs w:val="24"/>
              </w:rPr>
            </w:pPr>
            <w:r w:rsidRPr="00843B0F">
              <w:rPr>
                <w:rFonts w:ascii="Arial" w:hAnsi="Arial" w:cs="Arial"/>
                <w:sz w:val="24"/>
                <w:szCs w:val="24"/>
              </w:rPr>
              <w:t>Current</w:t>
            </w:r>
          </w:p>
        </w:tc>
        <w:tc>
          <w:tcPr>
            <w:tcW w:w="2410" w:type="dxa"/>
            <w:shd w:val="clear" w:color="auto" w:fill="auto"/>
          </w:tcPr>
          <w:p w14:paraId="3DCB6495" w14:textId="77777777" w:rsidR="001F1922" w:rsidRPr="00843B0F" w:rsidRDefault="001F1922" w:rsidP="001F1922">
            <w:pPr>
              <w:rPr>
                <w:rFonts w:ascii="Arial" w:hAnsi="Arial" w:cs="Arial"/>
                <w:sz w:val="24"/>
                <w:szCs w:val="24"/>
              </w:rPr>
            </w:pPr>
            <w:r w:rsidRPr="00843B0F">
              <w:rPr>
                <w:rFonts w:ascii="Arial" w:hAnsi="Arial" w:cs="Arial"/>
                <w:sz w:val="24"/>
                <w:szCs w:val="24"/>
              </w:rPr>
              <w:t>Mr Ian Guy</w:t>
            </w:r>
            <w:r w:rsidR="00B57499" w:rsidRPr="00843B0F">
              <w:rPr>
                <w:rFonts w:ascii="Arial" w:hAnsi="Arial" w:cs="Arial"/>
                <w:sz w:val="24"/>
                <w:szCs w:val="24"/>
              </w:rPr>
              <w:t xml:space="preserve"> (Chair)</w:t>
            </w:r>
          </w:p>
        </w:tc>
        <w:tc>
          <w:tcPr>
            <w:tcW w:w="2755" w:type="dxa"/>
            <w:shd w:val="clear" w:color="auto" w:fill="auto"/>
          </w:tcPr>
          <w:p w14:paraId="3EDE7C6C" w14:textId="77777777" w:rsidR="001F1922" w:rsidRPr="00843B0F" w:rsidRDefault="001F1922" w:rsidP="001F1922">
            <w:pPr>
              <w:rPr>
                <w:rFonts w:ascii="Arial" w:hAnsi="Arial" w:cs="Arial"/>
                <w:sz w:val="24"/>
                <w:szCs w:val="24"/>
              </w:rPr>
            </w:pPr>
            <w:r w:rsidRPr="00843B0F">
              <w:rPr>
                <w:rFonts w:ascii="Arial" w:hAnsi="Arial" w:cs="Arial"/>
                <w:sz w:val="24"/>
                <w:szCs w:val="24"/>
              </w:rPr>
              <w:t>Union nominated representative</w:t>
            </w:r>
          </w:p>
        </w:tc>
      </w:tr>
      <w:tr w:rsidR="001F1922" w:rsidRPr="00C82B84" w14:paraId="2E4BFE3D" w14:textId="77777777" w:rsidTr="001F1922">
        <w:tc>
          <w:tcPr>
            <w:tcW w:w="2408" w:type="dxa"/>
            <w:shd w:val="clear" w:color="auto" w:fill="auto"/>
          </w:tcPr>
          <w:p w14:paraId="682A14AE" w14:textId="77777777" w:rsidR="001F1922" w:rsidRPr="00843B0F" w:rsidRDefault="001F1922" w:rsidP="001F1922">
            <w:pPr>
              <w:rPr>
                <w:rFonts w:ascii="Arial" w:hAnsi="Arial" w:cs="Arial"/>
                <w:sz w:val="24"/>
                <w:szCs w:val="24"/>
              </w:rPr>
            </w:pPr>
            <w:r w:rsidRPr="00843B0F">
              <w:rPr>
                <w:rFonts w:ascii="Arial" w:hAnsi="Arial" w:cs="Arial"/>
                <w:sz w:val="24"/>
                <w:szCs w:val="24"/>
              </w:rPr>
              <w:t>Member</w:t>
            </w:r>
          </w:p>
        </w:tc>
        <w:tc>
          <w:tcPr>
            <w:tcW w:w="1669" w:type="dxa"/>
          </w:tcPr>
          <w:p w14:paraId="31685684" w14:textId="77777777" w:rsidR="001F1922" w:rsidRPr="00843B0F" w:rsidRDefault="00A33322" w:rsidP="001F1922">
            <w:pPr>
              <w:rPr>
                <w:rFonts w:ascii="Arial" w:hAnsi="Arial" w:cs="Arial"/>
                <w:sz w:val="24"/>
                <w:szCs w:val="24"/>
              </w:rPr>
            </w:pPr>
            <w:r w:rsidRPr="00843B0F">
              <w:rPr>
                <w:rFonts w:ascii="Arial" w:hAnsi="Arial" w:cs="Arial"/>
                <w:sz w:val="24"/>
                <w:szCs w:val="24"/>
              </w:rPr>
              <w:t>Current</w:t>
            </w:r>
            <w:r w:rsidR="001F1922" w:rsidRPr="00843B0F">
              <w:rPr>
                <w:rFonts w:ascii="Arial" w:hAnsi="Arial" w:cs="Arial"/>
                <w:sz w:val="24"/>
                <w:szCs w:val="24"/>
              </w:rPr>
              <w:t xml:space="preserve"> </w:t>
            </w:r>
          </w:p>
        </w:tc>
        <w:tc>
          <w:tcPr>
            <w:tcW w:w="2410" w:type="dxa"/>
            <w:shd w:val="clear" w:color="auto" w:fill="auto"/>
          </w:tcPr>
          <w:p w14:paraId="0ACBD0BC" w14:textId="77777777" w:rsidR="001F1922" w:rsidRPr="00843B0F" w:rsidRDefault="001F1922" w:rsidP="001F1922">
            <w:pPr>
              <w:rPr>
                <w:rFonts w:ascii="Arial" w:hAnsi="Arial" w:cs="Arial"/>
                <w:sz w:val="24"/>
                <w:szCs w:val="24"/>
              </w:rPr>
            </w:pPr>
            <w:r w:rsidRPr="00843B0F">
              <w:rPr>
                <w:rFonts w:ascii="Arial" w:hAnsi="Arial" w:cs="Arial"/>
                <w:sz w:val="24"/>
                <w:szCs w:val="24"/>
              </w:rPr>
              <w:t>Mr David White</w:t>
            </w:r>
          </w:p>
        </w:tc>
        <w:tc>
          <w:tcPr>
            <w:tcW w:w="2755" w:type="dxa"/>
            <w:shd w:val="clear" w:color="auto" w:fill="auto"/>
          </w:tcPr>
          <w:p w14:paraId="48137A6A" w14:textId="77777777" w:rsidR="001F1922" w:rsidRPr="00843B0F" w:rsidRDefault="001F1922" w:rsidP="001F1922">
            <w:pPr>
              <w:rPr>
                <w:rFonts w:ascii="Arial" w:hAnsi="Arial" w:cs="Arial"/>
                <w:sz w:val="24"/>
                <w:szCs w:val="24"/>
              </w:rPr>
            </w:pPr>
            <w:r w:rsidRPr="00843B0F">
              <w:rPr>
                <w:rFonts w:ascii="Arial" w:hAnsi="Arial" w:cs="Arial"/>
                <w:sz w:val="24"/>
                <w:szCs w:val="24"/>
              </w:rPr>
              <w:t>Union nominated representative</w:t>
            </w:r>
          </w:p>
        </w:tc>
      </w:tr>
      <w:tr w:rsidR="00A33322" w:rsidRPr="00E67413" w14:paraId="7EB85DBA" w14:textId="77777777" w:rsidTr="001F1922">
        <w:tc>
          <w:tcPr>
            <w:tcW w:w="2408" w:type="dxa"/>
            <w:shd w:val="clear" w:color="auto" w:fill="auto"/>
          </w:tcPr>
          <w:p w14:paraId="346539CF" w14:textId="77777777" w:rsidR="00A33322" w:rsidRPr="00843B0F" w:rsidRDefault="00A33322" w:rsidP="001F1922">
            <w:pPr>
              <w:rPr>
                <w:rFonts w:ascii="Arial" w:hAnsi="Arial" w:cs="Arial"/>
                <w:sz w:val="24"/>
                <w:szCs w:val="24"/>
              </w:rPr>
            </w:pPr>
            <w:r w:rsidRPr="00843B0F">
              <w:rPr>
                <w:rFonts w:ascii="Arial" w:hAnsi="Arial" w:cs="Arial"/>
                <w:sz w:val="24"/>
                <w:szCs w:val="24"/>
              </w:rPr>
              <w:t>Member</w:t>
            </w:r>
          </w:p>
        </w:tc>
        <w:tc>
          <w:tcPr>
            <w:tcW w:w="1669" w:type="dxa"/>
          </w:tcPr>
          <w:p w14:paraId="2A679743" w14:textId="77777777" w:rsidR="00A33322" w:rsidRPr="00843B0F" w:rsidRDefault="00093341" w:rsidP="001F1922">
            <w:pPr>
              <w:rPr>
                <w:rFonts w:ascii="Arial" w:hAnsi="Arial" w:cs="Arial"/>
                <w:sz w:val="24"/>
                <w:szCs w:val="24"/>
              </w:rPr>
            </w:pPr>
            <w:r w:rsidRPr="00843B0F">
              <w:rPr>
                <w:rFonts w:ascii="Arial" w:hAnsi="Arial" w:cs="Arial"/>
                <w:sz w:val="24"/>
                <w:szCs w:val="24"/>
              </w:rPr>
              <w:t>Current</w:t>
            </w:r>
          </w:p>
        </w:tc>
        <w:tc>
          <w:tcPr>
            <w:tcW w:w="2410" w:type="dxa"/>
            <w:shd w:val="clear" w:color="auto" w:fill="auto"/>
          </w:tcPr>
          <w:p w14:paraId="6322AFBE" w14:textId="77777777" w:rsidR="00A33322" w:rsidRPr="00843B0F" w:rsidRDefault="00A33322" w:rsidP="001F1922">
            <w:pPr>
              <w:rPr>
                <w:rFonts w:ascii="Arial" w:hAnsi="Arial" w:cs="Arial"/>
                <w:sz w:val="24"/>
                <w:szCs w:val="24"/>
              </w:rPr>
            </w:pPr>
            <w:r w:rsidRPr="00843B0F">
              <w:rPr>
                <w:rFonts w:ascii="Arial" w:hAnsi="Arial" w:cs="Arial"/>
                <w:sz w:val="24"/>
                <w:szCs w:val="24"/>
              </w:rPr>
              <w:t>Ms Rosemary Broad</w:t>
            </w:r>
          </w:p>
        </w:tc>
        <w:tc>
          <w:tcPr>
            <w:tcW w:w="2755" w:type="dxa"/>
            <w:shd w:val="clear" w:color="auto" w:fill="auto"/>
          </w:tcPr>
          <w:p w14:paraId="44BCF406" w14:textId="77777777" w:rsidR="00A33322" w:rsidRPr="00843B0F" w:rsidRDefault="00A33322" w:rsidP="001F1922">
            <w:pPr>
              <w:rPr>
                <w:rFonts w:ascii="Arial" w:hAnsi="Arial" w:cs="Arial"/>
                <w:sz w:val="24"/>
                <w:szCs w:val="24"/>
              </w:rPr>
            </w:pPr>
            <w:r w:rsidRPr="00843B0F">
              <w:rPr>
                <w:rFonts w:ascii="Arial" w:hAnsi="Arial" w:cs="Arial"/>
                <w:sz w:val="24"/>
                <w:szCs w:val="24"/>
              </w:rPr>
              <w:t>Union nominated</w:t>
            </w:r>
          </w:p>
          <w:p w14:paraId="1FEA6884" w14:textId="77777777" w:rsidR="00A33322" w:rsidRPr="00843B0F" w:rsidRDefault="00A33322" w:rsidP="001F1922">
            <w:pPr>
              <w:rPr>
                <w:rFonts w:ascii="Arial" w:hAnsi="Arial" w:cs="Arial"/>
                <w:sz w:val="24"/>
                <w:szCs w:val="24"/>
              </w:rPr>
            </w:pPr>
            <w:r w:rsidRPr="00843B0F">
              <w:rPr>
                <w:rFonts w:ascii="Arial" w:hAnsi="Arial" w:cs="Arial"/>
                <w:sz w:val="24"/>
                <w:szCs w:val="24"/>
              </w:rPr>
              <w:t>representative</w:t>
            </w:r>
          </w:p>
        </w:tc>
      </w:tr>
    </w:tbl>
    <w:p w14:paraId="01F0973E" w14:textId="77777777" w:rsidR="00185797" w:rsidRPr="00217CE5" w:rsidRDefault="00185797" w:rsidP="008229A9">
      <w:pPr>
        <w:autoSpaceDE w:val="0"/>
        <w:autoSpaceDN w:val="0"/>
        <w:adjustRightInd w:val="0"/>
        <w:rPr>
          <w:rFonts w:ascii="Arial" w:hAnsi="Arial" w:cs="Arial"/>
          <w:b/>
          <w:sz w:val="24"/>
          <w:szCs w:val="24"/>
          <w:highlight w:val="yellow"/>
        </w:rPr>
      </w:pPr>
    </w:p>
    <w:p w14:paraId="05E6E3F1" w14:textId="77777777" w:rsidR="009E45FE" w:rsidRDefault="009E45FE" w:rsidP="008229A9">
      <w:pPr>
        <w:autoSpaceDE w:val="0"/>
        <w:autoSpaceDN w:val="0"/>
        <w:adjustRightInd w:val="0"/>
        <w:rPr>
          <w:rFonts w:ascii="Arial" w:hAnsi="Arial" w:cs="Arial"/>
          <w:b/>
          <w:sz w:val="24"/>
          <w:szCs w:val="24"/>
        </w:rPr>
      </w:pPr>
    </w:p>
    <w:p w14:paraId="05C353CC" w14:textId="77777777" w:rsidR="00E05F5A" w:rsidRDefault="00E05F5A" w:rsidP="008229A9">
      <w:pPr>
        <w:autoSpaceDE w:val="0"/>
        <w:autoSpaceDN w:val="0"/>
        <w:adjustRightInd w:val="0"/>
        <w:rPr>
          <w:rFonts w:ascii="Arial" w:hAnsi="Arial" w:cs="Arial"/>
          <w:b/>
          <w:sz w:val="24"/>
          <w:szCs w:val="24"/>
        </w:rPr>
      </w:pPr>
    </w:p>
    <w:p w14:paraId="317268E8" w14:textId="77777777" w:rsidR="009E45FE" w:rsidRDefault="009E45FE" w:rsidP="008229A9">
      <w:pPr>
        <w:autoSpaceDE w:val="0"/>
        <w:autoSpaceDN w:val="0"/>
        <w:adjustRightInd w:val="0"/>
        <w:rPr>
          <w:rFonts w:ascii="Arial" w:hAnsi="Arial" w:cs="Arial"/>
          <w:b/>
          <w:sz w:val="24"/>
          <w:szCs w:val="24"/>
        </w:rPr>
      </w:pPr>
    </w:p>
    <w:p w14:paraId="0D2F5285" w14:textId="77777777" w:rsidR="008229A9" w:rsidRPr="00843B0F" w:rsidRDefault="008229A9" w:rsidP="008229A9">
      <w:pPr>
        <w:autoSpaceDE w:val="0"/>
        <w:autoSpaceDN w:val="0"/>
        <w:adjustRightInd w:val="0"/>
        <w:rPr>
          <w:rFonts w:ascii="Arial" w:hAnsi="Arial" w:cs="Arial"/>
          <w:b/>
          <w:sz w:val="24"/>
          <w:szCs w:val="24"/>
        </w:rPr>
      </w:pPr>
      <w:r w:rsidRPr="00843B0F">
        <w:rPr>
          <w:rFonts w:ascii="Arial" w:hAnsi="Arial" w:cs="Arial"/>
          <w:b/>
          <w:sz w:val="24"/>
          <w:szCs w:val="24"/>
        </w:rPr>
        <w:lastRenderedPageBreak/>
        <w:t xml:space="preserve">Summary of </w:t>
      </w:r>
      <w:r w:rsidR="004B6654" w:rsidRPr="00843B0F">
        <w:rPr>
          <w:rFonts w:ascii="Arial" w:hAnsi="Arial" w:cs="Arial"/>
          <w:b/>
          <w:sz w:val="24"/>
          <w:szCs w:val="24"/>
        </w:rPr>
        <w:t>2021/22</w:t>
      </w:r>
    </w:p>
    <w:p w14:paraId="6B7D7AC7" w14:textId="77777777" w:rsidR="004F3C06" w:rsidRPr="00843B0F" w:rsidRDefault="004F3C06" w:rsidP="008229A9">
      <w:pPr>
        <w:autoSpaceDE w:val="0"/>
        <w:autoSpaceDN w:val="0"/>
        <w:adjustRightInd w:val="0"/>
        <w:rPr>
          <w:rFonts w:ascii="Arial" w:hAnsi="Arial" w:cs="Arial"/>
          <w:color w:val="0000DA"/>
          <w:sz w:val="24"/>
          <w:szCs w:val="24"/>
        </w:rPr>
      </w:pPr>
    </w:p>
    <w:p w14:paraId="47DC028D" w14:textId="77777777" w:rsidR="008229A9" w:rsidRPr="00843B0F" w:rsidRDefault="008229A9" w:rsidP="008229A9">
      <w:pPr>
        <w:autoSpaceDE w:val="0"/>
        <w:autoSpaceDN w:val="0"/>
        <w:adjustRightInd w:val="0"/>
        <w:jc w:val="both"/>
        <w:rPr>
          <w:rFonts w:ascii="Arial" w:hAnsi="Arial" w:cs="Arial"/>
          <w:color w:val="000000"/>
          <w:sz w:val="24"/>
          <w:szCs w:val="24"/>
        </w:rPr>
      </w:pPr>
      <w:r w:rsidRPr="00843B0F">
        <w:rPr>
          <w:rFonts w:ascii="Arial" w:hAnsi="Arial" w:cs="Arial"/>
          <w:color w:val="000000"/>
          <w:sz w:val="24"/>
          <w:szCs w:val="24"/>
        </w:rPr>
        <w:t>During the year the Local Pension Board have reviewed the Pension Fund Committee Reports around:</w:t>
      </w:r>
    </w:p>
    <w:p w14:paraId="5E5AC88B" w14:textId="77777777" w:rsidR="008229A9" w:rsidRPr="00C82B84" w:rsidRDefault="008229A9" w:rsidP="008229A9">
      <w:pPr>
        <w:autoSpaceDE w:val="0"/>
        <w:autoSpaceDN w:val="0"/>
        <w:adjustRightInd w:val="0"/>
        <w:jc w:val="both"/>
        <w:rPr>
          <w:rFonts w:ascii="Arial" w:hAnsi="Arial" w:cs="Arial"/>
          <w:color w:val="000000"/>
          <w:sz w:val="24"/>
          <w:szCs w:val="24"/>
          <w:highlight w:val="yellow"/>
        </w:rPr>
      </w:pPr>
    </w:p>
    <w:p w14:paraId="5BCC56DC" w14:textId="77777777" w:rsidR="00A76265" w:rsidRPr="009C5D57" w:rsidRDefault="00A76265" w:rsidP="00E0571E">
      <w:pPr>
        <w:pStyle w:val="ListParagraph"/>
        <w:numPr>
          <w:ilvl w:val="0"/>
          <w:numId w:val="32"/>
        </w:numPr>
        <w:autoSpaceDE w:val="0"/>
        <w:autoSpaceDN w:val="0"/>
        <w:adjustRightInd w:val="0"/>
        <w:spacing w:before="0" w:after="0" w:line="240" w:lineRule="auto"/>
        <w:jc w:val="both"/>
        <w:rPr>
          <w:rFonts w:cs="Arial"/>
          <w:sz w:val="24"/>
        </w:rPr>
      </w:pPr>
      <w:r w:rsidRPr="009C5D57">
        <w:rPr>
          <w:rFonts w:cs="Arial"/>
          <w:sz w:val="24"/>
        </w:rPr>
        <w:t xml:space="preserve">Breaches </w:t>
      </w:r>
      <w:r w:rsidR="00297AB6" w:rsidRPr="009C5D57">
        <w:rPr>
          <w:rFonts w:cs="Arial"/>
          <w:sz w:val="24"/>
        </w:rPr>
        <w:t>Report</w:t>
      </w:r>
      <w:r w:rsidR="00E3150D" w:rsidRPr="009C5D57">
        <w:rPr>
          <w:rFonts w:cs="Arial"/>
          <w:sz w:val="24"/>
        </w:rPr>
        <w:t>ing</w:t>
      </w:r>
    </w:p>
    <w:p w14:paraId="492D1202" w14:textId="77777777" w:rsidR="00B57499" w:rsidRPr="009C5D57" w:rsidRDefault="00B57499" w:rsidP="00E0571E">
      <w:pPr>
        <w:numPr>
          <w:ilvl w:val="0"/>
          <w:numId w:val="32"/>
        </w:numPr>
        <w:autoSpaceDE w:val="0"/>
        <w:autoSpaceDN w:val="0"/>
        <w:adjustRightInd w:val="0"/>
        <w:jc w:val="both"/>
        <w:rPr>
          <w:rFonts w:cs="Arial"/>
          <w:sz w:val="24"/>
        </w:rPr>
      </w:pPr>
      <w:r w:rsidRPr="009C5D57">
        <w:rPr>
          <w:rFonts w:ascii="ArialMT" w:hAnsi="ArialMT" w:cs="ArialMT"/>
          <w:sz w:val="24"/>
          <w:szCs w:val="24"/>
          <w:lang w:eastAsia="en-GB"/>
        </w:rPr>
        <w:t>Co</w:t>
      </w:r>
      <w:r w:rsidR="00CB06F6" w:rsidRPr="009C5D57">
        <w:rPr>
          <w:rFonts w:ascii="ArialMT" w:hAnsi="ArialMT" w:cs="ArialMT"/>
          <w:sz w:val="24"/>
          <w:szCs w:val="24"/>
          <w:lang w:eastAsia="en-GB"/>
        </w:rPr>
        <w:t xml:space="preserve">mpetition and Markets Authority </w:t>
      </w:r>
      <w:r w:rsidR="009C5D57" w:rsidRPr="009C5D57">
        <w:rPr>
          <w:rFonts w:ascii="ArialMT" w:hAnsi="ArialMT" w:cs="ArialMT"/>
          <w:sz w:val="24"/>
          <w:szCs w:val="24"/>
          <w:lang w:eastAsia="en-GB"/>
        </w:rPr>
        <w:t>Update</w:t>
      </w:r>
    </w:p>
    <w:p w14:paraId="6118B9A1" w14:textId="77777777" w:rsidR="00CB06F6" w:rsidRPr="009C5D57" w:rsidRDefault="009C5D57" w:rsidP="00E0571E">
      <w:pPr>
        <w:numPr>
          <w:ilvl w:val="0"/>
          <w:numId w:val="32"/>
        </w:numPr>
        <w:autoSpaceDE w:val="0"/>
        <w:autoSpaceDN w:val="0"/>
        <w:adjustRightInd w:val="0"/>
        <w:jc w:val="both"/>
        <w:rPr>
          <w:rFonts w:cs="Arial"/>
          <w:sz w:val="24"/>
        </w:rPr>
      </w:pPr>
      <w:r w:rsidRPr="009C5D57">
        <w:rPr>
          <w:rFonts w:ascii="ArialMT" w:hAnsi="ArialMT" w:cs="ArialMT"/>
          <w:sz w:val="24"/>
          <w:szCs w:val="24"/>
          <w:lang w:eastAsia="en-GB"/>
        </w:rPr>
        <w:t xml:space="preserve">CCS PF </w:t>
      </w:r>
      <w:r w:rsidR="00CB06F6" w:rsidRPr="009C5D57">
        <w:rPr>
          <w:rFonts w:ascii="ArialMT" w:hAnsi="ArialMT" w:cs="ArialMT"/>
          <w:sz w:val="24"/>
          <w:szCs w:val="24"/>
          <w:lang w:eastAsia="en-GB"/>
        </w:rPr>
        <w:t xml:space="preserve">Business Plan </w:t>
      </w:r>
      <w:r w:rsidR="00D74B7C">
        <w:rPr>
          <w:rFonts w:ascii="ArialMT" w:hAnsi="ArialMT" w:cs="ArialMT"/>
          <w:sz w:val="24"/>
          <w:szCs w:val="24"/>
          <w:lang w:eastAsia="en-GB"/>
        </w:rPr>
        <w:t>20</w:t>
      </w:r>
      <w:r w:rsidR="004B6654" w:rsidRPr="009C5D57">
        <w:rPr>
          <w:rFonts w:ascii="ArialMT" w:hAnsi="ArialMT" w:cs="ArialMT"/>
          <w:sz w:val="24"/>
          <w:szCs w:val="24"/>
          <w:lang w:eastAsia="en-GB"/>
        </w:rPr>
        <w:t>2</w:t>
      </w:r>
      <w:r w:rsidR="00843B0F" w:rsidRPr="009C5D57">
        <w:rPr>
          <w:rFonts w:ascii="ArialMT" w:hAnsi="ArialMT" w:cs="ArialMT"/>
          <w:sz w:val="24"/>
          <w:szCs w:val="24"/>
          <w:lang w:eastAsia="en-GB"/>
        </w:rPr>
        <w:t>2/23</w:t>
      </w:r>
    </w:p>
    <w:p w14:paraId="0C964CB4" w14:textId="77777777" w:rsidR="00F706AD" w:rsidRPr="009C5D57" w:rsidRDefault="00F650C1" w:rsidP="00E0571E">
      <w:pPr>
        <w:pStyle w:val="ListParagraph"/>
        <w:numPr>
          <w:ilvl w:val="0"/>
          <w:numId w:val="32"/>
        </w:numPr>
        <w:autoSpaceDE w:val="0"/>
        <w:autoSpaceDN w:val="0"/>
        <w:adjustRightInd w:val="0"/>
        <w:spacing w:before="0" w:after="0" w:line="240" w:lineRule="auto"/>
        <w:jc w:val="both"/>
        <w:rPr>
          <w:rFonts w:cs="Arial"/>
          <w:sz w:val="24"/>
        </w:rPr>
      </w:pPr>
      <w:r w:rsidRPr="009C5D57">
        <w:rPr>
          <w:rFonts w:cs="Arial"/>
          <w:sz w:val="24"/>
        </w:rPr>
        <w:t xml:space="preserve">The </w:t>
      </w:r>
      <w:r w:rsidR="004B6654" w:rsidRPr="009C5D57">
        <w:rPr>
          <w:rFonts w:cs="Arial"/>
          <w:sz w:val="24"/>
        </w:rPr>
        <w:t>202</w:t>
      </w:r>
      <w:r w:rsidR="009C5D57">
        <w:rPr>
          <w:rFonts w:cs="Arial"/>
          <w:sz w:val="24"/>
        </w:rPr>
        <w:t>0</w:t>
      </w:r>
      <w:r w:rsidR="00843B0F" w:rsidRPr="009C5D57">
        <w:rPr>
          <w:rFonts w:cs="Arial"/>
          <w:sz w:val="24"/>
        </w:rPr>
        <w:t>/2</w:t>
      </w:r>
      <w:r w:rsidR="009C5D57">
        <w:rPr>
          <w:rFonts w:cs="Arial"/>
          <w:sz w:val="24"/>
        </w:rPr>
        <w:t>1</w:t>
      </w:r>
      <w:r w:rsidR="00F706AD" w:rsidRPr="009C5D57">
        <w:rPr>
          <w:rFonts w:cs="Arial"/>
          <w:sz w:val="24"/>
        </w:rPr>
        <w:t xml:space="preserve"> </w:t>
      </w:r>
      <w:r w:rsidR="00A76265" w:rsidRPr="009C5D57">
        <w:rPr>
          <w:rFonts w:cs="Arial"/>
          <w:sz w:val="24"/>
        </w:rPr>
        <w:t>A</w:t>
      </w:r>
      <w:r w:rsidR="008229A9" w:rsidRPr="009C5D57">
        <w:rPr>
          <w:rFonts w:cs="Arial"/>
          <w:sz w:val="24"/>
        </w:rPr>
        <w:t>nnual Report</w:t>
      </w:r>
      <w:r w:rsidR="00F706AD" w:rsidRPr="009C5D57">
        <w:rPr>
          <w:rFonts w:cs="Arial"/>
          <w:sz w:val="24"/>
        </w:rPr>
        <w:t xml:space="preserve"> and</w:t>
      </w:r>
      <w:r w:rsidR="008229A9" w:rsidRPr="009C5D57">
        <w:rPr>
          <w:rFonts w:cs="Arial"/>
          <w:sz w:val="24"/>
        </w:rPr>
        <w:t xml:space="preserve"> Statement of Accounts</w:t>
      </w:r>
    </w:p>
    <w:p w14:paraId="7D09487D" w14:textId="77777777" w:rsidR="008229A9" w:rsidRPr="009C5D57" w:rsidRDefault="00F706AD" w:rsidP="00E0571E">
      <w:pPr>
        <w:pStyle w:val="ListParagraph"/>
        <w:numPr>
          <w:ilvl w:val="0"/>
          <w:numId w:val="32"/>
        </w:numPr>
        <w:autoSpaceDE w:val="0"/>
        <w:autoSpaceDN w:val="0"/>
        <w:adjustRightInd w:val="0"/>
        <w:spacing w:before="0" w:after="0" w:line="240" w:lineRule="auto"/>
        <w:jc w:val="both"/>
        <w:rPr>
          <w:rFonts w:cs="Arial"/>
          <w:sz w:val="24"/>
        </w:rPr>
      </w:pPr>
      <w:r w:rsidRPr="009C5D57">
        <w:rPr>
          <w:rFonts w:cs="Arial"/>
          <w:sz w:val="24"/>
        </w:rPr>
        <w:t xml:space="preserve">The Wales Audit Office Audit Plan and the ISA 260 </w:t>
      </w:r>
      <w:r w:rsidR="00E3150D" w:rsidRPr="009C5D57">
        <w:rPr>
          <w:rFonts w:cs="Arial"/>
          <w:sz w:val="24"/>
        </w:rPr>
        <w:t>Audit Report</w:t>
      </w:r>
      <w:r w:rsidRPr="009C5D57">
        <w:rPr>
          <w:rFonts w:cs="Arial"/>
          <w:sz w:val="24"/>
        </w:rPr>
        <w:t xml:space="preserve"> </w:t>
      </w:r>
    </w:p>
    <w:p w14:paraId="682EDEF7" w14:textId="77777777" w:rsidR="0038160B" w:rsidRPr="009C5D57" w:rsidRDefault="000C3B3D" w:rsidP="00E0571E">
      <w:pPr>
        <w:pStyle w:val="ListParagraph"/>
        <w:numPr>
          <w:ilvl w:val="0"/>
          <w:numId w:val="32"/>
        </w:numPr>
        <w:autoSpaceDE w:val="0"/>
        <w:autoSpaceDN w:val="0"/>
        <w:adjustRightInd w:val="0"/>
        <w:spacing w:before="0" w:after="0" w:line="240" w:lineRule="auto"/>
        <w:jc w:val="both"/>
        <w:rPr>
          <w:rFonts w:cs="Arial"/>
          <w:sz w:val="24"/>
        </w:rPr>
      </w:pPr>
      <w:r w:rsidRPr="009C5D57">
        <w:rPr>
          <w:rFonts w:cs="Arial"/>
          <w:sz w:val="24"/>
        </w:rPr>
        <w:t>Funding Strategy Statement</w:t>
      </w:r>
    </w:p>
    <w:p w14:paraId="692C97CC" w14:textId="77777777" w:rsidR="00CB06F6" w:rsidRPr="009C5D57" w:rsidRDefault="00CB06F6" w:rsidP="00E0571E">
      <w:pPr>
        <w:pStyle w:val="ListParagraph"/>
        <w:numPr>
          <w:ilvl w:val="0"/>
          <w:numId w:val="32"/>
        </w:numPr>
        <w:autoSpaceDE w:val="0"/>
        <w:autoSpaceDN w:val="0"/>
        <w:adjustRightInd w:val="0"/>
        <w:spacing w:before="0" w:after="0" w:line="240" w:lineRule="auto"/>
        <w:jc w:val="both"/>
        <w:rPr>
          <w:rFonts w:cs="Arial"/>
          <w:sz w:val="24"/>
        </w:rPr>
      </w:pPr>
      <w:r w:rsidRPr="009C5D57">
        <w:rPr>
          <w:rFonts w:cs="Arial"/>
          <w:sz w:val="24"/>
        </w:rPr>
        <w:t>Investment Strategy Implementation Update</w:t>
      </w:r>
    </w:p>
    <w:p w14:paraId="6EC866CA" w14:textId="77777777" w:rsidR="009C5D57" w:rsidRPr="009C5D57" w:rsidRDefault="009C5D57" w:rsidP="00E0571E">
      <w:pPr>
        <w:pStyle w:val="ListParagraph"/>
        <w:numPr>
          <w:ilvl w:val="0"/>
          <w:numId w:val="32"/>
        </w:numPr>
        <w:autoSpaceDE w:val="0"/>
        <w:autoSpaceDN w:val="0"/>
        <w:adjustRightInd w:val="0"/>
        <w:spacing w:before="0" w:after="0" w:line="240" w:lineRule="auto"/>
        <w:jc w:val="both"/>
        <w:rPr>
          <w:rFonts w:cs="Arial"/>
          <w:sz w:val="24"/>
        </w:rPr>
      </w:pPr>
      <w:r w:rsidRPr="009C5D57">
        <w:rPr>
          <w:rFonts w:cs="Arial"/>
          <w:sz w:val="24"/>
        </w:rPr>
        <w:t>Net Zero Investment Strategy</w:t>
      </w:r>
    </w:p>
    <w:p w14:paraId="191C52FD" w14:textId="77777777" w:rsidR="009C5D57" w:rsidRPr="009C5D57" w:rsidRDefault="009C5D57" w:rsidP="00E0571E">
      <w:pPr>
        <w:pStyle w:val="ListParagraph"/>
        <w:numPr>
          <w:ilvl w:val="0"/>
          <w:numId w:val="32"/>
        </w:numPr>
        <w:autoSpaceDE w:val="0"/>
        <w:autoSpaceDN w:val="0"/>
        <w:adjustRightInd w:val="0"/>
        <w:spacing w:before="0" w:after="0" w:line="240" w:lineRule="auto"/>
        <w:jc w:val="both"/>
        <w:rPr>
          <w:rFonts w:cs="Arial"/>
          <w:sz w:val="24"/>
        </w:rPr>
      </w:pPr>
      <w:r w:rsidRPr="009C5D57">
        <w:rPr>
          <w:rFonts w:cs="Arial"/>
          <w:sz w:val="24"/>
        </w:rPr>
        <w:t>Trustee Training</w:t>
      </w:r>
    </w:p>
    <w:p w14:paraId="6EA87445" w14:textId="77777777" w:rsidR="009C5D57" w:rsidRDefault="009C5D57" w:rsidP="00E0571E">
      <w:pPr>
        <w:pStyle w:val="ListParagraph"/>
        <w:numPr>
          <w:ilvl w:val="0"/>
          <w:numId w:val="32"/>
        </w:numPr>
        <w:autoSpaceDE w:val="0"/>
        <w:autoSpaceDN w:val="0"/>
        <w:adjustRightInd w:val="0"/>
        <w:spacing w:before="0" w:after="0" w:line="240" w:lineRule="auto"/>
        <w:jc w:val="both"/>
        <w:rPr>
          <w:rFonts w:cs="Arial"/>
          <w:sz w:val="24"/>
        </w:rPr>
      </w:pPr>
      <w:r w:rsidRPr="009C5D57">
        <w:rPr>
          <w:rFonts w:cs="Arial"/>
          <w:sz w:val="24"/>
        </w:rPr>
        <w:t>Policy Update – Cash Management</w:t>
      </w:r>
    </w:p>
    <w:p w14:paraId="4F817C64" w14:textId="77777777" w:rsidR="00D74B7C" w:rsidRDefault="00D74B7C" w:rsidP="00E0571E">
      <w:pPr>
        <w:pStyle w:val="ListParagraph"/>
        <w:numPr>
          <w:ilvl w:val="0"/>
          <w:numId w:val="32"/>
        </w:numPr>
        <w:autoSpaceDE w:val="0"/>
        <w:autoSpaceDN w:val="0"/>
        <w:adjustRightInd w:val="0"/>
        <w:spacing w:before="0" w:after="0" w:line="240" w:lineRule="auto"/>
        <w:jc w:val="both"/>
        <w:rPr>
          <w:rFonts w:cs="Arial"/>
          <w:sz w:val="24"/>
        </w:rPr>
      </w:pPr>
      <w:r>
        <w:rPr>
          <w:rFonts w:cs="Arial"/>
          <w:sz w:val="24"/>
        </w:rPr>
        <w:t>Policy Update – Exit Cap update</w:t>
      </w:r>
    </w:p>
    <w:p w14:paraId="358DF5F3" w14:textId="77777777" w:rsidR="002D452C" w:rsidRPr="009C5D57" w:rsidRDefault="002D452C" w:rsidP="00E0571E">
      <w:pPr>
        <w:pStyle w:val="ListParagraph"/>
        <w:numPr>
          <w:ilvl w:val="0"/>
          <w:numId w:val="32"/>
        </w:numPr>
        <w:autoSpaceDE w:val="0"/>
        <w:autoSpaceDN w:val="0"/>
        <w:adjustRightInd w:val="0"/>
        <w:spacing w:before="0" w:after="0" w:line="240" w:lineRule="auto"/>
        <w:jc w:val="both"/>
        <w:rPr>
          <w:rFonts w:cs="Arial"/>
          <w:sz w:val="24"/>
        </w:rPr>
      </w:pPr>
      <w:r>
        <w:rPr>
          <w:rFonts w:cs="Arial"/>
          <w:sz w:val="24"/>
        </w:rPr>
        <w:t>Changes to Custody arrangements</w:t>
      </w:r>
    </w:p>
    <w:p w14:paraId="22213B27" w14:textId="77777777" w:rsidR="0038160B" w:rsidRPr="009C5D57" w:rsidRDefault="0038160B" w:rsidP="00E0571E">
      <w:pPr>
        <w:pStyle w:val="ListParagraph"/>
        <w:numPr>
          <w:ilvl w:val="0"/>
          <w:numId w:val="32"/>
        </w:numPr>
        <w:autoSpaceDE w:val="0"/>
        <w:autoSpaceDN w:val="0"/>
        <w:adjustRightInd w:val="0"/>
        <w:spacing w:before="0" w:after="0" w:line="240" w:lineRule="auto"/>
        <w:jc w:val="both"/>
        <w:rPr>
          <w:rFonts w:cs="Arial"/>
          <w:sz w:val="24"/>
        </w:rPr>
      </w:pPr>
      <w:r w:rsidRPr="009C5D57">
        <w:rPr>
          <w:rFonts w:cs="Arial"/>
          <w:sz w:val="24"/>
        </w:rPr>
        <w:t>Wales Pension Partnership – Asset Pooling Updates</w:t>
      </w:r>
    </w:p>
    <w:p w14:paraId="6FE712C5" w14:textId="77777777" w:rsidR="00F706AD" w:rsidRPr="009C5D57" w:rsidRDefault="00F706AD" w:rsidP="00E0571E">
      <w:pPr>
        <w:pStyle w:val="ListParagraph"/>
        <w:numPr>
          <w:ilvl w:val="0"/>
          <w:numId w:val="32"/>
        </w:numPr>
        <w:autoSpaceDE w:val="0"/>
        <w:autoSpaceDN w:val="0"/>
        <w:adjustRightInd w:val="0"/>
        <w:spacing w:before="0" w:after="0" w:line="240" w:lineRule="auto"/>
        <w:jc w:val="both"/>
        <w:rPr>
          <w:rFonts w:cs="Arial"/>
          <w:sz w:val="24"/>
        </w:rPr>
      </w:pPr>
      <w:r w:rsidRPr="009C5D57">
        <w:rPr>
          <w:rFonts w:cs="Arial"/>
          <w:sz w:val="24"/>
        </w:rPr>
        <w:t>Wales Pension Partnership – Responsible Investment Policy</w:t>
      </w:r>
    </w:p>
    <w:p w14:paraId="0EC7F3F9" w14:textId="77777777" w:rsidR="0038160B" w:rsidRPr="009C5D57" w:rsidRDefault="0038160B" w:rsidP="00E0571E">
      <w:pPr>
        <w:pStyle w:val="ListParagraph"/>
        <w:numPr>
          <w:ilvl w:val="0"/>
          <w:numId w:val="32"/>
        </w:numPr>
        <w:autoSpaceDE w:val="0"/>
        <w:autoSpaceDN w:val="0"/>
        <w:adjustRightInd w:val="0"/>
        <w:spacing w:before="0" w:after="0" w:line="240" w:lineRule="auto"/>
        <w:jc w:val="both"/>
        <w:rPr>
          <w:rFonts w:cs="Arial"/>
          <w:sz w:val="24"/>
        </w:rPr>
      </w:pPr>
      <w:r w:rsidRPr="009C5D57">
        <w:rPr>
          <w:rFonts w:cs="Arial"/>
          <w:sz w:val="24"/>
        </w:rPr>
        <w:t>Quarterly Investment Managers Reports</w:t>
      </w:r>
    </w:p>
    <w:p w14:paraId="27E75A38" w14:textId="77777777" w:rsidR="00801FF9" w:rsidRPr="009C5D57" w:rsidRDefault="00801FF9" w:rsidP="00801FF9">
      <w:pPr>
        <w:pStyle w:val="ListParagraph"/>
        <w:autoSpaceDE w:val="0"/>
        <w:autoSpaceDN w:val="0"/>
        <w:adjustRightInd w:val="0"/>
        <w:spacing w:before="0" w:after="0" w:line="240" w:lineRule="auto"/>
        <w:jc w:val="both"/>
        <w:rPr>
          <w:rFonts w:cs="Arial"/>
          <w:sz w:val="24"/>
        </w:rPr>
      </w:pPr>
    </w:p>
    <w:p w14:paraId="717CEA1C" w14:textId="77777777" w:rsidR="00801FF9" w:rsidRPr="00C82B84" w:rsidRDefault="00801FF9" w:rsidP="00305D46">
      <w:pPr>
        <w:pStyle w:val="ListParagraph"/>
        <w:autoSpaceDE w:val="0"/>
        <w:autoSpaceDN w:val="0"/>
        <w:adjustRightInd w:val="0"/>
        <w:spacing w:before="0" w:after="0" w:line="240" w:lineRule="auto"/>
        <w:ind w:left="0"/>
        <w:jc w:val="both"/>
        <w:rPr>
          <w:rFonts w:cs="Arial"/>
          <w:color w:val="000000"/>
          <w:sz w:val="24"/>
          <w:highlight w:val="yellow"/>
        </w:rPr>
      </w:pPr>
    </w:p>
    <w:p w14:paraId="602E3738" w14:textId="77777777" w:rsidR="008229A9" w:rsidRPr="00824827" w:rsidRDefault="008229A9" w:rsidP="008229A9">
      <w:pPr>
        <w:rPr>
          <w:rFonts w:ascii="Arial" w:hAnsi="Arial" w:cs="Arial"/>
          <w:b/>
          <w:sz w:val="24"/>
          <w:szCs w:val="24"/>
        </w:rPr>
      </w:pPr>
      <w:r w:rsidRPr="00824827">
        <w:rPr>
          <w:rFonts w:ascii="Arial" w:hAnsi="Arial" w:cs="Arial"/>
          <w:b/>
          <w:sz w:val="24"/>
          <w:szCs w:val="24"/>
        </w:rPr>
        <w:t>Attendance at Meetings</w:t>
      </w:r>
    </w:p>
    <w:p w14:paraId="680953B5" w14:textId="77777777" w:rsidR="008229A9" w:rsidRPr="00824827" w:rsidRDefault="008229A9" w:rsidP="008229A9">
      <w:pPr>
        <w:jc w:val="both"/>
        <w:rPr>
          <w:rFonts w:ascii="Arial" w:hAnsi="Arial" w:cs="Arial"/>
          <w:sz w:val="24"/>
          <w:szCs w:val="24"/>
        </w:rPr>
      </w:pPr>
      <w:r w:rsidRPr="00824827">
        <w:rPr>
          <w:rFonts w:ascii="Arial" w:hAnsi="Arial" w:cs="Arial"/>
          <w:sz w:val="24"/>
          <w:szCs w:val="24"/>
        </w:rPr>
        <w:t>The terms of reference for the Board state that there should be a minimum of 2 meetings per financial year. The Local Pension Board met on the :</w:t>
      </w:r>
    </w:p>
    <w:p w14:paraId="48DD23F7" w14:textId="77777777" w:rsidR="008229A9" w:rsidRPr="00824827" w:rsidRDefault="008229A9" w:rsidP="008229A9">
      <w:pPr>
        <w:jc w:val="both"/>
        <w:rPr>
          <w:rFonts w:ascii="Arial" w:hAnsi="Arial" w:cs="Arial"/>
          <w:sz w:val="24"/>
          <w:szCs w:val="24"/>
        </w:rPr>
      </w:pPr>
    </w:p>
    <w:p w14:paraId="66B99312" w14:textId="77777777" w:rsidR="008229A9" w:rsidRPr="00824827" w:rsidRDefault="00824827" w:rsidP="00E0571E">
      <w:pPr>
        <w:pStyle w:val="ListParagraph"/>
        <w:numPr>
          <w:ilvl w:val="0"/>
          <w:numId w:val="33"/>
        </w:numPr>
        <w:spacing w:before="0" w:after="0" w:line="240" w:lineRule="auto"/>
        <w:jc w:val="both"/>
        <w:rPr>
          <w:rFonts w:cs="Arial"/>
          <w:sz w:val="24"/>
        </w:rPr>
      </w:pPr>
      <w:r w:rsidRPr="00824827">
        <w:rPr>
          <w:rFonts w:cs="Arial"/>
          <w:sz w:val="24"/>
        </w:rPr>
        <w:t>1</w:t>
      </w:r>
      <w:r w:rsidRPr="00824827">
        <w:rPr>
          <w:rFonts w:cs="Arial"/>
          <w:sz w:val="24"/>
          <w:vertAlign w:val="superscript"/>
        </w:rPr>
        <w:t>st</w:t>
      </w:r>
      <w:r w:rsidRPr="00824827">
        <w:rPr>
          <w:rFonts w:cs="Arial"/>
          <w:sz w:val="24"/>
        </w:rPr>
        <w:t xml:space="preserve"> April 2021</w:t>
      </w:r>
    </w:p>
    <w:p w14:paraId="784BF94B" w14:textId="77777777" w:rsidR="00A76265" w:rsidRPr="00824827" w:rsidRDefault="00CB06F6" w:rsidP="00E0571E">
      <w:pPr>
        <w:pStyle w:val="ListParagraph"/>
        <w:numPr>
          <w:ilvl w:val="0"/>
          <w:numId w:val="33"/>
        </w:numPr>
        <w:spacing w:before="0" w:after="0" w:line="240" w:lineRule="auto"/>
        <w:jc w:val="both"/>
        <w:rPr>
          <w:rFonts w:cs="Arial"/>
          <w:sz w:val="24"/>
        </w:rPr>
      </w:pPr>
      <w:r w:rsidRPr="00824827">
        <w:rPr>
          <w:rFonts w:cs="Arial"/>
          <w:sz w:val="24"/>
        </w:rPr>
        <w:t>2</w:t>
      </w:r>
      <w:r w:rsidR="00824827" w:rsidRPr="00824827">
        <w:rPr>
          <w:rFonts w:cs="Arial"/>
          <w:sz w:val="24"/>
        </w:rPr>
        <w:t>3</w:t>
      </w:r>
      <w:r w:rsidR="00824827" w:rsidRPr="00824827">
        <w:rPr>
          <w:rFonts w:cs="Arial"/>
          <w:sz w:val="24"/>
          <w:vertAlign w:val="superscript"/>
        </w:rPr>
        <w:t>rd</w:t>
      </w:r>
      <w:r w:rsidR="00824827" w:rsidRPr="00824827">
        <w:rPr>
          <w:rFonts w:cs="Arial"/>
          <w:sz w:val="24"/>
        </w:rPr>
        <w:t xml:space="preserve"> </w:t>
      </w:r>
      <w:r w:rsidRPr="00824827">
        <w:rPr>
          <w:rFonts w:cs="Arial"/>
          <w:sz w:val="24"/>
        </w:rPr>
        <w:t>September</w:t>
      </w:r>
      <w:r w:rsidR="00B57499" w:rsidRPr="00824827">
        <w:rPr>
          <w:rFonts w:cs="Arial"/>
          <w:sz w:val="24"/>
        </w:rPr>
        <w:t xml:space="preserve"> </w:t>
      </w:r>
      <w:r w:rsidR="00733956" w:rsidRPr="00824827">
        <w:rPr>
          <w:rFonts w:cs="Arial"/>
          <w:sz w:val="24"/>
        </w:rPr>
        <w:t>20</w:t>
      </w:r>
      <w:r w:rsidRPr="00824827">
        <w:rPr>
          <w:rFonts w:cs="Arial"/>
          <w:sz w:val="24"/>
        </w:rPr>
        <w:t>2</w:t>
      </w:r>
      <w:r w:rsidR="00824827" w:rsidRPr="00824827">
        <w:rPr>
          <w:rFonts w:cs="Arial"/>
          <w:sz w:val="24"/>
        </w:rPr>
        <w:t>1</w:t>
      </w:r>
    </w:p>
    <w:p w14:paraId="15A7B7B2" w14:textId="77777777" w:rsidR="008229A9" w:rsidRPr="00824827" w:rsidRDefault="00824827" w:rsidP="00E0571E">
      <w:pPr>
        <w:pStyle w:val="ListParagraph"/>
        <w:numPr>
          <w:ilvl w:val="0"/>
          <w:numId w:val="33"/>
        </w:numPr>
        <w:spacing w:before="0" w:after="0" w:line="240" w:lineRule="auto"/>
        <w:jc w:val="both"/>
        <w:rPr>
          <w:rFonts w:cs="Arial"/>
          <w:sz w:val="24"/>
        </w:rPr>
      </w:pPr>
      <w:r w:rsidRPr="00824827">
        <w:rPr>
          <w:rFonts w:cs="Arial"/>
          <w:sz w:val="24"/>
        </w:rPr>
        <w:t>2</w:t>
      </w:r>
      <w:r w:rsidRPr="00824827">
        <w:rPr>
          <w:rFonts w:cs="Arial"/>
          <w:sz w:val="24"/>
          <w:vertAlign w:val="superscript"/>
        </w:rPr>
        <w:t>nd</w:t>
      </w:r>
      <w:r w:rsidRPr="00824827">
        <w:rPr>
          <w:rFonts w:cs="Arial"/>
          <w:sz w:val="24"/>
        </w:rPr>
        <w:t xml:space="preserve"> December</w:t>
      </w:r>
      <w:r w:rsidR="001D7F20" w:rsidRPr="00824827">
        <w:rPr>
          <w:rFonts w:cs="Arial"/>
          <w:sz w:val="24"/>
        </w:rPr>
        <w:t xml:space="preserve"> 20</w:t>
      </w:r>
      <w:r w:rsidR="00B57499" w:rsidRPr="00824827">
        <w:rPr>
          <w:rFonts w:cs="Arial"/>
          <w:sz w:val="24"/>
        </w:rPr>
        <w:t>2</w:t>
      </w:r>
      <w:r w:rsidRPr="00824827">
        <w:rPr>
          <w:rFonts w:cs="Arial"/>
          <w:sz w:val="24"/>
        </w:rPr>
        <w:t>1</w:t>
      </w:r>
    </w:p>
    <w:p w14:paraId="5E3EEE78" w14:textId="77777777" w:rsidR="00B57499" w:rsidRPr="00824827" w:rsidRDefault="00B57499" w:rsidP="00B57499">
      <w:pPr>
        <w:pStyle w:val="ListParagraph"/>
        <w:spacing w:before="0" w:after="0" w:line="240" w:lineRule="auto"/>
        <w:jc w:val="both"/>
        <w:rPr>
          <w:rFonts w:cs="Arial"/>
          <w:sz w:val="24"/>
        </w:rPr>
      </w:pPr>
    </w:p>
    <w:p w14:paraId="2F4F6463" w14:textId="77777777" w:rsidR="00B57499" w:rsidRPr="00824827" w:rsidRDefault="00B57499" w:rsidP="008229A9">
      <w:pPr>
        <w:jc w:val="both"/>
        <w:rPr>
          <w:rFonts w:ascii="Arial" w:hAnsi="Arial" w:cs="Arial"/>
          <w:sz w:val="24"/>
          <w:szCs w:val="24"/>
        </w:rPr>
      </w:pPr>
    </w:p>
    <w:p w14:paraId="13CAE7EF" w14:textId="77777777" w:rsidR="008229A9" w:rsidRPr="00824827" w:rsidRDefault="008229A9" w:rsidP="008229A9">
      <w:pPr>
        <w:rPr>
          <w:rFonts w:ascii="Arial" w:hAnsi="Arial" w:cs="Arial"/>
          <w:sz w:val="24"/>
          <w:szCs w:val="24"/>
        </w:rPr>
      </w:pPr>
      <w:r w:rsidRPr="00824827">
        <w:rPr>
          <w:rFonts w:ascii="Arial" w:hAnsi="Arial" w:cs="Arial"/>
          <w:sz w:val="24"/>
          <w:szCs w:val="24"/>
        </w:rPr>
        <w:t xml:space="preserve">Attendance at the above meetings was recorded at </w:t>
      </w:r>
      <w:r w:rsidR="00824827" w:rsidRPr="00824827">
        <w:rPr>
          <w:rFonts w:ascii="Arial" w:hAnsi="Arial" w:cs="Arial"/>
          <w:sz w:val="24"/>
          <w:szCs w:val="24"/>
        </w:rPr>
        <w:t>72</w:t>
      </w:r>
      <w:r w:rsidRPr="00824827">
        <w:rPr>
          <w:rFonts w:ascii="Arial" w:hAnsi="Arial" w:cs="Arial"/>
          <w:sz w:val="24"/>
          <w:szCs w:val="24"/>
        </w:rPr>
        <w:t xml:space="preserve">% by the appointed Board </w:t>
      </w:r>
      <w:r w:rsidR="00DE5226" w:rsidRPr="00824827">
        <w:rPr>
          <w:rFonts w:ascii="Arial" w:hAnsi="Arial" w:cs="Arial"/>
          <w:sz w:val="24"/>
          <w:szCs w:val="24"/>
        </w:rPr>
        <w:t>m</w:t>
      </w:r>
      <w:r w:rsidRPr="00824827">
        <w:rPr>
          <w:rFonts w:ascii="Arial" w:hAnsi="Arial" w:cs="Arial"/>
          <w:sz w:val="24"/>
          <w:szCs w:val="24"/>
        </w:rPr>
        <w:t>embers.</w:t>
      </w:r>
    </w:p>
    <w:p w14:paraId="6A30779D" w14:textId="77777777" w:rsidR="008229A9" w:rsidRPr="00824827" w:rsidRDefault="008229A9" w:rsidP="008229A9">
      <w:pPr>
        <w:rPr>
          <w:rFonts w:ascii="Arial" w:hAnsi="Arial" w:cs="Arial"/>
          <w:b/>
          <w:sz w:val="24"/>
          <w:szCs w:val="24"/>
        </w:rPr>
      </w:pPr>
    </w:p>
    <w:p w14:paraId="6069C04A" w14:textId="77777777" w:rsidR="008229A9" w:rsidRPr="00824827" w:rsidRDefault="008229A9" w:rsidP="008229A9">
      <w:pPr>
        <w:rPr>
          <w:rFonts w:ascii="Arial" w:hAnsi="Arial" w:cs="Arial"/>
          <w:b/>
          <w:sz w:val="24"/>
          <w:szCs w:val="24"/>
        </w:rPr>
      </w:pPr>
      <w:r w:rsidRPr="00824827">
        <w:rPr>
          <w:rFonts w:ascii="Arial" w:hAnsi="Arial" w:cs="Arial"/>
          <w:b/>
          <w:sz w:val="24"/>
          <w:szCs w:val="24"/>
        </w:rPr>
        <w:t>Skills &amp; Development Activities</w:t>
      </w:r>
    </w:p>
    <w:p w14:paraId="5402B332" w14:textId="77777777" w:rsidR="00345039" w:rsidRPr="00C82B84" w:rsidRDefault="00345039" w:rsidP="008229A9">
      <w:pPr>
        <w:rPr>
          <w:rFonts w:ascii="Arial" w:hAnsi="Arial" w:cs="Arial"/>
          <w:b/>
          <w:sz w:val="24"/>
          <w:szCs w:val="24"/>
          <w:highlight w:val="yellow"/>
        </w:rPr>
      </w:pPr>
    </w:p>
    <w:p w14:paraId="06A1569D" w14:textId="77777777" w:rsidR="008229A9" w:rsidRPr="00824827" w:rsidRDefault="00FC54FC" w:rsidP="008229A9">
      <w:pPr>
        <w:jc w:val="both"/>
        <w:rPr>
          <w:rFonts w:ascii="Arial" w:hAnsi="Arial" w:cs="Arial"/>
          <w:sz w:val="24"/>
          <w:szCs w:val="24"/>
        </w:rPr>
      </w:pPr>
      <w:r w:rsidRPr="00824827">
        <w:rPr>
          <w:rFonts w:ascii="Arial" w:hAnsi="Arial" w:cs="Arial"/>
          <w:sz w:val="24"/>
          <w:szCs w:val="24"/>
        </w:rPr>
        <w:t>As the work of the Local P</w:t>
      </w:r>
      <w:r w:rsidR="008229A9" w:rsidRPr="00824827">
        <w:rPr>
          <w:rFonts w:ascii="Arial" w:hAnsi="Arial" w:cs="Arial"/>
          <w:sz w:val="24"/>
          <w:szCs w:val="24"/>
        </w:rPr>
        <w:t>ension Board</w:t>
      </w:r>
      <w:r w:rsidRPr="00824827">
        <w:rPr>
          <w:rFonts w:ascii="Arial" w:hAnsi="Arial" w:cs="Arial"/>
          <w:sz w:val="24"/>
          <w:szCs w:val="24"/>
        </w:rPr>
        <w:t xml:space="preserve"> continues to develop</w:t>
      </w:r>
      <w:r w:rsidR="008229A9" w:rsidRPr="00824827">
        <w:rPr>
          <w:rFonts w:ascii="Arial" w:hAnsi="Arial" w:cs="Arial"/>
          <w:sz w:val="24"/>
          <w:szCs w:val="24"/>
        </w:rPr>
        <w:t>, there is understandably a focus on training and skills and knowledge attainment</w:t>
      </w:r>
      <w:r w:rsidR="00345039" w:rsidRPr="00824827">
        <w:rPr>
          <w:rFonts w:ascii="Arial" w:hAnsi="Arial" w:cs="Arial"/>
          <w:sz w:val="24"/>
          <w:szCs w:val="24"/>
        </w:rPr>
        <w:t>.</w:t>
      </w:r>
    </w:p>
    <w:p w14:paraId="76848984" w14:textId="77777777" w:rsidR="00EC72DE" w:rsidRPr="00824827" w:rsidRDefault="00EC72DE" w:rsidP="008229A9">
      <w:pPr>
        <w:jc w:val="both"/>
        <w:rPr>
          <w:rFonts w:ascii="Arial" w:hAnsi="Arial" w:cs="Arial"/>
          <w:sz w:val="24"/>
          <w:szCs w:val="24"/>
        </w:rPr>
      </w:pPr>
    </w:p>
    <w:p w14:paraId="559C8DE7" w14:textId="77777777" w:rsidR="00EC72DE" w:rsidRPr="00824827" w:rsidRDefault="00EC72DE" w:rsidP="00EC72DE">
      <w:pPr>
        <w:autoSpaceDE w:val="0"/>
        <w:autoSpaceDN w:val="0"/>
        <w:adjustRightInd w:val="0"/>
        <w:rPr>
          <w:rFonts w:ascii="Arial-BoldMT" w:hAnsi="Arial-BoldMT" w:cs="Arial-BoldMT"/>
          <w:b/>
          <w:bCs/>
          <w:sz w:val="24"/>
          <w:szCs w:val="24"/>
          <w:lang w:eastAsia="en-GB"/>
        </w:rPr>
      </w:pPr>
      <w:r w:rsidRPr="00824827">
        <w:rPr>
          <w:rFonts w:ascii="Arial-BoldMT" w:hAnsi="Arial-BoldMT" w:cs="Arial-BoldMT"/>
          <w:b/>
          <w:bCs/>
          <w:sz w:val="24"/>
          <w:szCs w:val="24"/>
          <w:lang w:eastAsia="en-GB"/>
        </w:rPr>
        <w:t>L</w:t>
      </w:r>
      <w:r w:rsidR="00540615" w:rsidRPr="00824827">
        <w:rPr>
          <w:rFonts w:ascii="Arial-BoldMT" w:hAnsi="Arial-BoldMT" w:cs="Arial-BoldMT"/>
          <w:b/>
          <w:bCs/>
          <w:sz w:val="24"/>
          <w:szCs w:val="24"/>
          <w:lang w:eastAsia="en-GB"/>
        </w:rPr>
        <w:t>ocal Pension Board Member Training</w:t>
      </w:r>
    </w:p>
    <w:p w14:paraId="71FCC7FB" w14:textId="77777777" w:rsidR="00EC72DE" w:rsidRPr="00824827" w:rsidRDefault="00EC72DE" w:rsidP="00EC72DE">
      <w:pPr>
        <w:autoSpaceDE w:val="0"/>
        <w:autoSpaceDN w:val="0"/>
        <w:adjustRightInd w:val="0"/>
        <w:rPr>
          <w:rFonts w:ascii="Arial-BoldMT" w:hAnsi="Arial-BoldMT" w:cs="Arial-BoldMT"/>
          <w:b/>
          <w:bCs/>
          <w:sz w:val="24"/>
          <w:szCs w:val="24"/>
          <w:lang w:eastAsia="en-GB"/>
        </w:rPr>
      </w:pPr>
    </w:p>
    <w:p w14:paraId="0990EC10" w14:textId="77777777" w:rsidR="00EC72DE" w:rsidRPr="00824827" w:rsidRDefault="00EC72DE" w:rsidP="00B84586">
      <w:pPr>
        <w:autoSpaceDE w:val="0"/>
        <w:autoSpaceDN w:val="0"/>
        <w:adjustRightInd w:val="0"/>
        <w:jc w:val="both"/>
        <w:rPr>
          <w:rFonts w:ascii="ArialMT" w:hAnsi="ArialMT" w:cs="ArialMT"/>
          <w:sz w:val="24"/>
          <w:szCs w:val="24"/>
          <w:lang w:eastAsia="en-GB"/>
        </w:rPr>
      </w:pPr>
      <w:r w:rsidRPr="00824827">
        <w:rPr>
          <w:rFonts w:ascii="ArialMT" w:hAnsi="ArialMT" w:cs="ArialMT"/>
          <w:sz w:val="24"/>
          <w:szCs w:val="24"/>
          <w:lang w:eastAsia="en-GB"/>
        </w:rPr>
        <w:t xml:space="preserve">At the meeting of the Local Pension Board on the </w:t>
      </w:r>
      <w:r w:rsidR="00824827">
        <w:rPr>
          <w:rFonts w:ascii="ArialMT" w:hAnsi="ArialMT" w:cs="ArialMT"/>
          <w:sz w:val="24"/>
          <w:szCs w:val="24"/>
          <w:lang w:eastAsia="en-GB"/>
        </w:rPr>
        <w:t>1</w:t>
      </w:r>
      <w:r w:rsidR="00824827" w:rsidRPr="00824827">
        <w:rPr>
          <w:rFonts w:ascii="ArialMT" w:hAnsi="ArialMT" w:cs="ArialMT"/>
          <w:sz w:val="24"/>
          <w:szCs w:val="24"/>
          <w:vertAlign w:val="superscript"/>
          <w:lang w:eastAsia="en-GB"/>
        </w:rPr>
        <w:t>st</w:t>
      </w:r>
      <w:r w:rsidR="00824827">
        <w:rPr>
          <w:rFonts w:ascii="ArialMT" w:hAnsi="ArialMT" w:cs="ArialMT"/>
          <w:sz w:val="24"/>
          <w:szCs w:val="24"/>
          <w:lang w:eastAsia="en-GB"/>
        </w:rPr>
        <w:t xml:space="preserve"> April</w:t>
      </w:r>
      <w:r w:rsidR="00811A0E" w:rsidRPr="00824827">
        <w:rPr>
          <w:rFonts w:ascii="ArialMT" w:hAnsi="ArialMT" w:cs="ArialMT"/>
          <w:sz w:val="24"/>
          <w:szCs w:val="24"/>
          <w:lang w:eastAsia="en-GB"/>
        </w:rPr>
        <w:t xml:space="preserve"> </w:t>
      </w:r>
      <w:r w:rsidR="00D32B59" w:rsidRPr="00824827">
        <w:rPr>
          <w:rFonts w:ascii="ArialMT" w:hAnsi="ArialMT" w:cs="ArialMT"/>
          <w:sz w:val="24"/>
          <w:szCs w:val="24"/>
          <w:lang w:eastAsia="en-GB"/>
        </w:rPr>
        <w:t>2</w:t>
      </w:r>
      <w:r w:rsidRPr="00824827">
        <w:rPr>
          <w:rFonts w:ascii="ArialMT" w:hAnsi="ArialMT" w:cs="ArialMT"/>
          <w:sz w:val="24"/>
          <w:szCs w:val="24"/>
          <w:lang w:eastAsia="en-GB"/>
        </w:rPr>
        <w:t>0</w:t>
      </w:r>
      <w:r w:rsidR="00811A0E" w:rsidRPr="00824827">
        <w:rPr>
          <w:rFonts w:ascii="ArialMT" w:hAnsi="ArialMT" w:cs="ArialMT"/>
          <w:sz w:val="24"/>
          <w:szCs w:val="24"/>
          <w:lang w:eastAsia="en-GB"/>
        </w:rPr>
        <w:t>2</w:t>
      </w:r>
      <w:r w:rsidR="00135E52">
        <w:rPr>
          <w:rFonts w:ascii="ArialMT" w:hAnsi="ArialMT" w:cs="ArialMT"/>
          <w:sz w:val="24"/>
          <w:szCs w:val="24"/>
          <w:lang w:eastAsia="en-GB"/>
        </w:rPr>
        <w:t>1</w:t>
      </w:r>
      <w:r w:rsidRPr="00824827">
        <w:rPr>
          <w:rFonts w:ascii="ArialMT" w:hAnsi="ArialMT" w:cs="ArialMT"/>
          <w:sz w:val="24"/>
          <w:szCs w:val="24"/>
          <w:lang w:eastAsia="en-GB"/>
        </w:rPr>
        <w:t xml:space="preserve">, The Chief Treasury and Technical Officer presented a report </w:t>
      </w:r>
      <w:r w:rsidR="00CB65AF" w:rsidRPr="00824827">
        <w:rPr>
          <w:rFonts w:ascii="ArialMT" w:hAnsi="ArialMT" w:cs="ArialMT"/>
          <w:sz w:val="24"/>
          <w:szCs w:val="24"/>
          <w:lang w:eastAsia="en-GB"/>
        </w:rPr>
        <w:t>as part of the Business Plan outlin</w:t>
      </w:r>
      <w:r w:rsidR="009B4913" w:rsidRPr="00824827">
        <w:rPr>
          <w:rFonts w:ascii="ArialMT" w:hAnsi="ArialMT" w:cs="ArialMT"/>
          <w:sz w:val="24"/>
          <w:szCs w:val="24"/>
          <w:lang w:eastAsia="en-GB"/>
        </w:rPr>
        <w:t>in</w:t>
      </w:r>
      <w:r w:rsidR="00CB65AF" w:rsidRPr="00824827">
        <w:rPr>
          <w:rFonts w:ascii="ArialMT" w:hAnsi="ArialMT" w:cs="ArialMT"/>
          <w:sz w:val="24"/>
          <w:szCs w:val="24"/>
          <w:lang w:eastAsia="en-GB"/>
        </w:rPr>
        <w:t xml:space="preserve">g the importance of </w:t>
      </w:r>
      <w:r w:rsidR="009B4913" w:rsidRPr="00824827">
        <w:rPr>
          <w:rFonts w:ascii="ArialMT" w:hAnsi="ArialMT" w:cs="ArialMT"/>
          <w:sz w:val="24"/>
          <w:szCs w:val="24"/>
          <w:lang w:eastAsia="en-GB"/>
        </w:rPr>
        <w:t>m</w:t>
      </w:r>
      <w:r w:rsidR="00CB65AF" w:rsidRPr="00824827">
        <w:rPr>
          <w:rFonts w:ascii="ArialMT" w:hAnsi="ArialMT" w:cs="ArialMT"/>
          <w:sz w:val="24"/>
          <w:szCs w:val="24"/>
          <w:lang w:eastAsia="en-GB"/>
        </w:rPr>
        <w:t>ember training</w:t>
      </w:r>
      <w:r w:rsidR="009B4913" w:rsidRPr="00824827">
        <w:rPr>
          <w:rFonts w:ascii="ArialMT" w:hAnsi="ArialMT" w:cs="ArialMT"/>
          <w:sz w:val="24"/>
          <w:szCs w:val="24"/>
          <w:lang w:eastAsia="en-GB"/>
        </w:rPr>
        <w:t xml:space="preserve">. </w:t>
      </w:r>
      <w:r w:rsidRPr="00824827">
        <w:rPr>
          <w:rFonts w:ascii="ArialMT" w:hAnsi="ArialMT" w:cs="ArialMT"/>
          <w:sz w:val="24"/>
          <w:szCs w:val="24"/>
          <w:lang w:eastAsia="en-GB"/>
        </w:rPr>
        <w:t>The training ensure</w:t>
      </w:r>
      <w:r w:rsidR="009B4913" w:rsidRPr="00824827">
        <w:rPr>
          <w:rFonts w:ascii="ArialMT" w:hAnsi="ArialMT" w:cs="ArialMT"/>
          <w:sz w:val="24"/>
          <w:szCs w:val="24"/>
          <w:lang w:eastAsia="en-GB"/>
        </w:rPr>
        <w:t>s</w:t>
      </w:r>
      <w:r w:rsidRPr="00824827">
        <w:rPr>
          <w:rFonts w:ascii="ArialMT" w:hAnsi="ArialMT" w:cs="ArialMT"/>
          <w:sz w:val="24"/>
          <w:szCs w:val="24"/>
          <w:lang w:eastAsia="en-GB"/>
        </w:rPr>
        <w:t xml:space="preserve"> compliance with the CIPFA Public Sector Pensions Finance Know</w:t>
      </w:r>
      <w:r w:rsidR="009E45FE" w:rsidRPr="00824827">
        <w:rPr>
          <w:rFonts w:ascii="ArialMT" w:hAnsi="ArialMT" w:cs="ArialMT"/>
          <w:sz w:val="24"/>
          <w:szCs w:val="24"/>
          <w:lang w:eastAsia="en-GB"/>
        </w:rPr>
        <w:t>ledge &amp; Skills Code of Practice and the requirements for tPR.</w:t>
      </w:r>
    </w:p>
    <w:p w14:paraId="17BCC94D" w14:textId="77777777" w:rsidR="00136350" w:rsidRPr="00C82B84" w:rsidRDefault="00136350" w:rsidP="00B84586">
      <w:pPr>
        <w:autoSpaceDE w:val="0"/>
        <w:autoSpaceDN w:val="0"/>
        <w:adjustRightInd w:val="0"/>
        <w:jc w:val="both"/>
        <w:rPr>
          <w:rFonts w:ascii="ArialMT" w:hAnsi="ArialMT" w:cs="ArialMT"/>
          <w:sz w:val="24"/>
          <w:szCs w:val="24"/>
          <w:highlight w:val="yellow"/>
          <w:lang w:eastAsia="en-GB"/>
        </w:rPr>
      </w:pPr>
    </w:p>
    <w:p w14:paraId="40835E3F" w14:textId="77777777" w:rsidR="00714A0F" w:rsidRPr="00824827" w:rsidRDefault="007A1BCB" w:rsidP="00714A0F">
      <w:pPr>
        <w:autoSpaceDE w:val="0"/>
        <w:autoSpaceDN w:val="0"/>
        <w:adjustRightInd w:val="0"/>
        <w:jc w:val="both"/>
        <w:rPr>
          <w:rFonts w:ascii="ArialMT" w:hAnsi="ArialMT" w:cs="ArialMT"/>
          <w:sz w:val="24"/>
          <w:szCs w:val="24"/>
          <w:lang w:eastAsia="en-GB"/>
        </w:rPr>
      </w:pPr>
      <w:r w:rsidRPr="00824827">
        <w:rPr>
          <w:rFonts w:ascii="ArialMT" w:hAnsi="ArialMT" w:cs="ArialMT"/>
          <w:sz w:val="24"/>
          <w:szCs w:val="24"/>
          <w:lang w:eastAsia="en-GB"/>
        </w:rPr>
        <w:t xml:space="preserve">Training Undertaken </w:t>
      </w:r>
      <w:r w:rsidR="00F82977" w:rsidRPr="00824827">
        <w:rPr>
          <w:rFonts w:ascii="ArialMT" w:hAnsi="ArialMT" w:cs="ArialMT"/>
          <w:sz w:val="24"/>
          <w:szCs w:val="24"/>
          <w:lang w:eastAsia="en-GB"/>
        </w:rPr>
        <w:t>in the last 12 months as part of the Wales Pension Partnership Training programme included :</w:t>
      </w:r>
    </w:p>
    <w:p w14:paraId="0AC37779" w14:textId="77777777" w:rsidR="00714A0F" w:rsidRPr="00C82B84" w:rsidRDefault="00714A0F" w:rsidP="00714A0F">
      <w:pPr>
        <w:autoSpaceDE w:val="0"/>
        <w:autoSpaceDN w:val="0"/>
        <w:adjustRightInd w:val="0"/>
        <w:jc w:val="both"/>
        <w:rPr>
          <w:rFonts w:ascii="ArialMT" w:hAnsi="ArialMT" w:cs="ArialMT"/>
          <w:sz w:val="24"/>
          <w:szCs w:val="24"/>
          <w:highlight w:val="yellow"/>
          <w:lang w:eastAsia="en-GB"/>
        </w:rPr>
      </w:pPr>
    </w:p>
    <w:p w14:paraId="07CB159B" w14:textId="77777777" w:rsidR="007A1BCB" w:rsidRDefault="007A1BCB" w:rsidP="007A1BCB">
      <w:pPr>
        <w:autoSpaceDE w:val="0"/>
        <w:autoSpaceDN w:val="0"/>
        <w:adjustRightInd w:val="0"/>
        <w:jc w:val="both"/>
        <w:rPr>
          <w:rFonts w:ascii="ArialMT" w:hAnsi="ArialMT" w:cs="ArialMT"/>
          <w:sz w:val="24"/>
          <w:szCs w:val="24"/>
          <w:highlight w:val="yellow"/>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6017"/>
      </w:tblGrid>
      <w:tr w:rsidR="008351F0" w:rsidRPr="00F855FA" w14:paraId="4509E3C2" w14:textId="77777777" w:rsidTr="008351F0">
        <w:tc>
          <w:tcPr>
            <w:tcW w:w="3005" w:type="dxa"/>
            <w:shd w:val="clear" w:color="auto" w:fill="auto"/>
          </w:tcPr>
          <w:p w14:paraId="15089B13" w14:textId="77777777" w:rsidR="008351F0" w:rsidRPr="00F855FA" w:rsidRDefault="008351F0" w:rsidP="00633457">
            <w:pPr>
              <w:rPr>
                <w:rFonts w:ascii="Arial" w:hAnsi="Arial" w:cs="Arial"/>
                <w:b/>
                <w:bCs/>
                <w:sz w:val="24"/>
                <w:szCs w:val="24"/>
              </w:rPr>
            </w:pPr>
            <w:r w:rsidRPr="00F855FA">
              <w:rPr>
                <w:rFonts w:ascii="Arial" w:hAnsi="Arial" w:cs="Arial"/>
                <w:b/>
                <w:bCs/>
                <w:sz w:val="24"/>
                <w:szCs w:val="24"/>
              </w:rPr>
              <w:t>Topic</w:t>
            </w:r>
          </w:p>
        </w:tc>
        <w:tc>
          <w:tcPr>
            <w:tcW w:w="6034" w:type="dxa"/>
            <w:shd w:val="clear" w:color="auto" w:fill="auto"/>
          </w:tcPr>
          <w:p w14:paraId="0631F17C" w14:textId="77777777" w:rsidR="008351F0" w:rsidRPr="00F855FA" w:rsidRDefault="008351F0" w:rsidP="00633457">
            <w:pPr>
              <w:rPr>
                <w:rFonts w:ascii="Arial" w:hAnsi="Arial" w:cs="Arial"/>
                <w:b/>
                <w:bCs/>
                <w:sz w:val="24"/>
                <w:szCs w:val="24"/>
              </w:rPr>
            </w:pPr>
            <w:r w:rsidRPr="00F855FA">
              <w:rPr>
                <w:rFonts w:ascii="Arial" w:hAnsi="Arial" w:cs="Arial"/>
                <w:b/>
                <w:bCs/>
                <w:sz w:val="24"/>
                <w:szCs w:val="24"/>
              </w:rPr>
              <w:t>Product Knowledge</w:t>
            </w:r>
          </w:p>
        </w:tc>
      </w:tr>
      <w:tr w:rsidR="008351F0" w:rsidRPr="00F855FA" w14:paraId="16449DBF" w14:textId="77777777" w:rsidTr="008351F0">
        <w:tc>
          <w:tcPr>
            <w:tcW w:w="3005" w:type="dxa"/>
            <w:shd w:val="clear" w:color="auto" w:fill="auto"/>
          </w:tcPr>
          <w:p w14:paraId="27736EC8" w14:textId="77777777" w:rsidR="008351F0" w:rsidRPr="00F855FA" w:rsidRDefault="008351F0" w:rsidP="00633457">
            <w:pPr>
              <w:rPr>
                <w:rFonts w:ascii="Arial" w:hAnsi="Arial" w:cs="Arial"/>
                <w:sz w:val="24"/>
                <w:szCs w:val="24"/>
              </w:rPr>
            </w:pPr>
            <w:r w:rsidRPr="00F855FA">
              <w:rPr>
                <w:rFonts w:ascii="Arial" w:hAnsi="Arial" w:cs="Arial"/>
                <w:sz w:val="24"/>
                <w:szCs w:val="24"/>
              </w:rPr>
              <w:t>Private Markets</w:t>
            </w:r>
          </w:p>
        </w:tc>
        <w:tc>
          <w:tcPr>
            <w:tcW w:w="6034" w:type="dxa"/>
            <w:shd w:val="clear" w:color="auto" w:fill="auto"/>
          </w:tcPr>
          <w:p w14:paraId="126DB850" w14:textId="77777777" w:rsidR="008351F0" w:rsidRPr="00F855FA" w:rsidRDefault="008351F0" w:rsidP="00633457">
            <w:pPr>
              <w:rPr>
                <w:rFonts w:ascii="Arial" w:hAnsi="Arial" w:cs="Arial"/>
                <w:sz w:val="24"/>
                <w:szCs w:val="24"/>
              </w:rPr>
            </w:pPr>
            <w:r w:rsidRPr="00F855FA">
              <w:rPr>
                <w:rFonts w:ascii="Arial" w:hAnsi="Arial" w:cs="Arial"/>
                <w:sz w:val="24"/>
                <w:szCs w:val="24"/>
              </w:rPr>
              <w:t>Asset Classes &amp; Implementation, Fund Wrappers &amp; Governance</w:t>
            </w:r>
          </w:p>
        </w:tc>
      </w:tr>
      <w:tr w:rsidR="008351F0" w:rsidRPr="00F855FA" w14:paraId="774A5FAD" w14:textId="77777777" w:rsidTr="008351F0">
        <w:tc>
          <w:tcPr>
            <w:tcW w:w="3005" w:type="dxa"/>
            <w:shd w:val="clear" w:color="auto" w:fill="auto"/>
          </w:tcPr>
          <w:p w14:paraId="61646334" w14:textId="77777777" w:rsidR="008351F0" w:rsidRPr="00F855FA" w:rsidRDefault="008351F0" w:rsidP="00633457">
            <w:pPr>
              <w:rPr>
                <w:rFonts w:ascii="Arial" w:hAnsi="Arial" w:cs="Arial"/>
                <w:sz w:val="24"/>
                <w:szCs w:val="24"/>
              </w:rPr>
            </w:pPr>
            <w:r w:rsidRPr="00F855FA">
              <w:rPr>
                <w:rFonts w:ascii="Arial" w:hAnsi="Arial" w:cs="Arial"/>
                <w:sz w:val="24"/>
                <w:szCs w:val="24"/>
              </w:rPr>
              <w:t>Responsible Investment</w:t>
            </w:r>
          </w:p>
        </w:tc>
        <w:tc>
          <w:tcPr>
            <w:tcW w:w="6034" w:type="dxa"/>
            <w:shd w:val="clear" w:color="auto" w:fill="auto"/>
          </w:tcPr>
          <w:p w14:paraId="633EB248" w14:textId="77777777" w:rsidR="008351F0" w:rsidRPr="00F855FA" w:rsidRDefault="008351F0" w:rsidP="00633457">
            <w:pPr>
              <w:rPr>
                <w:rFonts w:ascii="Arial" w:hAnsi="Arial" w:cs="Arial"/>
                <w:sz w:val="24"/>
                <w:szCs w:val="24"/>
              </w:rPr>
            </w:pPr>
            <w:r w:rsidRPr="00F855FA">
              <w:rPr>
                <w:rFonts w:ascii="Arial" w:hAnsi="Arial" w:cs="Arial"/>
                <w:sz w:val="24"/>
                <w:szCs w:val="24"/>
              </w:rPr>
              <w:t>Responsible Investment Indices and Solutions, Responsible Investment Reporting</w:t>
            </w:r>
          </w:p>
        </w:tc>
      </w:tr>
      <w:tr w:rsidR="008351F0" w:rsidRPr="00F855FA" w14:paraId="7F1CA93F" w14:textId="77777777" w:rsidTr="008351F0">
        <w:tc>
          <w:tcPr>
            <w:tcW w:w="3005" w:type="dxa"/>
            <w:shd w:val="clear" w:color="auto" w:fill="auto"/>
          </w:tcPr>
          <w:p w14:paraId="7B4562C9" w14:textId="77777777" w:rsidR="008351F0" w:rsidRPr="00F855FA" w:rsidRDefault="008351F0" w:rsidP="00633457">
            <w:pPr>
              <w:rPr>
                <w:rFonts w:ascii="Arial" w:hAnsi="Arial" w:cs="Arial"/>
                <w:sz w:val="24"/>
                <w:szCs w:val="24"/>
              </w:rPr>
            </w:pPr>
            <w:r w:rsidRPr="00F855FA">
              <w:rPr>
                <w:rFonts w:ascii="Arial" w:hAnsi="Arial" w:cs="Arial"/>
                <w:sz w:val="24"/>
                <w:szCs w:val="24"/>
              </w:rPr>
              <w:t>Investment Performance &amp; Risk Management</w:t>
            </w:r>
          </w:p>
        </w:tc>
        <w:tc>
          <w:tcPr>
            <w:tcW w:w="6034" w:type="dxa"/>
            <w:shd w:val="clear" w:color="auto" w:fill="auto"/>
          </w:tcPr>
          <w:p w14:paraId="2FEBAB70" w14:textId="77777777" w:rsidR="008351F0" w:rsidRPr="00F855FA" w:rsidRDefault="008351F0" w:rsidP="00633457">
            <w:pPr>
              <w:rPr>
                <w:rFonts w:ascii="Arial" w:hAnsi="Arial" w:cs="Arial"/>
                <w:sz w:val="24"/>
                <w:szCs w:val="24"/>
              </w:rPr>
            </w:pPr>
            <w:r w:rsidRPr="00F855FA">
              <w:rPr>
                <w:rFonts w:ascii="Arial" w:hAnsi="Arial" w:cs="Arial"/>
                <w:sz w:val="24"/>
                <w:szCs w:val="24"/>
              </w:rPr>
              <w:t>Performance Reporting &amp; Manager Benchmarking. Roles &amp; Responsibilities with the ACS.</w:t>
            </w:r>
          </w:p>
        </w:tc>
      </w:tr>
      <w:tr w:rsidR="008351F0" w:rsidRPr="00F855FA" w14:paraId="72A3B947" w14:textId="77777777" w:rsidTr="008351F0">
        <w:tc>
          <w:tcPr>
            <w:tcW w:w="3005" w:type="dxa"/>
            <w:shd w:val="clear" w:color="auto" w:fill="auto"/>
          </w:tcPr>
          <w:p w14:paraId="0995D39F" w14:textId="77777777" w:rsidR="008351F0" w:rsidRPr="00F855FA" w:rsidRDefault="008351F0" w:rsidP="00633457">
            <w:pPr>
              <w:rPr>
                <w:rFonts w:ascii="Arial" w:hAnsi="Arial" w:cs="Arial"/>
                <w:sz w:val="24"/>
                <w:szCs w:val="24"/>
              </w:rPr>
            </w:pPr>
            <w:r w:rsidRPr="00F855FA">
              <w:rPr>
                <w:rFonts w:ascii="Arial" w:hAnsi="Arial" w:cs="Arial"/>
                <w:sz w:val="24"/>
                <w:szCs w:val="24"/>
              </w:rPr>
              <w:t>Guidance, Regulatory &amp; Best Practice</w:t>
            </w:r>
          </w:p>
        </w:tc>
        <w:tc>
          <w:tcPr>
            <w:tcW w:w="6034" w:type="dxa"/>
            <w:shd w:val="clear" w:color="auto" w:fill="auto"/>
          </w:tcPr>
          <w:p w14:paraId="53E42672" w14:textId="77777777" w:rsidR="008351F0" w:rsidRPr="00F855FA" w:rsidRDefault="008351F0" w:rsidP="00633457">
            <w:pPr>
              <w:rPr>
                <w:rFonts w:ascii="Arial" w:hAnsi="Arial" w:cs="Arial"/>
                <w:sz w:val="24"/>
                <w:szCs w:val="24"/>
              </w:rPr>
            </w:pPr>
            <w:r w:rsidRPr="00F855FA">
              <w:rPr>
                <w:rFonts w:ascii="Arial" w:hAnsi="Arial" w:cs="Arial"/>
                <w:sz w:val="24"/>
                <w:szCs w:val="24"/>
              </w:rPr>
              <w:t xml:space="preserve">Good Governance &amp; Cost Transparency </w:t>
            </w:r>
          </w:p>
        </w:tc>
      </w:tr>
    </w:tbl>
    <w:p w14:paraId="0E07DF25" w14:textId="77777777" w:rsidR="00824827" w:rsidRPr="00C82B84" w:rsidRDefault="00824827" w:rsidP="00824827">
      <w:pPr>
        <w:autoSpaceDE w:val="0"/>
        <w:autoSpaceDN w:val="0"/>
        <w:adjustRightInd w:val="0"/>
        <w:jc w:val="both"/>
        <w:rPr>
          <w:rFonts w:ascii="ArialMT" w:hAnsi="ArialMT" w:cs="ArialMT"/>
          <w:sz w:val="24"/>
          <w:szCs w:val="24"/>
          <w:highlight w:val="yellow"/>
          <w:lang w:eastAsia="en-GB"/>
        </w:rPr>
      </w:pPr>
    </w:p>
    <w:p w14:paraId="5F0835C7" w14:textId="77777777" w:rsidR="00824827" w:rsidRDefault="00824827" w:rsidP="007A1BCB">
      <w:pPr>
        <w:autoSpaceDE w:val="0"/>
        <w:autoSpaceDN w:val="0"/>
        <w:adjustRightInd w:val="0"/>
        <w:jc w:val="both"/>
        <w:rPr>
          <w:rFonts w:ascii="ArialMT" w:hAnsi="ArialMT" w:cs="ArialMT"/>
          <w:sz w:val="24"/>
          <w:szCs w:val="24"/>
          <w:lang w:eastAsia="en-GB"/>
        </w:rPr>
      </w:pPr>
    </w:p>
    <w:p w14:paraId="5903FAFE" w14:textId="77777777" w:rsidR="008351F0" w:rsidRPr="008351F0" w:rsidRDefault="008351F0" w:rsidP="007A1BCB">
      <w:pPr>
        <w:autoSpaceDE w:val="0"/>
        <w:autoSpaceDN w:val="0"/>
        <w:adjustRightInd w:val="0"/>
        <w:jc w:val="both"/>
        <w:rPr>
          <w:rFonts w:ascii="Arial" w:hAnsi="Arial" w:cs="Arial"/>
          <w:sz w:val="24"/>
          <w:szCs w:val="24"/>
        </w:rPr>
      </w:pPr>
      <w:r w:rsidRPr="008351F0">
        <w:rPr>
          <w:rFonts w:ascii="Arial" w:hAnsi="Arial" w:cs="Arial"/>
          <w:sz w:val="24"/>
          <w:szCs w:val="24"/>
        </w:rPr>
        <w:t>In 2021/22, informed by the National Knowledge Assessment undertaken and outstanding training identified previously, the following training was identified as appropriate training to be undertaken by members of the Local Pension Board :</w:t>
      </w:r>
    </w:p>
    <w:p w14:paraId="08C0CB1A" w14:textId="77777777" w:rsidR="008351F0" w:rsidRPr="008351F0" w:rsidRDefault="008351F0" w:rsidP="007A1BCB">
      <w:pPr>
        <w:autoSpaceDE w:val="0"/>
        <w:autoSpaceDN w:val="0"/>
        <w:adjustRightInd w:val="0"/>
        <w:jc w:val="both"/>
        <w:rPr>
          <w:rFonts w:ascii="Arial" w:hAnsi="Arial" w:cs="Arial"/>
          <w:sz w:val="24"/>
          <w:szCs w:val="24"/>
        </w:rPr>
      </w:pPr>
    </w:p>
    <w:p w14:paraId="673C5C57" w14:textId="77777777" w:rsidR="008351F0" w:rsidRPr="008351F0" w:rsidRDefault="008351F0" w:rsidP="0073304A">
      <w:pPr>
        <w:numPr>
          <w:ilvl w:val="0"/>
          <w:numId w:val="123"/>
        </w:numPr>
        <w:autoSpaceDE w:val="0"/>
        <w:autoSpaceDN w:val="0"/>
        <w:adjustRightInd w:val="0"/>
        <w:jc w:val="both"/>
        <w:rPr>
          <w:rFonts w:ascii="Arial" w:hAnsi="Arial" w:cs="Arial"/>
          <w:sz w:val="24"/>
          <w:szCs w:val="24"/>
          <w:lang w:eastAsia="en-GB"/>
        </w:rPr>
      </w:pPr>
      <w:r w:rsidRPr="008351F0">
        <w:rPr>
          <w:rFonts w:ascii="Arial" w:hAnsi="Arial" w:cs="Arial"/>
          <w:sz w:val="24"/>
          <w:szCs w:val="24"/>
        </w:rPr>
        <w:t xml:space="preserve">LGE (Local Government Employers) Trustee Fundamentals day 1, 2 &amp; 3 </w:t>
      </w:r>
    </w:p>
    <w:p w14:paraId="11AF62C7" w14:textId="77777777" w:rsidR="008351F0" w:rsidRPr="008351F0" w:rsidRDefault="008351F0" w:rsidP="0073304A">
      <w:pPr>
        <w:numPr>
          <w:ilvl w:val="0"/>
          <w:numId w:val="123"/>
        </w:numPr>
        <w:autoSpaceDE w:val="0"/>
        <w:autoSpaceDN w:val="0"/>
        <w:adjustRightInd w:val="0"/>
        <w:jc w:val="both"/>
        <w:rPr>
          <w:rFonts w:ascii="Arial" w:hAnsi="Arial" w:cs="Arial"/>
          <w:sz w:val="24"/>
          <w:szCs w:val="24"/>
          <w:lang w:eastAsia="en-GB"/>
        </w:rPr>
      </w:pPr>
      <w:r w:rsidRPr="008351F0">
        <w:rPr>
          <w:rFonts w:ascii="Arial" w:hAnsi="Arial" w:cs="Arial"/>
          <w:sz w:val="24"/>
          <w:szCs w:val="24"/>
        </w:rPr>
        <w:t xml:space="preserve">ESG training </w:t>
      </w:r>
    </w:p>
    <w:p w14:paraId="106D38B9" w14:textId="77777777" w:rsidR="008351F0" w:rsidRPr="008351F0" w:rsidRDefault="008351F0" w:rsidP="0073304A">
      <w:pPr>
        <w:numPr>
          <w:ilvl w:val="0"/>
          <w:numId w:val="123"/>
        </w:numPr>
        <w:autoSpaceDE w:val="0"/>
        <w:autoSpaceDN w:val="0"/>
        <w:adjustRightInd w:val="0"/>
        <w:jc w:val="both"/>
        <w:rPr>
          <w:rFonts w:ascii="Arial" w:hAnsi="Arial" w:cs="Arial"/>
          <w:sz w:val="24"/>
          <w:szCs w:val="24"/>
          <w:lang w:eastAsia="en-GB"/>
        </w:rPr>
      </w:pPr>
      <w:r w:rsidRPr="008351F0">
        <w:rPr>
          <w:rFonts w:ascii="Arial" w:hAnsi="Arial" w:cs="Arial"/>
          <w:sz w:val="24"/>
          <w:szCs w:val="24"/>
        </w:rPr>
        <w:t>Pension Governance</w:t>
      </w:r>
      <w:r>
        <w:rPr>
          <w:rFonts w:ascii="Arial" w:hAnsi="Arial" w:cs="Arial"/>
          <w:sz w:val="24"/>
          <w:szCs w:val="24"/>
        </w:rPr>
        <w:t xml:space="preserve"> </w:t>
      </w:r>
      <w:r w:rsidRPr="008351F0">
        <w:rPr>
          <w:rFonts w:ascii="Arial" w:hAnsi="Arial" w:cs="Arial"/>
          <w:sz w:val="24"/>
          <w:szCs w:val="24"/>
        </w:rPr>
        <w:t>- the role of the Committee and the Board</w:t>
      </w:r>
    </w:p>
    <w:p w14:paraId="4925CF2C" w14:textId="77777777" w:rsidR="008351F0" w:rsidRPr="008351F0" w:rsidRDefault="008351F0" w:rsidP="0073304A">
      <w:pPr>
        <w:numPr>
          <w:ilvl w:val="0"/>
          <w:numId w:val="123"/>
        </w:numPr>
        <w:autoSpaceDE w:val="0"/>
        <w:autoSpaceDN w:val="0"/>
        <w:adjustRightInd w:val="0"/>
        <w:jc w:val="both"/>
        <w:rPr>
          <w:rFonts w:ascii="Arial" w:hAnsi="Arial" w:cs="Arial"/>
          <w:sz w:val="24"/>
          <w:szCs w:val="24"/>
          <w:lang w:eastAsia="en-GB"/>
        </w:rPr>
      </w:pPr>
      <w:r w:rsidRPr="008351F0">
        <w:rPr>
          <w:rFonts w:ascii="Arial" w:hAnsi="Arial" w:cs="Arial"/>
          <w:sz w:val="24"/>
          <w:szCs w:val="24"/>
        </w:rPr>
        <w:t xml:space="preserve">Pension Accounting &amp; audit standards </w:t>
      </w:r>
    </w:p>
    <w:p w14:paraId="4A89AD24" w14:textId="77777777" w:rsidR="00824827" w:rsidRPr="008351F0" w:rsidRDefault="008351F0" w:rsidP="0073304A">
      <w:pPr>
        <w:numPr>
          <w:ilvl w:val="0"/>
          <w:numId w:val="123"/>
        </w:numPr>
        <w:autoSpaceDE w:val="0"/>
        <w:autoSpaceDN w:val="0"/>
        <w:adjustRightInd w:val="0"/>
        <w:jc w:val="both"/>
        <w:rPr>
          <w:rFonts w:ascii="Arial" w:hAnsi="Arial" w:cs="Arial"/>
          <w:sz w:val="24"/>
          <w:szCs w:val="24"/>
          <w:lang w:eastAsia="en-GB"/>
        </w:rPr>
      </w:pPr>
      <w:r w:rsidRPr="008351F0">
        <w:rPr>
          <w:rFonts w:ascii="Arial" w:hAnsi="Arial" w:cs="Arial"/>
          <w:sz w:val="24"/>
          <w:szCs w:val="24"/>
        </w:rPr>
        <w:t xml:space="preserve">Actuarial valuation methodologies </w:t>
      </w:r>
    </w:p>
    <w:p w14:paraId="1EC415F9" w14:textId="77777777" w:rsidR="008351F0" w:rsidRPr="008351F0" w:rsidRDefault="008351F0" w:rsidP="008351F0">
      <w:pPr>
        <w:autoSpaceDE w:val="0"/>
        <w:autoSpaceDN w:val="0"/>
        <w:adjustRightInd w:val="0"/>
        <w:jc w:val="both"/>
        <w:rPr>
          <w:rFonts w:ascii="Arial" w:hAnsi="Arial" w:cs="Arial"/>
          <w:sz w:val="24"/>
          <w:szCs w:val="24"/>
          <w:lang w:eastAsia="en-GB"/>
        </w:rPr>
      </w:pPr>
    </w:p>
    <w:p w14:paraId="638BA767" w14:textId="77777777" w:rsidR="007A1BCB" w:rsidRPr="00C82B84" w:rsidRDefault="007A1BCB" w:rsidP="00EC72DE">
      <w:pPr>
        <w:autoSpaceDE w:val="0"/>
        <w:autoSpaceDN w:val="0"/>
        <w:adjustRightInd w:val="0"/>
        <w:rPr>
          <w:rFonts w:ascii="ArialMT" w:hAnsi="ArialMT" w:cs="ArialMT"/>
          <w:sz w:val="24"/>
          <w:szCs w:val="24"/>
          <w:highlight w:val="yellow"/>
          <w:lang w:eastAsia="en-GB"/>
        </w:rPr>
      </w:pPr>
    </w:p>
    <w:p w14:paraId="7FA2123A" w14:textId="77777777" w:rsidR="00EC72DE" w:rsidRPr="008351F0" w:rsidRDefault="00EC72DE" w:rsidP="00EC72DE">
      <w:pPr>
        <w:autoSpaceDE w:val="0"/>
        <w:autoSpaceDN w:val="0"/>
        <w:adjustRightInd w:val="0"/>
        <w:rPr>
          <w:rFonts w:ascii="ArialMT" w:hAnsi="ArialMT" w:cs="ArialMT"/>
          <w:sz w:val="24"/>
          <w:szCs w:val="24"/>
          <w:lang w:eastAsia="en-GB"/>
        </w:rPr>
      </w:pPr>
      <w:r w:rsidRPr="008351F0">
        <w:rPr>
          <w:rFonts w:ascii="ArialMT" w:hAnsi="ArialMT" w:cs="ArialMT"/>
          <w:sz w:val="24"/>
          <w:szCs w:val="24"/>
          <w:lang w:eastAsia="en-GB"/>
        </w:rPr>
        <w:t xml:space="preserve">Any other training identified by the </w:t>
      </w:r>
      <w:r w:rsidR="009E45FE" w:rsidRPr="008351F0">
        <w:rPr>
          <w:rFonts w:ascii="ArialMT" w:hAnsi="ArialMT" w:cs="ArialMT"/>
          <w:sz w:val="24"/>
          <w:szCs w:val="24"/>
          <w:lang w:eastAsia="en-GB"/>
        </w:rPr>
        <w:t xml:space="preserve">Deputy </w:t>
      </w:r>
      <w:r w:rsidRPr="008351F0">
        <w:rPr>
          <w:rFonts w:ascii="ArialMT" w:hAnsi="ArialMT" w:cs="ArialMT"/>
          <w:sz w:val="24"/>
          <w:szCs w:val="24"/>
          <w:lang w:eastAsia="en-GB"/>
        </w:rPr>
        <w:t>Section 151 officer which is</w:t>
      </w:r>
      <w:r w:rsidR="00EB5ED6" w:rsidRPr="008351F0">
        <w:rPr>
          <w:rFonts w:ascii="ArialMT" w:hAnsi="ArialMT" w:cs="ArialMT"/>
          <w:sz w:val="24"/>
          <w:szCs w:val="24"/>
          <w:lang w:eastAsia="en-GB"/>
        </w:rPr>
        <w:t xml:space="preserve"> considered appropriate.</w:t>
      </w:r>
    </w:p>
    <w:p w14:paraId="07A225EC" w14:textId="77777777" w:rsidR="00EC72DE" w:rsidRPr="00C82B84" w:rsidRDefault="00EC72DE" w:rsidP="00EC72DE">
      <w:pPr>
        <w:autoSpaceDE w:val="0"/>
        <w:autoSpaceDN w:val="0"/>
        <w:adjustRightInd w:val="0"/>
        <w:rPr>
          <w:rFonts w:ascii="ArialMT" w:hAnsi="ArialMT" w:cs="ArialMT"/>
          <w:sz w:val="24"/>
          <w:szCs w:val="24"/>
          <w:highlight w:val="yellow"/>
          <w:lang w:eastAsia="en-GB"/>
        </w:rPr>
      </w:pPr>
    </w:p>
    <w:p w14:paraId="7295831B" w14:textId="77777777" w:rsidR="00EC72DE" w:rsidRPr="008351F0" w:rsidRDefault="00EC72DE" w:rsidP="008229A9">
      <w:pPr>
        <w:rPr>
          <w:rFonts w:ascii="Arial" w:hAnsi="Arial" w:cs="Arial"/>
          <w:b/>
          <w:sz w:val="24"/>
          <w:szCs w:val="24"/>
        </w:rPr>
      </w:pPr>
    </w:p>
    <w:p w14:paraId="6CD3A1BC" w14:textId="77777777" w:rsidR="008229A9" w:rsidRPr="008351F0" w:rsidRDefault="008229A9" w:rsidP="008229A9">
      <w:pPr>
        <w:rPr>
          <w:rFonts w:ascii="Arial" w:hAnsi="Arial" w:cs="Arial"/>
          <w:b/>
          <w:sz w:val="24"/>
          <w:szCs w:val="24"/>
        </w:rPr>
      </w:pPr>
      <w:r w:rsidRPr="008351F0">
        <w:rPr>
          <w:rFonts w:ascii="Arial" w:hAnsi="Arial" w:cs="Arial"/>
          <w:b/>
          <w:sz w:val="24"/>
          <w:szCs w:val="24"/>
        </w:rPr>
        <w:t>Budget</w:t>
      </w:r>
    </w:p>
    <w:p w14:paraId="0DF09E1D" w14:textId="77777777" w:rsidR="008229A9" w:rsidRPr="008351F0" w:rsidRDefault="008229A9" w:rsidP="00B84586">
      <w:pPr>
        <w:jc w:val="both"/>
        <w:rPr>
          <w:rFonts w:ascii="Arial" w:hAnsi="Arial" w:cs="Arial"/>
          <w:sz w:val="24"/>
          <w:szCs w:val="24"/>
        </w:rPr>
      </w:pPr>
      <w:r w:rsidRPr="008351F0">
        <w:rPr>
          <w:rFonts w:ascii="Arial" w:hAnsi="Arial" w:cs="Arial"/>
          <w:sz w:val="24"/>
          <w:szCs w:val="24"/>
        </w:rPr>
        <w:t>The Board agreed a budget of £</w:t>
      </w:r>
      <w:r w:rsidR="001D7F20" w:rsidRPr="008351F0">
        <w:rPr>
          <w:rFonts w:ascii="Arial" w:hAnsi="Arial" w:cs="Arial"/>
          <w:sz w:val="24"/>
          <w:szCs w:val="24"/>
        </w:rPr>
        <w:t>5</w:t>
      </w:r>
      <w:r w:rsidRPr="008351F0">
        <w:rPr>
          <w:rFonts w:ascii="Arial" w:hAnsi="Arial" w:cs="Arial"/>
          <w:sz w:val="24"/>
          <w:szCs w:val="24"/>
        </w:rPr>
        <w:t xml:space="preserve">k per annum to assist with its operation. </w:t>
      </w:r>
    </w:p>
    <w:p w14:paraId="62EE78E7" w14:textId="77777777" w:rsidR="008229A9" w:rsidRDefault="008229A9" w:rsidP="00B84586">
      <w:pPr>
        <w:jc w:val="both"/>
        <w:rPr>
          <w:rFonts w:ascii="Arial" w:hAnsi="Arial" w:cs="Arial"/>
          <w:sz w:val="24"/>
          <w:szCs w:val="24"/>
        </w:rPr>
      </w:pPr>
      <w:r w:rsidRPr="008351F0">
        <w:rPr>
          <w:rFonts w:ascii="Arial" w:hAnsi="Arial" w:cs="Arial"/>
          <w:sz w:val="24"/>
          <w:szCs w:val="24"/>
        </w:rPr>
        <w:t xml:space="preserve">In </w:t>
      </w:r>
      <w:r w:rsidR="00365A70" w:rsidRPr="008351F0">
        <w:rPr>
          <w:rFonts w:ascii="Arial" w:hAnsi="Arial" w:cs="Arial"/>
          <w:sz w:val="24"/>
          <w:szCs w:val="24"/>
        </w:rPr>
        <w:t>202</w:t>
      </w:r>
      <w:r w:rsidR="008351F0" w:rsidRPr="008351F0">
        <w:rPr>
          <w:rFonts w:ascii="Arial" w:hAnsi="Arial" w:cs="Arial"/>
          <w:sz w:val="24"/>
          <w:szCs w:val="24"/>
        </w:rPr>
        <w:t>1</w:t>
      </w:r>
      <w:r w:rsidR="00365A70" w:rsidRPr="008351F0">
        <w:rPr>
          <w:rFonts w:ascii="Arial" w:hAnsi="Arial" w:cs="Arial"/>
          <w:sz w:val="24"/>
          <w:szCs w:val="24"/>
        </w:rPr>
        <w:t>/2</w:t>
      </w:r>
      <w:r w:rsidR="008351F0" w:rsidRPr="008351F0">
        <w:rPr>
          <w:rFonts w:ascii="Arial" w:hAnsi="Arial" w:cs="Arial"/>
          <w:sz w:val="24"/>
          <w:szCs w:val="24"/>
        </w:rPr>
        <w:t>2</w:t>
      </w:r>
      <w:r w:rsidRPr="008351F0">
        <w:rPr>
          <w:rFonts w:ascii="Arial" w:hAnsi="Arial" w:cs="Arial"/>
          <w:sz w:val="24"/>
          <w:szCs w:val="24"/>
        </w:rPr>
        <w:t xml:space="preserve"> the Board incurred</w:t>
      </w:r>
      <w:r w:rsidR="00365A70" w:rsidRPr="008351F0">
        <w:rPr>
          <w:rFonts w:ascii="Arial" w:hAnsi="Arial" w:cs="Arial"/>
          <w:sz w:val="24"/>
          <w:szCs w:val="24"/>
        </w:rPr>
        <w:t xml:space="preserve"> </w:t>
      </w:r>
      <w:r w:rsidR="00542C7A" w:rsidRPr="008351F0">
        <w:rPr>
          <w:rFonts w:ascii="Arial" w:hAnsi="Arial" w:cs="Arial"/>
          <w:sz w:val="24"/>
          <w:szCs w:val="24"/>
        </w:rPr>
        <w:t>£3k in</w:t>
      </w:r>
      <w:r w:rsidR="00365A70" w:rsidRPr="008351F0">
        <w:rPr>
          <w:rFonts w:ascii="Arial" w:hAnsi="Arial" w:cs="Arial"/>
          <w:sz w:val="24"/>
          <w:szCs w:val="24"/>
        </w:rPr>
        <w:t xml:space="preserve"> </w:t>
      </w:r>
      <w:r w:rsidR="00B57499" w:rsidRPr="008351F0">
        <w:rPr>
          <w:rFonts w:ascii="Arial" w:hAnsi="Arial" w:cs="Arial"/>
          <w:sz w:val="24"/>
          <w:szCs w:val="24"/>
        </w:rPr>
        <w:t>costs</w:t>
      </w:r>
      <w:r w:rsidR="009E45FE" w:rsidRPr="008351F0">
        <w:rPr>
          <w:rFonts w:ascii="Arial" w:hAnsi="Arial" w:cs="Arial"/>
          <w:sz w:val="24"/>
          <w:szCs w:val="24"/>
        </w:rPr>
        <w:t>.</w:t>
      </w:r>
      <w:r w:rsidR="009E45FE">
        <w:rPr>
          <w:rFonts w:ascii="Arial" w:hAnsi="Arial" w:cs="Arial"/>
          <w:sz w:val="24"/>
          <w:szCs w:val="24"/>
        </w:rPr>
        <w:t xml:space="preserve"> </w:t>
      </w:r>
    </w:p>
    <w:p w14:paraId="71A122DC" w14:textId="77777777" w:rsidR="0044155A" w:rsidRDefault="0044155A" w:rsidP="008229A9">
      <w:pPr>
        <w:rPr>
          <w:rFonts w:ascii="Arial" w:hAnsi="Arial" w:cs="Arial"/>
          <w:sz w:val="24"/>
          <w:szCs w:val="24"/>
        </w:rPr>
      </w:pPr>
    </w:p>
    <w:p w14:paraId="4DC3562B" w14:textId="77777777" w:rsidR="007A1BCB" w:rsidRDefault="007A1BCB" w:rsidP="008229A9">
      <w:pPr>
        <w:rPr>
          <w:rFonts w:ascii="Arial" w:hAnsi="Arial" w:cs="Arial"/>
          <w:sz w:val="24"/>
          <w:szCs w:val="24"/>
        </w:rPr>
      </w:pPr>
    </w:p>
    <w:p w14:paraId="59CDA063" w14:textId="77777777" w:rsidR="007A1BCB" w:rsidRDefault="007A1BCB" w:rsidP="008229A9">
      <w:pPr>
        <w:rPr>
          <w:rFonts w:ascii="Arial" w:hAnsi="Arial" w:cs="Arial"/>
          <w:sz w:val="24"/>
          <w:szCs w:val="24"/>
        </w:rPr>
      </w:pPr>
    </w:p>
    <w:p w14:paraId="408EDDF7" w14:textId="77777777" w:rsidR="00647E40" w:rsidRDefault="00647E40" w:rsidP="008229A9">
      <w:pPr>
        <w:rPr>
          <w:rFonts w:ascii="Arial" w:hAnsi="Arial" w:cs="Arial"/>
          <w:sz w:val="24"/>
          <w:szCs w:val="24"/>
        </w:rPr>
        <w:sectPr w:rsidR="00647E40" w:rsidSect="007A0B9F">
          <w:headerReference w:type="default" r:id="rId19"/>
          <w:footerReference w:type="default" r:id="rId20"/>
          <w:type w:val="continuous"/>
          <w:pgSz w:w="11906" w:h="16838"/>
          <w:pgMar w:top="1440" w:right="1440" w:bottom="1440" w:left="1440" w:header="708" w:footer="0" w:gutter="0"/>
          <w:pgNumType w:start="1"/>
          <w:cols w:space="708"/>
          <w:docGrid w:linePitch="381"/>
        </w:sectPr>
      </w:pPr>
    </w:p>
    <w:p w14:paraId="43E62B11" w14:textId="77777777" w:rsidR="008206CA" w:rsidRPr="00DE1ECD" w:rsidRDefault="008206CA" w:rsidP="008206CA">
      <w:pPr>
        <w:rPr>
          <w:rFonts w:ascii="Arial" w:hAnsi="Arial"/>
          <w:b/>
        </w:rPr>
      </w:pPr>
      <w:r w:rsidRPr="004C7CD9">
        <w:rPr>
          <w:rFonts w:ascii="Arial" w:hAnsi="Arial"/>
          <w:b/>
        </w:rPr>
        <w:lastRenderedPageBreak/>
        <w:t xml:space="preserve">1. </w:t>
      </w:r>
      <w:r w:rsidRPr="004C7CD9">
        <w:rPr>
          <w:rFonts w:ascii="Arial" w:hAnsi="Arial"/>
          <w:b/>
        </w:rPr>
        <w:tab/>
      </w:r>
      <w:r w:rsidRPr="00387737">
        <w:rPr>
          <w:rFonts w:ascii="Arial" w:hAnsi="Arial"/>
          <w:b/>
          <w:sz w:val="24"/>
          <w:szCs w:val="24"/>
        </w:rPr>
        <w:t>Scope of Responsibility</w:t>
      </w:r>
    </w:p>
    <w:p w14:paraId="700EF8F3" w14:textId="77777777" w:rsidR="008206CA" w:rsidRPr="00DD4244" w:rsidRDefault="008206CA" w:rsidP="008206CA">
      <w:pPr>
        <w:jc w:val="both"/>
        <w:rPr>
          <w:rFonts w:ascii="Arial" w:hAnsi="Arial" w:cs="Arial"/>
          <w:sz w:val="24"/>
          <w:szCs w:val="24"/>
        </w:rPr>
      </w:pPr>
      <w:r w:rsidRPr="00DD4244">
        <w:rPr>
          <w:rFonts w:ascii="Arial" w:hAnsi="Arial" w:cs="Arial"/>
          <w:sz w:val="24"/>
          <w:szCs w:val="24"/>
        </w:rPr>
        <w:t>1.1</w:t>
      </w:r>
      <w:r w:rsidRPr="00387737">
        <w:tab/>
      </w:r>
      <w:r w:rsidRPr="00DD4244">
        <w:rPr>
          <w:rFonts w:ascii="Arial" w:hAnsi="Arial" w:cs="Arial"/>
          <w:sz w:val="24"/>
          <w:szCs w:val="24"/>
        </w:rPr>
        <w:t xml:space="preserve">The City and County of Swansea is responsible for ensuring that its business </w:t>
      </w:r>
      <w:r>
        <w:rPr>
          <w:rFonts w:ascii="Arial" w:hAnsi="Arial" w:cs="Arial"/>
          <w:sz w:val="24"/>
          <w:szCs w:val="24"/>
        </w:rPr>
        <w:tab/>
      </w:r>
      <w:r w:rsidRPr="00DD4244">
        <w:rPr>
          <w:rFonts w:ascii="Arial" w:hAnsi="Arial" w:cs="Arial"/>
          <w:sz w:val="24"/>
          <w:szCs w:val="24"/>
        </w:rPr>
        <w:t xml:space="preserve">is conducted in accordance with the law and proper standards, and that public </w:t>
      </w:r>
      <w:r>
        <w:rPr>
          <w:rFonts w:ascii="Arial" w:hAnsi="Arial" w:cs="Arial"/>
          <w:sz w:val="24"/>
          <w:szCs w:val="24"/>
        </w:rPr>
        <w:tab/>
      </w:r>
      <w:r w:rsidRPr="00DD4244">
        <w:rPr>
          <w:rFonts w:ascii="Arial" w:hAnsi="Arial" w:cs="Arial"/>
          <w:sz w:val="24"/>
          <w:szCs w:val="24"/>
        </w:rPr>
        <w:t xml:space="preserve">money is safeguarded and properly accounted for, and used economically, </w:t>
      </w:r>
      <w:r>
        <w:rPr>
          <w:rFonts w:ascii="Arial" w:hAnsi="Arial" w:cs="Arial"/>
          <w:sz w:val="24"/>
          <w:szCs w:val="24"/>
        </w:rPr>
        <w:tab/>
      </w:r>
      <w:r w:rsidRPr="00DD4244">
        <w:rPr>
          <w:rFonts w:ascii="Arial" w:hAnsi="Arial" w:cs="Arial"/>
          <w:sz w:val="24"/>
          <w:szCs w:val="24"/>
        </w:rPr>
        <w:t xml:space="preserve">efficiently and effectively. The Authority also has a duty under the Local </w:t>
      </w:r>
      <w:r>
        <w:rPr>
          <w:rFonts w:ascii="Arial" w:hAnsi="Arial" w:cs="Arial"/>
          <w:sz w:val="24"/>
          <w:szCs w:val="24"/>
        </w:rPr>
        <w:tab/>
      </w:r>
      <w:r w:rsidRPr="00DD4244">
        <w:rPr>
          <w:rFonts w:ascii="Arial" w:hAnsi="Arial" w:cs="Arial"/>
          <w:sz w:val="24"/>
          <w:szCs w:val="24"/>
        </w:rPr>
        <w:t xml:space="preserve">Government (Wales) Measure 2009 to make arrangements to secure </w:t>
      </w:r>
      <w:r>
        <w:rPr>
          <w:rFonts w:ascii="Arial" w:hAnsi="Arial" w:cs="Arial"/>
          <w:sz w:val="24"/>
          <w:szCs w:val="24"/>
        </w:rPr>
        <w:tab/>
      </w:r>
      <w:r w:rsidRPr="00DD4244">
        <w:rPr>
          <w:rFonts w:ascii="Arial" w:hAnsi="Arial" w:cs="Arial"/>
          <w:sz w:val="24"/>
          <w:szCs w:val="24"/>
        </w:rPr>
        <w:t xml:space="preserve">continuous improvement in the way in which its functions are exercised, </w:t>
      </w:r>
      <w:r>
        <w:rPr>
          <w:rFonts w:ascii="Arial" w:hAnsi="Arial" w:cs="Arial"/>
          <w:sz w:val="24"/>
          <w:szCs w:val="24"/>
        </w:rPr>
        <w:tab/>
      </w:r>
      <w:r w:rsidRPr="00DD4244">
        <w:rPr>
          <w:rFonts w:ascii="Arial" w:hAnsi="Arial" w:cs="Arial"/>
          <w:sz w:val="24"/>
          <w:szCs w:val="24"/>
        </w:rPr>
        <w:t>having regard to a combination of economy, efficiency and effectiveness.</w:t>
      </w:r>
    </w:p>
    <w:p w14:paraId="097170F3" w14:textId="77777777" w:rsidR="008206CA" w:rsidRPr="00DD4244" w:rsidRDefault="008206CA" w:rsidP="008206CA">
      <w:pPr>
        <w:jc w:val="both"/>
        <w:rPr>
          <w:rFonts w:ascii="Arial" w:hAnsi="Arial" w:cs="Arial"/>
          <w:sz w:val="24"/>
          <w:szCs w:val="24"/>
        </w:rPr>
      </w:pPr>
      <w:r w:rsidRPr="00DD4244">
        <w:rPr>
          <w:rFonts w:ascii="Arial" w:hAnsi="Arial" w:cs="Arial"/>
          <w:sz w:val="24"/>
          <w:szCs w:val="24"/>
        </w:rPr>
        <w:t>1.2</w:t>
      </w:r>
      <w:r w:rsidRPr="00DD4244">
        <w:rPr>
          <w:rFonts w:ascii="Arial" w:hAnsi="Arial" w:cs="Arial"/>
          <w:sz w:val="24"/>
          <w:szCs w:val="24"/>
        </w:rPr>
        <w:tab/>
        <w:t>In discharging this overall responsibility, the City and County of Swa</w:t>
      </w:r>
      <w:r>
        <w:rPr>
          <w:rFonts w:ascii="Arial" w:hAnsi="Arial" w:cs="Arial"/>
          <w:sz w:val="24"/>
          <w:szCs w:val="24"/>
        </w:rPr>
        <w:t xml:space="preserve">nsea </w:t>
      </w:r>
      <w:r w:rsidRPr="00DD4244">
        <w:rPr>
          <w:rFonts w:ascii="Arial" w:hAnsi="Arial" w:cs="Arial"/>
          <w:sz w:val="24"/>
          <w:szCs w:val="24"/>
        </w:rPr>
        <w:t xml:space="preserve">is </w:t>
      </w:r>
      <w:r>
        <w:rPr>
          <w:rFonts w:ascii="Arial" w:hAnsi="Arial" w:cs="Arial"/>
          <w:sz w:val="24"/>
          <w:szCs w:val="24"/>
        </w:rPr>
        <w:tab/>
      </w:r>
      <w:r w:rsidRPr="00DD4244">
        <w:rPr>
          <w:rFonts w:ascii="Arial" w:hAnsi="Arial" w:cs="Arial"/>
          <w:sz w:val="24"/>
          <w:szCs w:val="24"/>
        </w:rPr>
        <w:t xml:space="preserve">responsible for putting in place proper arrangements for the governance of its </w:t>
      </w:r>
      <w:r>
        <w:rPr>
          <w:rFonts w:ascii="Arial" w:hAnsi="Arial" w:cs="Arial"/>
          <w:sz w:val="24"/>
          <w:szCs w:val="24"/>
        </w:rPr>
        <w:tab/>
      </w:r>
      <w:r w:rsidRPr="00DD4244">
        <w:rPr>
          <w:rFonts w:ascii="Arial" w:hAnsi="Arial" w:cs="Arial"/>
          <w:sz w:val="24"/>
          <w:szCs w:val="24"/>
        </w:rPr>
        <w:t xml:space="preserve">affairs, facilitating the effective exercise of its functions, which includes </w:t>
      </w:r>
      <w:r>
        <w:rPr>
          <w:rFonts w:ascii="Arial" w:hAnsi="Arial" w:cs="Arial"/>
          <w:sz w:val="24"/>
          <w:szCs w:val="24"/>
        </w:rPr>
        <w:tab/>
      </w:r>
      <w:r w:rsidRPr="00DD4244">
        <w:rPr>
          <w:rFonts w:ascii="Arial" w:hAnsi="Arial" w:cs="Arial"/>
          <w:sz w:val="24"/>
          <w:szCs w:val="24"/>
        </w:rPr>
        <w:t>arrangements for the management of risk.</w:t>
      </w:r>
    </w:p>
    <w:p w14:paraId="6006D8B1" w14:textId="77777777" w:rsidR="008206CA" w:rsidRDefault="008206CA" w:rsidP="008206CA">
      <w:pPr>
        <w:jc w:val="both"/>
        <w:rPr>
          <w:rFonts w:ascii="Arial" w:hAnsi="Arial" w:cs="Arial"/>
          <w:sz w:val="24"/>
          <w:szCs w:val="24"/>
        </w:rPr>
      </w:pPr>
      <w:r w:rsidRPr="00DD4244">
        <w:rPr>
          <w:rFonts w:ascii="Arial" w:hAnsi="Arial" w:cs="Arial"/>
          <w:sz w:val="24"/>
          <w:szCs w:val="24"/>
        </w:rPr>
        <w:t>1.3</w:t>
      </w:r>
      <w:r w:rsidRPr="00DD4244">
        <w:rPr>
          <w:rFonts w:ascii="Arial" w:hAnsi="Arial" w:cs="Arial"/>
          <w:sz w:val="24"/>
          <w:szCs w:val="24"/>
        </w:rPr>
        <w:tab/>
        <w:t xml:space="preserve">The City and County of Swansea adopted a Code of Corporate Governance </w:t>
      </w:r>
      <w:r>
        <w:rPr>
          <w:rFonts w:ascii="Arial" w:hAnsi="Arial" w:cs="Arial"/>
          <w:sz w:val="24"/>
          <w:szCs w:val="24"/>
        </w:rPr>
        <w:tab/>
      </w:r>
      <w:r w:rsidRPr="00DD4244">
        <w:rPr>
          <w:rFonts w:ascii="Arial" w:hAnsi="Arial" w:cs="Arial"/>
          <w:sz w:val="24"/>
          <w:szCs w:val="24"/>
        </w:rPr>
        <w:t xml:space="preserve">on 24 August 2017, which is consistent with the principles of the new </w:t>
      </w:r>
      <w:r>
        <w:rPr>
          <w:rFonts w:ascii="Arial" w:hAnsi="Arial" w:cs="Arial"/>
          <w:sz w:val="24"/>
          <w:szCs w:val="24"/>
        </w:rPr>
        <w:tab/>
      </w:r>
      <w:r w:rsidRPr="00DD4244">
        <w:rPr>
          <w:rFonts w:ascii="Arial" w:hAnsi="Arial" w:cs="Arial"/>
          <w:sz w:val="24"/>
          <w:szCs w:val="24"/>
        </w:rPr>
        <w:t>CIPFA/SOLACE Framework ‘</w:t>
      </w:r>
      <w:r w:rsidRPr="00DD4244">
        <w:rPr>
          <w:rFonts w:ascii="Arial" w:hAnsi="Arial" w:cs="Arial"/>
          <w:i/>
          <w:sz w:val="24"/>
          <w:szCs w:val="24"/>
        </w:rPr>
        <w:t xml:space="preserve">Delivering Good Governance in Local </w:t>
      </w:r>
      <w:r>
        <w:rPr>
          <w:rFonts w:ascii="Arial" w:hAnsi="Arial" w:cs="Arial"/>
          <w:i/>
          <w:sz w:val="24"/>
          <w:szCs w:val="24"/>
        </w:rPr>
        <w:tab/>
      </w:r>
      <w:r w:rsidRPr="00DD4244">
        <w:rPr>
          <w:rFonts w:ascii="Arial" w:hAnsi="Arial" w:cs="Arial"/>
          <w:i/>
          <w:sz w:val="24"/>
          <w:szCs w:val="24"/>
        </w:rPr>
        <w:t>Government 2016’.</w:t>
      </w:r>
      <w:r w:rsidRPr="00DD4244">
        <w:rPr>
          <w:rFonts w:ascii="Arial" w:hAnsi="Arial" w:cs="Arial"/>
          <w:sz w:val="24"/>
          <w:szCs w:val="24"/>
        </w:rPr>
        <w:t xml:space="preserve"> A copy of the Code can be found on the Council’s </w:t>
      </w:r>
      <w:r>
        <w:rPr>
          <w:rFonts w:ascii="Arial" w:hAnsi="Arial" w:cs="Arial"/>
          <w:sz w:val="24"/>
          <w:szCs w:val="24"/>
        </w:rPr>
        <w:tab/>
      </w:r>
      <w:r w:rsidRPr="00DD4244">
        <w:rPr>
          <w:rFonts w:ascii="Arial" w:hAnsi="Arial" w:cs="Arial"/>
          <w:sz w:val="24"/>
          <w:szCs w:val="24"/>
        </w:rPr>
        <w:t xml:space="preserve">website. </w:t>
      </w:r>
    </w:p>
    <w:p w14:paraId="01B3E3E8" w14:textId="77777777" w:rsidR="008206CA" w:rsidRPr="00DD4244" w:rsidRDefault="008206CA" w:rsidP="008206CA">
      <w:pPr>
        <w:jc w:val="both"/>
        <w:rPr>
          <w:rFonts w:ascii="Arial" w:hAnsi="Arial" w:cs="Arial"/>
          <w:sz w:val="24"/>
          <w:szCs w:val="24"/>
        </w:rPr>
      </w:pPr>
    </w:p>
    <w:p w14:paraId="6D3AFA72" w14:textId="77777777" w:rsidR="008206CA" w:rsidRPr="008B5616" w:rsidRDefault="008206CA" w:rsidP="008206CA">
      <w:pPr>
        <w:jc w:val="both"/>
        <w:rPr>
          <w:rFonts w:ascii="Arial" w:hAnsi="Arial"/>
          <w:b/>
          <w:sz w:val="24"/>
          <w:szCs w:val="24"/>
        </w:rPr>
      </w:pPr>
      <w:r w:rsidRPr="008B5616">
        <w:rPr>
          <w:rFonts w:ascii="Arial" w:hAnsi="Arial"/>
          <w:b/>
          <w:sz w:val="24"/>
          <w:szCs w:val="24"/>
        </w:rPr>
        <w:t xml:space="preserve">2. </w:t>
      </w:r>
      <w:r w:rsidRPr="008B5616">
        <w:rPr>
          <w:rFonts w:ascii="Arial" w:hAnsi="Arial"/>
          <w:b/>
          <w:sz w:val="24"/>
          <w:szCs w:val="24"/>
        </w:rPr>
        <w:tab/>
        <w:t>The Purpose of the Governance Framework</w:t>
      </w:r>
    </w:p>
    <w:p w14:paraId="0AA6C5FB" w14:textId="77777777" w:rsidR="008206CA" w:rsidRPr="008B5616" w:rsidRDefault="008206CA" w:rsidP="008206CA">
      <w:pPr>
        <w:numPr>
          <w:ilvl w:val="1"/>
          <w:numId w:val="29"/>
        </w:numPr>
        <w:jc w:val="both"/>
        <w:rPr>
          <w:rFonts w:ascii="Arial" w:hAnsi="Arial"/>
          <w:sz w:val="24"/>
          <w:szCs w:val="24"/>
        </w:rPr>
      </w:pPr>
      <w:r w:rsidRPr="008B5616">
        <w:rPr>
          <w:rFonts w:ascii="Arial" w:hAnsi="Arial"/>
          <w:sz w:val="24"/>
          <w:szCs w:val="24"/>
        </w:rPr>
        <w:t>The governance framework comprises the systems and processes, culture and values, by which the Authority is directed and controlled and its activities through which it accounts to, engages with and leads the community. It enables the Authority to monitor the achievement of its strategic objectives and to consider whether those objectives have led to the delivery of appropriate</w:t>
      </w:r>
      <w:r>
        <w:rPr>
          <w:rFonts w:ascii="Arial" w:hAnsi="Arial"/>
          <w:sz w:val="24"/>
          <w:szCs w:val="24"/>
        </w:rPr>
        <w:t xml:space="preserve"> </w:t>
      </w:r>
      <w:r w:rsidRPr="008B5616">
        <w:rPr>
          <w:rFonts w:ascii="Arial" w:hAnsi="Arial"/>
          <w:sz w:val="24"/>
          <w:szCs w:val="24"/>
        </w:rPr>
        <w:t>services and value for money.</w:t>
      </w:r>
    </w:p>
    <w:p w14:paraId="3B05DB37" w14:textId="77777777" w:rsidR="008206CA" w:rsidRPr="008B5616" w:rsidRDefault="008206CA" w:rsidP="008206CA">
      <w:pPr>
        <w:ind w:left="720"/>
        <w:jc w:val="both"/>
        <w:rPr>
          <w:rFonts w:ascii="Arial" w:hAnsi="Arial"/>
          <w:sz w:val="24"/>
          <w:szCs w:val="24"/>
        </w:rPr>
      </w:pPr>
    </w:p>
    <w:p w14:paraId="6AB7AD30" w14:textId="77777777" w:rsidR="008206CA" w:rsidRDefault="008206CA" w:rsidP="008206CA">
      <w:pPr>
        <w:numPr>
          <w:ilvl w:val="1"/>
          <w:numId w:val="29"/>
        </w:numPr>
        <w:jc w:val="both"/>
        <w:rPr>
          <w:rFonts w:ascii="Arial" w:hAnsi="Arial"/>
          <w:sz w:val="24"/>
          <w:szCs w:val="24"/>
        </w:rPr>
      </w:pPr>
      <w:r w:rsidRPr="008B5616">
        <w:rPr>
          <w:rFonts w:ascii="Arial" w:hAnsi="Arial"/>
          <w:sz w:val="24"/>
          <w:szCs w:val="24"/>
        </w:rPr>
        <w:t>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Authority’s policies, aims and objectives, to evaluate the likelihood and potential impact of those risks being realised and to manage them efficiently, effectively and economically.</w:t>
      </w:r>
    </w:p>
    <w:p w14:paraId="237BECF8" w14:textId="77777777" w:rsidR="008206CA" w:rsidRPr="008B5616" w:rsidRDefault="008206CA" w:rsidP="008206CA">
      <w:pPr>
        <w:ind w:left="720"/>
        <w:jc w:val="both"/>
        <w:rPr>
          <w:rFonts w:ascii="Arial" w:hAnsi="Arial"/>
          <w:sz w:val="24"/>
          <w:szCs w:val="24"/>
        </w:rPr>
      </w:pPr>
    </w:p>
    <w:p w14:paraId="643EBA76" w14:textId="77777777" w:rsidR="008206CA" w:rsidRPr="008B5616" w:rsidRDefault="008206CA" w:rsidP="008206CA">
      <w:pPr>
        <w:numPr>
          <w:ilvl w:val="1"/>
          <w:numId w:val="29"/>
        </w:numPr>
        <w:jc w:val="both"/>
        <w:rPr>
          <w:rFonts w:ascii="Arial" w:hAnsi="Arial"/>
          <w:sz w:val="24"/>
          <w:szCs w:val="24"/>
        </w:rPr>
      </w:pPr>
      <w:r w:rsidRPr="008B5616">
        <w:rPr>
          <w:rFonts w:ascii="Arial" w:hAnsi="Arial"/>
          <w:sz w:val="24"/>
          <w:szCs w:val="24"/>
        </w:rPr>
        <w:t>The governance framework has been in place at the City and County of Swansea throughout the year ended 31 March 20</w:t>
      </w:r>
      <w:r>
        <w:rPr>
          <w:rFonts w:ascii="Arial" w:hAnsi="Arial"/>
          <w:sz w:val="24"/>
          <w:szCs w:val="24"/>
        </w:rPr>
        <w:t>22</w:t>
      </w:r>
      <w:r w:rsidRPr="008B5616">
        <w:rPr>
          <w:rFonts w:ascii="Arial" w:hAnsi="Arial"/>
          <w:sz w:val="24"/>
          <w:szCs w:val="24"/>
        </w:rPr>
        <w:t xml:space="preserve"> and up to the date of approval of the Statement of Accounts.</w:t>
      </w:r>
    </w:p>
    <w:p w14:paraId="55842EF0" w14:textId="77777777" w:rsidR="008206CA" w:rsidRPr="004C7CD9" w:rsidRDefault="008206CA" w:rsidP="008206CA">
      <w:pPr>
        <w:pStyle w:val="NoSpacing"/>
        <w:jc w:val="both"/>
      </w:pPr>
    </w:p>
    <w:p w14:paraId="4B098082" w14:textId="77777777" w:rsidR="008206CA" w:rsidRDefault="008206CA" w:rsidP="008206CA">
      <w:pPr>
        <w:jc w:val="both"/>
        <w:rPr>
          <w:rFonts w:ascii="Arial" w:hAnsi="Arial"/>
          <w:b/>
          <w:sz w:val="24"/>
          <w:szCs w:val="24"/>
        </w:rPr>
      </w:pPr>
    </w:p>
    <w:p w14:paraId="4693D477" w14:textId="77777777" w:rsidR="008206CA" w:rsidRPr="008B5616" w:rsidRDefault="008206CA" w:rsidP="008206CA">
      <w:pPr>
        <w:jc w:val="both"/>
        <w:rPr>
          <w:rFonts w:ascii="Arial" w:hAnsi="Arial"/>
          <w:b/>
          <w:sz w:val="24"/>
          <w:szCs w:val="24"/>
        </w:rPr>
      </w:pPr>
      <w:r>
        <w:rPr>
          <w:rFonts w:ascii="Arial" w:hAnsi="Arial"/>
          <w:b/>
          <w:sz w:val="24"/>
          <w:szCs w:val="24"/>
        </w:rPr>
        <w:t>3.</w:t>
      </w:r>
      <w:r>
        <w:rPr>
          <w:rFonts w:ascii="Arial" w:hAnsi="Arial"/>
          <w:b/>
          <w:sz w:val="24"/>
          <w:szCs w:val="24"/>
        </w:rPr>
        <w:tab/>
        <w:t>The Governance Framework</w:t>
      </w:r>
    </w:p>
    <w:p w14:paraId="304ABFE2" w14:textId="77777777" w:rsidR="008206CA" w:rsidRDefault="008206CA" w:rsidP="008206CA">
      <w:pPr>
        <w:jc w:val="both"/>
        <w:rPr>
          <w:rFonts w:ascii="Arial" w:hAnsi="Arial" w:cs="Arial"/>
          <w:sz w:val="24"/>
          <w:szCs w:val="24"/>
        </w:rPr>
      </w:pPr>
      <w:r>
        <w:rPr>
          <w:rFonts w:ascii="Arial" w:hAnsi="Arial" w:cs="Arial"/>
          <w:sz w:val="24"/>
          <w:szCs w:val="24"/>
        </w:rPr>
        <w:t>3</w:t>
      </w:r>
      <w:r w:rsidRPr="00E516BE">
        <w:rPr>
          <w:rFonts w:ascii="Arial" w:hAnsi="Arial" w:cs="Arial"/>
          <w:sz w:val="24"/>
          <w:szCs w:val="24"/>
        </w:rPr>
        <w:t>.1</w:t>
      </w:r>
      <w:r w:rsidRPr="00E516BE">
        <w:rPr>
          <w:rFonts w:ascii="Arial" w:hAnsi="Arial" w:cs="Arial"/>
          <w:sz w:val="24"/>
          <w:szCs w:val="24"/>
        </w:rPr>
        <w:tab/>
        <w:t xml:space="preserve">The </w:t>
      </w:r>
      <w:r>
        <w:rPr>
          <w:rFonts w:ascii="Arial" w:hAnsi="Arial" w:cs="Arial"/>
          <w:sz w:val="24"/>
          <w:szCs w:val="24"/>
        </w:rPr>
        <w:t xml:space="preserve">Council has adopted a Code of Corporate Governance based on the </w:t>
      </w:r>
      <w:r>
        <w:rPr>
          <w:rFonts w:ascii="Arial" w:hAnsi="Arial" w:cs="Arial"/>
          <w:sz w:val="24"/>
          <w:szCs w:val="24"/>
        </w:rPr>
        <w:tab/>
        <w:t>“</w:t>
      </w:r>
      <w:r w:rsidRPr="00E516BE">
        <w:rPr>
          <w:rFonts w:ascii="Arial" w:hAnsi="Arial" w:cs="Arial"/>
          <w:i/>
          <w:sz w:val="24"/>
          <w:szCs w:val="24"/>
        </w:rPr>
        <w:t>Delivering Good Governance in Local Government</w:t>
      </w:r>
      <w:r>
        <w:rPr>
          <w:rFonts w:ascii="Arial" w:hAnsi="Arial" w:cs="Arial"/>
          <w:i/>
          <w:sz w:val="24"/>
          <w:szCs w:val="24"/>
        </w:rPr>
        <w:t>”</w:t>
      </w:r>
      <w:r w:rsidRPr="00E516BE">
        <w:rPr>
          <w:rFonts w:ascii="Arial" w:hAnsi="Arial" w:cs="Arial"/>
          <w:i/>
          <w:sz w:val="24"/>
          <w:szCs w:val="24"/>
        </w:rPr>
        <w:t xml:space="preserve"> </w:t>
      </w:r>
      <w:r>
        <w:rPr>
          <w:rFonts w:ascii="Arial" w:hAnsi="Arial" w:cs="Arial"/>
          <w:sz w:val="24"/>
          <w:szCs w:val="24"/>
        </w:rPr>
        <w:t>f</w:t>
      </w:r>
      <w:r w:rsidRPr="0045145A">
        <w:rPr>
          <w:rFonts w:ascii="Arial" w:hAnsi="Arial" w:cs="Arial"/>
          <w:sz w:val="24"/>
          <w:szCs w:val="24"/>
        </w:rPr>
        <w:t>ramework</w:t>
      </w:r>
      <w:r w:rsidRPr="00693421">
        <w:rPr>
          <w:rFonts w:ascii="Arial" w:hAnsi="Arial" w:cs="Arial"/>
          <w:sz w:val="24"/>
          <w:szCs w:val="24"/>
        </w:rPr>
        <w:t xml:space="preserve"> </w:t>
      </w:r>
      <w:r>
        <w:rPr>
          <w:rFonts w:ascii="Arial" w:hAnsi="Arial" w:cs="Arial"/>
          <w:sz w:val="24"/>
          <w:szCs w:val="24"/>
        </w:rPr>
        <w:t xml:space="preserve">published </w:t>
      </w:r>
      <w:r>
        <w:rPr>
          <w:rFonts w:ascii="Arial" w:hAnsi="Arial" w:cs="Arial"/>
          <w:sz w:val="24"/>
          <w:szCs w:val="24"/>
        </w:rPr>
        <w:tab/>
      </w:r>
      <w:r w:rsidRPr="00E516BE">
        <w:rPr>
          <w:rFonts w:ascii="Arial" w:hAnsi="Arial" w:cs="Arial"/>
          <w:sz w:val="24"/>
          <w:szCs w:val="24"/>
        </w:rPr>
        <w:t xml:space="preserve">by </w:t>
      </w:r>
      <w:r>
        <w:rPr>
          <w:rFonts w:ascii="Arial" w:hAnsi="Arial" w:cs="Arial"/>
          <w:sz w:val="24"/>
          <w:szCs w:val="24"/>
        </w:rPr>
        <w:tab/>
      </w:r>
      <w:r w:rsidRPr="00E516BE">
        <w:rPr>
          <w:rFonts w:ascii="Arial" w:hAnsi="Arial" w:cs="Arial"/>
          <w:sz w:val="24"/>
          <w:szCs w:val="24"/>
        </w:rPr>
        <w:t>CIPFA and SOLACE</w:t>
      </w:r>
      <w:r>
        <w:rPr>
          <w:rFonts w:ascii="Arial" w:hAnsi="Arial" w:cs="Arial"/>
          <w:sz w:val="24"/>
          <w:szCs w:val="24"/>
        </w:rPr>
        <w:t xml:space="preserve"> in 2016.</w:t>
      </w:r>
      <w:r w:rsidRPr="00E516BE">
        <w:rPr>
          <w:rFonts w:ascii="Arial" w:hAnsi="Arial" w:cs="Arial"/>
          <w:sz w:val="24"/>
          <w:szCs w:val="24"/>
        </w:rPr>
        <w:t xml:space="preserve"> </w:t>
      </w:r>
      <w:r>
        <w:rPr>
          <w:rFonts w:ascii="Arial" w:hAnsi="Arial" w:cs="Arial"/>
          <w:sz w:val="24"/>
          <w:szCs w:val="24"/>
        </w:rPr>
        <w:tab/>
      </w:r>
    </w:p>
    <w:p w14:paraId="3EB01519" w14:textId="183222CA" w:rsidR="008206CA" w:rsidRDefault="00516E75" w:rsidP="008206CA">
      <w:pPr>
        <w:jc w:val="both"/>
        <w:rPr>
          <w:rFonts w:ascii="Arial" w:hAnsi="Arial" w:cs="Arial"/>
          <w:sz w:val="24"/>
          <w:szCs w:val="24"/>
        </w:rPr>
      </w:pPr>
      <w:r>
        <w:rPr>
          <w:noProof/>
          <w:lang w:eastAsia="en-GB"/>
        </w:rPr>
        <w:lastRenderedPageBreak/>
        <w:drawing>
          <wp:inline distT="0" distB="0" distL="0" distR="0" wp14:anchorId="1A2F007E" wp14:editId="61050232">
            <wp:extent cx="6459855" cy="4436745"/>
            <wp:effectExtent l="0" t="0" r="0" b="0"/>
            <wp:docPr id="32"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9855" cy="4436745"/>
                    </a:xfrm>
                    <a:prstGeom prst="rect">
                      <a:avLst/>
                    </a:prstGeom>
                    <a:noFill/>
                    <a:ln>
                      <a:noFill/>
                    </a:ln>
                  </pic:spPr>
                </pic:pic>
              </a:graphicData>
            </a:graphic>
          </wp:inline>
        </w:drawing>
      </w:r>
      <w:r w:rsidR="008206CA">
        <w:rPr>
          <w:noProof/>
          <w:lang w:eastAsia="en-GB"/>
        </w:rPr>
        <w:t xml:space="preserve">  </w:t>
      </w:r>
    </w:p>
    <w:p w14:paraId="04262B50" w14:textId="77777777" w:rsidR="008206CA" w:rsidRPr="00E516BE" w:rsidRDefault="008206CA" w:rsidP="008206CA">
      <w:pPr>
        <w:jc w:val="both"/>
        <w:rPr>
          <w:rFonts w:ascii="Arial" w:hAnsi="Arial" w:cs="Arial"/>
          <w:sz w:val="24"/>
          <w:szCs w:val="24"/>
        </w:rPr>
      </w:pPr>
      <w:r>
        <w:rPr>
          <w:rFonts w:ascii="Arial" w:hAnsi="Arial" w:cs="Arial"/>
          <w:sz w:val="24"/>
          <w:szCs w:val="24"/>
        </w:rPr>
        <w:t>3</w:t>
      </w:r>
      <w:r w:rsidRPr="00E516BE">
        <w:rPr>
          <w:rFonts w:ascii="Arial" w:hAnsi="Arial" w:cs="Arial"/>
          <w:sz w:val="24"/>
          <w:szCs w:val="24"/>
        </w:rPr>
        <w:t>.2</w:t>
      </w:r>
      <w:r w:rsidRPr="00E516BE">
        <w:rPr>
          <w:rFonts w:ascii="Arial" w:hAnsi="Arial" w:cs="Arial"/>
          <w:sz w:val="24"/>
          <w:szCs w:val="24"/>
        </w:rPr>
        <w:tab/>
      </w:r>
      <w:r>
        <w:rPr>
          <w:rFonts w:ascii="Arial" w:hAnsi="Arial" w:cs="Arial"/>
          <w:sz w:val="24"/>
          <w:szCs w:val="24"/>
        </w:rPr>
        <w:t xml:space="preserve">This Statement explains how the Council has complied with the Governance </w:t>
      </w:r>
      <w:r>
        <w:rPr>
          <w:rFonts w:ascii="Arial" w:hAnsi="Arial" w:cs="Arial"/>
          <w:sz w:val="24"/>
          <w:szCs w:val="24"/>
        </w:rPr>
        <w:tab/>
        <w:t xml:space="preserve">Framework and meets the requirements of the Accounts and Audit </w:t>
      </w:r>
      <w:r>
        <w:rPr>
          <w:rFonts w:ascii="Arial" w:hAnsi="Arial" w:cs="Arial"/>
          <w:sz w:val="24"/>
          <w:szCs w:val="24"/>
        </w:rPr>
        <w:tab/>
        <w:t xml:space="preserve">(Wales) </w:t>
      </w:r>
      <w:r>
        <w:rPr>
          <w:rFonts w:ascii="Arial" w:hAnsi="Arial" w:cs="Arial"/>
          <w:sz w:val="24"/>
          <w:szCs w:val="24"/>
        </w:rPr>
        <w:tab/>
        <w:t xml:space="preserve">Regulations 2014 (as amended by the Accounts and Audit (Wales) </w:t>
      </w:r>
      <w:r>
        <w:rPr>
          <w:rFonts w:ascii="Arial" w:hAnsi="Arial" w:cs="Arial"/>
          <w:sz w:val="24"/>
          <w:szCs w:val="24"/>
        </w:rPr>
        <w:tab/>
        <w:t xml:space="preserve">(Amendment) Regulations 2018. The Council aims to achieve a good </w:t>
      </w:r>
      <w:r>
        <w:rPr>
          <w:rFonts w:ascii="Arial" w:hAnsi="Arial" w:cs="Arial"/>
          <w:sz w:val="24"/>
          <w:szCs w:val="24"/>
        </w:rPr>
        <w:tab/>
        <w:t xml:space="preserve">standard of governance by adhering to the 7 key principles of the </w:t>
      </w:r>
      <w:r>
        <w:rPr>
          <w:rFonts w:ascii="Arial" w:hAnsi="Arial" w:cs="Arial"/>
          <w:sz w:val="24"/>
          <w:szCs w:val="24"/>
        </w:rPr>
        <w:tab/>
        <w:t>CIPFA/Solace 2016 Guidance.</w:t>
      </w:r>
    </w:p>
    <w:p w14:paraId="47585DA0" w14:textId="77777777" w:rsidR="008206CA" w:rsidRDefault="008206CA" w:rsidP="008206CA">
      <w:pPr>
        <w:jc w:val="both"/>
        <w:rPr>
          <w:rFonts w:ascii="Arial" w:hAnsi="Arial" w:cs="Arial"/>
          <w:sz w:val="24"/>
          <w:szCs w:val="24"/>
        </w:rPr>
      </w:pPr>
      <w:r>
        <w:rPr>
          <w:rFonts w:ascii="Arial" w:hAnsi="Arial" w:cs="Arial"/>
          <w:sz w:val="24"/>
          <w:szCs w:val="24"/>
        </w:rPr>
        <w:t>3</w:t>
      </w:r>
      <w:r w:rsidRPr="00E516BE">
        <w:rPr>
          <w:rFonts w:ascii="Arial" w:hAnsi="Arial" w:cs="Arial"/>
          <w:sz w:val="24"/>
          <w:szCs w:val="24"/>
        </w:rPr>
        <w:t>.3</w:t>
      </w:r>
      <w:r w:rsidRPr="00E516BE">
        <w:rPr>
          <w:rFonts w:ascii="Arial" w:hAnsi="Arial" w:cs="Arial"/>
          <w:sz w:val="24"/>
          <w:szCs w:val="24"/>
        </w:rPr>
        <w:tab/>
        <w:t>Th</w:t>
      </w:r>
      <w:r>
        <w:rPr>
          <w:rFonts w:ascii="Arial" w:hAnsi="Arial" w:cs="Arial"/>
          <w:sz w:val="24"/>
          <w:szCs w:val="24"/>
        </w:rPr>
        <w:t>e 7</w:t>
      </w:r>
      <w:r w:rsidRPr="00E516BE">
        <w:rPr>
          <w:rFonts w:ascii="Arial" w:hAnsi="Arial" w:cs="Arial"/>
          <w:sz w:val="24"/>
          <w:szCs w:val="24"/>
        </w:rPr>
        <w:t xml:space="preserve"> </w:t>
      </w:r>
      <w:r>
        <w:rPr>
          <w:rFonts w:ascii="Arial" w:hAnsi="Arial" w:cs="Arial"/>
          <w:sz w:val="24"/>
          <w:szCs w:val="24"/>
        </w:rPr>
        <w:t xml:space="preserve">key </w:t>
      </w:r>
      <w:r w:rsidRPr="00E516BE">
        <w:rPr>
          <w:rFonts w:ascii="Arial" w:hAnsi="Arial" w:cs="Arial"/>
          <w:sz w:val="24"/>
          <w:szCs w:val="24"/>
        </w:rPr>
        <w:t xml:space="preserve">principles </w:t>
      </w:r>
      <w:r>
        <w:rPr>
          <w:rFonts w:ascii="Arial" w:hAnsi="Arial" w:cs="Arial"/>
          <w:sz w:val="24"/>
          <w:szCs w:val="24"/>
        </w:rPr>
        <w:t>are</w:t>
      </w:r>
      <w:r w:rsidRPr="00E516BE">
        <w:rPr>
          <w:rFonts w:ascii="Arial" w:hAnsi="Arial" w:cs="Arial"/>
          <w:sz w:val="24"/>
          <w:szCs w:val="24"/>
        </w:rPr>
        <w:t xml:space="preserve">: </w:t>
      </w:r>
    </w:p>
    <w:p w14:paraId="240C9A7E" w14:textId="77777777" w:rsidR="008206CA" w:rsidRPr="00E516BE" w:rsidRDefault="008206CA" w:rsidP="008206CA">
      <w:pPr>
        <w:jc w:val="both"/>
        <w:rPr>
          <w:rFonts w:ascii="Arial" w:hAnsi="Arial" w:cs="Arial"/>
          <w:sz w:val="24"/>
          <w:szCs w:val="24"/>
        </w:rPr>
      </w:pPr>
    </w:p>
    <w:p w14:paraId="128FA5AC" w14:textId="77777777" w:rsidR="008206CA" w:rsidRPr="00E516BE" w:rsidRDefault="008206CA" w:rsidP="008206CA">
      <w:pPr>
        <w:ind w:left="1418" w:hanging="425"/>
        <w:jc w:val="both"/>
        <w:rPr>
          <w:rFonts w:ascii="Arial" w:hAnsi="Arial" w:cs="Arial"/>
          <w:bCs/>
          <w:color w:val="000000"/>
          <w:sz w:val="24"/>
          <w:szCs w:val="24"/>
        </w:rPr>
      </w:pPr>
      <w:r w:rsidRPr="00E516BE">
        <w:rPr>
          <w:rFonts w:ascii="Arial" w:hAnsi="Arial" w:cs="Arial"/>
          <w:sz w:val="24"/>
          <w:szCs w:val="24"/>
        </w:rPr>
        <w:t>A)</w:t>
      </w:r>
      <w:r w:rsidRPr="00E516BE">
        <w:rPr>
          <w:rFonts w:ascii="Arial" w:hAnsi="Arial" w:cs="Arial"/>
          <w:sz w:val="24"/>
          <w:szCs w:val="24"/>
        </w:rPr>
        <w:tab/>
      </w:r>
      <w:r w:rsidRPr="00E516BE">
        <w:rPr>
          <w:rFonts w:ascii="Arial" w:hAnsi="Arial" w:cs="Arial"/>
          <w:bCs/>
          <w:color w:val="000000"/>
          <w:sz w:val="24"/>
          <w:szCs w:val="24"/>
        </w:rPr>
        <w:t>Behaving with integrity, demonstrating strong commitment to ethical values, and respecting the rule of law.</w:t>
      </w:r>
    </w:p>
    <w:p w14:paraId="2BD37F6B" w14:textId="77777777" w:rsidR="008206CA" w:rsidRPr="00E516BE" w:rsidRDefault="008206CA" w:rsidP="008206CA">
      <w:pPr>
        <w:ind w:left="1418" w:hanging="425"/>
        <w:jc w:val="both"/>
        <w:rPr>
          <w:rFonts w:ascii="Arial" w:hAnsi="Arial" w:cs="Arial"/>
          <w:bCs/>
          <w:color w:val="000000"/>
          <w:sz w:val="24"/>
          <w:szCs w:val="24"/>
        </w:rPr>
      </w:pPr>
      <w:r w:rsidRPr="00E516BE">
        <w:rPr>
          <w:rFonts w:ascii="Arial" w:hAnsi="Arial" w:cs="Arial"/>
          <w:sz w:val="24"/>
          <w:szCs w:val="24"/>
        </w:rPr>
        <w:t>B)</w:t>
      </w:r>
      <w:r w:rsidRPr="00E516BE">
        <w:rPr>
          <w:rFonts w:ascii="Arial" w:hAnsi="Arial" w:cs="Arial"/>
          <w:sz w:val="24"/>
          <w:szCs w:val="24"/>
        </w:rPr>
        <w:tab/>
      </w:r>
      <w:r w:rsidRPr="00E516BE">
        <w:rPr>
          <w:rFonts w:ascii="Arial" w:hAnsi="Arial" w:cs="Arial"/>
          <w:bCs/>
          <w:color w:val="000000"/>
          <w:sz w:val="24"/>
          <w:szCs w:val="24"/>
        </w:rPr>
        <w:t>Ensuring openness and comprehensive stakeholder engagement.</w:t>
      </w:r>
    </w:p>
    <w:p w14:paraId="6BCBEDBB" w14:textId="77777777" w:rsidR="008206CA" w:rsidRPr="00E516BE" w:rsidRDefault="008206CA" w:rsidP="008206CA">
      <w:pPr>
        <w:ind w:left="1418" w:hanging="425"/>
        <w:jc w:val="both"/>
        <w:rPr>
          <w:rFonts w:ascii="Arial" w:hAnsi="Arial" w:cs="Arial"/>
          <w:bCs/>
          <w:color w:val="000000"/>
          <w:sz w:val="24"/>
          <w:szCs w:val="24"/>
        </w:rPr>
      </w:pPr>
      <w:r w:rsidRPr="00E516BE">
        <w:rPr>
          <w:rFonts w:ascii="Arial" w:hAnsi="Arial" w:cs="Arial"/>
          <w:sz w:val="24"/>
          <w:szCs w:val="24"/>
        </w:rPr>
        <w:t>C)</w:t>
      </w:r>
      <w:r w:rsidRPr="00E516BE">
        <w:rPr>
          <w:rFonts w:ascii="Arial" w:hAnsi="Arial" w:cs="Arial"/>
          <w:sz w:val="24"/>
          <w:szCs w:val="24"/>
        </w:rPr>
        <w:tab/>
      </w:r>
      <w:r w:rsidRPr="00E516BE">
        <w:rPr>
          <w:rFonts w:ascii="Arial" w:hAnsi="Arial" w:cs="Arial"/>
          <w:bCs/>
          <w:color w:val="000000"/>
          <w:sz w:val="24"/>
          <w:szCs w:val="24"/>
        </w:rPr>
        <w:t>Defining outcomes in terms of sustainable economic, social and environmental benefits</w:t>
      </w:r>
      <w:r>
        <w:rPr>
          <w:rFonts w:ascii="Arial" w:hAnsi="Arial" w:cs="Arial"/>
          <w:bCs/>
          <w:color w:val="000000"/>
          <w:sz w:val="24"/>
          <w:szCs w:val="24"/>
        </w:rPr>
        <w:t>.</w:t>
      </w:r>
    </w:p>
    <w:p w14:paraId="096C122D" w14:textId="77777777" w:rsidR="008206CA" w:rsidRPr="00E516BE" w:rsidRDefault="008206CA" w:rsidP="008206CA">
      <w:pPr>
        <w:ind w:left="1418" w:hanging="425"/>
        <w:jc w:val="both"/>
        <w:rPr>
          <w:rFonts w:ascii="Arial" w:hAnsi="Arial" w:cs="Arial"/>
          <w:bCs/>
          <w:color w:val="000000"/>
          <w:sz w:val="24"/>
          <w:szCs w:val="24"/>
        </w:rPr>
      </w:pPr>
      <w:r w:rsidRPr="00E516BE">
        <w:rPr>
          <w:rFonts w:ascii="Arial" w:hAnsi="Arial" w:cs="Arial"/>
          <w:sz w:val="24"/>
          <w:szCs w:val="24"/>
        </w:rPr>
        <w:t>D)</w:t>
      </w:r>
      <w:r w:rsidRPr="00E516BE">
        <w:rPr>
          <w:rFonts w:ascii="Arial" w:hAnsi="Arial" w:cs="Arial"/>
          <w:sz w:val="24"/>
          <w:szCs w:val="24"/>
        </w:rPr>
        <w:tab/>
      </w:r>
      <w:r w:rsidRPr="00E516BE">
        <w:rPr>
          <w:rFonts w:ascii="Arial" w:hAnsi="Arial" w:cs="Arial"/>
          <w:bCs/>
          <w:color w:val="000000"/>
          <w:sz w:val="24"/>
          <w:szCs w:val="24"/>
        </w:rPr>
        <w:t>Determining the interventions necessary to optimise the achievement of the intended outcomes</w:t>
      </w:r>
      <w:r>
        <w:rPr>
          <w:rFonts w:ascii="Arial" w:hAnsi="Arial" w:cs="Arial"/>
          <w:bCs/>
          <w:color w:val="000000"/>
          <w:sz w:val="24"/>
          <w:szCs w:val="24"/>
        </w:rPr>
        <w:t>.</w:t>
      </w:r>
    </w:p>
    <w:p w14:paraId="120209EA" w14:textId="77777777" w:rsidR="008206CA" w:rsidRPr="00E516BE" w:rsidRDefault="008206CA" w:rsidP="008206CA">
      <w:pPr>
        <w:ind w:left="1418" w:hanging="425"/>
        <w:jc w:val="both"/>
        <w:rPr>
          <w:rFonts w:ascii="Arial" w:hAnsi="Arial" w:cs="Arial"/>
          <w:bCs/>
          <w:color w:val="000000"/>
          <w:sz w:val="24"/>
          <w:szCs w:val="24"/>
        </w:rPr>
      </w:pPr>
      <w:r w:rsidRPr="00E516BE">
        <w:rPr>
          <w:rFonts w:ascii="Arial" w:hAnsi="Arial" w:cs="Arial"/>
          <w:sz w:val="24"/>
          <w:szCs w:val="24"/>
        </w:rPr>
        <w:t>E)</w:t>
      </w:r>
      <w:r w:rsidRPr="00E516BE">
        <w:rPr>
          <w:rFonts w:ascii="Arial" w:hAnsi="Arial" w:cs="Arial"/>
          <w:sz w:val="24"/>
          <w:szCs w:val="24"/>
        </w:rPr>
        <w:tab/>
      </w:r>
      <w:r w:rsidRPr="00E516BE">
        <w:rPr>
          <w:rFonts w:ascii="Arial" w:hAnsi="Arial" w:cs="Arial"/>
          <w:bCs/>
          <w:color w:val="000000"/>
          <w:sz w:val="24"/>
          <w:szCs w:val="24"/>
        </w:rPr>
        <w:t>Developing the entity’s capacity, including the capability of its leadership and the individuals within it</w:t>
      </w:r>
      <w:r>
        <w:rPr>
          <w:rFonts w:ascii="Arial" w:hAnsi="Arial" w:cs="Arial"/>
          <w:bCs/>
          <w:color w:val="000000"/>
          <w:sz w:val="24"/>
          <w:szCs w:val="24"/>
        </w:rPr>
        <w:t>.</w:t>
      </w:r>
    </w:p>
    <w:p w14:paraId="73430702" w14:textId="77777777" w:rsidR="008206CA" w:rsidRPr="00E516BE" w:rsidRDefault="008206CA" w:rsidP="008206CA">
      <w:pPr>
        <w:ind w:left="1418" w:hanging="425"/>
        <w:jc w:val="both"/>
        <w:rPr>
          <w:rFonts w:ascii="Arial" w:hAnsi="Arial" w:cs="Arial"/>
          <w:bCs/>
          <w:color w:val="000000"/>
          <w:sz w:val="24"/>
          <w:szCs w:val="24"/>
        </w:rPr>
      </w:pPr>
      <w:r w:rsidRPr="00E516BE">
        <w:rPr>
          <w:rFonts w:ascii="Arial" w:hAnsi="Arial" w:cs="Arial"/>
          <w:sz w:val="24"/>
          <w:szCs w:val="24"/>
        </w:rPr>
        <w:t>F)</w:t>
      </w:r>
      <w:r w:rsidRPr="00E516BE">
        <w:rPr>
          <w:rFonts w:ascii="Arial" w:hAnsi="Arial" w:cs="Arial"/>
          <w:sz w:val="24"/>
          <w:szCs w:val="24"/>
        </w:rPr>
        <w:tab/>
      </w:r>
      <w:r w:rsidRPr="00E516BE">
        <w:rPr>
          <w:rFonts w:ascii="Arial" w:hAnsi="Arial" w:cs="Arial"/>
          <w:bCs/>
          <w:color w:val="000000"/>
          <w:sz w:val="24"/>
          <w:szCs w:val="24"/>
        </w:rPr>
        <w:t>Managing risks and performance through robust internal control and str</w:t>
      </w:r>
      <w:r w:rsidRPr="00E327F0">
        <w:rPr>
          <w:rFonts w:ascii="Arial" w:hAnsi="Arial" w:cs="Arial"/>
          <w:bCs/>
          <w:sz w:val="24"/>
          <w:szCs w:val="24"/>
        </w:rPr>
        <w:t>o</w:t>
      </w:r>
      <w:r w:rsidRPr="00E516BE">
        <w:rPr>
          <w:rFonts w:ascii="Arial" w:hAnsi="Arial" w:cs="Arial"/>
          <w:bCs/>
          <w:color w:val="000000"/>
          <w:sz w:val="24"/>
          <w:szCs w:val="24"/>
        </w:rPr>
        <w:t>ng public financial management</w:t>
      </w:r>
      <w:r>
        <w:rPr>
          <w:rFonts w:ascii="Arial" w:hAnsi="Arial" w:cs="Arial"/>
          <w:bCs/>
          <w:color w:val="000000"/>
          <w:sz w:val="24"/>
          <w:szCs w:val="24"/>
        </w:rPr>
        <w:t>.</w:t>
      </w:r>
    </w:p>
    <w:p w14:paraId="6D70CFFC" w14:textId="77777777" w:rsidR="008206CA" w:rsidRDefault="008206CA" w:rsidP="008206CA">
      <w:pPr>
        <w:ind w:left="1418" w:hanging="425"/>
        <w:jc w:val="both"/>
        <w:rPr>
          <w:rFonts w:ascii="Arial" w:hAnsi="Arial" w:cs="Arial"/>
          <w:bCs/>
          <w:color w:val="000000"/>
          <w:sz w:val="24"/>
          <w:szCs w:val="24"/>
        </w:rPr>
      </w:pPr>
      <w:r w:rsidRPr="00E516BE">
        <w:rPr>
          <w:rFonts w:ascii="Arial" w:hAnsi="Arial" w:cs="Arial"/>
          <w:sz w:val="24"/>
          <w:szCs w:val="24"/>
        </w:rPr>
        <w:t>G)</w:t>
      </w:r>
      <w:r w:rsidRPr="00E516BE">
        <w:rPr>
          <w:rFonts w:ascii="Arial" w:hAnsi="Arial" w:cs="Arial"/>
          <w:sz w:val="24"/>
          <w:szCs w:val="24"/>
        </w:rPr>
        <w:tab/>
      </w:r>
      <w:r w:rsidRPr="00E516BE">
        <w:rPr>
          <w:rFonts w:ascii="Arial" w:hAnsi="Arial" w:cs="Arial"/>
          <w:bCs/>
          <w:color w:val="000000"/>
          <w:sz w:val="24"/>
          <w:szCs w:val="24"/>
        </w:rPr>
        <w:t>Implementing good practices in transparency, reporting and audit to deliver effective accountability</w:t>
      </w:r>
      <w:r>
        <w:rPr>
          <w:rFonts w:ascii="Arial" w:hAnsi="Arial" w:cs="Arial"/>
          <w:bCs/>
          <w:color w:val="000000"/>
          <w:sz w:val="24"/>
          <w:szCs w:val="24"/>
        </w:rPr>
        <w:t>.</w:t>
      </w:r>
    </w:p>
    <w:p w14:paraId="1BE7E4EB" w14:textId="77777777" w:rsidR="008206CA" w:rsidRDefault="008206CA" w:rsidP="008206CA">
      <w:pPr>
        <w:ind w:left="1418" w:hanging="425"/>
        <w:jc w:val="both"/>
        <w:rPr>
          <w:rFonts w:ascii="Arial" w:hAnsi="Arial" w:cs="Arial"/>
          <w:bCs/>
          <w:color w:val="000000"/>
          <w:sz w:val="24"/>
          <w:szCs w:val="24"/>
        </w:rPr>
      </w:pPr>
    </w:p>
    <w:p w14:paraId="2A45D447" w14:textId="77777777" w:rsidR="008206CA" w:rsidRDefault="008206CA" w:rsidP="008206CA">
      <w:pPr>
        <w:jc w:val="both"/>
        <w:rPr>
          <w:rFonts w:ascii="Arial" w:hAnsi="Arial" w:cs="Arial"/>
          <w:sz w:val="24"/>
          <w:szCs w:val="24"/>
        </w:rPr>
      </w:pPr>
      <w:r>
        <w:rPr>
          <w:rFonts w:ascii="Arial" w:hAnsi="Arial" w:cs="Arial"/>
          <w:sz w:val="24"/>
          <w:szCs w:val="24"/>
        </w:rPr>
        <w:t>3.4</w:t>
      </w:r>
      <w:r>
        <w:rPr>
          <w:rFonts w:ascii="Arial" w:hAnsi="Arial" w:cs="Arial"/>
          <w:sz w:val="24"/>
          <w:szCs w:val="24"/>
        </w:rPr>
        <w:tab/>
        <w:t xml:space="preserve">The application of the principles of good governance is summarised below </w:t>
      </w:r>
      <w:r>
        <w:rPr>
          <w:rFonts w:ascii="Arial" w:hAnsi="Arial" w:cs="Arial"/>
          <w:sz w:val="24"/>
          <w:szCs w:val="24"/>
        </w:rPr>
        <w:tab/>
        <w:t>which sets out supporting information for the 7 key principles.</w:t>
      </w:r>
    </w:p>
    <w:p w14:paraId="53ED7784" w14:textId="77777777" w:rsidR="008206CA" w:rsidRPr="00146344" w:rsidRDefault="008206CA" w:rsidP="008206CA">
      <w:pPr>
        <w:ind w:left="720" w:hanging="720"/>
        <w:jc w:val="both"/>
        <w:rPr>
          <w:rFonts w:ascii="Arial" w:hAnsi="Arial" w:cs="Arial"/>
          <w:b/>
          <w:sz w:val="24"/>
          <w:szCs w:val="24"/>
        </w:rPr>
      </w:pPr>
      <w:r>
        <w:rPr>
          <w:rFonts w:ascii="Arial" w:hAnsi="Arial" w:cs="Arial"/>
          <w:sz w:val="24"/>
          <w:szCs w:val="24"/>
        </w:rPr>
        <w:lastRenderedPageBreak/>
        <w:t xml:space="preserve">3.5 </w:t>
      </w:r>
      <w:r>
        <w:rPr>
          <w:rFonts w:ascii="Arial" w:hAnsi="Arial" w:cs="Arial"/>
          <w:sz w:val="24"/>
          <w:szCs w:val="24"/>
        </w:rPr>
        <w:tab/>
      </w:r>
      <w:r w:rsidRPr="00146344">
        <w:rPr>
          <w:rFonts w:ascii="Arial" w:hAnsi="Arial" w:cs="Arial"/>
          <w:b/>
          <w:sz w:val="24"/>
          <w:szCs w:val="24"/>
        </w:rPr>
        <w:t>Note - Th</w:t>
      </w:r>
      <w:r>
        <w:rPr>
          <w:rFonts w:ascii="Arial" w:hAnsi="Arial" w:cs="Arial"/>
          <w:b/>
          <w:sz w:val="24"/>
          <w:szCs w:val="24"/>
        </w:rPr>
        <w:t>e</w:t>
      </w:r>
      <w:r w:rsidRPr="00146344">
        <w:rPr>
          <w:rFonts w:ascii="Arial" w:hAnsi="Arial" w:cs="Arial"/>
          <w:b/>
          <w:sz w:val="24"/>
          <w:szCs w:val="24"/>
        </w:rPr>
        <w:t xml:space="preserve"> issues set out </w:t>
      </w:r>
      <w:r>
        <w:rPr>
          <w:rFonts w:ascii="Arial" w:hAnsi="Arial" w:cs="Arial"/>
          <w:b/>
          <w:sz w:val="24"/>
          <w:szCs w:val="24"/>
        </w:rPr>
        <w:t>within</w:t>
      </w:r>
      <w:r w:rsidRPr="00146344">
        <w:rPr>
          <w:rFonts w:ascii="Arial" w:hAnsi="Arial" w:cs="Arial"/>
          <w:b/>
          <w:sz w:val="24"/>
          <w:szCs w:val="24"/>
        </w:rPr>
        <w:t xml:space="preserve"> </w:t>
      </w:r>
      <w:r>
        <w:rPr>
          <w:rFonts w:ascii="Arial" w:hAnsi="Arial" w:cs="Arial"/>
          <w:b/>
          <w:sz w:val="24"/>
          <w:szCs w:val="24"/>
        </w:rPr>
        <w:t>the Governance Statement have been</w:t>
      </w:r>
      <w:r w:rsidRPr="00146344">
        <w:rPr>
          <w:rFonts w:ascii="Arial" w:hAnsi="Arial" w:cs="Arial"/>
          <w:b/>
          <w:sz w:val="24"/>
          <w:szCs w:val="24"/>
        </w:rPr>
        <w:t xml:space="preserve"> materially affected by </w:t>
      </w:r>
      <w:r>
        <w:rPr>
          <w:rFonts w:ascii="Arial" w:hAnsi="Arial" w:cs="Arial"/>
          <w:b/>
          <w:sz w:val="24"/>
          <w:szCs w:val="24"/>
        </w:rPr>
        <w:t>the COVID-19 pandemic</w:t>
      </w:r>
      <w:r w:rsidRPr="00146344">
        <w:rPr>
          <w:rFonts w:ascii="Arial" w:hAnsi="Arial" w:cs="Arial"/>
          <w:b/>
          <w:sz w:val="24"/>
          <w:szCs w:val="24"/>
        </w:rPr>
        <w:t xml:space="preserve">. However, it should be noted that the Statutory Governance Chief Officers </w:t>
      </w:r>
      <w:r>
        <w:rPr>
          <w:rFonts w:ascii="Arial" w:hAnsi="Arial" w:cs="Arial"/>
          <w:b/>
          <w:sz w:val="24"/>
          <w:szCs w:val="24"/>
        </w:rPr>
        <w:t>and CMT continued</w:t>
      </w:r>
      <w:r w:rsidRPr="00146344">
        <w:rPr>
          <w:rFonts w:ascii="Arial" w:hAnsi="Arial" w:cs="Arial"/>
          <w:b/>
          <w:sz w:val="24"/>
          <w:szCs w:val="24"/>
        </w:rPr>
        <w:t xml:space="preserve"> to maintain</w:t>
      </w:r>
      <w:r>
        <w:rPr>
          <w:rFonts w:ascii="Arial" w:hAnsi="Arial" w:cs="Arial"/>
          <w:b/>
          <w:sz w:val="24"/>
          <w:szCs w:val="24"/>
        </w:rPr>
        <w:t xml:space="preserve"> </w:t>
      </w:r>
      <w:r w:rsidRPr="00146344">
        <w:rPr>
          <w:rFonts w:ascii="Arial" w:hAnsi="Arial" w:cs="Arial"/>
          <w:b/>
          <w:sz w:val="24"/>
          <w:szCs w:val="24"/>
        </w:rPr>
        <w:t xml:space="preserve">corporate grip to ensure that sufficient governance </w:t>
      </w:r>
      <w:r>
        <w:rPr>
          <w:rFonts w:ascii="Arial" w:hAnsi="Arial" w:cs="Arial"/>
          <w:b/>
          <w:sz w:val="24"/>
          <w:szCs w:val="24"/>
        </w:rPr>
        <w:t xml:space="preserve">was </w:t>
      </w:r>
      <w:r w:rsidRPr="00146344">
        <w:rPr>
          <w:rFonts w:ascii="Arial" w:hAnsi="Arial" w:cs="Arial"/>
          <w:b/>
          <w:sz w:val="24"/>
          <w:szCs w:val="24"/>
        </w:rPr>
        <w:t>maintained throughout this unprecedented crisis</w:t>
      </w:r>
      <w:r>
        <w:rPr>
          <w:rFonts w:ascii="Arial" w:hAnsi="Arial" w:cs="Arial"/>
          <w:b/>
          <w:sz w:val="24"/>
          <w:szCs w:val="24"/>
        </w:rPr>
        <w:t xml:space="preserve"> and during the recovery</w:t>
      </w:r>
      <w:r w:rsidRPr="00146344">
        <w:rPr>
          <w:rFonts w:ascii="Arial" w:hAnsi="Arial" w:cs="Arial"/>
          <w:b/>
          <w:sz w:val="24"/>
          <w:szCs w:val="24"/>
        </w:rPr>
        <w:t>.</w:t>
      </w:r>
    </w:p>
    <w:p w14:paraId="580EE6FB" w14:textId="77777777" w:rsidR="008206CA" w:rsidRDefault="008206CA" w:rsidP="008206CA">
      <w:pPr>
        <w:jc w:val="both"/>
        <w:rPr>
          <w:rFonts w:ascii="Arial" w:hAnsi="Arial" w:cs="Arial"/>
          <w:sz w:val="24"/>
          <w:szCs w:val="24"/>
        </w:rPr>
      </w:pPr>
    </w:p>
    <w:p w14:paraId="4EC017D4" w14:textId="77777777" w:rsidR="008206CA" w:rsidRDefault="008206CA" w:rsidP="008206CA">
      <w:pPr>
        <w:jc w:val="both"/>
        <w:rPr>
          <w:rFonts w:ascii="Arial" w:hAnsi="Arial"/>
          <w:sz w:val="24"/>
          <w:szCs w:val="24"/>
        </w:rPr>
      </w:pPr>
    </w:p>
    <w:p w14:paraId="3A5F0864" w14:textId="77777777" w:rsidR="008206CA" w:rsidRPr="0045145A" w:rsidRDefault="008206CA" w:rsidP="008206CA">
      <w:pPr>
        <w:rPr>
          <w:rFonts w:ascii="Arial" w:hAnsi="Arial"/>
          <w:sz w:val="24"/>
          <w:szCs w:val="24"/>
        </w:rPr>
        <w:sectPr w:rsidR="008206CA" w:rsidRPr="0045145A" w:rsidSect="00330CF7">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0" w:gutter="0"/>
          <w:cols w:space="708"/>
          <w:docGrid w:linePitch="360"/>
        </w:sectPr>
      </w:pPr>
      <w:r>
        <w:rPr>
          <w:rFonts w:ascii="Arial" w:hAnsi="Arial"/>
          <w:sz w:val="24"/>
          <w:szCs w:val="24"/>
        </w:rPr>
        <w:tab/>
      </w:r>
    </w:p>
    <w:p w14:paraId="6AD1BF24" w14:textId="77777777" w:rsidR="008206CA" w:rsidRDefault="008206CA" w:rsidP="008206CA">
      <w:pPr>
        <w:pStyle w:val="NoSpacing"/>
        <w:rPr>
          <w:rFonts w:ascii="Arial" w:hAnsi="Arial" w:cs="Arial"/>
          <w:b/>
        </w:rPr>
      </w:pPr>
      <w:r w:rsidRPr="005D7CF9">
        <w:rPr>
          <w:rFonts w:ascii="Arial" w:hAnsi="Arial" w:cs="Arial"/>
          <w:b/>
        </w:rPr>
        <w:lastRenderedPageBreak/>
        <w:t>Principle A</w:t>
      </w:r>
    </w:p>
    <w:p w14:paraId="0B9EA79D" w14:textId="77777777" w:rsidR="008206CA" w:rsidRPr="005D7CF9" w:rsidRDefault="008206CA" w:rsidP="008206CA">
      <w:pPr>
        <w:pStyle w:val="NoSpacing"/>
        <w:rPr>
          <w:rFonts w:ascii="Arial" w:hAnsi="Arial" w:cs="Arial"/>
          <w:b/>
        </w:rPr>
      </w:pPr>
    </w:p>
    <w:tbl>
      <w:tblPr>
        <w:tblW w:w="14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4368"/>
      </w:tblGrid>
      <w:tr w:rsidR="008206CA" w14:paraId="352B7CF3" w14:textId="77777777" w:rsidTr="00DE37F4">
        <w:trPr>
          <w:trHeight w:val="329"/>
        </w:trPr>
        <w:tc>
          <w:tcPr>
            <w:tcW w:w="14368" w:type="dxa"/>
            <w:shd w:val="clear" w:color="auto" w:fill="BFBFBF"/>
          </w:tcPr>
          <w:p w14:paraId="6090FC4A" w14:textId="77777777" w:rsidR="008206CA" w:rsidRPr="00DE37F4" w:rsidRDefault="008206CA" w:rsidP="00DE37F4">
            <w:pPr>
              <w:rPr>
                <w:rFonts w:ascii="Arial" w:hAnsi="Arial" w:cs="Arial"/>
                <w:b/>
                <w:sz w:val="24"/>
                <w:szCs w:val="24"/>
              </w:rPr>
            </w:pPr>
            <w:r w:rsidRPr="00DE37F4">
              <w:rPr>
                <w:rFonts w:ascii="Arial" w:hAnsi="Arial" w:cs="Arial"/>
                <w:b/>
                <w:bCs/>
                <w:color w:val="000000"/>
              </w:rPr>
              <w:t>Behaving with integrity, demonstrating strong commitment to ethical values, and respecting the rule of law</w:t>
            </w:r>
          </w:p>
        </w:tc>
      </w:tr>
    </w:tbl>
    <w:p w14:paraId="6065367D" w14:textId="77777777" w:rsidR="008206CA" w:rsidRDefault="008206CA" w:rsidP="008206CA">
      <w:pPr>
        <w:pStyle w:val="NoSpacing"/>
      </w:pPr>
    </w:p>
    <w:p w14:paraId="25E84CCD" w14:textId="6317ABD9" w:rsidR="008206CA" w:rsidRPr="005D5B88" w:rsidRDefault="00516E75" w:rsidP="008206CA">
      <w:pPr>
        <w:pStyle w:val="NoSpacing"/>
        <w:rPr>
          <w:rFonts w:ascii="Arial" w:hAnsi="Arial" w:cs="Arial"/>
          <w:b/>
        </w:rPr>
      </w:pPr>
      <w:r>
        <w:rPr>
          <w:noProof/>
        </w:rPr>
        <mc:AlternateContent>
          <mc:Choice Requires="wps">
            <w:drawing>
              <wp:anchor distT="45720" distB="45720" distL="114300" distR="114300" simplePos="0" relativeHeight="251636736" behindDoc="0" locked="0" layoutInCell="1" allowOverlap="1" wp14:anchorId="1832B206" wp14:editId="32AE4847">
                <wp:simplePos x="0" y="0"/>
                <wp:positionH relativeFrom="column">
                  <wp:posOffset>6515100</wp:posOffset>
                </wp:positionH>
                <wp:positionV relativeFrom="paragraph">
                  <wp:posOffset>205105</wp:posOffset>
                </wp:positionV>
                <wp:extent cx="2613660" cy="365760"/>
                <wp:effectExtent l="0" t="0" r="0"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365760"/>
                        </a:xfrm>
                        <a:prstGeom prst="rect">
                          <a:avLst/>
                        </a:prstGeom>
                        <a:solidFill>
                          <a:srgbClr val="FFFFFF"/>
                        </a:solidFill>
                        <a:ln w="9525">
                          <a:solidFill>
                            <a:srgbClr val="000000"/>
                          </a:solidFill>
                          <a:miter lim="800000"/>
                          <a:headEnd/>
                          <a:tailEnd/>
                        </a:ln>
                      </wps:spPr>
                      <wps:txbx>
                        <w:txbxContent>
                          <w:p w14:paraId="09D5F96E" w14:textId="77777777" w:rsidR="008206CA" w:rsidRPr="005C141F" w:rsidRDefault="008206CA" w:rsidP="008206CA">
                            <w:pPr>
                              <w:shd w:val="clear" w:color="auto" w:fill="BFBFBF"/>
                              <w:jc w:val="center"/>
                              <w:rPr>
                                <w:rFonts w:ascii="Arial" w:hAnsi="Arial" w:cs="Arial"/>
                                <w:b/>
                              </w:rPr>
                            </w:pPr>
                            <w:r w:rsidRPr="005C141F">
                              <w:rPr>
                                <w:rFonts w:ascii="Arial" w:hAnsi="Arial" w:cs="Arial"/>
                                <w:b/>
                              </w:rPr>
                              <w:t>Respecting the rule of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32B206" id="_x0000_t202" coordsize="21600,21600" o:spt="202" path="m,l,21600r21600,l21600,xe">
                <v:stroke joinstyle="miter"/>
                <v:path gradientshapeok="t" o:connecttype="rect"/>
              </v:shapetype>
              <v:shape id="Text Box 118" o:spid="_x0000_s1026" type="#_x0000_t202" style="position:absolute;margin-left:513pt;margin-top:16.15pt;width:205.8pt;height:28.8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">
                <v:textbox>
                  <w:txbxContent>
                    <w:p w14:paraId="09D5F96E" w14:textId="77777777" w:rsidR="008206CA" w:rsidRPr="005C141F" w:rsidRDefault="008206CA" w:rsidP="008206CA">
                      <w:pPr>
                        <w:shd w:val="clear" w:color="auto" w:fill="BFBFBF"/>
                        <w:jc w:val="center"/>
                        <w:rPr>
                          <w:rFonts w:ascii="Arial" w:hAnsi="Arial" w:cs="Arial"/>
                          <w:b/>
                        </w:rPr>
                      </w:pPr>
                      <w:r w:rsidRPr="005C141F">
                        <w:rPr>
                          <w:rFonts w:ascii="Arial" w:hAnsi="Arial" w:cs="Arial"/>
                          <w:b/>
                        </w:rPr>
                        <w:t>Respecting the rule of law</w:t>
                      </w:r>
                    </w:p>
                  </w:txbxContent>
                </v:textbox>
                <w10:wrap type="square"/>
              </v:shape>
            </w:pict>
          </mc:Fallback>
        </mc:AlternateContent>
      </w:r>
      <w:r>
        <w:rPr>
          <w:noProof/>
        </w:rPr>
        <mc:AlternateContent>
          <mc:Choice Requires="wps">
            <w:drawing>
              <wp:anchor distT="45720" distB="45720" distL="114300" distR="114300" simplePos="0" relativeHeight="251635712" behindDoc="0" locked="0" layoutInCell="1" allowOverlap="1" wp14:anchorId="6BE45842" wp14:editId="4A8F1CA3">
                <wp:simplePos x="0" y="0"/>
                <wp:positionH relativeFrom="margin">
                  <wp:posOffset>3208020</wp:posOffset>
                </wp:positionH>
                <wp:positionV relativeFrom="paragraph">
                  <wp:posOffset>220345</wp:posOffset>
                </wp:positionV>
                <wp:extent cx="2834640" cy="426720"/>
                <wp:effectExtent l="0" t="0" r="381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26720"/>
                        </a:xfrm>
                        <a:prstGeom prst="rect">
                          <a:avLst/>
                        </a:prstGeom>
                        <a:solidFill>
                          <a:srgbClr val="FFFFFF"/>
                        </a:solidFill>
                        <a:ln w="9525">
                          <a:solidFill>
                            <a:srgbClr val="000000"/>
                          </a:solidFill>
                          <a:miter lim="800000"/>
                          <a:headEnd/>
                          <a:tailEnd/>
                        </a:ln>
                      </wps:spPr>
                      <wps:txbx>
                        <w:txbxContent>
                          <w:p w14:paraId="434655C2" w14:textId="77777777" w:rsidR="008206CA" w:rsidRPr="005C141F" w:rsidRDefault="008206CA" w:rsidP="008206CA">
                            <w:pPr>
                              <w:pStyle w:val="NoSpacing"/>
                              <w:shd w:val="clear" w:color="auto" w:fill="BFBFBF"/>
                              <w:jc w:val="center"/>
                              <w:rPr>
                                <w:rFonts w:ascii="Arial" w:hAnsi="Arial" w:cs="Arial"/>
                                <w:b/>
                              </w:rPr>
                            </w:pPr>
                            <w:r w:rsidRPr="005C141F">
                              <w:rPr>
                                <w:rFonts w:ascii="Arial" w:hAnsi="Arial" w:cs="Arial"/>
                                <w:b/>
                              </w:rPr>
                              <w:t>Demonstrating strong commitment to</w:t>
                            </w:r>
                          </w:p>
                          <w:p w14:paraId="7C54DAA6" w14:textId="77777777" w:rsidR="008206CA" w:rsidRPr="005C141F" w:rsidRDefault="008206CA" w:rsidP="008206CA">
                            <w:pPr>
                              <w:pStyle w:val="NoSpacing"/>
                              <w:shd w:val="clear" w:color="auto" w:fill="BFBFBF"/>
                              <w:jc w:val="center"/>
                              <w:rPr>
                                <w:rFonts w:ascii="Arial" w:hAnsi="Arial" w:cs="Arial"/>
                                <w:b/>
                              </w:rPr>
                            </w:pPr>
                            <w:r w:rsidRPr="005C141F">
                              <w:rPr>
                                <w:rFonts w:ascii="Arial" w:hAnsi="Arial" w:cs="Arial"/>
                                <w:b/>
                              </w:rPr>
                              <w:t>ethical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45842" id="Text Box 117" o:spid="_x0000_s1027" type="#_x0000_t202" style="position:absolute;margin-left:252.6pt;margin-top:17.35pt;width:223.2pt;height:33.6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">
                <v:textbox>
                  <w:txbxContent>
                    <w:p w14:paraId="434655C2" w14:textId="77777777" w:rsidR="008206CA" w:rsidRPr="005C141F" w:rsidRDefault="008206CA" w:rsidP="008206CA">
                      <w:pPr>
                        <w:pStyle w:val="NoSpacing"/>
                        <w:shd w:val="clear" w:color="auto" w:fill="BFBFBF"/>
                        <w:jc w:val="center"/>
                        <w:rPr>
                          <w:rFonts w:ascii="Arial" w:hAnsi="Arial" w:cs="Arial"/>
                          <w:b/>
                        </w:rPr>
                      </w:pPr>
                      <w:r w:rsidRPr="005C141F">
                        <w:rPr>
                          <w:rFonts w:ascii="Arial" w:hAnsi="Arial" w:cs="Arial"/>
                          <w:b/>
                        </w:rPr>
                        <w:t>Demonstrating strong commitment to</w:t>
                      </w:r>
                    </w:p>
                    <w:p w14:paraId="7C54DAA6" w14:textId="77777777" w:rsidR="008206CA" w:rsidRPr="005C141F" w:rsidRDefault="008206CA" w:rsidP="008206CA">
                      <w:pPr>
                        <w:pStyle w:val="NoSpacing"/>
                        <w:shd w:val="clear" w:color="auto" w:fill="BFBFBF"/>
                        <w:jc w:val="center"/>
                        <w:rPr>
                          <w:rFonts w:ascii="Arial" w:hAnsi="Arial" w:cs="Arial"/>
                          <w:b/>
                        </w:rPr>
                      </w:pPr>
                      <w:r w:rsidRPr="005C141F">
                        <w:rPr>
                          <w:rFonts w:ascii="Arial" w:hAnsi="Arial" w:cs="Arial"/>
                          <w:b/>
                        </w:rPr>
                        <w:t>ethical values</w:t>
                      </w:r>
                    </w:p>
                  </w:txbxContent>
                </v:textbox>
                <w10:wrap type="square" anchorx="margin"/>
              </v:shape>
            </w:pict>
          </mc:Fallback>
        </mc:AlternateContent>
      </w:r>
      <w:r>
        <w:rPr>
          <w:noProof/>
        </w:rPr>
        <mc:AlternateContent>
          <mc:Choice Requires="wps">
            <w:drawing>
              <wp:anchor distT="45720" distB="45720" distL="114300" distR="114300" simplePos="0" relativeHeight="251634688" behindDoc="0" locked="0" layoutInCell="1" allowOverlap="1" wp14:anchorId="321AD224" wp14:editId="5ECF77EB">
                <wp:simplePos x="0" y="0"/>
                <wp:positionH relativeFrom="margin">
                  <wp:align>left</wp:align>
                </wp:positionH>
                <wp:positionV relativeFrom="paragraph">
                  <wp:posOffset>235585</wp:posOffset>
                </wp:positionV>
                <wp:extent cx="2651760" cy="297180"/>
                <wp:effectExtent l="0" t="0" r="0" b="762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97180"/>
                        </a:xfrm>
                        <a:prstGeom prst="rect">
                          <a:avLst/>
                        </a:prstGeom>
                        <a:solidFill>
                          <a:srgbClr val="FFFFFF"/>
                        </a:solidFill>
                        <a:ln w="9525">
                          <a:solidFill>
                            <a:srgbClr val="000000"/>
                          </a:solidFill>
                          <a:miter lim="800000"/>
                          <a:headEnd/>
                          <a:tailEnd/>
                        </a:ln>
                      </wps:spPr>
                      <wps:txbx>
                        <w:txbxContent>
                          <w:p w14:paraId="01632F03" w14:textId="77777777" w:rsidR="008206CA" w:rsidRPr="005C141F" w:rsidRDefault="008206CA" w:rsidP="008206CA">
                            <w:pPr>
                              <w:shd w:val="clear" w:color="auto" w:fill="BFBFBF"/>
                              <w:jc w:val="center"/>
                              <w:rPr>
                                <w:rFonts w:ascii="Arial" w:hAnsi="Arial" w:cs="Arial"/>
                                <w:b/>
                              </w:rPr>
                            </w:pPr>
                            <w:r w:rsidRPr="005C141F">
                              <w:rPr>
                                <w:rFonts w:ascii="Arial" w:hAnsi="Arial" w:cs="Arial"/>
                                <w:b/>
                              </w:rPr>
                              <w:t>Behaving with Integrity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AD224" id="Text Box 116" o:spid="_x0000_s1028" type="#_x0000_t202" style="position:absolute;margin-left:0;margin-top:18.55pt;width:208.8pt;height:23.4pt;z-index:251634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">
                <v:textbox>
                  <w:txbxContent>
                    <w:p w14:paraId="01632F03" w14:textId="77777777" w:rsidR="008206CA" w:rsidRPr="005C141F" w:rsidRDefault="008206CA" w:rsidP="008206CA">
                      <w:pPr>
                        <w:shd w:val="clear" w:color="auto" w:fill="BFBFBF"/>
                        <w:jc w:val="center"/>
                        <w:rPr>
                          <w:rFonts w:ascii="Arial" w:hAnsi="Arial" w:cs="Arial"/>
                          <w:b/>
                        </w:rPr>
                      </w:pPr>
                      <w:r w:rsidRPr="005C141F">
                        <w:rPr>
                          <w:rFonts w:ascii="Arial" w:hAnsi="Arial" w:cs="Arial"/>
                          <w:b/>
                        </w:rPr>
                        <w:t>Behaving with Integrity</w:t>
                      </w:r>
                    </w:p>
                  </w:txbxContent>
                </v:textbox>
                <w10:wrap type="square" anchorx="margin"/>
              </v:shape>
            </w:pict>
          </mc:Fallback>
        </mc:AlternateContent>
      </w:r>
      <w:r w:rsidR="008206CA" w:rsidRPr="005D5B88">
        <w:rPr>
          <w:rFonts w:ascii="Arial" w:hAnsi="Arial" w:cs="Arial"/>
          <w:b/>
        </w:rPr>
        <w:t>Sub Principles:</w:t>
      </w:r>
      <w:r w:rsidR="008206CA" w:rsidRPr="005D5B88">
        <w:rPr>
          <w:rFonts w:ascii="Arial" w:hAnsi="Arial" w:cs="Arial"/>
          <w:b/>
        </w:rPr>
        <w:tab/>
      </w:r>
      <w:r w:rsidR="008206CA" w:rsidRPr="005D5B88">
        <w:rPr>
          <w:rFonts w:ascii="Arial" w:hAnsi="Arial" w:cs="Arial"/>
          <w:b/>
        </w:rPr>
        <w:tab/>
      </w:r>
      <w:r w:rsidR="008206CA" w:rsidRPr="005D5B88">
        <w:rPr>
          <w:rFonts w:ascii="Arial" w:hAnsi="Arial" w:cs="Arial"/>
          <w:b/>
        </w:rPr>
        <w:tab/>
      </w:r>
      <w:r w:rsidR="008206CA" w:rsidRPr="005D5B88">
        <w:rPr>
          <w:rFonts w:ascii="Arial" w:hAnsi="Arial" w:cs="Arial"/>
          <w:b/>
        </w:rPr>
        <w:tab/>
      </w:r>
      <w:r w:rsidR="008206CA" w:rsidRPr="005D5B88">
        <w:rPr>
          <w:rFonts w:ascii="Arial" w:hAnsi="Arial" w:cs="Arial"/>
          <w:b/>
        </w:rPr>
        <w:tab/>
      </w:r>
      <w:r w:rsidR="008206CA" w:rsidRPr="005D5B88">
        <w:rPr>
          <w:rFonts w:ascii="Arial" w:hAnsi="Arial" w:cs="Arial"/>
          <w:b/>
        </w:rPr>
        <w:tab/>
      </w:r>
    </w:p>
    <w:p w14:paraId="5BD723D2" w14:textId="505A01AE" w:rsidR="008206CA" w:rsidRPr="005D7CF9" w:rsidRDefault="00516E75" w:rsidP="008206CA">
      <w:pPr>
        <w:shd w:val="clear" w:color="auto" w:fill="FFFFFF"/>
        <w:rPr>
          <w:rFonts w:ascii="Arial" w:hAnsi="Arial" w:cs="Arial"/>
          <w:b/>
          <w:sz w:val="24"/>
          <w:szCs w:val="24"/>
        </w:rPr>
      </w:pPr>
      <w:r>
        <w:rPr>
          <w:noProof/>
        </w:rPr>
        <mc:AlternateContent>
          <mc:Choice Requires="wps">
            <w:drawing>
              <wp:anchor distT="0" distB="0" distL="114300" distR="114300" simplePos="0" relativeHeight="251637760" behindDoc="0" locked="0" layoutInCell="1" allowOverlap="1" wp14:anchorId="49FC73C9" wp14:editId="63946E58">
                <wp:simplePos x="0" y="0"/>
                <wp:positionH relativeFrom="margin">
                  <wp:posOffset>-495300</wp:posOffset>
                </wp:positionH>
                <wp:positionV relativeFrom="paragraph">
                  <wp:posOffset>730250</wp:posOffset>
                </wp:positionV>
                <wp:extent cx="3181350" cy="4183380"/>
                <wp:effectExtent l="0" t="0" r="0" b="7620"/>
                <wp:wrapNone/>
                <wp:docPr id="115" name="Rectangle: Rounded Corners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418338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6A14482" w14:textId="77777777" w:rsidR="008206CA" w:rsidRPr="008206CA" w:rsidRDefault="008206CA" w:rsidP="008206CA">
                            <w:pPr>
                              <w:pStyle w:val="Default"/>
                              <w:numPr>
                                <w:ilvl w:val="0"/>
                                <w:numId w:val="35"/>
                              </w:numPr>
                              <w:rPr>
                                <w:color w:val="FFFFFF"/>
                                <w:sz w:val="20"/>
                                <w:szCs w:val="20"/>
                              </w:rPr>
                            </w:pPr>
                            <w:r w:rsidRPr="008206CA">
                              <w:rPr>
                                <w:color w:val="FFFFFF"/>
                                <w:sz w:val="20"/>
                                <w:szCs w:val="20"/>
                              </w:rPr>
                              <w:t xml:space="preserve">The behaviour and expectations of officers/members is set out in the Constitution, Officer and Member Code of Conduct and Protocol. </w:t>
                            </w:r>
                          </w:p>
                          <w:p w14:paraId="33CE15CE" w14:textId="77777777" w:rsidR="008206CA" w:rsidRPr="008206CA" w:rsidRDefault="008206CA" w:rsidP="008206CA">
                            <w:pPr>
                              <w:pStyle w:val="Default"/>
                              <w:numPr>
                                <w:ilvl w:val="0"/>
                                <w:numId w:val="35"/>
                              </w:numPr>
                              <w:rPr>
                                <w:color w:val="FFFFFF"/>
                                <w:sz w:val="20"/>
                                <w:szCs w:val="20"/>
                              </w:rPr>
                            </w:pPr>
                            <w:r w:rsidRPr="008206CA">
                              <w:rPr>
                                <w:color w:val="FFFFFF"/>
                                <w:sz w:val="20"/>
                                <w:szCs w:val="20"/>
                              </w:rPr>
                              <w:t>The Monitoring Officer provides training on the code of conduct and ensures the highest standards of conduct by the authority, members and officers – including use of Council email protocol.</w:t>
                            </w:r>
                          </w:p>
                          <w:p w14:paraId="04274CDE" w14:textId="77777777" w:rsidR="008206CA" w:rsidRPr="008206CA" w:rsidRDefault="008206CA" w:rsidP="008206CA">
                            <w:pPr>
                              <w:pStyle w:val="Default"/>
                              <w:numPr>
                                <w:ilvl w:val="0"/>
                                <w:numId w:val="35"/>
                              </w:numPr>
                              <w:rPr>
                                <w:color w:val="FFFFFF"/>
                                <w:sz w:val="20"/>
                                <w:szCs w:val="20"/>
                              </w:rPr>
                            </w:pPr>
                            <w:r w:rsidRPr="008206CA">
                              <w:rPr>
                                <w:color w:val="FFFFFF"/>
                                <w:sz w:val="20"/>
                                <w:szCs w:val="20"/>
                              </w:rPr>
                              <w:t>The Standards Committee is responsible for monitoring and scrutinising the standards of Members.</w:t>
                            </w:r>
                          </w:p>
                          <w:p w14:paraId="72BC89A2" w14:textId="77777777" w:rsidR="008206CA" w:rsidRPr="008206CA" w:rsidRDefault="008206CA" w:rsidP="008206CA">
                            <w:pPr>
                              <w:pStyle w:val="Default"/>
                              <w:numPr>
                                <w:ilvl w:val="0"/>
                                <w:numId w:val="35"/>
                              </w:numPr>
                              <w:rPr>
                                <w:color w:val="FFFFFF"/>
                                <w:sz w:val="20"/>
                                <w:szCs w:val="20"/>
                              </w:rPr>
                            </w:pPr>
                            <w:r w:rsidRPr="008206CA">
                              <w:rPr>
                                <w:color w:val="FFFFFF"/>
                                <w:sz w:val="20"/>
                                <w:szCs w:val="20"/>
                              </w:rPr>
                              <w:t>Member led authority principles with training to senior officers and Cabinet members.</w:t>
                            </w:r>
                          </w:p>
                          <w:p w14:paraId="45F8F367" w14:textId="77777777" w:rsidR="008206CA" w:rsidRPr="008206CA" w:rsidRDefault="008206CA" w:rsidP="008206CA">
                            <w:pPr>
                              <w:pStyle w:val="Default"/>
                              <w:numPr>
                                <w:ilvl w:val="0"/>
                                <w:numId w:val="35"/>
                              </w:numPr>
                              <w:rPr>
                                <w:color w:val="FFFFFF"/>
                                <w:sz w:val="20"/>
                                <w:szCs w:val="20"/>
                              </w:rPr>
                            </w:pPr>
                            <w:r w:rsidRPr="008206CA">
                              <w:rPr>
                                <w:color w:val="FFFFFF"/>
                                <w:sz w:val="20"/>
                                <w:szCs w:val="20"/>
                              </w:rPr>
                              <w:t>Compliance with a suite of policies/rules set out in the Constitution.</w:t>
                            </w:r>
                          </w:p>
                          <w:p w14:paraId="7A9E9174" w14:textId="77777777" w:rsidR="008206CA" w:rsidRPr="008206CA" w:rsidRDefault="008206CA" w:rsidP="008206CA">
                            <w:pPr>
                              <w:pStyle w:val="Default"/>
                              <w:numPr>
                                <w:ilvl w:val="0"/>
                                <w:numId w:val="35"/>
                              </w:numPr>
                              <w:rPr>
                                <w:color w:val="FFFFFF"/>
                                <w:sz w:val="20"/>
                                <w:szCs w:val="20"/>
                              </w:rPr>
                            </w:pPr>
                            <w:r w:rsidRPr="008206CA">
                              <w:rPr>
                                <w:color w:val="FFFFFF"/>
                                <w:sz w:val="20"/>
                                <w:szCs w:val="20"/>
                              </w:rPr>
                              <w:t>The Constitution sets out requirements as to gifts and hospitality and there are regular reminders circulated to both officers and members.</w:t>
                            </w:r>
                          </w:p>
                          <w:p w14:paraId="303F0395" w14:textId="77777777" w:rsidR="008206CA" w:rsidRPr="00ED2795" w:rsidRDefault="008206CA" w:rsidP="008206CA">
                            <w:pPr>
                              <w:pStyle w:val="Default"/>
                              <w:numPr>
                                <w:ilvl w:val="0"/>
                                <w:numId w:val="35"/>
                              </w:numPr>
                              <w:rPr>
                                <w:color w:val="auto"/>
                                <w:sz w:val="20"/>
                                <w:szCs w:val="20"/>
                              </w:rPr>
                            </w:pPr>
                            <w:r w:rsidRPr="00ED2795">
                              <w:rPr>
                                <w:color w:val="auto"/>
                                <w:sz w:val="20"/>
                                <w:szCs w:val="20"/>
                              </w:rPr>
                              <w:t>Adoption of Member Dispute Resolution Protocol</w:t>
                            </w:r>
                            <w:r>
                              <w:rPr>
                                <w:color w:val="auto"/>
                                <w:sz w:val="20"/>
                                <w:szCs w:val="20"/>
                              </w:rPr>
                              <w:t>.</w:t>
                            </w:r>
                          </w:p>
                          <w:p w14:paraId="7C792917" w14:textId="77777777" w:rsidR="008206CA" w:rsidRPr="00ED2795" w:rsidRDefault="008206CA" w:rsidP="008206CA">
                            <w:pPr>
                              <w:pStyle w:val="Default"/>
                              <w:numPr>
                                <w:ilvl w:val="0"/>
                                <w:numId w:val="35"/>
                              </w:numPr>
                              <w:rPr>
                                <w:color w:val="auto"/>
                                <w:sz w:val="20"/>
                                <w:szCs w:val="20"/>
                              </w:rPr>
                            </w:pPr>
                            <w:r w:rsidRPr="00ED2795">
                              <w:rPr>
                                <w:color w:val="auto"/>
                                <w:sz w:val="20"/>
                                <w:szCs w:val="20"/>
                              </w:rPr>
                              <w:t>Officers/m</w:t>
                            </w:r>
                            <w:r>
                              <w:rPr>
                                <w:color w:val="auto"/>
                                <w:sz w:val="20"/>
                                <w:szCs w:val="20"/>
                              </w:rPr>
                              <w:t>embers declarations of interest.</w:t>
                            </w:r>
                          </w:p>
                          <w:p w14:paraId="4F2A5FE0" w14:textId="77777777" w:rsidR="008206CA" w:rsidRPr="00ED2795" w:rsidRDefault="008206CA" w:rsidP="008206CA">
                            <w:pPr>
                              <w:pStyle w:val="Default"/>
                              <w:numPr>
                                <w:ilvl w:val="0"/>
                                <w:numId w:val="35"/>
                              </w:numPr>
                              <w:rPr>
                                <w:color w:val="auto"/>
                                <w:sz w:val="20"/>
                                <w:szCs w:val="20"/>
                              </w:rPr>
                            </w:pPr>
                            <w:r w:rsidRPr="00ED2795">
                              <w:rPr>
                                <w:color w:val="auto"/>
                                <w:sz w:val="20"/>
                                <w:szCs w:val="20"/>
                              </w:rPr>
                              <w:t>Officer Secondary Employment Policy</w:t>
                            </w:r>
                            <w:r>
                              <w:rPr>
                                <w:color w:val="auto"/>
                                <w:sz w:val="20"/>
                                <w:szCs w:val="20"/>
                              </w:rPr>
                              <w:t>.</w:t>
                            </w:r>
                          </w:p>
                          <w:p w14:paraId="27ACEC6B" w14:textId="77777777" w:rsidR="008206CA" w:rsidRPr="00ED2795" w:rsidRDefault="008206CA" w:rsidP="008206CA">
                            <w:pPr>
                              <w:pStyle w:val="Default"/>
                              <w:rPr>
                                <w:color w:val="auto"/>
                                <w:sz w:val="20"/>
                                <w:szCs w:val="20"/>
                              </w:rPr>
                            </w:pPr>
                          </w:p>
                          <w:p w14:paraId="2FF688C2" w14:textId="77777777" w:rsidR="008206CA" w:rsidRPr="00ED2795" w:rsidRDefault="008206CA" w:rsidP="008206CA">
                            <w:pPr>
                              <w:pStyle w:val="ListParagraph"/>
                              <w:spacing w:line="240" w:lineRule="auto"/>
                              <w:ind w:left="578"/>
                              <w:rPr>
                                <w:rFonts w:cs="Arial"/>
                                <w:sz w:val="20"/>
                                <w:szCs w:val="20"/>
                              </w:rPr>
                            </w:pPr>
                          </w:p>
                          <w:p w14:paraId="1FE943AF" w14:textId="77777777" w:rsidR="008206CA" w:rsidRDefault="008206CA" w:rsidP="008206CA">
                            <w:pPr>
                              <w:ind w:left="284" w:hanging="426"/>
                              <w:rPr>
                                <w:rFonts w:ascii="Arial" w:hAnsi="Arial" w:cs="Arial"/>
                              </w:rPr>
                            </w:pPr>
                          </w:p>
                          <w:p w14:paraId="52D655CF" w14:textId="77777777" w:rsidR="008206CA" w:rsidRPr="002C4072" w:rsidRDefault="008206CA" w:rsidP="008206CA">
                            <w:pPr>
                              <w:ind w:left="284" w:hanging="426"/>
                              <w:rPr>
                                <w:rFonts w:ascii="Arial" w:hAnsi="Arial" w:cs="Arial"/>
                              </w:rPr>
                            </w:pPr>
                          </w:p>
                          <w:p w14:paraId="03A6B9C0" w14:textId="77777777" w:rsidR="008206CA" w:rsidRDefault="008206CA" w:rsidP="008206CA">
                            <w:pPr>
                              <w:ind w:left="284" w:hanging="426"/>
                              <w:rPr>
                                <w:rFonts w:ascii="Arial" w:hAnsi="Arial" w:cs="Arial"/>
                              </w:rPr>
                            </w:pPr>
                          </w:p>
                          <w:p w14:paraId="2E309C2B" w14:textId="77777777" w:rsidR="008206CA" w:rsidRDefault="008206CA" w:rsidP="008206CA">
                            <w:pPr>
                              <w:ind w:left="284" w:hanging="426"/>
                              <w:rPr>
                                <w:rFonts w:ascii="Arial" w:hAnsi="Arial" w:cs="Arial"/>
                              </w:rPr>
                            </w:pPr>
                          </w:p>
                          <w:p w14:paraId="19E3F7EA" w14:textId="77777777" w:rsidR="008206CA" w:rsidRDefault="008206CA" w:rsidP="008206CA">
                            <w:pPr>
                              <w:ind w:left="284" w:hanging="426"/>
                              <w:rPr>
                                <w:rFonts w:ascii="Arial" w:hAnsi="Arial" w:cs="Arial"/>
                              </w:rPr>
                            </w:pPr>
                          </w:p>
                          <w:p w14:paraId="59AA7AC3" w14:textId="77777777" w:rsidR="008206CA" w:rsidRPr="008206CA" w:rsidRDefault="008206CA" w:rsidP="008206CA">
                            <w:pPr>
                              <w:ind w:left="284" w:hanging="426"/>
                              <w:rPr>
                                <w:rFonts w:ascii="Symbol" w:hAnsi="Symbol"/>
                                <w:highlight w:val="lightGra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C73C9" id="Rectangle: Rounded Corners 115" o:spid="_x0000_s1029" style="position:absolute;margin-left:-39pt;margin-top:57.5pt;width:250.5pt;height:329.4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" fillcolor="#4472c4" strokecolor="#2f528f" strokeweight="1pt">
                <v:stroke joinstyle="miter"/>
                <v:path arrowok="t"/>
                <v:textbox>
                  <w:txbxContent>
                    <w:p w14:paraId="46A14482" w14:textId="77777777" w:rsidR="008206CA" w:rsidRPr="008206CA" w:rsidRDefault="008206CA" w:rsidP="008206CA">
                      <w:pPr>
                        <w:pStyle w:val="Default"/>
                        <w:numPr>
                          <w:ilvl w:val="0"/>
                          <w:numId w:val="35"/>
                        </w:numPr>
                        <w:rPr>
                          <w:color w:val="FFFFFF"/>
                          <w:sz w:val="20"/>
                          <w:szCs w:val="20"/>
                        </w:rPr>
                      </w:pPr>
                      <w:r w:rsidRPr="008206CA">
                        <w:rPr>
                          <w:color w:val="FFFFFF"/>
                          <w:sz w:val="20"/>
                          <w:szCs w:val="20"/>
                        </w:rPr>
                        <w:t xml:space="preserve">The behaviour and expectations of officers/members is set out in the Constitution, Officer and Member Code of Conduct and Protocol. </w:t>
                      </w:r>
                    </w:p>
                    <w:p w14:paraId="33CE15CE" w14:textId="77777777" w:rsidR="008206CA" w:rsidRPr="008206CA" w:rsidRDefault="008206CA" w:rsidP="008206CA">
                      <w:pPr>
                        <w:pStyle w:val="Default"/>
                        <w:numPr>
                          <w:ilvl w:val="0"/>
                          <w:numId w:val="35"/>
                        </w:numPr>
                        <w:rPr>
                          <w:color w:val="FFFFFF"/>
                          <w:sz w:val="20"/>
                          <w:szCs w:val="20"/>
                        </w:rPr>
                      </w:pPr>
                      <w:r w:rsidRPr="008206CA">
                        <w:rPr>
                          <w:color w:val="FFFFFF"/>
                          <w:sz w:val="20"/>
                          <w:szCs w:val="20"/>
                        </w:rPr>
                        <w:t>The Monitoring Officer provides training on the code of conduct and ensures the highest standards of conduct by the authority, members and officers – including use of Council email protocol.</w:t>
                      </w:r>
                    </w:p>
                    <w:p w14:paraId="04274CDE" w14:textId="77777777" w:rsidR="008206CA" w:rsidRPr="008206CA" w:rsidRDefault="008206CA" w:rsidP="008206CA">
                      <w:pPr>
                        <w:pStyle w:val="Default"/>
                        <w:numPr>
                          <w:ilvl w:val="0"/>
                          <w:numId w:val="35"/>
                        </w:numPr>
                        <w:rPr>
                          <w:color w:val="FFFFFF"/>
                          <w:sz w:val="20"/>
                          <w:szCs w:val="20"/>
                        </w:rPr>
                      </w:pPr>
                      <w:r w:rsidRPr="008206CA">
                        <w:rPr>
                          <w:color w:val="FFFFFF"/>
                          <w:sz w:val="20"/>
                          <w:szCs w:val="20"/>
                        </w:rPr>
                        <w:t>The Standards Committee is responsible for monitoring and scrutinising the standards of Members.</w:t>
                      </w:r>
                    </w:p>
                    <w:p w14:paraId="72BC89A2" w14:textId="77777777" w:rsidR="008206CA" w:rsidRPr="008206CA" w:rsidRDefault="008206CA" w:rsidP="008206CA">
                      <w:pPr>
                        <w:pStyle w:val="Default"/>
                        <w:numPr>
                          <w:ilvl w:val="0"/>
                          <w:numId w:val="35"/>
                        </w:numPr>
                        <w:rPr>
                          <w:color w:val="FFFFFF"/>
                          <w:sz w:val="20"/>
                          <w:szCs w:val="20"/>
                        </w:rPr>
                      </w:pPr>
                      <w:r w:rsidRPr="008206CA">
                        <w:rPr>
                          <w:color w:val="FFFFFF"/>
                          <w:sz w:val="20"/>
                          <w:szCs w:val="20"/>
                        </w:rPr>
                        <w:t>Member led authority principles with training to senior officers and Cabinet members.</w:t>
                      </w:r>
                    </w:p>
                    <w:p w14:paraId="45F8F367" w14:textId="77777777" w:rsidR="008206CA" w:rsidRPr="008206CA" w:rsidRDefault="008206CA" w:rsidP="008206CA">
                      <w:pPr>
                        <w:pStyle w:val="Default"/>
                        <w:numPr>
                          <w:ilvl w:val="0"/>
                          <w:numId w:val="35"/>
                        </w:numPr>
                        <w:rPr>
                          <w:color w:val="FFFFFF"/>
                          <w:sz w:val="20"/>
                          <w:szCs w:val="20"/>
                        </w:rPr>
                      </w:pPr>
                      <w:r w:rsidRPr="008206CA">
                        <w:rPr>
                          <w:color w:val="FFFFFF"/>
                          <w:sz w:val="20"/>
                          <w:szCs w:val="20"/>
                        </w:rPr>
                        <w:t>Compliance with a suite of policies/rules set out in the Constitution.</w:t>
                      </w:r>
                    </w:p>
                    <w:p w14:paraId="7A9E9174" w14:textId="77777777" w:rsidR="008206CA" w:rsidRPr="008206CA" w:rsidRDefault="008206CA" w:rsidP="008206CA">
                      <w:pPr>
                        <w:pStyle w:val="Default"/>
                        <w:numPr>
                          <w:ilvl w:val="0"/>
                          <w:numId w:val="35"/>
                        </w:numPr>
                        <w:rPr>
                          <w:color w:val="FFFFFF"/>
                          <w:sz w:val="20"/>
                          <w:szCs w:val="20"/>
                        </w:rPr>
                      </w:pPr>
                      <w:r w:rsidRPr="008206CA">
                        <w:rPr>
                          <w:color w:val="FFFFFF"/>
                          <w:sz w:val="20"/>
                          <w:szCs w:val="20"/>
                        </w:rPr>
                        <w:t>The Constitution sets out requirements as to gifts and hospitality and there are regular reminders circulated to both officers and members.</w:t>
                      </w:r>
                    </w:p>
                    <w:p w14:paraId="303F0395" w14:textId="77777777" w:rsidR="008206CA" w:rsidRPr="00ED2795" w:rsidRDefault="008206CA" w:rsidP="008206CA">
                      <w:pPr>
                        <w:pStyle w:val="Default"/>
                        <w:numPr>
                          <w:ilvl w:val="0"/>
                          <w:numId w:val="35"/>
                        </w:numPr>
                        <w:rPr>
                          <w:color w:val="auto"/>
                          <w:sz w:val="20"/>
                          <w:szCs w:val="20"/>
                        </w:rPr>
                      </w:pPr>
                      <w:r w:rsidRPr="00ED2795">
                        <w:rPr>
                          <w:color w:val="auto"/>
                          <w:sz w:val="20"/>
                          <w:szCs w:val="20"/>
                        </w:rPr>
                        <w:t>Adoption of Member Dispute Resolution Protocol</w:t>
                      </w:r>
                      <w:r>
                        <w:rPr>
                          <w:color w:val="auto"/>
                          <w:sz w:val="20"/>
                          <w:szCs w:val="20"/>
                        </w:rPr>
                        <w:t>.</w:t>
                      </w:r>
                    </w:p>
                    <w:p w14:paraId="7C792917" w14:textId="77777777" w:rsidR="008206CA" w:rsidRPr="00ED2795" w:rsidRDefault="008206CA" w:rsidP="008206CA">
                      <w:pPr>
                        <w:pStyle w:val="Default"/>
                        <w:numPr>
                          <w:ilvl w:val="0"/>
                          <w:numId w:val="35"/>
                        </w:numPr>
                        <w:rPr>
                          <w:color w:val="auto"/>
                          <w:sz w:val="20"/>
                          <w:szCs w:val="20"/>
                        </w:rPr>
                      </w:pPr>
                      <w:r w:rsidRPr="00ED2795">
                        <w:rPr>
                          <w:color w:val="auto"/>
                          <w:sz w:val="20"/>
                          <w:szCs w:val="20"/>
                        </w:rPr>
                        <w:t>Officers/m</w:t>
                      </w:r>
                      <w:r>
                        <w:rPr>
                          <w:color w:val="auto"/>
                          <w:sz w:val="20"/>
                          <w:szCs w:val="20"/>
                        </w:rPr>
                        <w:t>embers declarations of interest.</w:t>
                      </w:r>
                    </w:p>
                    <w:p w14:paraId="4F2A5FE0" w14:textId="77777777" w:rsidR="008206CA" w:rsidRPr="00ED2795" w:rsidRDefault="008206CA" w:rsidP="008206CA">
                      <w:pPr>
                        <w:pStyle w:val="Default"/>
                        <w:numPr>
                          <w:ilvl w:val="0"/>
                          <w:numId w:val="35"/>
                        </w:numPr>
                        <w:rPr>
                          <w:color w:val="auto"/>
                          <w:sz w:val="20"/>
                          <w:szCs w:val="20"/>
                        </w:rPr>
                      </w:pPr>
                      <w:r w:rsidRPr="00ED2795">
                        <w:rPr>
                          <w:color w:val="auto"/>
                          <w:sz w:val="20"/>
                          <w:szCs w:val="20"/>
                        </w:rPr>
                        <w:t>Officer Secondary Employment Policy</w:t>
                      </w:r>
                      <w:r>
                        <w:rPr>
                          <w:color w:val="auto"/>
                          <w:sz w:val="20"/>
                          <w:szCs w:val="20"/>
                        </w:rPr>
                        <w:t>.</w:t>
                      </w:r>
                    </w:p>
                    <w:p w14:paraId="27ACEC6B" w14:textId="77777777" w:rsidR="008206CA" w:rsidRPr="00ED2795" w:rsidRDefault="008206CA" w:rsidP="008206CA">
                      <w:pPr>
                        <w:pStyle w:val="Default"/>
                        <w:rPr>
                          <w:color w:val="auto"/>
                          <w:sz w:val="20"/>
                          <w:szCs w:val="20"/>
                        </w:rPr>
                      </w:pPr>
                    </w:p>
                    <w:p w14:paraId="2FF688C2" w14:textId="77777777" w:rsidR="008206CA" w:rsidRPr="00ED2795" w:rsidRDefault="008206CA" w:rsidP="008206CA">
                      <w:pPr>
                        <w:pStyle w:val="ListParagraph"/>
                        <w:spacing w:line="240" w:lineRule="auto"/>
                        <w:ind w:left="578"/>
                        <w:rPr>
                          <w:rFonts w:cs="Arial"/>
                          <w:sz w:val="20"/>
                          <w:szCs w:val="20"/>
                        </w:rPr>
                      </w:pPr>
                    </w:p>
                    <w:p w14:paraId="1FE943AF" w14:textId="77777777" w:rsidR="008206CA" w:rsidRDefault="008206CA" w:rsidP="008206CA">
                      <w:pPr>
                        <w:ind w:left="284" w:hanging="426"/>
                        <w:rPr>
                          <w:rFonts w:ascii="Arial" w:hAnsi="Arial" w:cs="Arial"/>
                        </w:rPr>
                      </w:pPr>
                    </w:p>
                    <w:p w14:paraId="52D655CF" w14:textId="77777777" w:rsidR="008206CA" w:rsidRPr="002C4072" w:rsidRDefault="008206CA" w:rsidP="008206CA">
                      <w:pPr>
                        <w:ind w:left="284" w:hanging="426"/>
                        <w:rPr>
                          <w:rFonts w:ascii="Arial" w:hAnsi="Arial" w:cs="Arial"/>
                        </w:rPr>
                      </w:pPr>
                    </w:p>
                    <w:p w14:paraId="03A6B9C0" w14:textId="77777777" w:rsidR="008206CA" w:rsidRDefault="008206CA" w:rsidP="008206CA">
                      <w:pPr>
                        <w:ind w:left="284" w:hanging="426"/>
                        <w:rPr>
                          <w:rFonts w:ascii="Arial" w:hAnsi="Arial" w:cs="Arial"/>
                        </w:rPr>
                      </w:pPr>
                    </w:p>
                    <w:p w14:paraId="2E309C2B" w14:textId="77777777" w:rsidR="008206CA" w:rsidRDefault="008206CA" w:rsidP="008206CA">
                      <w:pPr>
                        <w:ind w:left="284" w:hanging="426"/>
                        <w:rPr>
                          <w:rFonts w:ascii="Arial" w:hAnsi="Arial" w:cs="Arial"/>
                        </w:rPr>
                      </w:pPr>
                    </w:p>
                    <w:p w14:paraId="19E3F7EA" w14:textId="77777777" w:rsidR="008206CA" w:rsidRDefault="008206CA" w:rsidP="008206CA">
                      <w:pPr>
                        <w:ind w:left="284" w:hanging="426"/>
                        <w:rPr>
                          <w:rFonts w:ascii="Arial" w:hAnsi="Arial" w:cs="Arial"/>
                        </w:rPr>
                      </w:pPr>
                    </w:p>
                    <w:p w14:paraId="59AA7AC3" w14:textId="77777777" w:rsidR="008206CA" w:rsidRPr="008206CA" w:rsidRDefault="008206CA" w:rsidP="008206CA">
                      <w:pPr>
                        <w:ind w:left="284" w:hanging="426"/>
                        <w:rPr>
                          <w:rFonts w:ascii="Symbol" w:hAnsi="Symbol"/>
                          <w:highlight w:val="lightGray"/>
                        </w:rPr>
                      </w:pPr>
                    </w:p>
                  </w:txbxContent>
                </v:textbox>
                <w10:wrap anchorx="margin"/>
              </v:roundrect>
            </w:pict>
          </mc:Fallback>
        </mc:AlternateContent>
      </w:r>
      <w:r w:rsidR="008206CA" w:rsidRPr="005D7CF9">
        <w:rPr>
          <w:rFonts w:ascii="Arial" w:hAnsi="Arial" w:cs="Arial"/>
          <w:b/>
          <w:sz w:val="24"/>
          <w:szCs w:val="24"/>
        </w:rPr>
        <w:t>How we do this:</w:t>
      </w:r>
    </w:p>
    <w:p w14:paraId="678616D6" w14:textId="227F251D" w:rsidR="008206CA" w:rsidRDefault="00516E75" w:rsidP="008206CA">
      <w:pPr>
        <w:rPr>
          <w:rFonts w:ascii="Arial" w:hAnsi="Arial" w:cs="Arial"/>
          <w:b/>
          <w:sz w:val="24"/>
          <w:szCs w:val="24"/>
        </w:rPr>
      </w:pPr>
      <w:r>
        <w:rPr>
          <w:noProof/>
        </w:rPr>
        <mc:AlternateContent>
          <mc:Choice Requires="wps">
            <w:drawing>
              <wp:anchor distT="0" distB="0" distL="114300" distR="114300" simplePos="0" relativeHeight="251639808" behindDoc="0" locked="0" layoutInCell="1" allowOverlap="1" wp14:anchorId="74F2D583" wp14:editId="7EA8883A">
                <wp:simplePos x="0" y="0"/>
                <wp:positionH relativeFrom="column">
                  <wp:posOffset>6362700</wp:posOffset>
                </wp:positionH>
                <wp:positionV relativeFrom="paragraph">
                  <wp:posOffset>118745</wp:posOffset>
                </wp:positionV>
                <wp:extent cx="3112770" cy="4084320"/>
                <wp:effectExtent l="0" t="0" r="0" b="0"/>
                <wp:wrapNone/>
                <wp:docPr id="114" name="Rectangle: Rounded Corners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2770" cy="4084320"/>
                        </a:xfrm>
                        <a:prstGeom prst="roundRect">
                          <a:avLst/>
                        </a:prstGeom>
                        <a:solidFill>
                          <a:srgbClr val="4F81BD"/>
                        </a:solidFill>
                        <a:ln w="25400" cap="flat" cmpd="sng" algn="ctr">
                          <a:solidFill>
                            <a:srgbClr val="4F81BD">
                              <a:shade val="50000"/>
                            </a:srgbClr>
                          </a:solidFill>
                          <a:prstDash val="solid"/>
                        </a:ln>
                        <a:effectLst/>
                      </wps:spPr>
                      <wps:txbx>
                        <w:txbxContent>
                          <w:p w14:paraId="03012220"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The Statutory officers and Members ensure compliance with legislative and regulatory requirements via a robust framework including the scheme of delegation, induction training, standing procedures and rules set out in the Constitution.</w:t>
                            </w:r>
                          </w:p>
                          <w:p w14:paraId="5D86DC65"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Reports to Committees have legal/finance clearance.</w:t>
                            </w:r>
                          </w:p>
                          <w:p w14:paraId="19C2066F"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Robust Scrutiny and Call-In function.</w:t>
                            </w:r>
                          </w:p>
                          <w:p w14:paraId="437D7E7B"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Robust audit challenge.</w:t>
                            </w:r>
                          </w:p>
                          <w:p w14:paraId="406A0A54"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External challenge from auditors, Ombudsman and other external agencies.</w:t>
                            </w:r>
                          </w:p>
                          <w:p w14:paraId="3F1B0398"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The Monitoring Officer ensures the Council complies with statute and reports on any maladministration.</w:t>
                            </w:r>
                          </w:p>
                          <w:p w14:paraId="0A65B836"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 xml:space="preserve">An effective anti-fraud and corruption framework supported by a suite of policies i.e. whistleblowing. </w:t>
                            </w:r>
                          </w:p>
                          <w:p w14:paraId="7B58A8DC" w14:textId="77777777" w:rsidR="008206CA" w:rsidRPr="008206CA" w:rsidRDefault="008206CA" w:rsidP="008206CA">
                            <w:pPr>
                              <w:pStyle w:val="Default"/>
                              <w:rPr>
                                <w:color w:val="FFFFFF"/>
                                <w:sz w:val="22"/>
                                <w:szCs w:val="22"/>
                              </w:rPr>
                            </w:pPr>
                          </w:p>
                          <w:p w14:paraId="1352F770" w14:textId="77777777" w:rsidR="008206CA" w:rsidRPr="008206CA" w:rsidRDefault="008206CA" w:rsidP="008206CA">
                            <w:pPr>
                              <w:pStyle w:val="Default"/>
                              <w:rPr>
                                <w:color w:val="FFFFFF"/>
                                <w:sz w:val="22"/>
                                <w:szCs w:val="22"/>
                              </w:rPr>
                            </w:pPr>
                          </w:p>
                          <w:p w14:paraId="70EB2C5F" w14:textId="77777777" w:rsidR="008206CA" w:rsidRPr="008206CA" w:rsidRDefault="008206CA" w:rsidP="008206CA">
                            <w:pPr>
                              <w:pStyle w:val="Default"/>
                              <w:rPr>
                                <w:color w:val="FFFFFF"/>
                                <w:sz w:val="22"/>
                                <w:szCs w:val="22"/>
                              </w:rPr>
                            </w:pPr>
                          </w:p>
                          <w:p w14:paraId="09122A8E" w14:textId="77777777" w:rsidR="008206CA" w:rsidRPr="008206CA" w:rsidRDefault="008206CA" w:rsidP="008206CA">
                            <w:pPr>
                              <w:pStyle w:val="Default"/>
                              <w:rPr>
                                <w:color w:val="FFFFFF"/>
                                <w:sz w:val="22"/>
                                <w:szCs w:val="22"/>
                              </w:rPr>
                            </w:pPr>
                          </w:p>
                          <w:p w14:paraId="18F74EBF" w14:textId="77777777" w:rsidR="008206CA" w:rsidRPr="008206CA" w:rsidRDefault="008206CA" w:rsidP="008206CA">
                            <w:pPr>
                              <w:pStyle w:val="Default"/>
                              <w:rPr>
                                <w:color w:val="FFFFFF"/>
                                <w:sz w:val="22"/>
                                <w:szCs w:val="22"/>
                              </w:rPr>
                            </w:pPr>
                          </w:p>
                          <w:p w14:paraId="6294C1F6" w14:textId="77777777" w:rsidR="008206CA" w:rsidRPr="008206CA" w:rsidRDefault="008206CA" w:rsidP="008206CA">
                            <w:pPr>
                              <w:pStyle w:val="Default"/>
                              <w:rPr>
                                <w:color w:val="FFFFFF"/>
                                <w:sz w:val="22"/>
                                <w:szCs w:val="22"/>
                              </w:rPr>
                            </w:pPr>
                          </w:p>
                          <w:p w14:paraId="7FE1ECA1" w14:textId="77777777" w:rsidR="008206CA" w:rsidRPr="008206CA" w:rsidRDefault="008206CA" w:rsidP="008206CA">
                            <w:pPr>
                              <w:pStyle w:val="Default"/>
                              <w:rPr>
                                <w:color w:val="FFFFFF"/>
                                <w:sz w:val="22"/>
                                <w:szCs w:val="22"/>
                              </w:rPr>
                            </w:pPr>
                          </w:p>
                          <w:p w14:paraId="193FDCC5" w14:textId="77777777" w:rsidR="008206CA" w:rsidRPr="005D5B88" w:rsidRDefault="008206CA" w:rsidP="008206CA">
                            <w:pPr>
                              <w:pStyle w:val="ListParagraph"/>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2D583" id="Rectangle: Rounded Corners 114" o:spid="_x0000_s1030" style="position:absolute;margin-left:501pt;margin-top:9.35pt;width:245.1pt;height:321.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" fillcolor="#4f81bd" strokecolor="#385d8a" strokeweight="2pt">
                <v:path arrowok="t"/>
                <v:textbox>
                  <w:txbxContent>
                    <w:p w14:paraId="03012220"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The Statutory officers and Members ensure compliance with legislative and regulatory requirements via a robust framework including the scheme of delegation, induction training, standing procedures and rules set out in the Constitution.</w:t>
                      </w:r>
                    </w:p>
                    <w:p w14:paraId="5D86DC65"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Reports to Committees have legal/finance clearance.</w:t>
                      </w:r>
                    </w:p>
                    <w:p w14:paraId="19C2066F"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Robust Scrutiny and Call-In function.</w:t>
                      </w:r>
                    </w:p>
                    <w:p w14:paraId="437D7E7B"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Robust audit challenge.</w:t>
                      </w:r>
                    </w:p>
                    <w:p w14:paraId="406A0A54"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External challenge from auditors, Ombudsman and other external agencies.</w:t>
                      </w:r>
                    </w:p>
                    <w:p w14:paraId="3F1B0398"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The Monitoring Officer ensures the Council complies with statute and reports on any maladministration.</w:t>
                      </w:r>
                    </w:p>
                    <w:p w14:paraId="0A65B836"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 xml:space="preserve">An effective anti-fraud and corruption framework supported by a suite of policies i.e. whistleblowing. </w:t>
                      </w:r>
                    </w:p>
                    <w:p w14:paraId="7B58A8DC" w14:textId="77777777" w:rsidR="008206CA" w:rsidRPr="008206CA" w:rsidRDefault="008206CA" w:rsidP="008206CA">
                      <w:pPr>
                        <w:pStyle w:val="Default"/>
                        <w:rPr>
                          <w:color w:val="FFFFFF"/>
                          <w:sz w:val="22"/>
                          <w:szCs w:val="22"/>
                        </w:rPr>
                      </w:pPr>
                    </w:p>
                    <w:p w14:paraId="1352F770" w14:textId="77777777" w:rsidR="008206CA" w:rsidRPr="008206CA" w:rsidRDefault="008206CA" w:rsidP="008206CA">
                      <w:pPr>
                        <w:pStyle w:val="Default"/>
                        <w:rPr>
                          <w:color w:val="FFFFFF"/>
                          <w:sz w:val="22"/>
                          <w:szCs w:val="22"/>
                        </w:rPr>
                      </w:pPr>
                    </w:p>
                    <w:p w14:paraId="70EB2C5F" w14:textId="77777777" w:rsidR="008206CA" w:rsidRPr="008206CA" w:rsidRDefault="008206CA" w:rsidP="008206CA">
                      <w:pPr>
                        <w:pStyle w:val="Default"/>
                        <w:rPr>
                          <w:color w:val="FFFFFF"/>
                          <w:sz w:val="22"/>
                          <w:szCs w:val="22"/>
                        </w:rPr>
                      </w:pPr>
                    </w:p>
                    <w:p w14:paraId="09122A8E" w14:textId="77777777" w:rsidR="008206CA" w:rsidRPr="008206CA" w:rsidRDefault="008206CA" w:rsidP="008206CA">
                      <w:pPr>
                        <w:pStyle w:val="Default"/>
                        <w:rPr>
                          <w:color w:val="FFFFFF"/>
                          <w:sz w:val="22"/>
                          <w:szCs w:val="22"/>
                        </w:rPr>
                      </w:pPr>
                    </w:p>
                    <w:p w14:paraId="18F74EBF" w14:textId="77777777" w:rsidR="008206CA" w:rsidRPr="008206CA" w:rsidRDefault="008206CA" w:rsidP="008206CA">
                      <w:pPr>
                        <w:pStyle w:val="Default"/>
                        <w:rPr>
                          <w:color w:val="FFFFFF"/>
                          <w:sz w:val="22"/>
                          <w:szCs w:val="22"/>
                        </w:rPr>
                      </w:pPr>
                    </w:p>
                    <w:p w14:paraId="6294C1F6" w14:textId="77777777" w:rsidR="008206CA" w:rsidRPr="008206CA" w:rsidRDefault="008206CA" w:rsidP="008206CA">
                      <w:pPr>
                        <w:pStyle w:val="Default"/>
                        <w:rPr>
                          <w:color w:val="FFFFFF"/>
                          <w:sz w:val="22"/>
                          <w:szCs w:val="22"/>
                        </w:rPr>
                      </w:pPr>
                    </w:p>
                    <w:p w14:paraId="7FE1ECA1" w14:textId="77777777" w:rsidR="008206CA" w:rsidRPr="008206CA" w:rsidRDefault="008206CA" w:rsidP="008206CA">
                      <w:pPr>
                        <w:pStyle w:val="Default"/>
                        <w:rPr>
                          <w:color w:val="FFFFFF"/>
                          <w:sz w:val="22"/>
                          <w:szCs w:val="22"/>
                        </w:rPr>
                      </w:pPr>
                    </w:p>
                    <w:p w14:paraId="193FDCC5" w14:textId="77777777" w:rsidR="008206CA" w:rsidRPr="005D5B88" w:rsidRDefault="008206CA" w:rsidP="008206CA">
                      <w:pPr>
                        <w:pStyle w:val="ListParagraph"/>
                        <w:rPr>
                          <w:sz w:val="20"/>
                          <w:szCs w:val="20"/>
                        </w:rPr>
                      </w:pPr>
                    </w:p>
                  </w:txbxContent>
                </v:textbox>
              </v:roundrect>
            </w:pict>
          </mc:Fallback>
        </mc:AlternateContent>
      </w:r>
      <w:r>
        <w:rPr>
          <w:noProof/>
        </w:rPr>
        <mc:AlternateContent>
          <mc:Choice Requires="wps">
            <w:drawing>
              <wp:anchor distT="0" distB="0" distL="114300" distR="114300" simplePos="0" relativeHeight="251638784" behindDoc="0" locked="0" layoutInCell="1" allowOverlap="1" wp14:anchorId="22F5E738" wp14:editId="523B542B">
                <wp:simplePos x="0" y="0"/>
                <wp:positionH relativeFrom="column">
                  <wp:posOffset>2838450</wp:posOffset>
                </wp:positionH>
                <wp:positionV relativeFrom="paragraph">
                  <wp:posOffset>80645</wp:posOffset>
                </wp:positionV>
                <wp:extent cx="3352800" cy="4099560"/>
                <wp:effectExtent l="0" t="0" r="0" b="0"/>
                <wp:wrapNone/>
                <wp:docPr id="113" name="Rectangle: Rounded Corners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409956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A3CEABC"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Council’s appraisal and recruitment system based on competencies, training and objectives underpin personal behaviours with ethical values.</w:t>
                            </w:r>
                          </w:p>
                          <w:p w14:paraId="6E062342"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Commitment to working to promote high standards of performance based on the Nolan principles.</w:t>
                            </w:r>
                          </w:p>
                          <w:p w14:paraId="7C838991"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Adoption of Welsh Government ethical ways of working.</w:t>
                            </w:r>
                          </w:p>
                          <w:p w14:paraId="5D4183C6"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Swansea Pledge.</w:t>
                            </w:r>
                          </w:p>
                          <w:p w14:paraId="356925C3"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Constitution contains comprehensive Procurement and Financial Procedure Rules.</w:t>
                            </w:r>
                          </w:p>
                          <w:p w14:paraId="1DDA73B9" w14:textId="77777777" w:rsidR="008206CA" w:rsidRPr="008206CA" w:rsidRDefault="008206CA" w:rsidP="008206CA">
                            <w:pPr>
                              <w:pStyle w:val="Default"/>
                              <w:rPr>
                                <w:color w:val="FFFFFF"/>
                                <w:sz w:val="22"/>
                                <w:szCs w:val="22"/>
                              </w:rPr>
                            </w:pPr>
                          </w:p>
                          <w:p w14:paraId="6096376D" w14:textId="77777777" w:rsidR="008206CA" w:rsidRPr="008206CA" w:rsidRDefault="008206CA" w:rsidP="008206CA">
                            <w:pPr>
                              <w:pStyle w:val="Default"/>
                              <w:rPr>
                                <w:color w:val="FFFFFF"/>
                                <w:sz w:val="22"/>
                                <w:szCs w:val="22"/>
                              </w:rPr>
                            </w:pPr>
                          </w:p>
                          <w:p w14:paraId="7DD94BC7" w14:textId="77777777" w:rsidR="008206CA" w:rsidRPr="008206CA" w:rsidRDefault="008206CA" w:rsidP="008206CA">
                            <w:pPr>
                              <w:pStyle w:val="Default"/>
                              <w:rPr>
                                <w:color w:val="FFFFFF"/>
                                <w:sz w:val="22"/>
                                <w:szCs w:val="22"/>
                              </w:rPr>
                            </w:pPr>
                          </w:p>
                          <w:p w14:paraId="143D02D0" w14:textId="77777777" w:rsidR="008206CA" w:rsidRPr="008206CA" w:rsidRDefault="008206CA" w:rsidP="008206CA">
                            <w:pPr>
                              <w:pStyle w:val="Default"/>
                              <w:rPr>
                                <w:color w:val="FFFFFF"/>
                                <w:sz w:val="22"/>
                                <w:szCs w:val="22"/>
                              </w:rPr>
                            </w:pPr>
                          </w:p>
                          <w:p w14:paraId="03A1A03C" w14:textId="77777777" w:rsidR="008206CA" w:rsidRPr="008206CA" w:rsidRDefault="008206CA" w:rsidP="008206CA">
                            <w:pPr>
                              <w:pStyle w:val="Default"/>
                              <w:rPr>
                                <w:color w:val="FFFFFF"/>
                                <w:sz w:val="22"/>
                                <w:szCs w:val="22"/>
                              </w:rPr>
                            </w:pPr>
                          </w:p>
                          <w:p w14:paraId="6A8CD9E3" w14:textId="77777777" w:rsidR="008206CA" w:rsidRPr="008206CA" w:rsidRDefault="008206CA" w:rsidP="008206CA">
                            <w:pPr>
                              <w:pStyle w:val="Default"/>
                              <w:rPr>
                                <w:color w:val="FFFFFF"/>
                                <w:sz w:val="22"/>
                                <w:szCs w:val="22"/>
                              </w:rPr>
                            </w:pPr>
                          </w:p>
                          <w:p w14:paraId="388FCD3B" w14:textId="77777777" w:rsidR="008206CA" w:rsidRPr="008206CA" w:rsidRDefault="008206CA" w:rsidP="008206CA">
                            <w:pPr>
                              <w:pStyle w:val="Default"/>
                              <w:rPr>
                                <w:color w:val="FFFFFF"/>
                                <w:sz w:val="22"/>
                                <w:szCs w:val="22"/>
                              </w:rPr>
                            </w:pPr>
                          </w:p>
                          <w:p w14:paraId="7FC11C42" w14:textId="77777777" w:rsidR="008206CA" w:rsidRPr="008206CA" w:rsidRDefault="008206CA" w:rsidP="008206CA">
                            <w:pPr>
                              <w:pStyle w:val="Default"/>
                              <w:rPr>
                                <w:color w:val="FFFFFF"/>
                                <w:sz w:val="22"/>
                                <w:szCs w:val="22"/>
                              </w:rPr>
                            </w:pPr>
                          </w:p>
                          <w:p w14:paraId="2E660949" w14:textId="77777777" w:rsidR="008206CA" w:rsidRPr="008206CA" w:rsidRDefault="008206CA" w:rsidP="008206CA">
                            <w:pPr>
                              <w:pStyle w:val="Default"/>
                              <w:rPr>
                                <w:color w:val="FFFFFF"/>
                                <w:sz w:val="22"/>
                                <w:szCs w:val="22"/>
                              </w:rPr>
                            </w:pPr>
                          </w:p>
                          <w:p w14:paraId="1B7F125C" w14:textId="77777777" w:rsidR="008206CA" w:rsidRPr="008206CA" w:rsidRDefault="008206CA" w:rsidP="008206CA">
                            <w:pPr>
                              <w:pStyle w:val="Default"/>
                              <w:rPr>
                                <w:color w:val="FFFFFF"/>
                                <w:sz w:val="22"/>
                                <w:szCs w:val="22"/>
                              </w:rPr>
                            </w:pPr>
                          </w:p>
                          <w:p w14:paraId="74F008EB" w14:textId="77777777" w:rsidR="008206CA" w:rsidRPr="008206CA" w:rsidRDefault="008206CA" w:rsidP="008206CA">
                            <w:pPr>
                              <w:pStyle w:val="Default"/>
                              <w:rPr>
                                <w:color w:val="FFFFFF"/>
                                <w:sz w:val="22"/>
                                <w:szCs w:val="22"/>
                              </w:rPr>
                            </w:pPr>
                          </w:p>
                          <w:p w14:paraId="379313BC" w14:textId="77777777" w:rsidR="008206CA" w:rsidRPr="008206CA" w:rsidRDefault="008206CA" w:rsidP="008206CA">
                            <w:pPr>
                              <w:pStyle w:val="Default"/>
                              <w:rPr>
                                <w:color w:val="FFFFFF"/>
                                <w:sz w:val="22"/>
                                <w:szCs w:val="22"/>
                              </w:rPr>
                            </w:pPr>
                          </w:p>
                          <w:p w14:paraId="2068F096" w14:textId="77777777" w:rsidR="008206CA" w:rsidRPr="008206CA" w:rsidRDefault="008206CA" w:rsidP="008206CA">
                            <w:pPr>
                              <w:pStyle w:val="Default"/>
                              <w:rPr>
                                <w:color w:val="FFFFFF"/>
                                <w:sz w:val="22"/>
                                <w:szCs w:val="22"/>
                              </w:rPr>
                            </w:pPr>
                          </w:p>
                          <w:p w14:paraId="74E2636F" w14:textId="77777777" w:rsidR="008206CA" w:rsidRDefault="008206CA" w:rsidP="008206CA">
                            <w:pPr>
                              <w:rPr>
                                <w:sz w:val="20"/>
                              </w:rPr>
                            </w:pPr>
                          </w:p>
                          <w:p w14:paraId="2C0D9B54" w14:textId="77777777" w:rsidR="008206CA" w:rsidRPr="002C4072" w:rsidRDefault="008206CA" w:rsidP="008206CA">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5E738" id="Rectangle: Rounded Corners 113" o:spid="_x0000_s1031" style="position:absolute;margin-left:223.5pt;margin-top:6.35pt;width:264pt;height:322.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" fillcolor="#4472c4" strokecolor="#2f528f" strokeweight="1pt">
                <v:stroke joinstyle="miter"/>
                <v:path arrowok="t"/>
                <v:textbox>
                  <w:txbxContent>
                    <w:p w14:paraId="5A3CEABC"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Council’s appraisal and recruitment system based on competencies, training and objectives underpin personal behaviours with ethical values.</w:t>
                      </w:r>
                    </w:p>
                    <w:p w14:paraId="6E062342"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Commitment to working to promote high standards of performance based on the Nolan principles.</w:t>
                      </w:r>
                    </w:p>
                    <w:p w14:paraId="7C838991"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Adoption of Welsh Government ethical ways of working.</w:t>
                      </w:r>
                    </w:p>
                    <w:p w14:paraId="5D4183C6"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Swansea Pledge.</w:t>
                      </w:r>
                    </w:p>
                    <w:p w14:paraId="356925C3"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Constitution contains comprehensive Procurement and Financial Procedure Rules.</w:t>
                      </w:r>
                    </w:p>
                    <w:p w14:paraId="1DDA73B9" w14:textId="77777777" w:rsidR="008206CA" w:rsidRPr="008206CA" w:rsidRDefault="008206CA" w:rsidP="008206CA">
                      <w:pPr>
                        <w:pStyle w:val="Default"/>
                        <w:rPr>
                          <w:color w:val="FFFFFF"/>
                          <w:sz w:val="22"/>
                          <w:szCs w:val="22"/>
                        </w:rPr>
                      </w:pPr>
                    </w:p>
                    <w:p w14:paraId="6096376D" w14:textId="77777777" w:rsidR="008206CA" w:rsidRPr="008206CA" w:rsidRDefault="008206CA" w:rsidP="008206CA">
                      <w:pPr>
                        <w:pStyle w:val="Default"/>
                        <w:rPr>
                          <w:color w:val="FFFFFF"/>
                          <w:sz w:val="22"/>
                          <w:szCs w:val="22"/>
                        </w:rPr>
                      </w:pPr>
                    </w:p>
                    <w:p w14:paraId="7DD94BC7" w14:textId="77777777" w:rsidR="008206CA" w:rsidRPr="008206CA" w:rsidRDefault="008206CA" w:rsidP="008206CA">
                      <w:pPr>
                        <w:pStyle w:val="Default"/>
                        <w:rPr>
                          <w:color w:val="FFFFFF"/>
                          <w:sz w:val="22"/>
                          <w:szCs w:val="22"/>
                        </w:rPr>
                      </w:pPr>
                    </w:p>
                    <w:p w14:paraId="143D02D0" w14:textId="77777777" w:rsidR="008206CA" w:rsidRPr="008206CA" w:rsidRDefault="008206CA" w:rsidP="008206CA">
                      <w:pPr>
                        <w:pStyle w:val="Default"/>
                        <w:rPr>
                          <w:color w:val="FFFFFF"/>
                          <w:sz w:val="22"/>
                          <w:szCs w:val="22"/>
                        </w:rPr>
                      </w:pPr>
                    </w:p>
                    <w:p w14:paraId="03A1A03C" w14:textId="77777777" w:rsidR="008206CA" w:rsidRPr="008206CA" w:rsidRDefault="008206CA" w:rsidP="008206CA">
                      <w:pPr>
                        <w:pStyle w:val="Default"/>
                        <w:rPr>
                          <w:color w:val="FFFFFF"/>
                          <w:sz w:val="22"/>
                          <w:szCs w:val="22"/>
                        </w:rPr>
                      </w:pPr>
                    </w:p>
                    <w:p w14:paraId="6A8CD9E3" w14:textId="77777777" w:rsidR="008206CA" w:rsidRPr="008206CA" w:rsidRDefault="008206CA" w:rsidP="008206CA">
                      <w:pPr>
                        <w:pStyle w:val="Default"/>
                        <w:rPr>
                          <w:color w:val="FFFFFF"/>
                          <w:sz w:val="22"/>
                          <w:szCs w:val="22"/>
                        </w:rPr>
                      </w:pPr>
                    </w:p>
                    <w:p w14:paraId="388FCD3B" w14:textId="77777777" w:rsidR="008206CA" w:rsidRPr="008206CA" w:rsidRDefault="008206CA" w:rsidP="008206CA">
                      <w:pPr>
                        <w:pStyle w:val="Default"/>
                        <w:rPr>
                          <w:color w:val="FFFFFF"/>
                          <w:sz w:val="22"/>
                          <w:szCs w:val="22"/>
                        </w:rPr>
                      </w:pPr>
                    </w:p>
                    <w:p w14:paraId="7FC11C42" w14:textId="77777777" w:rsidR="008206CA" w:rsidRPr="008206CA" w:rsidRDefault="008206CA" w:rsidP="008206CA">
                      <w:pPr>
                        <w:pStyle w:val="Default"/>
                        <w:rPr>
                          <w:color w:val="FFFFFF"/>
                          <w:sz w:val="22"/>
                          <w:szCs w:val="22"/>
                        </w:rPr>
                      </w:pPr>
                    </w:p>
                    <w:p w14:paraId="2E660949" w14:textId="77777777" w:rsidR="008206CA" w:rsidRPr="008206CA" w:rsidRDefault="008206CA" w:rsidP="008206CA">
                      <w:pPr>
                        <w:pStyle w:val="Default"/>
                        <w:rPr>
                          <w:color w:val="FFFFFF"/>
                          <w:sz w:val="22"/>
                          <w:szCs w:val="22"/>
                        </w:rPr>
                      </w:pPr>
                    </w:p>
                    <w:p w14:paraId="1B7F125C" w14:textId="77777777" w:rsidR="008206CA" w:rsidRPr="008206CA" w:rsidRDefault="008206CA" w:rsidP="008206CA">
                      <w:pPr>
                        <w:pStyle w:val="Default"/>
                        <w:rPr>
                          <w:color w:val="FFFFFF"/>
                          <w:sz w:val="22"/>
                          <w:szCs w:val="22"/>
                        </w:rPr>
                      </w:pPr>
                    </w:p>
                    <w:p w14:paraId="74F008EB" w14:textId="77777777" w:rsidR="008206CA" w:rsidRPr="008206CA" w:rsidRDefault="008206CA" w:rsidP="008206CA">
                      <w:pPr>
                        <w:pStyle w:val="Default"/>
                        <w:rPr>
                          <w:color w:val="FFFFFF"/>
                          <w:sz w:val="22"/>
                          <w:szCs w:val="22"/>
                        </w:rPr>
                      </w:pPr>
                    </w:p>
                    <w:p w14:paraId="379313BC" w14:textId="77777777" w:rsidR="008206CA" w:rsidRPr="008206CA" w:rsidRDefault="008206CA" w:rsidP="008206CA">
                      <w:pPr>
                        <w:pStyle w:val="Default"/>
                        <w:rPr>
                          <w:color w:val="FFFFFF"/>
                          <w:sz w:val="22"/>
                          <w:szCs w:val="22"/>
                        </w:rPr>
                      </w:pPr>
                    </w:p>
                    <w:p w14:paraId="2068F096" w14:textId="77777777" w:rsidR="008206CA" w:rsidRPr="008206CA" w:rsidRDefault="008206CA" w:rsidP="008206CA">
                      <w:pPr>
                        <w:pStyle w:val="Default"/>
                        <w:rPr>
                          <w:color w:val="FFFFFF"/>
                          <w:sz w:val="22"/>
                          <w:szCs w:val="22"/>
                        </w:rPr>
                      </w:pPr>
                    </w:p>
                    <w:p w14:paraId="74E2636F" w14:textId="77777777" w:rsidR="008206CA" w:rsidRDefault="008206CA" w:rsidP="008206CA">
                      <w:pPr>
                        <w:rPr>
                          <w:sz w:val="20"/>
                        </w:rPr>
                      </w:pPr>
                    </w:p>
                    <w:p w14:paraId="2C0D9B54" w14:textId="77777777" w:rsidR="008206CA" w:rsidRPr="002C4072" w:rsidRDefault="008206CA" w:rsidP="008206CA">
                      <w:pPr>
                        <w:rPr>
                          <w:sz w:val="20"/>
                        </w:rPr>
                      </w:pPr>
                    </w:p>
                  </w:txbxContent>
                </v:textbox>
              </v:roundrect>
            </w:pict>
          </mc:Fallback>
        </mc:AlternateContent>
      </w:r>
    </w:p>
    <w:p w14:paraId="1E2710FF" w14:textId="77777777" w:rsidR="008206CA" w:rsidRDefault="008206CA" w:rsidP="008206CA">
      <w:pPr>
        <w:rPr>
          <w:rFonts w:ascii="Arial" w:hAnsi="Arial" w:cs="Arial"/>
          <w:b/>
          <w:sz w:val="24"/>
          <w:szCs w:val="24"/>
        </w:rPr>
      </w:pPr>
    </w:p>
    <w:p w14:paraId="5BC3C6C6" w14:textId="77777777" w:rsidR="008206CA" w:rsidRDefault="008206CA" w:rsidP="008206CA"/>
    <w:p w14:paraId="00AD865B" w14:textId="77777777" w:rsidR="008206CA" w:rsidRDefault="008206CA" w:rsidP="008206CA"/>
    <w:p w14:paraId="1C07FE2B" w14:textId="77777777" w:rsidR="008206CA" w:rsidRPr="004A31FE" w:rsidRDefault="008206CA" w:rsidP="008206CA">
      <w:pPr>
        <w:rPr>
          <w:rFonts w:ascii="Arial" w:hAnsi="Arial" w:cs="Arial"/>
          <w:b/>
          <w:sz w:val="24"/>
          <w:szCs w:val="24"/>
        </w:rPr>
        <w:sectPr w:rsidR="008206CA" w:rsidRPr="004A31FE" w:rsidSect="00DE37F4">
          <w:headerReference w:type="default" r:id="rId28"/>
          <w:pgSz w:w="16838" w:h="11906" w:orient="landscape"/>
          <w:pgMar w:top="1440" w:right="1440" w:bottom="1440" w:left="1440" w:header="708" w:footer="0" w:gutter="0"/>
          <w:cols w:space="708"/>
          <w:docGrid w:linePitch="360"/>
        </w:sectPr>
      </w:pPr>
    </w:p>
    <w:p w14:paraId="79AE786F" w14:textId="77777777" w:rsidR="008206CA" w:rsidRDefault="008206CA" w:rsidP="008206CA">
      <w:pPr>
        <w:rPr>
          <w:rFonts w:ascii="Arial" w:hAnsi="Arial" w:cs="Arial"/>
          <w:b/>
          <w:sz w:val="24"/>
          <w:szCs w:val="24"/>
        </w:rPr>
      </w:pPr>
      <w:r w:rsidRPr="000C4803">
        <w:rPr>
          <w:rFonts w:ascii="Arial" w:hAnsi="Arial" w:cs="Arial"/>
          <w:b/>
          <w:sz w:val="24"/>
          <w:szCs w:val="24"/>
        </w:rPr>
        <w:lastRenderedPageBreak/>
        <w:t>P</w:t>
      </w:r>
      <w:r>
        <w:rPr>
          <w:rFonts w:ascii="Arial" w:hAnsi="Arial" w:cs="Arial"/>
          <w:b/>
          <w:sz w:val="24"/>
          <w:szCs w:val="24"/>
        </w:rPr>
        <w:t>rinciple B</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743"/>
      </w:tblGrid>
      <w:tr w:rsidR="008206CA" w14:paraId="56258D55" w14:textId="77777777" w:rsidTr="00DE37F4">
        <w:trPr>
          <w:trHeight w:val="272"/>
        </w:trPr>
        <w:tc>
          <w:tcPr>
            <w:tcW w:w="14743" w:type="dxa"/>
            <w:shd w:val="clear" w:color="auto" w:fill="A6A6A6"/>
          </w:tcPr>
          <w:p w14:paraId="354F243D" w14:textId="77777777" w:rsidR="008206CA" w:rsidRPr="00DE37F4" w:rsidRDefault="008206CA" w:rsidP="00DE37F4">
            <w:pPr>
              <w:ind w:left="-709"/>
              <w:rPr>
                <w:rFonts w:ascii="Arial" w:hAnsi="Arial" w:cs="Arial"/>
                <w:noProof/>
                <w:sz w:val="24"/>
                <w:szCs w:val="24"/>
                <w:lang w:eastAsia="en-GB"/>
              </w:rPr>
            </w:pPr>
            <w:r w:rsidRPr="00DE37F4">
              <w:rPr>
                <w:rFonts w:ascii="Arial" w:hAnsi="Arial" w:cs="Arial"/>
                <w:b/>
                <w:bCs/>
                <w:color w:val="000000"/>
              </w:rPr>
              <w:t>Ens  Ensuring openness and comprehensive stakeholder engagement</w:t>
            </w:r>
          </w:p>
          <w:p w14:paraId="382DF53A" w14:textId="77777777" w:rsidR="008206CA" w:rsidRPr="00DE37F4" w:rsidRDefault="008206CA" w:rsidP="00DE37F4">
            <w:pPr>
              <w:rPr>
                <w:rFonts w:ascii="Arial" w:hAnsi="Arial" w:cs="Arial"/>
                <w:sz w:val="24"/>
                <w:szCs w:val="24"/>
              </w:rPr>
            </w:pPr>
          </w:p>
        </w:tc>
      </w:tr>
    </w:tbl>
    <w:p w14:paraId="79ABD8DB" w14:textId="77777777" w:rsidR="008206CA" w:rsidRPr="002C4072" w:rsidRDefault="008206CA" w:rsidP="008206CA">
      <w:pPr>
        <w:pStyle w:val="NoSpacing"/>
      </w:pPr>
    </w:p>
    <w:p w14:paraId="50AB47BD" w14:textId="21239C76" w:rsidR="008206CA" w:rsidRDefault="00516E75" w:rsidP="008206CA">
      <w:pPr>
        <w:ind w:left="-709"/>
        <w:rPr>
          <w:rFonts w:ascii="Arial" w:hAnsi="Arial" w:cs="Arial"/>
          <w:b/>
          <w:sz w:val="24"/>
          <w:szCs w:val="24"/>
        </w:rPr>
      </w:pPr>
      <w:r>
        <w:rPr>
          <w:noProof/>
        </w:rPr>
        <mc:AlternateContent>
          <mc:Choice Requires="wps">
            <w:drawing>
              <wp:anchor distT="45720" distB="45720" distL="114300" distR="114300" simplePos="0" relativeHeight="251640832" behindDoc="0" locked="0" layoutInCell="1" allowOverlap="1" wp14:anchorId="4EB42716" wp14:editId="2B0CB25E">
                <wp:simplePos x="0" y="0"/>
                <wp:positionH relativeFrom="margin">
                  <wp:posOffset>38100</wp:posOffset>
                </wp:positionH>
                <wp:positionV relativeFrom="paragraph">
                  <wp:posOffset>269875</wp:posOffset>
                </wp:positionV>
                <wp:extent cx="2686050" cy="552450"/>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52450"/>
                        </a:xfrm>
                        <a:prstGeom prst="rect">
                          <a:avLst/>
                        </a:prstGeom>
                        <a:solidFill>
                          <a:srgbClr val="FFFFFF"/>
                        </a:solidFill>
                        <a:ln w="9525">
                          <a:solidFill>
                            <a:srgbClr val="000000"/>
                          </a:solidFill>
                          <a:miter lim="800000"/>
                          <a:headEnd/>
                          <a:tailEnd/>
                        </a:ln>
                      </wps:spPr>
                      <wps:txbx>
                        <w:txbxContent>
                          <w:p w14:paraId="7C30901D" w14:textId="77777777" w:rsidR="008206CA" w:rsidRPr="00DD4244" w:rsidRDefault="008206CA" w:rsidP="008206CA">
                            <w:pPr>
                              <w:shd w:val="clear" w:color="auto" w:fill="BFBFBF"/>
                              <w:jc w:val="center"/>
                              <w:rPr>
                                <w:rFonts w:ascii="Arial" w:hAnsi="Arial" w:cs="Arial"/>
                                <w:b/>
                              </w:rPr>
                            </w:pPr>
                            <w:r w:rsidRPr="00DD4244">
                              <w:rPr>
                                <w:rFonts w:ascii="Arial" w:hAnsi="Arial" w:cs="Arial"/>
                                <w:b/>
                              </w:rPr>
                              <w:t>Openness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42716" id="Text Box 112" o:spid="_x0000_s1032" type="#_x0000_t202" style="position:absolute;left:0;text-align:left;margin-left:3pt;margin-top:21.25pt;width:211.5pt;height:43.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">
                <v:textbox>
                  <w:txbxContent>
                    <w:p w14:paraId="7C30901D" w14:textId="77777777" w:rsidR="008206CA" w:rsidRPr="00DD4244" w:rsidRDefault="008206CA" w:rsidP="008206CA">
                      <w:pPr>
                        <w:shd w:val="clear" w:color="auto" w:fill="BFBFBF"/>
                        <w:jc w:val="center"/>
                        <w:rPr>
                          <w:rFonts w:ascii="Arial" w:hAnsi="Arial" w:cs="Arial"/>
                          <w:b/>
                        </w:rPr>
                      </w:pPr>
                      <w:r w:rsidRPr="00DD4244">
                        <w:rPr>
                          <w:rFonts w:ascii="Arial" w:hAnsi="Arial" w:cs="Arial"/>
                          <w:b/>
                        </w:rPr>
                        <w:t>Openness</w:t>
                      </w:r>
                    </w:p>
                  </w:txbxContent>
                </v:textbox>
                <w10:wrap type="square" anchorx="margin"/>
              </v:shape>
            </w:pict>
          </mc:Fallback>
        </mc:AlternateContent>
      </w:r>
      <w:r>
        <w:rPr>
          <w:noProof/>
        </w:rPr>
        <mc:AlternateContent>
          <mc:Choice Requires="wps">
            <w:drawing>
              <wp:anchor distT="45720" distB="45720" distL="114300" distR="114300" simplePos="0" relativeHeight="251641856" behindDoc="0" locked="0" layoutInCell="1" allowOverlap="1" wp14:anchorId="704C455D" wp14:editId="4A0E4395">
                <wp:simplePos x="0" y="0"/>
                <wp:positionH relativeFrom="margin">
                  <wp:posOffset>3028950</wp:posOffset>
                </wp:positionH>
                <wp:positionV relativeFrom="paragraph">
                  <wp:posOffset>288925</wp:posOffset>
                </wp:positionV>
                <wp:extent cx="3152775" cy="552450"/>
                <wp:effectExtent l="0" t="0" r="9525" b="0"/>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52450"/>
                        </a:xfrm>
                        <a:prstGeom prst="rect">
                          <a:avLst/>
                        </a:prstGeom>
                        <a:solidFill>
                          <a:srgbClr val="FFFFFF"/>
                        </a:solidFill>
                        <a:ln w="9525">
                          <a:solidFill>
                            <a:srgbClr val="000000"/>
                          </a:solidFill>
                          <a:miter lim="800000"/>
                          <a:headEnd/>
                          <a:tailEnd/>
                        </a:ln>
                      </wps:spPr>
                      <wps:txbx>
                        <w:txbxContent>
                          <w:p w14:paraId="4EF4780C" w14:textId="77777777" w:rsidR="008206CA" w:rsidRPr="00DD4244" w:rsidRDefault="008206CA" w:rsidP="008206CA">
                            <w:pPr>
                              <w:pStyle w:val="NoSpacing"/>
                              <w:shd w:val="clear" w:color="auto" w:fill="BFBFBF"/>
                              <w:jc w:val="center"/>
                              <w:rPr>
                                <w:rFonts w:ascii="Arial" w:hAnsi="Arial" w:cs="Arial"/>
                                <w:b/>
                              </w:rPr>
                            </w:pPr>
                            <w:r w:rsidRPr="00DD4244">
                              <w:rPr>
                                <w:rFonts w:ascii="Arial" w:hAnsi="Arial" w:cs="Arial"/>
                                <w:b/>
                                <w:bCs/>
                                <w:color w:val="000000"/>
                              </w:rPr>
                              <w:t>Engaging comprehensively with institutional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C455D" id="Text Box 111" o:spid="_x0000_s1033" type="#_x0000_t202" style="position:absolute;left:0;text-align:left;margin-left:238.5pt;margin-top:22.75pt;width:248.25pt;height:43.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">
                <v:textbox>
                  <w:txbxContent>
                    <w:p w14:paraId="4EF4780C" w14:textId="77777777" w:rsidR="008206CA" w:rsidRPr="00DD4244" w:rsidRDefault="008206CA" w:rsidP="008206CA">
                      <w:pPr>
                        <w:pStyle w:val="NoSpacing"/>
                        <w:shd w:val="clear" w:color="auto" w:fill="BFBFBF"/>
                        <w:jc w:val="center"/>
                        <w:rPr>
                          <w:rFonts w:ascii="Arial" w:hAnsi="Arial" w:cs="Arial"/>
                          <w:b/>
                        </w:rPr>
                      </w:pPr>
                      <w:r w:rsidRPr="00DD4244">
                        <w:rPr>
                          <w:rFonts w:ascii="Arial" w:hAnsi="Arial" w:cs="Arial"/>
                          <w:b/>
                          <w:bCs/>
                          <w:color w:val="000000"/>
                        </w:rPr>
                        <w:t>Engaging comprehensively with institutional stakeholders</w:t>
                      </w:r>
                    </w:p>
                  </w:txbxContent>
                </v:textbox>
                <w10:wrap type="square" anchorx="margin"/>
              </v:shape>
            </w:pict>
          </mc:Fallback>
        </mc:AlternateContent>
      </w:r>
      <w:r>
        <w:rPr>
          <w:noProof/>
        </w:rPr>
        <mc:AlternateContent>
          <mc:Choice Requires="wps">
            <w:drawing>
              <wp:anchor distT="45720" distB="45720" distL="114300" distR="114300" simplePos="0" relativeHeight="251642880" behindDoc="0" locked="0" layoutInCell="1" allowOverlap="1" wp14:anchorId="390E00D7" wp14:editId="77FD93BD">
                <wp:simplePos x="0" y="0"/>
                <wp:positionH relativeFrom="column">
                  <wp:posOffset>6334125</wp:posOffset>
                </wp:positionH>
                <wp:positionV relativeFrom="paragraph">
                  <wp:posOffset>288925</wp:posOffset>
                </wp:positionV>
                <wp:extent cx="3200400" cy="561975"/>
                <wp:effectExtent l="0" t="0" r="0" b="952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61975"/>
                        </a:xfrm>
                        <a:prstGeom prst="rect">
                          <a:avLst/>
                        </a:prstGeom>
                        <a:solidFill>
                          <a:srgbClr val="FFFFFF"/>
                        </a:solidFill>
                        <a:ln w="9525">
                          <a:solidFill>
                            <a:srgbClr val="000000"/>
                          </a:solidFill>
                          <a:miter lim="800000"/>
                          <a:headEnd/>
                          <a:tailEnd/>
                        </a:ln>
                      </wps:spPr>
                      <wps:txbx>
                        <w:txbxContent>
                          <w:p w14:paraId="1DA946CE" w14:textId="77777777" w:rsidR="008206CA" w:rsidRPr="00DD4244" w:rsidRDefault="008206CA" w:rsidP="008206CA">
                            <w:pPr>
                              <w:shd w:val="clear" w:color="auto" w:fill="BFBFBF"/>
                              <w:jc w:val="center"/>
                              <w:rPr>
                                <w:b/>
                              </w:rPr>
                            </w:pPr>
                            <w:r w:rsidRPr="00DD4244">
                              <w:rPr>
                                <w:rFonts w:ascii="Arial" w:hAnsi="Arial" w:cs="Arial"/>
                                <w:b/>
                                <w:bCs/>
                                <w:color w:val="000000"/>
                              </w:rPr>
                              <w:t>Engaging stakeholders effectively, including individual citizens and service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E00D7" id="Text Box 110" o:spid="_x0000_s1034" type="#_x0000_t202" style="position:absolute;left:0;text-align:left;margin-left:498.75pt;margin-top:22.75pt;width:252pt;height:44.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ZPEwIAACY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">
                <v:textbox>
                  <w:txbxContent>
                    <w:p w14:paraId="1DA946CE" w14:textId="77777777" w:rsidR="008206CA" w:rsidRPr="00DD4244" w:rsidRDefault="008206CA" w:rsidP="008206CA">
                      <w:pPr>
                        <w:shd w:val="clear" w:color="auto" w:fill="BFBFBF"/>
                        <w:jc w:val="center"/>
                        <w:rPr>
                          <w:b/>
                        </w:rPr>
                      </w:pPr>
                      <w:r w:rsidRPr="00DD4244">
                        <w:rPr>
                          <w:rFonts w:ascii="Arial" w:hAnsi="Arial" w:cs="Arial"/>
                          <w:b/>
                          <w:bCs/>
                          <w:color w:val="000000"/>
                        </w:rPr>
                        <w:t>Engaging stakeholders effectively, including individual citizens and service users</w:t>
                      </w:r>
                    </w:p>
                  </w:txbxContent>
                </v:textbox>
                <w10:wrap type="square"/>
              </v:shape>
            </w:pict>
          </mc:Fallback>
        </mc:AlternateContent>
      </w:r>
      <w:r w:rsidR="008206CA">
        <w:rPr>
          <w:rFonts w:ascii="Arial" w:hAnsi="Arial" w:cs="Arial"/>
          <w:b/>
          <w:sz w:val="24"/>
          <w:szCs w:val="24"/>
        </w:rPr>
        <w:tab/>
        <w:t>Sub Principles:</w:t>
      </w:r>
      <w:r w:rsidR="008206CA" w:rsidRPr="004A31FE">
        <w:rPr>
          <w:rFonts w:ascii="Arial" w:hAnsi="Arial" w:cs="Arial"/>
          <w:sz w:val="24"/>
          <w:szCs w:val="24"/>
        </w:rPr>
        <w:tab/>
      </w:r>
      <w:r w:rsidR="008206CA" w:rsidRPr="004A31FE">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p>
    <w:p w14:paraId="55EBF301" w14:textId="02A0BAB2" w:rsidR="008206CA" w:rsidRPr="00D94CB3" w:rsidRDefault="00516E75" w:rsidP="008206CA">
      <w:pPr>
        <w:ind w:left="-709"/>
        <w:rPr>
          <w:rFonts w:ascii="Arial" w:hAnsi="Arial" w:cs="Arial"/>
          <w:b/>
          <w:sz w:val="24"/>
          <w:szCs w:val="24"/>
        </w:rPr>
      </w:pPr>
      <w:r>
        <w:rPr>
          <w:noProof/>
        </w:rPr>
        <mc:AlternateContent>
          <mc:Choice Requires="wps">
            <w:drawing>
              <wp:anchor distT="0" distB="0" distL="114300" distR="114300" simplePos="0" relativeHeight="251645952" behindDoc="0" locked="0" layoutInCell="1" allowOverlap="1" wp14:anchorId="6942FBEA" wp14:editId="7F307FB8">
                <wp:simplePos x="0" y="0"/>
                <wp:positionH relativeFrom="column">
                  <wp:posOffset>6385560</wp:posOffset>
                </wp:positionH>
                <wp:positionV relativeFrom="paragraph">
                  <wp:posOffset>771525</wp:posOffset>
                </wp:positionV>
                <wp:extent cx="3048000" cy="4518660"/>
                <wp:effectExtent l="0" t="0" r="0" b="0"/>
                <wp:wrapNone/>
                <wp:docPr id="109" name="Rectangle: Rounded Corners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4518660"/>
                        </a:xfrm>
                        <a:prstGeom prst="roundRect">
                          <a:avLst/>
                        </a:prstGeom>
                        <a:solidFill>
                          <a:srgbClr val="4F81BD"/>
                        </a:solidFill>
                        <a:ln w="25400" cap="flat" cmpd="sng" algn="ctr">
                          <a:solidFill>
                            <a:srgbClr val="4F81BD">
                              <a:shade val="50000"/>
                            </a:srgbClr>
                          </a:solidFill>
                          <a:prstDash val="solid"/>
                        </a:ln>
                        <a:effectLst/>
                      </wps:spPr>
                      <wps:txbx>
                        <w:txbxContent>
                          <w:p w14:paraId="72C399F7"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The Council has appropriate structures in place to encourage public participation which is used to inform proposals and key decisions including:</w:t>
                            </w:r>
                          </w:p>
                          <w:p w14:paraId="54F69F14"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 xml:space="preserve">A Consultation and Engagement Strategy. </w:t>
                            </w:r>
                          </w:p>
                          <w:p w14:paraId="1441A6E6"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A Co-production Framework.</w:t>
                            </w:r>
                          </w:p>
                          <w:p w14:paraId="35AC76DC"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“Have your Say” consultations on website.</w:t>
                            </w:r>
                          </w:p>
                          <w:p w14:paraId="34589D54"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The Scrutiny Programme Committee invites stakeholder contributions and participation.</w:t>
                            </w:r>
                          </w:p>
                          <w:p w14:paraId="46987D53"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A Staff Survey with responses considered by CMT/Senior Management.</w:t>
                            </w:r>
                          </w:p>
                          <w:p w14:paraId="630CC2E0"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A Complaints Policy and Annual Report to assess organisational learning and change.</w:t>
                            </w:r>
                          </w:p>
                          <w:p w14:paraId="7B9CF086"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The appointment of Councillor Champions who provide a voice for under-represented groups.</w:t>
                            </w:r>
                          </w:p>
                          <w:p w14:paraId="4EC44D20" w14:textId="77777777" w:rsidR="008206CA" w:rsidRPr="008206CA" w:rsidRDefault="008206CA" w:rsidP="008206CA">
                            <w:pPr>
                              <w:pStyle w:val="ListParagraph"/>
                              <w:numPr>
                                <w:ilvl w:val="0"/>
                                <w:numId w:val="57"/>
                              </w:numPr>
                              <w:spacing w:before="0" w:after="0" w:line="276" w:lineRule="auto"/>
                              <w:ind w:left="1077" w:hanging="357"/>
                              <w:rPr>
                                <w:rFonts w:cs="Arial"/>
                                <w:color w:val="FFFFFF"/>
                                <w:sz w:val="20"/>
                                <w:szCs w:val="20"/>
                              </w:rPr>
                            </w:pPr>
                            <w:r w:rsidRPr="008206CA">
                              <w:rPr>
                                <w:rFonts w:cs="Arial"/>
                                <w:color w:val="FFFFFF"/>
                                <w:sz w:val="20"/>
                                <w:szCs w:val="20"/>
                              </w:rPr>
                              <w:t>An Integrated Impact Assessment to assess the equality, socio-economic and sustainability impacts on people with protected characteristics and future generations.</w:t>
                            </w:r>
                          </w:p>
                          <w:p w14:paraId="5BCF959F" w14:textId="77777777" w:rsidR="008206CA" w:rsidRPr="008206CA" w:rsidRDefault="008206CA" w:rsidP="008206CA">
                            <w:pPr>
                              <w:pStyle w:val="Default"/>
                              <w:numPr>
                                <w:ilvl w:val="0"/>
                                <w:numId w:val="57"/>
                              </w:numPr>
                              <w:rPr>
                                <w:color w:val="FFFFFF"/>
                                <w:sz w:val="20"/>
                                <w:szCs w:val="20"/>
                              </w:rPr>
                            </w:pPr>
                          </w:p>
                          <w:p w14:paraId="45ABDC2A" w14:textId="77777777" w:rsidR="008206CA" w:rsidRPr="008206CA" w:rsidRDefault="008206CA" w:rsidP="008206CA">
                            <w:pPr>
                              <w:pStyle w:val="Default"/>
                              <w:rPr>
                                <w:color w:val="FFFFFF"/>
                                <w:sz w:val="20"/>
                                <w:szCs w:val="20"/>
                              </w:rPr>
                            </w:pPr>
                          </w:p>
                          <w:p w14:paraId="6D2A0435" w14:textId="77777777" w:rsidR="008206CA" w:rsidRPr="008206CA" w:rsidRDefault="008206CA" w:rsidP="008206CA">
                            <w:pPr>
                              <w:pStyle w:val="Default"/>
                              <w:rPr>
                                <w:color w:val="FFFFFF"/>
                                <w:sz w:val="22"/>
                                <w:szCs w:val="22"/>
                              </w:rPr>
                            </w:pPr>
                          </w:p>
                          <w:p w14:paraId="7FF053FF" w14:textId="77777777" w:rsidR="008206CA" w:rsidRPr="008206CA" w:rsidRDefault="008206CA" w:rsidP="008206CA">
                            <w:pPr>
                              <w:pStyle w:val="Default"/>
                              <w:rPr>
                                <w:color w:val="FFFFFF"/>
                                <w:sz w:val="22"/>
                                <w:szCs w:val="22"/>
                              </w:rPr>
                            </w:pPr>
                          </w:p>
                          <w:p w14:paraId="41D34975" w14:textId="77777777" w:rsidR="008206CA" w:rsidRPr="008206CA" w:rsidRDefault="008206CA" w:rsidP="008206CA">
                            <w:pPr>
                              <w:pStyle w:val="Default"/>
                              <w:rPr>
                                <w:color w:val="FFFFFF"/>
                                <w:sz w:val="22"/>
                                <w:szCs w:val="22"/>
                              </w:rPr>
                            </w:pPr>
                          </w:p>
                          <w:p w14:paraId="61B5F607" w14:textId="77777777" w:rsidR="008206CA" w:rsidRPr="008206CA" w:rsidRDefault="008206CA" w:rsidP="008206CA">
                            <w:pPr>
                              <w:pStyle w:val="Default"/>
                              <w:rPr>
                                <w:color w:val="FFFFFF"/>
                                <w:sz w:val="22"/>
                                <w:szCs w:val="22"/>
                              </w:rPr>
                            </w:pPr>
                          </w:p>
                          <w:p w14:paraId="1CAC534C" w14:textId="77777777" w:rsidR="008206CA" w:rsidRDefault="008206CA" w:rsidP="008206CA">
                            <w:pPr>
                              <w:pStyle w:val="Default"/>
                              <w:ind w:left="360"/>
                              <w:rPr>
                                <w:sz w:val="22"/>
                                <w:szCs w:val="22"/>
                              </w:rPr>
                            </w:pPr>
                          </w:p>
                          <w:p w14:paraId="1A043B8A" w14:textId="77777777" w:rsidR="008206CA" w:rsidRDefault="008206CA" w:rsidP="008206CA">
                            <w:pPr>
                              <w:pStyle w:val="Default"/>
                              <w:rPr>
                                <w:sz w:val="22"/>
                                <w:szCs w:val="22"/>
                              </w:rPr>
                            </w:pPr>
                          </w:p>
                          <w:p w14:paraId="2F6CE810" w14:textId="77777777" w:rsidR="008206CA" w:rsidRPr="00C02BB2" w:rsidRDefault="008206CA" w:rsidP="008206CA">
                            <w:pPr>
                              <w:pStyle w:val="Default"/>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2FBEA" id="Rectangle: Rounded Corners 109" o:spid="_x0000_s1035" style="position:absolute;left:0;text-align:left;margin-left:502.8pt;margin-top:60.75pt;width:240pt;height:355.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" fillcolor="#4f81bd" strokecolor="#385d8a" strokeweight="2pt">
                <v:path arrowok="t"/>
                <v:textbox>
                  <w:txbxContent>
                    <w:p w14:paraId="72C399F7" w14:textId="77777777" w:rsidR="008206CA" w:rsidRPr="008206CA" w:rsidRDefault="008206CA" w:rsidP="008206CA">
                      <w:pPr>
                        <w:pStyle w:val="Default"/>
                        <w:numPr>
                          <w:ilvl w:val="0"/>
                          <w:numId w:val="37"/>
                        </w:numPr>
                        <w:rPr>
                          <w:color w:val="FFFFFF"/>
                          <w:sz w:val="20"/>
                          <w:szCs w:val="20"/>
                        </w:rPr>
                      </w:pPr>
                      <w:r w:rsidRPr="008206CA">
                        <w:rPr>
                          <w:color w:val="FFFFFF"/>
                          <w:sz w:val="20"/>
                          <w:szCs w:val="20"/>
                        </w:rPr>
                        <w:t>The Council has appropriate structures in place to encourage public participation which is used to inform proposals and key decisions including:</w:t>
                      </w:r>
                    </w:p>
                    <w:p w14:paraId="54F69F14"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 xml:space="preserve">A Consultation and Engagement Strategy. </w:t>
                      </w:r>
                    </w:p>
                    <w:p w14:paraId="1441A6E6"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A Co-production Framework.</w:t>
                      </w:r>
                    </w:p>
                    <w:p w14:paraId="35AC76DC"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“Have your Say” consultations on website.</w:t>
                      </w:r>
                    </w:p>
                    <w:p w14:paraId="34589D54"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The Scrutiny Programme Committee invites stakeholder contributions and participation.</w:t>
                      </w:r>
                    </w:p>
                    <w:p w14:paraId="46987D53"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A Staff Survey with responses considered by CMT/Senior Management.</w:t>
                      </w:r>
                    </w:p>
                    <w:p w14:paraId="630CC2E0"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A Complaints Policy and Annual Report to assess organisational learning and change.</w:t>
                      </w:r>
                    </w:p>
                    <w:p w14:paraId="7B9CF086"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The appointment of Councillor Champions who provide a voice for under-represented groups.</w:t>
                      </w:r>
                    </w:p>
                    <w:p w14:paraId="4EC44D20" w14:textId="77777777" w:rsidR="008206CA" w:rsidRPr="008206CA" w:rsidRDefault="008206CA" w:rsidP="008206CA">
                      <w:pPr>
                        <w:pStyle w:val="ListParagraph"/>
                        <w:numPr>
                          <w:ilvl w:val="0"/>
                          <w:numId w:val="57"/>
                        </w:numPr>
                        <w:spacing w:before="0" w:after="0" w:line="276" w:lineRule="auto"/>
                        <w:ind w:left="1077" w:hanging="357"/>
                        <w:rPr>
                          <w:rFonts w:cs="Arial"/>
                          <w:color w:val="FFFFFF"/>
                          <w:sz w:val="20"/>
                          <w:szCs w:val="20"/>
                        </w:rPr>
                      </w:pPr>
                      <w:r w:rsidRPr="008206CA">
                        <w:rPr>
                          <w:rFonts w:cs="Arial"/>
                          <w:color w:val="FFFFFF"/>
                          <w:sz w:val="20"/>
                          <w:szCs w:val="20"/>
                        </w:rPr>
                        <w:t>An Integrated Impact Assessment to assess the equality, socio-economic and sustainability impacts on people with protected characteristics and future generations.</w:t>
                      </w:r>
                    </w:p>
                    <w:p w14:paraId="5BCF959F" w14:textId="77777777" w:rsidR="008206CA" w:rsidRPr="008206CA" w:rsidRDefault="008206CA" w:rsidP="008206CA">
                      <w:pPr>
                        <w:pStyle w:val="Default"/>
                        <w:numPr>
                          <w:ilvl w:val="0"/>
                          <w:numId w:val="57"/>
                        </w:numPr>
                        <w:rPr>
                          <w:color w:val="FFFFFF"/>
                          <w:sz w:val="20"/>
                          <w:szCs w:val="20"/>
                        </w:rPr>
                      </w:pPr>
                    </w:p>
                    <w:p w14:paraId="45ABDC2A" w14:textId="77777777" w:rsidR="008206CA" w:rsidRPr="008206CA" w:rsidRDefault="008206CA" w:rsidP="008206CA">
                      <w:pPr>
                        <w:pStyle w:val="Default"/>
                        <w:rPr>
                          <w:color w:val="FFFFFF"/>
                          <w:sz w:val="20"/>
                          <w:szCs w:val="20"/>
                        </w:rPr>
                      </w:pPr>
                    </w:p>
                    <w:p w14:paraId="6D2A0435" w14:textId="77777777" w:rsidR="008206CA" w:rsidRPr="008206CA" w:rsidRDefault="008206CA" w:rsidP="008206CA">
                      <w:pPr>
                        <w:pStyle w:val="Default"/>
                        <w:rPr>
                          <w:color w:val="FFFFFF"/>
                          <w:sz w:val="22"/>
                          <w:szCs w:val="22"/>
                        </w:rPr>
                      </w:pPr>
                    </w:p>
                    <w:p w14:paraId="7FF053FF" w14:textId="77777777" w:rsidR="008206CA" w:rsidRPr="008206CA" w:rsidRDefault="008206CA" w:rsidP="008206CA">
                      <w:pPr>
                        <w:pStyle w:val="Default"/>
                        <w:rPr>
                          <w:color w:val="FFFFFF"/>
                          <w:sz w:val="22"/>
                          <w:szCs w:val="22"/>
                        </w:rPr>
                      </w:pPr>
                    </w:p>
                    <w:p w14:paraId="41D34975" w14:textId="77777777" w:rsidR="008206CA" w:rsidRPr="008206CA" w:rsidRDefault="008206CA" w:rsidP="008206CA">
                      <w:pPr>
                        <w:pStyle w:val="Default"/>
                        <w:rPr>
                          <w:color w:val="FFFFFF"/>
                          <w:sz w:val="22"/>
                          <w:szCs w:val="22"/>
                        </w:rPr>
                      </w:pPr>
                    </w:p>
                    <w:p w14:paraId="61B5F607" w14:textId="77777777" w:rsidR="008206CA" w:rsidRPr="008206CA" w:rsidRDefault="008206CA" w:rsidP="008206CA">
                      <w:pPr>
                        <w:pStyle w:val="Default"/>
                        <w:rPr>
                          <w:color w:val="FFFFFF"/>
                          <w:sz w:val="22"/>
                          <w:szCs w:val="22"/>
                        </w:rPr>
                      </w:pPr>
                    </w:p>
                    <w:p w14:paraId="1CAC534C" w14:textId="77777777" w:rsidR="008206CA" w:rsidRDefault="008206CA" w:rsidP="008206CA">
                      <w:pPr>
                        <w:pStyle w:val="Default"/>
                        <w:ind w:left="360"/>
                        <w:rPr>
                          <w:sz w:val="22"/>
                          <w:szCs w:val="22"/>
                        </w:rPr>
                      </w:pPr>
                    </w:p>
                    <w:p w14:paraId="1A043B8A" w14:textId="77777777" w:rsidR="008206CA" w:rsidRDefault="008206CA" w:rsidP="008206CA">
                      <w:pPr>
                        <w:pStyle w:val="Default"/>
                        <w:rPr>
                          <w:sz w:val="22"/>
                          <w:szCs w:val="22"/>
                        </w:rPr>
                      </w:pPr>
                    </w:p>
                    <w:p w14:paraId="2F6CE810" w14:textId="77777777" w:rsidR="008206CA" w:rsidRPr="00C02BB2" w:rsidRDefault="008206CA" w:rsidP="008206CA">
                      <w:pPr>
                        <w:pStyle w:val="Default"/>
                        <w:rPr>
                          <w:sz w:val="22"/>
                          <w:szCs w:val="22"/>
                        </w:rPr>
                      </w:pPr>
                    </w:p>
                  </w:txbxContent>
                </v:textbox>
              </v:roundrect>
            </w:pict>
          </mc:Fallback>
        </mc:AlternateContent>
      </w:r>
      <w:r>
        <w:rPr>
          <w:noProof/>
        </w:rPr>
        <mc:AlternateContent>
          <mc:Choice Requires="wps">
            <w:drawing>
              <wp:anchor distT="0" distB="0" distL="114300" distR="114300" simplePos="0" relativeHeight="251643904" behindDoc="0" locked="0" layoutInCell="1" allowOverlap="1" wp14:anchorId="49C7289C" wp14:editId="6A73BBE4">
                <wp:simplePos x="0" y="0"/>
                <wp:positionH relativeFrom="margin">
                  <wp:posOffset>-285750</wp:posOffset>
                </wp:positionH>
                <wp:positionV relativeFrom="paragraph">
                  <wp:posOffset>875030</wp:posOffset>
                </wp:positionV>
                <wp:extent cx="3209925" cy="3992880"/>
                <wp:effectExtent l="0" t="0" r="9525" b="7620"/>
                <wp:wrapNone/>
                <wp:docPr id="108" name="Rectangle: Rounded Corners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3992880"/>
                        </a:xfrm>
                        <a:prstGeom prst="roundRect">
                          <a:avLst/>
                        </a:prstGeom>
                        <a:solidFill>
                          <a:srgbClr val="4F81BD"/>
                        </a:solidFill>
                        <a:ln w="25400" cap="flat" cmpd="sng" algn="ctr">
                          <a:solidFill>
                            <a:srgbClr val="4F81BD">
                              <a:shade val="50000"/>
                            </a:srgbClr>
                          </a:solidFill>
                          <a:prstDash val="solid"/>
                        </a:ln>
                        <a:effectLst/>
                      </wps:spPr>
                      <wps:txbx>
                        <w:txbxContent>
                          <w:p w14:paraId="6CC2FB22"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The Council is committed to ensuring an open culture evidenced by open meetings and publication of agendas and minutes.</w:t>
                            </w:r>
                          </w:p>
                          <w:p w14:paraId="0F293E1E"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A Forward Plan showing key decisions to be made by Council and Cabinet is published.</w:t>
                            </w:r>
                          </w:p>
                          <w:p w14:paraId="3C40C244"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There is appropriate Consultation and Engagement supporting the decision making process including annual budget consultation, co-production, engagement with trade unions and engagement with Disability and LGBT communities.</w:t>
                            </w:r>
                          </w:p>
                          <w:p w14:paraId="1B697B7A"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There are Public questions at Council and Cabinet.</w:t>
                            </w:r>
                          </w:p>
                          <w:p w14:paraId="38B2C9D1"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There is engagement with children and young people to meet the requirement of the UNCRC.</w:t>
                            </w:r>
                          </w:p>
                          <w:p w14:paraId="3DF5303E"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There is pre-decision scrutiny of Cabinet decisions and Call-In procedure</w:t>
                            </w:r>
                          </w:p>
                          <w:p w14:paraId="024881C9"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Corporate risks are published.</w:t>
                            </w:r>
                          </w:p>
                          <w:p w14:paraId="32A7A588" w14:textId="77777777" w:rsidR="008206CA" w:rsidRPr="00957C79" w:rsidRDefault="008206CA" w:rsidP="008206CA">
                            <w:pPr>
                              <w:pStyle w:val="Default"/>
                              <w:jc w:val="both"/>
                              <w:rPr>
                                <w:sz w:val="20"/>
                                <w:szCs w:val="20"/>
                              </w:rPr>
                            </w:pPr>
                          </w:p>
                          <w:p w14:paraId="64861E02" w14:textId="77777777" w:rsidR="008206CA" w:rsidRPr="008C2E69" w:rsidRDefault="008206CA" w:rsidP="008206CA">
                            <w:pPr>
                              <w:pStyle w:val="Default"/>
                              <w:jc w:val="both"/>
                            </w:pPr>
                          </w:p>
                          <w:p w14:paraId="083A2E23" w14:textId="77777777" w:rsidR="008206CA" w:rsidRDefault="008206CA" w:rsidP="008206CA">
                            <w:pPr>
                              <w:pStyle w:val="Default"/>
                              <w:ind w:left="360"/>
                              <w:rPr>
                                <w:sz w:val="22"/>
                                <w:szCs w:val="22"/>
                              </w:rPr>
                            </w:pPr>
                          </w:p>
                          <w:p w14:paraId="3B08AE69" w14:textId="77777777" w:rsidR="008206CA" w:rsidRPr="008C2E69" w:rsidRDefault="008206CA" w:rsidP="008206CA">
                            <w:pPr>
                              <w:pStyle w:val="Default"/>
                              <w:ind w:left="360"/>
                            </w:pPr>
                          </w:p>
                          <w:p w14:paraId="5717C6BD" w14:textId="77777777" w:rsidR="008206CA" w:rsidRDefault="008206CA" w:rsidP="008206CA">
                            <w:pPr>
                              <w:ind w:left="284" w:hanging="426"/>
                              <w:rPr>
                                <w:rFonts w:ascii="Arial" w:hAnsi="Arial" w:cs="Arial"/>
                              </w:rPr>
                            </w:pPr>
                          </w:p>
                          <w:p w14:paraId="46301D45" w14:textId="77777777" w:rsidR="008206CA" w:rsidRDefault="008206CA" w:rsidP="008206CA">
                            <w:pPr>
                              <w:ind w:left="284" w:hanging="426"/>
                              <w:rPr>
                                <w:rFonts w:ascii="Arial" w:hAnsi="Arial" w:cs="Arial"/>
                              </w:rPr>
                            </w:pPr>
                          </w:p>
                          <w:p w14:paraId="3EDFCD63" w14:textId="77777777" w:rsidR="008206CA" w:rsidRDefault="008206CA" w:rsidP="008206CA">
                            <w:pPr>
                              <w:ind w:left="284" w:hanging="426"/>
                              <w:rPr>
                                <w:rFonts w:ascii="Arial" w:hAnsi="Arial" w:cs="Arial"/>
                              </w:rPr>
                            </w:pPr>
                          </w:p>
                          <w:p w14:paraId="2AD72954" w14:textId="77777777" w:rsidR="008206CA" w:rsidRPr="008206CA" w:rsidRDefault="008206CA" w:rsidP="008206CA">
                            <w:pPr>
                              <w:ind w:left="284" w:hanging="426"/>
                              <w:rPr>
                                <w:rFonts w:ascii="Symbol" w:hAnsi="Symbol"/>
                                <w:highlight w:val="lightGray"/>
                              </w:rPr>
                            </w:pPr>
                            <w:r w:rsidRPr="008206CA">
                              <w:rPr>
                                <w:rFonts w:ascii="Symbol" w:hAnsi="Symbol"/>
                                <w:highlight w:val="lightGray"/>
                              </w:rPr>
                              <w:t></w:t>
                            </w:r>
                            <w:r w:rsidRPr="008206CA">
                              <w:rPr>
                                <w:rFonts w:ascii="Symbol" w:hAnsi="Symbol"/>
                                <w:highlight w:val="lightGray"/>
                              </w:rPr>
                              <w:t></w:t>
                            </w:r>
                            <w:r w:rsidRPr="008206CA">
                              <w:rPr>
                                <w:rFonts w:ascii="Symbol" w:hAnsi="Symbol"/>
                                <w:highlight w:val="lightGray"/>
                              </w:rPr>
                              <w:t></w:t>
                            </w:r>
                            <w:r w:rsidRPr="008206CA">
                              <w:rPr>
                                <w:rFonts w:ascii="Symbol" w:hAnsi="Symbol"/>
                                <w:highlight w:val="lightGray"/>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7289C" id="Rectangle: Rounded Corners 108" o:spid="_x0000_s1036" style="position:absolute;left:0;text-align:left;margin-left:-22.5pt;margin-top:68.9pt;width:252.75pt;height:314.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" fillcolor="#4f81bd" strokecolor="#385d8a" strokeweight="2pt">
                <v:path arrowok="t"/>
                <v:textbox>
                  <w:txbxContent>
                    <w:p w14:paraId="6CC2FB22"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The Council is committed to ensuring an open culture evidenced by open meetings and publication of agendas and minutes.</w:t>
                      </w:r>
                    </w:p>
                    <w:p w14:paraId="0F293E1E"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A Forward Plan showing key decisions to be made by Council and Cabinet is published.</w:t>
                      </w:r>
                    </w:p>
                    <w:p w14:paraId="3C40C244"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There is appropriate Consultation and Engagement supporting the decision making process including annual budget consultation, co-production, engagement with trade unions and engagement with Disability and LGBT communities.</w:t>
                      </w:r>
                    </w:p>
                    <w:p w14:paraId="1B697B7A"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There are Public questions at Council and Cabinet.</w:t>
                      </w:r>
                    </w:p>
                    <w:p w14:paraId="38B2C9D1"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There is engagement with children and young people to meet the requirement of the UNCRC.</w:t>
                      </w:r>
                    </w:p>
                    <w:p w14:paraId="3DF5303E"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There is pre-decision scrutiny of Cabinet decisions and Call-In procedure</w:t>
                      </w:r>
                    </w:p>
                    <w:p w14:paraId="024881C9" w14:textId="77777777" w:rsidR="008206CA" w:rsidRPr="008206CA" w:rsidRDefault="008206CA" w:rsidP="008206CA">
                      <w:pPr>
                        <w:pStyle w:val="Default"/>
                        <w:numPr>
                          <w:ilvl w:val="0"/>
                          <w:numId w:val="38"/>
                        </w:numPr>
                        <w:rPr>
                          <w:color w:val="FFFFFF"/>
                          <w:sz w:val="20"/>
                          <w:szCs w:val="20"/>
                        </w:rPr>
                      </w:pPr>
                      <w:r w:rsidRPr="008206CA">
                        <w:rPr>
                          <w:color w:val="FFFFFF"/>
                          <w:sz w:val="20"/>
                          <w:szCs w:val="20"/>
                        </w:rPr>
                        <w:t>Corporate risks are published.</w:t>
                      </w:r>
                    </w:p>
                    <w:p w14:paraId="32A7A588" w14:textId="77777777" w:rsidR="008206CA" w:rsidRPr="00957C79" w:rsidRDefault="008206CA" w:rsidP="008206CA">
                      <w:pPr>
                        <w:pStyle w:val="Default"/>
                        <w:jc w:val="both"/>
                        <w:rPr>
                          <w:sz w:val="20"/>
                          <w:szCs w:val="20"/>
                        </w:rPr>
                      </w:pPr>
                    </w:p>
                    <w:p w14:paraId="64861E02" w14:textId="77777777" w:rsidR="008206CA" w:rsidRPr="008C2E69" w:rsidRDefault="008206CA" w:rsidP="008206CA">
                      <w:pPr>
                        <w:pStyle w:val="Default"/>
                        <w:jc w:val="both"/>
                      </w:pPr>
                    </w:p>
                    <w:p w14:paraId="083A2E23" w14:textId="77777777" w:rsidR="008206CA" w:rsidRDefault="008206CA" w:rsidP="008206CA">
                      <w:pPr>
                        <w:pStyle w:val="Default"/>
                        <w:ind w:left="360"/>
                        <w:rPr>
                          <w:sz w:val="22"/>
                          <w:szCs w:val="22"/>
                        </w:rPr>
                      </w:pPr>
                    </w:p>
                    <w:p w14:paraId="3B08AE69" w14:textId="77777777" w:rsidR="008206CA" w:rsidRPr="008C2E69" w:rsidRDefault="008206CA" w:rsidP="008206CA">
                      <w:pPr>
                        <w:pStyle w:val="Default"/>
                        <w:ind w:left="360"/>
                      </w:pPr>
                    </w:p>
                    <w:p w14:paraId="5717C6BD" w14:textId="77777777" w:rsidR="008206CA" w:rsidRDefault="008206CA" w:rsidP="008206CA">
                      <w:pPr>
                        <w:ind w:left="284" w:hanging="426"/>
                        <w:rPr>
                          <w:rFonts w:ascii="Arial" w:hAnsi="Arial" w:cs="Arial"/>
                        </w:rPr>
                      </w:pPr>
                    </w:p>
                    <w:p w14:paraId="46301D45" w14:textId="77777777" w:rsidR="008206CA" w:rsidRDefault="008206CA" w:rsidP="008206CA">
                      <w:pPr>
                        <w:ind w:left="284" w:hanging="426"/>
                        <w:rPr>
                          <w:rFonts w:ascii="Arial" w:hAnsi="Arial" w:cs="Arial"/>
                        </w:rPr>
                      </w:pPr>
                    </w:p>
                    <w:p w14:paraId="3EDFCD63" w14:textId="77777777" w:rsidR="008206CA" w:rsidRDefault="008206CA" w:rsidP="008206CA">
                      <w:pPr>
                        <w:ind w:left="284" w:hanging="426"/>
                        <w:rPr>
                          <w:rFonts w:ascii="Arial" w:hAnsi="Arial" w:cs="Arial"/>
                        </w:rPr>
                      </w:pPr>
                    </w:p>
                    <w:p w14:paraId="2AD72954" w14:textId="77777777" w:rsidR="008206CA" w:rsidRPr="008206CA" w:rsidRDefault="008206CA" w:rsidP="008206CA">
                      <w:pPr>
                        <w:ind w:left="284" w:hanging="426"/>
                        <w:rPr>
                          <w:rFonts w:ascii="Symbol" w:hAnsi="Symbol"/>
                          <w:highlight w:val="lightGray"/>
                        </w:rPr>
                      </w:pPr>
                      <w:r w:rsidRPr="008206CA">
                        <w:rPr>
                          <w:rFonts w:ascii="Symbol" w:hAnsi="Symbol"/>
                          <w:highlight w:val="lightGray"/>
                        </w:rPr>
                        <w:t></w:t>
                      </w:r>
                      <w:r w:rsidRPr="008206CA">
                        <w:rPr>
                          <w:rFonts w:ascii="Symbol" w:hAnsi="Symbol"/>
                          <w:highlight w:val="lightGray"/>
                        </w:rPr>
                        <w:t></w:t>
                      </w:r>
                      <w:r w:rsidRPr="008206CA">
                        <w:rPr>
                          <w:rFonts w:ascii="Symbol" w:hAnsi="Symbol"/>
                          <w:highlight w:val="lightGray"/>
                        </w:rPr>
                        <w:t></w:t>
                      </w:r>
                      <w:r w:rsidRPr="008206CA">
                        <w:rPr>
                          <w:rFonts w:ascii="Symbol" w:hAnsi="Symbol"/>
                          <w:highlight w:val="lightGray"/>
                        </w:rPr>
                        <w:t></w:t>
                      </w:r>
                    </w:p>
                  </w:txbxContent>
                </v:textbox>
                <w10:wrap anchorx="margin"/>
              </v:roundrect>
            </w:pict>
          </mc:Fallback>
        </mc:AlternateContent>
      </w:r>
      <w:r w:rsidR="008206CA" w:rsidRPr="004A31FE">
        <w:rPr>
          <w:rFonts w:ascii="Arial" w:hAnsi="Arial" w:cs="Arial"/>
          <w:b/>
          <w:sz w:val="24"/>
          <w:szCs w:val="24"/>
        </w:rPr>
        <w:t>How we do this:</w:t>
      </w:r>
    </w:p>
    <w:p w14:paraId="57D642EE" w14:textId="7E82CD93" w:rsidR="008206CA" w:rsidRDefault="00516E75" w:rsidP="008206CA">
      <w:pPr>
        <w:rPr>
          <w:rFonts w:ascii="Arial" w:hAnsi="Arial" w:cs="Arial"/>
          <w:b/>
          <w:sz w:val="24"/>
          <w:szCs w:val="24"/>
        </w:rPr>
      </w:pPr>
      <w:r>
        <w:rPr>
          <w:noProof/>
        </w:rPr>
        <mc:AlternateContent>
          <mc:Choice Requires="wps">
            <w:drawing>
              <wp:anchor distT="0" distB="0" distL="114300" distR="114300" simplePos="0" relativeHeight="251644928" behindDoc="0" locked="0" layoutInCell="1" allowOverlap="1" wp14:anchorId="786DB206" wp14:editId="7C73B8BB">
                <wp:simplePos x="0" y="0"/>
                <wp:positionH relativeFrom="column">
                  <wp:posOffset>3124200</wp:posOffset>
                </wp:positionH>
                <wp:positionV relativeFrom="paragraph">
                  <wp:posOffset>6985</wp:posOffset>
                </wp:positionV>
                <wp:extent cx="3067050" cy="3886200"/>
                <wp:effectExtent l="0" t="0" r="0" b="0"/>
                <wp:wrapNone/>
                <wp:docPr id="107" name="Rectangle: Rounded Corners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3886200"/>
                        </a:xfrm>
                        <a:prstGeom prst="roundRect">
                          <a:avLst/>
                        </a:prstGeom>
                        <a:solidFill>
                          <a:srgbClr val="4F81BD"/>
                        </a:solidFill>
                        <a:ln w="25400" cap="flat" cmpd="sng" algn="ctr">
                          <a:solidFill>
                            <a:srgbClr val="4F81BD">
                              <a:shade val="50000"/>
                            </a:srgbClr>
                          </a:solidFill>
                          <a:prstDash val="solid"/>
                        </a:ln>
                        <a:effectLst/>
                      </wps:spPr>
                      <wps:txbx>
                        <w:txbxContent>
                          <w:p w14:paraId="4D8291DA"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Council adopts a Team Swansea approach working as a whole Council and effectively engages with stakeholders to ensure successful and sustainable outcomes by:</w:t>
                            </w:r>
                          </w:p>
                          <w:p w14:paraId="2522290B"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 xml:space="preserve">targeting communications; </w:t>
                            </w:r>
                          </w:p>
                          <w:p w14:paraId="2A8D6476"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effective use of social media;</w:t>
                            </w:r>
                          </w:p>
                          <w:p w14:paraId="0D53D810"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formal and informal meetings with key stakeholder groups i.e. External auditors, Welsh Government, Health board.</w:t>
                            </w:r>
                          </w:p>
                          <w:p w14:paraId="6494A571"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Council has an extensive range of partnerships to support the delivery of the Council’s objectives including:</w:t>
                            </w:r>
                          </w:p>
                          <w:p w14:paraId="359BD2C4"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The Public Services Board.</w:t>
                            </w:r>
                          </w:p>
                          <w:p w14:paraId="35F18691"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The Safer Swansea Partnership.</w:t>
                            </w:r>
                          </w:p>
                          <w:p w14:paraId="0DC42898"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Council has adopted the Community/Town Council Charter and facilitates the Community/Town Council forum meetings with the 24 Councils.</w:t>
                            </w:r>
                          </w:p>
                          <w:p w14:paraId="3956005F" w14:textId="77777777" w:rsidR="008206CA" w:rsidRPr="008206CA" w:rsidRDefault="008206CA" w:rsidP="008206CA">
                            <w:pPr>
                              <w:pStyle w:val="Default"/>
                              <w:rPr>
                                <w:color w:val="FFFFFF"/>
                                <w:sz w:val="22"/>
                                <w:szCs w:val="22"/>
                              </w:rPr>
                            </w:pPr>
                          </w:p>
                          <w:p w14:paraId="33591C59" w14:textId="77777777" w:rsidR="008206CA" w:rsidRPr="008206CA" w:rsidRDefault="008206CA" w:rsidP="008206CA">
                            <w:pPr>
                              <w:pStyle w:val="Default"/>
                              <w:rPr>
                                <w:color w:val="FFFFFF"/>
                                <w:sz w:val="22"/>
                                <w:szCs w:val="22"/>
                              </w:rPr>
                            </w:pPr>
                          </w:p>
                          <w:p w14:paraId="7CA14205" w14:textId="77777777" w:rsidR="008206CA" w:rsidRPr="008206CA" w:rsidRDefault="008206CA" w:rsidP="008206CA">
                            <w:pPr>
                              <w:pStyle w:val="Default"/>
                              <w:rPr>
                                <w:color w:val="FFFFFF"/>
                                <w:sz w:val="22"/>
                                <w:szCs w:val="22"/>
                              </w:rPr>
                            </w:pPr>
                          </w:p>
                          <w:p w14:paraId="516EA2CA" w14:textId="77777777" w:rsidR="008206CA" w:rsidRDefault="008206CA" w:rsidP="008206CA">
                            <w:pPr>
                              <w:pStyle w:val="Default"/>
                              <w:ind w:left="360"/>
                            </w:pPr>
                          </w:p>
                          <w:p w14:paraId="1C680BA8" w14:textId="77777777" w:rsidR="008206CA" w:rsidRDefault="008206CA" w:rsidP="008206CA">
                            <w:pPr>
                              <w:pStyle w:val="Default"/>
                              <w:ind w:left="360"/>
                            </w:pPr>
                          </w:p>
                          <w:p w14:paraId="5E93F190" w14:textId="77777777" w:rsidR="008206CA" w:rsidRDefault="008206CA" w:rsidP="008206CA">
                            <w:pPr>
                              <w:pStyle w:val="Default"/>
                            </w:pPr>
                          </w:p>
                          <w:p w14:paraId="6CA710BA" w14:textId="77777777" w:rsidR="008206CA" w:rsidRDefault="008206CA" w:rsidP="008206CA">
                            <w:pPr>
                              <w:pStyle w:val="Default"/>
                            </w:pPr>
                          </w:p>
                          <w:p w14:paraId="6039B398" w14:textId="77777777" w:rsidR="008206CA" w:rsidRDefault="008206CA" w:rsidP="008206CA">
                            <w:pPr>
                              <w:pStyle w:val="Default"/>
                            </w:pPr>
                          </w:p>
                          <w:p w14:paraId="20ABAA28" w14:textId="77777777" w:rsidR="008206CA" w:rsidRDefault="008206CA" w:rsidP="008206CA">
                            <w:pPr>
                              <w:rPr>
                                <w:sz w:val="20"/>
                              </w:rPr>
                            </w:pPr>
                          </w:p>
                          <w:p w14:paraId="74AB957F" w14:textId="77777777" w:rsidR="008206CA" w:rsidRPr="002C4072" w:rsidRDefault="008206CA" w:rsidP="008206CA">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DB206" id="Rectangle: Rounded Corners 107" o:spid="_x0000_s1037" style="position:absolute;margin-left:246pt;margin-top:.55pt;width:241.5pt;height:30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" fillcolor="#4f81bd" strokecolor="#385d8a" strokeweight="2pt">
                <v:path arrowok="t"/>
                <v:textbox>
                  <w:txbxContent>
                    <w:p w14:paraId="4D8291DA"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Council adopts a Team Swansea approach working as a whole Council and effectively engages with stakeholders to ensure successful and sustainable outcomes by:</w:t>
                      </w:r>
                    </w:p>
                    <w:p w14:paraId="2522290B"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 xml:space="preserve">targeting communications; </w:t>
                      </w:r>
                    </w:p>
                    <w:p w14:paraId="2A8D6476"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effective use of social media;</w:t>
                      </w:r>
                    </w:p>
                    <w:p w14:paraId="0D53D810"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formal and informal meetings with key stakeholder groups i.e. External auditors, Welsh Government, Health board.</w:t>
                      </w:r>
                    </w:p>
                    <w:p w14:paraId="6494A571"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Council has an extensive range of partnerships to support the delivery of the Council’s objectives including:</w:t>
                      </w:r>
                    </w:p>
                    <w:p w14:paraId="359BD2C4"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The Public Services Board.</w:t>
                      </w:r>
                    </w:p>
                    <w:p w14:paraId="35F18691" w14:textId="77777777" w:rsidR="008206CA" w:rsidRPr="008206CA" w:rsidRDefault="008206CA" w:rsidP="008206CA">
                      <w:pPr>
                        <w:pStyle w:val="Default"/>
                        <w:numPr>
                          <w:ilvl w:val="0"/>
                          <w:numId w:val="57"/>
                        </w:numPr>
                        <w:rPr>
                          <w:color w:val="FFFFFF"/>
                          <w:sz w:val="20"/>
                          <w:szCs w:val="20"/>
                        </w:rPr>
                      </w:pPr>
                      <w:r w:rsidRPr="008206CA">
                        <w:rPr>
                          <w:color w:val="FFFFFF"/>
                          <w:sz w:val="20"/>
                          <w:szCs w:val="20"/>
                        </w:rPr>
                        <w:t>The Safer Swansea Partnership.</w:t>
                      </w:r>
                    </w:p>
                    <w:p w14:paraId="0DC42898"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Council has adopted the Community/Town Council Charter and facilitates the Community/Town Council forum meetings with the 24 Councils.</w:t>
                      </w:r>
                    </w:p>
                    <w:p w14:paraId="3956005F" w14:textId="77777777" w:rsidR="008206CA" w:rsidRPr="008206CA" w:rsidRDefault="008206CA" w:rsidP="008206CA">
                      <w:pPr>
                        <w:pStyle w:val="Default"/>
                        <w:rPr>
                          <w:color w:val="FFFFFF"/>
                          <w:sz w:val="22"/>
                          <w:szCs w:val="22"/>
                        </w:rPr>
                      </w:pPr>
                    </w:p>
                    <w:p w14:paraId="33591C59" w14:textId="77777777" w:rsidR="008206CA" w:rsidRPr="008206CA" w:rsidRDefault="008206CA" w:rsidP="008206CA">
                      <w:pPr>
                        <w:pStyle w:val="Default"/>
                        <w:rPr>
                          <w:color w:val="FFFFFF"/>
                          <w:sz w:val="22"/>
                          <w:szCs w:val="22"/>
                        </w:rPr>
                      </w:pPr>
                    </w:p>
                    <w:p w14:paraId="7CA14205" w14:textId="77777777" w:rsidR="008206CA" w:rsidRPr="008206CA" w:rsidRDefault="008206CA" w:rsidP="008206CA">
                      <w:pPr>
                        <w:pStyle w:val="Default"/>
                        <w:rPr>
                          <w:color w:val="FFFFFF"/>
                          <w:sz w:val="22"/>
                          <w:szCs w:val="22"/>
                        </w:rPr>
                      </w:pPr>
                    </w:p>
                    <w:p w14:paraId="516EA2CA" w14:textId="77777777" w:rsidR="008206CA" w:rsidRDefault="008206CA" w:rsidP="008206CA">
                      <w:pPr>
                        <w:pStyle w:val="Default"/>
                        <w:ind w:left="360"/>
                      </w:pPr>
                    </w:p>
                    <w:p w14:paraId="1C680BA8" w14:textId="77777777" w:rsidR="008206CA" w:rsidRDefault="008206CA" w:rsidP="008206CA">
                      <w:pPr>
                        <w:pStyle w:val="Default"/>
                        <w:ind w:left="360"/>
                      </w:pPr>
                    </w:p>
                    <w:p w14:paraId="5E93F190" w14:textId="77777777" w:rsidR="008206CA" w:rsidRDefault="008206CA" w:rsidP="008206CA">
                      <w:pPr>
                        <w:pStyle w:val="Default"/>
                      </w:pPr>
                    </w:p>
                    <w:p w14:paraId="6CA710BA" w14:textId="77777777" w:rsidR="008206CA" w:rsidRDefault="008206CA" w:rsidP="008206CA">
                      <w:pPr>
                        <w:pStyle w:val="Default"/>
                      </w:pPr>
                    </w:p>
                    <w:p w14:paraId="6039B398" w14:textId="77777777" w:rsidR="008206CA" w:rsidRDefault="008206CA" w:rsidP="008206CA">
                      <w:pPr>
                        <w:pStyle w:val="Default"/>
                      </w:pPr>
                    </w:p>
                    <w:p w14:paraId="20ABAA28" w14:textId="77777777" w:rsidR="008206CA" w:rsidRDefault="008206CA" w:rsidP="008206CA">
                      <w:pPr>
                        <w:rPr>
                          <w:sz w:val="20"/>
                        </w:rPr>
                      </w:pPr>
                    </w:p>
                    <w:p w14:paraId="74AB957F" w14:textId="77777777" w:rsidR="008206CA" w:rsidRPr="002C4072" w:rsidRDefault="008206CA" w:rsidP="008206CA">
                      <w:pPr>
                        <w:rPr>
                          <w:sz w:val="20"/>
                        </w:rPr>
                      </w:pPr>
                    </w:p>
                  </w:txbxContent>
                </v:textbox>
              </v:roundrect>
            </w:pict>
          </mc:Fallback>
        </mc:AlternateContent>
      </w:r>
    </w:p>
    <w:p w14:paraId="51D28EEF" w14:textId="77777777" w:rsidR="008206CA" w:rsidRDefault="008206CA" w:rsidP="008206CA"/>
    <w:p w14:paraId="15C244F0" w14:textId="77777777" w:rsidR="008206CA" w:rsidRDefault="008206CA" w:rsidP="008206CA"/>
    <w:p w14:paraId="58DB640F" w14:textId="77777777" w:rsidR="008206CA" w:rsidRDefault="008206CA" w:rsidP="008206CA">
      <w:r>
        <w:br w:type="page"/>
      </w:r>
    </w:p>
    <w:p w14:paraId="739A681E" w14:textId="77777777" w:rsidR="008206CA" w:rsidRDefault="008206CA" w:rsidP="008206CA">
      <w:pPr>
        <w:rPr>
          <w:rFonts w:ascii="Arial" w:hAnsi="Arial" w:cs="Arial"/>
          <w:b/>
          <w:sz w:val="24"/>
          <w:szCs w:val="24"/>
        </w:rPr>
      </w:pPr>
      <w:r w:rsidRPr="000C4803">
        <w:rPr>
          <w:rFonts w:ascii="Arial" w:hAnsi="Arial" w:cs="Arial"/>
          <w:b/>
          <w:sz w:val="24"/>
          <w:szCs w:val="24"/>
        </w:rPr>
        <w:t>P</w:t>
      </w:r>
      <w:r>
        <w:rPr>
          <w:rFonts w:ascii="Arial" w:hAnsi="Arial" w:cs="Arial"/>
          <w:b/>
          <w:sz w:val="24"/>
          <w:szCs w:val="24"/>
        </w:rPr>
        <w:t>rinciple C</w:t>
      </w:r>
    </w:p>
    <w:tbl>
      <w:tblPr>
        <w:tblW w:w="1418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187"/>
      </w:tblGrid>
      <w:tr w:rsidR="008206CA" w14:paraId="5FFF7398" w14:textId="77777777" w:rsidTr="00DE37F4">
        <w:trPr>
          <w:trHeight w:val="478"/>
        </w:trPr>
        <w:tc>
          <w:tcPr>
            <w:tcW w:w="14187" w:type="dxa"/>
            <w:shd w:val="clear" w:color="auto" w:fill="A6A6A6"/>
          </w:tcPr>
          <w:p w14:paraId="05992A7B" w14:textId="77777777" w:rsidR="008206CA" w:rsidRPr="00DE37F4" w:rsidRDefault="008206CA" w:rsidP="00DE37F4">
            <w:pPr>
              <w:rPr>
                <w:rFonts w:ascii="Arial" w:hAnsi="Arial" w:cs="Arial"/>
                <w:sz w:val="24"/>
                <w:szCs w:val="24"/>
              </w:rPr>
            </w:pPr>
            <w:r w:rsidRPr="00DE37F4">
              <w:rPr>
                <w:rFonts w:ascii="Arial" w:hAnsi="Arial" w:cs="Arial"/>
                <w:b/>
                <w:bCs/>
                <w:color w:val="000000"/>
              </w:rPr>
              <w:t>Defining outcomes in terms of sustainable economic, social and environmental benefits</w:t>
            </w:r>
            <w:r w:rsidRPr="00DE37F4">
              <w:rPr>
                <w:rFonts w:ascii="Arial" w:hAnsi="Arial" w:cs="Arial"/>
                <w:sz w:val="24"/>
                <w:szCs w:val="24"/>
              </w:rPr>
              <w:t xml:space="preserve"> </w:t>
            </w:r>
          </w:p>
        </w:tc>
      </w:tr>
    </w:tbl>
    <w:p w14:paraId="66026FEC" w14:textId="77777777" w:rsidR="008206CA" w:rsidRPr="002C4072" w:rsidRDefault="008206CA" w:rsidP="008206CA">
      <w:pPr>
        <w:pStyle w:val="NoSpacing"/>
      </w:pPr>
    </w:p>
    <w:p w14:paraId="068CAB8C" w14:textId="746EF814" w:rsidR="008206CA" w:rsidRDefault="00516E75" w:rsidP="008206CA">
      <w:pPr>
        <w:ind w:left="-709"/>
        <w:rPr>
          <w:rFonts w:ascii="Arial" w:hAnsi="Arial" w:cs="Arial"/>
          <w:b/>
          <w:sz w:val="24"/>
          <w:szCs w:val="24"/>
        </w:rPr>
      </w:pPr>
      <w:r>
        <w:rPr>
          <w:noProof/>
        </w:rPr>
        <mc:AlternateContent>
          <mc:Choice Requires="wps">
            <w:drawing>
              <wp:anchor distT="45720" distB="45720" distL="114300" distR="114300" simplePos="0" relativeHeight="251646976" behindDoc="0" locked="0" layoutInCell="1" allowOverlap="1" wp14:anchorId="235389B7" wp14:editId="7BC94BD4">
                <wp:simplePos x="0" y="0"/>
                <wp:positionH relativeFrom="margin">
                  <wp:posOffset>885825</wp:posOffset>
                </wp:positionH>
                <wp:positionV relativeFrom="paragraph">
                  <wp:posOffset>273685</wp:posOffset>
                </wp:positionV>
                <wp:extent cx="3228975" cy="523875"/>
                <wp:effectExtent l="0" t="0" r="9525" b="9525"/>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23875"/>
                        </a:xfrm>
                        <a:prstGeom prst="rect">
                          <a:avLst/>
                        </a:prstGeom>
                        <a:solidFill>
                          <a:srgbClr val="FFFFFF"/>
                        </a:solidFill>
                        <a:ln w="9525">
                          <a:solidFill>
                            <a:srgbClr val="000000"/>
                          </a:solidFill>
                          <a:miter lim="800000"/>
                          <a:headEnd/>
                          <a:tailEnd/>
                        </a:ln>
                      </wps:spPr>
                      <wps:txbx>
                        <w:txbxContent>
                          <w:p w14:paraId="298901A6" w14:textId="77777777" w:rsidR="008206CA" w:rsidRPr="005C141F" w:rsidRDefault="008206CA" w:rsidP="008206CA">
                            <w:pPr>
                              <w:shd w:val="clear" w:color="auto" w:fill="BFBFBF"/>
                              <w:jc w:val="center"/>
                              <w:rPr>
                                <w:b/>
                              </w:rPr>
                            </w:pPr>
                            <w:r w:rsidRPr="005C141F">
                              <w:rPr>
                                <w:rFonts w:ascii="Arial" w:hAnsi="Arial" w:cs="Arial"/>
                                <w:b/>
                                <w:bCs/>
                              </w:rPr>
                              <w:t>Defining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389B7" id="Text Box 106" o:spid="_x0000_s1038" type="#_x0000_t202" style="position:absolute;left:0;text-align:left;margin-left:69.75pt;margin-top:21.55pt;width:254.25pt;height:41.2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">
                <v:textbox>
                  <w:txbxContent>
                    <w:p w14:paraId="298901A6" w14:textId="77777777" w:rsidR="008206CA" w:rsidRPr="005C141F" w:rsidRDefault="008206CA" w:rsidP="008206CA">
                      <w:pPr>
                        <w:shd w:val="clear" w:color="auto" w:fill="BFBFBF"/>
                        <w:jc w:val="center"/>
                        <w:rPr>
                          <w:b/>
                        </w:rPr>
                      </w:pPr>
                      <w:r w:rsidRPr="005C141F">
                        <w:rPr>
                          <w:rFonts w:ascii="Arial" w:hAnsi="Arial" w:cs="Arial"/>
                          <w:b/>
                          <w:bCs/>
                        </w:rPr>
                        <w:t>Defining outcomes</w:t>
                      </w:r>
                    </w:p>
                  </w:txbxContent>
                </v:textbox>
                <w10:wrap type="square" anchorx="margin"/>
              </v:shape>
            </w:pict>
          </mc:Fallback>
        </mc:AlternateContent>
      </w:r>
      <w:r>
        <w:rPr>
          <w:noProof/>
        </w:rPr>
        <mc:AlternateContent>
          <mc:Choice Requires="wps">
            <w:drawing>
              <wp:anchor distT="45720" distB="45720" distL="114300" distR="114300" simplePos="0" relativeHeight="251648000" behindDoc="0" locked="0" layoutInCell="1" allowOverlap="1" wp14:anchorId="56D6FCEF" wp14:editId="7301F87D">
                <wp:simplePos x="0" y="0"/>
                <wp:positionH relativeFrom="margin">
                  <wp:posOffset>5324475</wp:posOffset>
                </wp:positionH>
                <wp:positionV relativeFrom="paragraph">
                  <wp:posOffset>292735</wp:posOffset>
                </wp:positionV>
                <wp:extent cx="3276600" cy="504825"/>
                <wp:effectExtent l="0" t="0" r="0" b="9525"/>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04825"/>
                        </a:xfrm>
                        <a:prstGeom prst="rect">
                          <a:avLst/>
                        </a:prstGeom>
                        <a:solidFill>
                          <a:srgbClr val="FFFFFF"/>
                        </a:solidFill>
                        <a:ln w="9525">
                          <a:solidFill>
                            <a:srgbClr val="000000"/>
                          </a:solidFill>
                          <a:miter lim="800000"/>
                          <a:headEnd/>
                          <a:tailEnd/>
                        </a:ln>
                      </wps:spPr>
                      <wps:txbx>
                        <w:txbxContent>
                          <w:p w14:paraId="0E5C2A09" w14:textId="77777777" w:rsidR="008206CA" w:rsidRPr="005C141F" w:rsidRDefault="008206CA" w:rsidP="008206CA">
                            <w:pPr>
                              <w:pStyle w:val="NoSpacing"/>
                              <w:shd w:val="clear" w:color="auto" w:fill="BFBFBF"/>
                              <w:jc w:val="center"/>
                              <w:rPr>
                                <w:b/>
                              </w:rPr>
                            </w:pPr>
                            <w:r w:rsidRPr="005C141F">
                              <w:rPr>
                                <w:rFonts w:ascii="Arial" w:hAnsi="Arial" w:cs="Arial"/>
                                <w:b/>
                                <w:bCs/>
                                <w:color w:val="000000"/>
                              </w:rPr>
                              <w:t>Sustainable economic, social and environmental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6FCEF" id="Text Box 105" o:spid="_x0000_s1039" type="#_x0000_t202" style="position:absolute;left:0;text-align:left;margin-left:419.25pt;margin-top:23.05pt;width:258pt;height:39.7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">
                <v:textbox>
                  <w:txbxContent>
                    <w:p w14:paraId="0E5C2A09" w14:textId="77777777" w:rsidR="008206CA" w:rsidRPr="005C141F" w:rsidRDefault="008206CA" w:rsidP="008206CA">
                      <w:pPr>
                        <w:pStyle w:val="NoSpacing"/>
                        <w:shd w:val="clear" w:color="auto" w:fill="BFBFBF"/>
                        <w:jc w:val="center"/>
                        <w:rPr>
                          <w:b/>
                        </w:rPr>
                      </w:pPr>
                      <w:r w:rsidRPr="005C141F">
                        <w:rPr>
                          <w:rFonts w:ascii="Arial" w:hAnsi="Arial" w:cs="Arial"/>
                          <w:b/>
                          <w:bCs/>
                          <w:color w:val="000000"/>
                        </w:rPr>
                        <w:t>Sustainable economic, social and environmental benefits</w:t>
                      </w:r>
                    </w:p>
                  </w:txbxContent>
                </v:textbox>
                <w10:wrap type="square" anchorx="margin"/>
              </v:shape>
            </w:pict>
          </mc:Fallback>
        </mc:AlternateContent>
      </w:r>
      <w:r w:rsidR="008206CA">
        <w:rPr>
          <w:rFonts w:ascii="Arial" w:hAnsi="Arial" w:cs="Arial"/>
          <w:b/>
          <w:sz w:val="24"/>
          <w:szCs w:val="24"/>
        </w:rPr>
        <w:tab/>
        <w:t>Sub Principles:</w:t>
      </w:r>
      <w:r w:rsidR="008206CA" w:rsidRPr="004A31FE">
        <w:rPr>
          <w:rFonts w:ascii="Arial" w:hAnsi="Arial" w:cs="Arial"/>
          <w:sz w:val="24"/>
          <w:szCs w:val="24"/>
        </w:rPr>
        <w:tab/>
      </w:r>
      <w:r w:rsidR="008F79D4" w:rsidRPr="008F79D4">
        <w:rPr>
          <w:rFonts w:ascii="Arial" w:hAnsi="Arial" w:cs="Arial"/>
          <w:b/>
          <w:bCs/>
          <w:sz w:val="24"/>
          <w:szCs w:val="24"/>
        </w:rPr>
        <w:t>How we do this :</w:t>
      </w:r>
      <w:r w:rsidR="008206CA" w:rsidRPr="008F79D4">
        <w:rPr>
          <w:rFonts w:ascii="Arial" w:hAnsi="Arial" w:cs="Arial"/>
          <w:b/>
          <w:bCs/>
          <w:sz w:val="24"/>
          <w:szCs w:val="24"/>
        </w:rPr>
        <w:tab/>
      </w:r>
      <w:r w:rsidR="008206CA">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p>
    <w:p w14:paraId="5D9DC22B" w14:textId="77777777" w:rsidR="008206CA" w:rsidRDefault="008206CA" w:rsidP="008206CA">
      <w:pPr>
        <w:ind w:left="-709"/>
        <w:rPr>
          <w:rFonts w:ascii="Arial" w:hAnsi="Arial" w:cs="Arial"/>
          <w:b/>
          <w:sz w:val="24"/>
          <w:szCs w:val="24"/>
        </w:rPr>
      </w:pPr>
      <w:r>
        <w:rPr>
          <w:rFonts w:ascii="Arial" w:hAnsi="Arial" w:cs="Arial"/>
          <w:b/>
          <w:sz w:val="24"/>
          <w:szCs w:val="24"/>
        </w:rPr>
        <w:tab/>
      </w:r>
    </w:p>
    <w:p w14:paraId="082EE130" w14:textId="77777777" w:rsidR="008206CA" w:rsidRDefault="008206CA" w:rsidP="008206CA">
      <w:pPr>
        <w:ind w:left="-709"/>
        <w:rPr>
          <w:rFonts w:ascii="Arial" w:hAnsi="Arial" w:cs="Arial"/>
          <w:b/>
          <w:sz w:val="24"/>
          <w:szCs w:val="24"/>
        </w:rPr>
      </w:pPr>
    </w:p>
    <w:p w14:paraId="0981A1B1" w14:textId="77777777" w:rsidR="008206CA" w:rsidRPr="00D94CB3" w:rsidRDefault="008206CA" w:rsidP="008206CA">
      <w:pPr>
        <w:ind w:left="-709"/>
        <w:rPr>
          <w:rFonts w:ascii="Arial" w:hAnsi="Arial" w:cs="Arial"/>
          <w:b/>
          <w:sz w:val="24"/>
          <w:szCs w:val="24"/>
        </w:rPr>
      </w:pPr>
      <w:r>
        <w:rPr>
          <w:rFonts w:ascii="Arial" w:hAnsi="Arial" w:cs="Arial"/>
          <w:b/>
          <w:sz w:val="24"/>
          <w:szCs w:val="24"/>
        </w:rPr>
        <w:tab/>
      </w:r>
    </w:p>
    <w:p w14:paraId="4D24C011" w14:textId="77777777" w:rsidR="008206CA" w:rsidRDefault="008206CA" w:rsidP="008206CA">
      <w:pPr>
        <w:rPr>
          <w:rFonts w:ascii="Arial" w:hAnsi="Arial" w:cs="Arial"/>
          <w:b/>
          <w:sz w:val="24"/>
          <w:szCs w:val="24"/>
        </w:rPr>
      </w:pPr>
    </w:p>
    <w:p w14:paraId="15E931EE" w14:textId="28B5CBBB" w:rsidR="008206CA" w:rsidRDefault="00516E75" w:rsidP="008206CA">
      <w:r>
        <w:rPr>
          <w:noProof/>
        </w:rPr>
        <mc:AlternateContent>
          <mc:Choice Requires="wps">
            <w:drawing>
              <wp:anchor distT="0" distB="0" distL="114300" distR="114300" simplePos="0" relativeHeight="251650048" behindDoc="0" locked="0" layoutInCell="1" allowOverlap="1" wp14:anchorId="10B2334B" wp14:editId="1F44AD37">
                <wp:simplePos x="0" y="0"/>
                <wp:positionH relativeFrom="margin">
                  <wp:posOffset>4747260</wp:posOffset>
                </wp:positionH>
                <wp:positionV relativeFrom="paragraph">
                  <wp:posOffset>116205</wp:posOffset>
                </wp:positionV>
                <wp:extent cx="4263390" cy="3933825"/>
                <wp:effectExtent l="0" t="0" r="3810" b="9525"/>
                <wp:wrapNone/>
                <wp:docPr id="104" name="Rectangle: Rounded Corners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3390" cy="3933825"/>
                        </a:xfrm>
                        <a:prstGeom prst="roundRect">
                          <a:avLst/>
                        </a:prstGeom>
                        <a:solidFill>
                          <a:srgbClr val="4F81BD"/>
                        </a:solidFill>
                        <a:ln w="25400" cap="flat" cmpd="sng" algn="ctr">
                          <a:solidFill>
                            <a:srgbClr val="4F81BD">
                              <a:shade val="50000"/>
                            </a:srgbClr>
                          </a:solidFill>
                          <a:prstDash val="solid"/>
                        </a:ln>
                        <a:effectLst/>
                      </wps:spPr>
                      <wps:txbx>
                        <w:txbxContent>
                          <w:p w14:paraId="2F05A90E" w14:textId="77777777" w:rsidR="008206CA" w:rsidRPr="008206CA" w:rsidRDefault="008206CA" w:rsidP="008206CA">
                            <w:pPr>
                              <w:pStyle w:val="Default"/>
                              <w:numPr>
                                <w:ilvl w:val="0"/>
                                <w:numId w:val="40"/>
                              </w:numPr>
                              <w:rPr>
                                <w:color w:val="FFFFFF"/>
                                <w:sz w:val="22"/>
                                <w:szCs w:val="22"/>
                              </w:rPr>
                            </w:pPr>
                            <w:r w:rsidRPr="008206CA">
                              <w:rPr>
                                <w:color w:val="FFFFFF"/>
                                <w:sz w:val="22"/>
                                <w:szCs w:val="22"/>
                              </w:rPr>
                              <w:t>The Council takes a long term and sustainable view and balances the economic, social and environmental impact of policies and plans by:</w:t>
                            </w:r>
                          </w:p>
                          <w:p w14:paraId="07335A7A" w14:textId="77777777" w:rsidR="008206CA" w:rsidRPr="008206CA" w:rsidRDefault="008206CA" w:rsidP="008206CA">
                            <w:pPr>
                              <w:pStyle w:val="Default"/>
                              <w:numPr>
                                <w:ilvl w:val="0"/>
                                <w:numId w:val="58"/>
                              </w:numPr>
                              <w:rPr>
                                <w:color w:val="FFFFFF"/>
                                <w:sz w:val="22"/>
                                <w:szCs w:val="22"/>
                              </w:rPr>
                            </w:pPr>
                            <w:r w:rsidRPr="008206CA">
                              <w:rPr>
                                <w:color w:val="FFFFFF"/>
                                <w:sz w:val="22"/>
                                <w:szCs w:val="22"/>
                              </w:rPr>
                              <w:t>Medium Term Financial Planning covering 3 financial years approved annually by Council.</w:t>
                            </w:r>
                          </w:p>
                          <w:p w14:paraId="5822B7DF" w14:textId="77777777" w:rsidR="008206CA" w:rsidRPr="008206CA" w:rsidRDefault="008206CA" w:rsidP="008206CA">
                            <w:pPr>
                              <w:pStyle w:val="Default"/>
                              <w:numPr>
                                <w:ilvl w:val="0"/>
                                <w:numId w:val="58"/>
                              </w:numPr>
                              <w:rPr>
                                <w:color w:val="FFFFFF"/>
                                <w:sz w:val="22"/>
                                <w:szCs w:val="22"/>
                              </w:rPr>
                            </w:pPr>
                            <w:r w:rsidRPr="008206CA">
                              <w:rPr>
                                <w:color w:val="FFFFFF"/>
                                <w:sz w:val="22"/>
                                <w:szCs w:val="22"/>
                              </w:rPr>
                              <w:t>Refresh of the Corporate Plan annually</w:t>
                            </w:r>
                          </w:p>
                          <w:p w14:paraId="46F4DB63" w14:textId="77777777" w:rsidR="008206CA" w:rsidRPr="008206CA" w:rsidRDefault="008206CA" w:rsidP="008206CA">
                            <w:pPr>
                              <w:pStyle w:val="Default"/>
                              <w:numPr>
                                <w:ilvl w:val="0"/>
                                <w:numId w:val="58"/>
                              </w:numPr>
                              <w:rPr>
                                <w:color w:val="FFFFFF"/>
                                <w:sz w:val="22"/>
                                <w:szCs w:val="22"/>
                              </w:rPr>
                            </w:pPr>
                            <w:r w:rsidRPr="008206CA">
                              <w:rPr>
                                <w:color w:val="FFFFFF"/>
                                <w:sz w:val="22"/>
                                <w:szCs w:val="22"/>
                              </w:rPr>
                              <w:t>Annual service planning.</w:t>
                            </w:r>
                          </w:p>
                          <w:p w14:paraId="3A914061" w14:textId="77777777" w:rsidR="008206CA" w:rsidRPr="008206CA" w:rsidRDefault="008206CA" w:rsidP="008206CA">
                            <w:pPr>
                              <w:pStyle w:val="Default"/>
                              <w:numPr>
                                <w:ilvl w:val="0"/>
                                <w:numId w:val="40"/>
                              </w:numPr>
                              <w:rPr>
                                <w:color w:val="FFFFFF"/>
                                <w:sz w:val="22"/>
                                <w:szCs w:val="22"/>
                              </w:rPr>
                            </w:pPr>
                            <w:r w:rsidRPr="008206CA">
                              <w:rPr>
                                <w:color w:val="FFFFFF"/>
                                <w:sz w:val="22"/>
                                <w:szCs w:val="22"/>
                              </w:rPr>
                              <w:t xml:space="preserve">The Council’s new </w:t>
                            </w:r>
                            <w:r w:rsidRPr="008206CA">
                              <w:rPr>
                                <w:i/>
                                <w:color w:val="FFFFFF"/>
                                <w:sz w:val="22"/>
                                <w:szCs w:val="22"/>
                              </w:rPr>
                              <w:t>Achieving Better Together</w:t>
                            </w:r>
                            <w:r w:rsidRPr="008206CA">
                              <w:rPr>
                                <w:color w:val="FFFFFF"/>
                                <w:sz w:val="22"/>
                                <w:szCs w:val="22"/>
                              </w:rPr>
                              <w:t xml:space="preserve"> Recovery and Transformation programme, which replaces </w:t>
                            </w:r>
                            <w:r w:rsidRPr="008206CA">
                              <w:rPr>
                                <w:i/>
                                <w:color w:val="FFFFFF"/>
                                <w:sz w:val="22"/>
                                <w:szCs w:val="22"/>
                              </w:rPr>
                              <w:t>Sustainable Swansea: Fit for the Future</w:t>
                            </w:r>
                            <w:r w:rsidRPr="008206CA">
                              <w:rPr>
                                <w:color w:val="FFFFFF"/>
                                <w:sz w:val="22"/>
                                <w:szCs w:val="22"/>
                              </w:rPr>
                              <w:t xml:space="preserve"> seeks to allow the Council to recover from the COVID-19 pandemic and modernise and transform the council to meet the longer term challenges and ensure sustainable provision of services.</w:t>
                            </w:r>
                          </w:p>
                          <w:p w14:paraId="715F93CA" w14:textId="77777777" w:rsidR="008206CA" w:rsidRPr="008206CA" w:rsidRDefault="008206CA" w:rsidP="008206CA">
                            <w:pPr>
                              <w:pStyle w:val="Default"/>
                              <w:numPr>
                                <w:ilvl w:val="0"/>
                                <w:numId w:val="40"/>
                              </w:numPr>
                              <w:rPr>
                                <w:color w:val="FFFFFF"/>
                                <w:sz w:val="22"/>
                                <w:szCs w:val="22"/>
                              </w:rPr>
                            </w:pPr>
                            <w:r w:rsidRPr="008206CA">
                              <w:rPr>
                                <w:color w:val="FFFFFF"/>
                                <w:sz w:val="22"/>
                                <w:szCs w:val="22"/>
                              </w:rPr>
                              <w:t>There is public and stakeholder engagement.</w:t>
                            </w:r>
                          </w:p>
                          <w:p w14:paraId="7AB5A251" w14:textId="77777777" w:rsidR="008206CA" w:rsidRPr="008206CA" w:rsidRDefault="008206CA" w:rsidP="008206CA">
                            <w:pPr>
                              <w:pStyle w:val="Default"/>
                              <w:numPr>
                                <w:ilvl w:val="0"/>
                                <w:numId w:val="40"/>
                              </w:numPr>
                              <w:rPr>
                                <w:color w:val="FFFFFF"/>
                                <w:sz w:val="22"/>
                                <w:szCs w:val="22"/>
                              </w:rPr>
                            </w:pPr>
                            <w:r w:rsidRPr="008206CA">
                              <w:rPr>
                                <w:color w:val="FFFFFF"/>
                                <w:sz w:val="22"/>
                                <w:szCs w:val="22"/>
                              </w:rPr>
                              <w:t>Council has passed a motion on tackling the climate emergency and has set a target and means to achieve net zero carbon emissions by 2030, including expanding our fleet of green vehicles, increasing tree cover, installing solar panels and improving energy efficiency.</w:t>
                            </w:r>
                          </w:p>
                          <w:p w14:paraId="2520FA09" w14:textId="77777777" w:rsidR="008206CA" w:rsidRPr="008206CA" w:rsidRDefault="008206CA" w:rsidP="008206CA">
                            <w:pPr>
                              <w:pStyle w:val="Default"/>
                              <w:rPr>
                                <w:color w:val="FFFFFF"/>
                                <w:sz w:val="22"/>
                                <w:szCs w:val="22"/>
                              </w:rPr>
                            </w:pPr>
                          </w:p>
                          <w:p w14:paraId="7D24E170" w14:textId="77777777" w:rsidR="008206CA" w:rsidRPr="008206CA" w:rsidRDefault="008206CA" w:rsidP="008206CA">
                            <w:pPr>
                              <w:pStyle w:val="Default"/>
                              <w:rPr>
                                <w:color w:val="FFFFFF"/>
                                <w:sz w:val="22"/>
                                <w:szCs w:val="22"/>
                              </w:rPr>
                            </w:pPr>
                          </w:p>
                          <w:p w14:paraId="0AE99268" w14:textId="77777777" w:rsidR="008206CA" w:rsidRPr="008206CA" w:rsidRDefault="008206CA" w:rsidP="008206CA">
                            <w:pPr>
                              <w:pStyle w:val="Default"/>
                              <w:rPr>
                                <w:color w:val="FFFFFF"/>
                                <w:sz w:val="22"/>
                                <w:szCs w:val="22"/>
                              </w:rPr>
                            </w:pPr>
                          </w:p>
                          <w:p w14:paraId="3DA2580E" w14:textId="77777777" w:rsidR="008206CA" w:rsidRDefault="008206CA" w:rsidP="008206CA">
                            <w:pPr>
                              <w:pStyle w:val="Default"/>
                              <w:ind w:left="360"/>
                            </w:pPr>
                          </w:p>
                          <w:p w14:paraId="1818D460" w14:textId="77777777" w:rsidR="008206CA" w:rsidRDefault="008206CA" w:rsidP="008206CA">
                            <w:pPr>
                              <w:pStyle w:val="Default"/>
                            </w:pPr>
                          </w:p>
                          <w:p w14:paraId="0B981EB3" w14:textId="77777777" w:rsidR="008206CA" w:rsidRDefault="008206CA" w:rsidP="008206CA">
                            <w:pPr>
                              <w:pStyle w:val="Default"/>
                            </w:pPr>
                          </w:p>
                          <w:p w14:paraId="65DE78DD" w14:textId="77777777" w:rsidR="008206CA" w:rsidRDefault="008206CA" w:rsidP="008206CA">
                            <w:pPr>
                              <w:pStyle w:val="Default"/>
                            </w:pPr>
                          </w:p>
                          <w:p w14:paraId="22CFAD33" w14:textId="77777777" w:rsidR="008206CA" w:rsidRDefault="008206CA" w:rsidP="008206CA">
                            <w:pPr>
                              <w:rPr>
                                <w:sz w:val="20"/>
                              </w:rPr>
                            </w:pPr>
                          </w:p>
                          <w:p w14:paraId="14343B1F" w14:textId="77777777" w:rsidR="008206CA" w:rsidRPr="002C4072" w:rsidRDefault="008206CA" w:rsidP="008206CA">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2334B" id="Rectangle: Rounded Corners 104" o:spid="_x0000_s1040" style="position:absolute;margin-left:373.8pt;margin-top:9.15pt;width:335.7pt;height:309.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" fillcolor="#4f81bd" strokecolor="#385d8a" strokeweight="2pt">
                <v:path arrowok="t"/>
                <v:textbox>
                  <w:txbxContent>
                    <w:p w14:paraId="2F05A90E" w14:textId="77777777" w:rsidR="008206CA" w:rsidRPr="008206CA" w:rsidRDefault="008206CA" w:rsidP="008206CA">
                      <w:pPr>
                        <w:pStyle w:val="Default"/>
                        <w:numPr>
                          <w:ilvl w:val="0"/>
                          <w:numId w:val="40"/>
                        </w:numPr>
                        <w:rPr>
                          <w:color w:val="FFFFFF"/>
                          <w:sz w:val="22"/>
                          <w:szCs w:val="22"/>
                        </w:rPr>
                      </w:pPr>
                      <w:r w:rsidRPr="008206CA">
                        <w:rPr>
                          <w:color w:val="FFFFFF"/>
                          <w:sz w:val="22"/>
                          <w:szCs w:val="22"/>
                        </w:rPr>
                        <w:t>The Council takes a long term and sustainable view and balances the economic, social and environmental impact of policies and plans by:</w:t>
                      </w:r>
                    </w:p>
                    <w:p w14:paraId="07335A7A" w14:textId="77777777" w:rsidR="008206CA" w:rsidRPr="008206CA" w:rsidRDefault="008206CA" w:rsidP="008206CA">
                      <w:pPr>
                        <w:pStyle w:val="Default"/>
                        <w:numPr>
                          <w:ilvl w:val="0"/>
                          <w:numId w:val="58"/>
                        </w:numPr>
                        <w:rPr>
                          <w:color w:val="FFFFFF"/>
                          <w:sz w:val="22"/>
                          <w:szCs w:val="22"/>
                        </w:rPr>
                      </w:pPr>
                      <w:r w:rsidRPr="008206CA">
                        <w:rPr>
                          <w:color w:val="FFFFFF"/>
                          <w:sz w:val="22"/>
                          <w:szCs w:val="22"/>
                        </w:rPr>
                        <w:t>Medium Term Financial Planning covering 3 financial years approved annually by Council.</w:t>
                      </w:r>
                    </w:p>
                    <w:p w14:paraId="5822B7DF" w14:textId="77777777" w:rsidR="008206CA" w:rsidRPr="008206CA" w:rsidRDefault="008206CA" w:rsidP="008206CA">
                      <w:pPr>
                        <w:pStyle w:val="Default"/>
                        <w:numPr>
                          <w:ilvl w:val="0"/>
                          <w:numId w:val="58"/>
                        </w:numPr>
                        <w:rPr>
                          <w:color w:val="FFFFFF"/>
                          <w:sz w:val="22"/>
                          <w:szCs w:val="22"/>
                        </w:rPr>
                      </w:pPr>
                      <w:r w:rsidRPr="008206CA">
                        <w:rPr>
                          <w:color w:val="FFFFFF"/>
                          <w:sz w:val="22"/>
                          <w:szCs w:val="22"/>
                        </w:rPr>
                        <w:t>Refresh of the Corporate Plan annually</w:t>
                      </w:r>
                    </w:p>
                    <w:p w14:paraId="46F4DB63" w14:textId="77777777" w:rsidR="008206CA" w:rsidRPr="008206CA" w:rsidRDefault="008206CA" w:rsidP="008206CA">
                      <w:pPr>
                        <w:pStyle w:val="Default"/>
                        <w:numPr>
                          <w:ilvl w:val="0"/>
                          <w:numId w:val="58"/>
                        </w:numPr>
                        <w:rPr>
                          <w:color w:val="FFFFFF"/>
                          <w:sz w:val="22"/>
                          <w:szCs w:val="22"/>
                        </w:rPr>
                      </w:pPr>
                      <w:r w:rsidRPr="008206CA">
                        <w:rPr>
                          <w:color w:val="FFFFFF"/>
                          <w:sz w:val="22"/>
                          <w:szCs w:val="22"/>
                        </w:rPr>
                        <w:t>Annual service planning.</w:t>
                      </w:r>
                    </w:p>
                    <w:p w14:paraId="3A914061" w14:textId="77777777" w:rsidR="008206CA" w:rsidRPr="008206CA" w:rsidRDefault="008206CA" w:rsidP="008206CA">
                      <w:pPr>
                        <w:pStyle w:val="Default"/>
                        <w:numPr>
                          <w:ilvl w:val="0"/>
                          <w:numId w:val="40"/>
                        </w:numPr>
                        <w:rPr>
                          <w:color w:val="FFFFFF"/>
                          <w:sz w:val="22"/>
                          <w:szCs w:val="22"/>
                        </w:rPr>
                      </w:pPr>
                      <w:r w:rsidRPr="008206CA">
                        <w:rPr>
                          <w:color w:val="FFFFFF"/>
                          <w:sz w:val="22"/>
                          <w:szCs w:val="22"/>
                        </w:rPr>
                        <w:t xml:space="preserve">The Council’s new </w:t>
                      </w:r>
                      <w:r w:rsidRPr="008206CA">
                        <w:rPr>
                          <w:i/>
                          <w:color w:val="FFFFFF"/>
                          <w:sz w:val="22"/>
                          <w:szCs w:val="22"/>
                        </w:rPr>
                        <w:t>Achieving Better Together</w:t>
                      </w:r>
                      <w:r w:rsidRPr="008206CA">
                        <w:rPr>
                          <w:color w:val="FFFFFF"/>
                          <w:sz w:val="22"/>
                          <w:szCs w:val="22"/>
                        </w:rPr>
                        <w:t xml:space="preserve"> Recovery and Transformation programme, which replaces </w:t>
                      </w:r>
                      <w:r w:rsidRPr="008206CA">
                        <w:rPr>
                          <w:i/>
                          <w:color w:val="FFFFFF"/>
                          <w:sz w:val="22"/>
                          <w:szCs w:val="22"/>
                        </w:rPr>
                        <w:t>Sustainable Swansea: Fit for the Future</w:t>
                      </w:r>
                      <w:r w:rsidRPr="008206CA">
                        <w:rPr>
                          <w:color w:val="FFFFFF"/>
                          <w:sz w:val="22"/>
                          <w:szCs w:val="22"/>
                        </w:rPr>
                        <w:t xml:space="preserve"> seeks to allow the Council to recover from the COVID-19 pandemic and modernise and transform the council to meet the longer term challenges and ensure sustainable provision of services.</w:t>
                      </w:r>
                    </w:p>
                    <w:p w14:paraId="715F93CA" w14:textId="77777777" w:rsidR="008206CA" w:rsidRPr="008206CA" w:rsidRDefault="008206CA" w:rsidP="008206CA">
                      <w:pPr>
                        <w:pStyle w:val="Default"/>
                        <w:numPr>
                          <w:ilvl w:val="0"/>
                          <w:numId w:val="40"/>
                        </w:numPr>
                        <w:rPr>
                          <w:color w:val="FFFFFF"/>
                          <w:sz w:val="22"/>
                          <w:szCs w:val="22"/>
                        </w:rPr>
                      </w:pPr>
                      <w:r w:rsidRPr="008206CA">
                        <w:rPr>
                          <w:color w:val="FFFFFF"/>
                          <w:sz w:val="22"/>
                          <w:szCs w:val="22"/>
                        </w:rPr>
                        <w:t>There is public and stakeholder engagement.</w:t>
                      </w:r>
                    </w:p>
                    <w:p w14:paraId="7AB5A251" w14:textId="77777777" w:rsidR="008206CA" w:rsidRPr="008206CA" w:rsidRDefault="008206CA" w:rsidP="008206CA">
                      <w:pPr>
                        <w:pStyle w:val="Default"/>
                        <w:numPr>
                          <w:ilvl w:val="0"/>
                          <w:numId w:val="40"/>
                        </w:numPr>
                        <w:rPr>
                          <w:color w:val="FFFFFF"/>
                          <w:sz w:val="22"/>
                          <w:szCs w:val="22"/>
                        </w:rPr>
                      </w:pPr>
                      <w:r w:rsidRPr="008206CA">
                        <w:rPr>
                          <w:color w:val="FFFFFF"/>
                          <w:sz w:val="22"/>
                          <w:szCs w:val="22"/>
                        </w:rPr>
                        <w:t>Council has passed a motion on tackling the climate emergency and has set a target and means to achieve net zero carbon emissions by 2030, including expanding our fleet of green vehicles, increasing tree cover, installing solar panels and improving energy efficiency.</w:t>
                      </w:r>
                    </w:p>
                    <w:p w14:paraId="2520FA09" w14:textId="77777777" w:rsidR="008206CA" w:rsidRPr="008206CA" w:rsidRDefault="008206CA" w:rsidP="008206CA">
                      <w:pPr>
                        <w:pStyle w:val="Default"/>
                        <w:rPr>
                          <w:color w:val="FFFFFF"/>
                          <w:sz w:val="22"/>
                          <w:szCs w:val="22"/>
                        </w:rPr>
                      </w:pPr>
                    </w:p>
                    <w:p w14:paraId="7D24E170" w14:textId="77777777" w:rsidR="008206CA" w:rsidRPr="008206CA" w:rsidRDefault="008206CA" w:rsidP="008206CA">
                      <w:pPr>
                        <w:pStyle w:val="Default"/>
                        <w:rPr>
                          <w:color w:val="FFFFFF"/>
                          <w:sz w:val="22"/>
                          <w:szCs w:val="22"/>
                        </w:rPr>
                      </w:pPr>
                    </w:p>
                    <w:p w14:paraId="0AE99268" w14:textId="77777777" w:rsidR="008206CA" w:rsidRPr="008206CA" w:rsidRDefault="008206CA" w:rsidP="008206CA">
                      <w:pPr>
                        <w:pStyle w:val="Default"/>
                        <w:rPr>
                          <w:color w:val="FFFFFF"/>
                          <w:sz w:val="22"/>
                          <w:szCs w:val="22"/>
                        </w:rPr>
                      </w:pPr>
                    </w:p>
                    <w:p w14:paraId="3DA2580E" w14:textId="77777777" w:rsidR="008206CA" w:rsidRDefault="008206CA" w:rsidP="008206CA">
                      <w:pPr>
                        <w:pStyle w:val="Default"/>
                        <w:ind w:left="360"/>
                      </w:pPr>
                    </w:p>
                    <w:p w14:paraId="1818D460" w14:textId="77777777" w:rsidR="008206CA" w:rsidRDefault="008206CA" w:rsidP="008206CA">
                      <w:pPr>
                        <w:pStyle w:val="Default"/>
                      </w:pPr>
                    </w:p>
                    <w:p w14:paraId="0B981EB3" w14:textId="77777777" w:rsidR="008206CA" w:rsidRDefault="008206CA" w:rsidP="008206CA">
                      <w:pPr>
                        <w:pStyle w:val="Default"/>
                      </w:pPr>
                    </w:p>
                    <w:p w14:paraId="65DE78DD" w14:textId="77777777" w:rsidR="008206CA" w:rsidRDefault="008206CA" w:rsidP="008206CA">
                      <w:pPr>
                        <w:pStyle w:val="Default"/>
                      </w:pPr>
                    </w:p>
                    <w:p w14:paraId="22CFAD33" w14:textId="77777777" w:rsidR="008206CA" w:rsidRDefault="008206CA" w:rsidP="008206CA">
                      <w:pPr>
                        <w:rPr>
                          <w:sz w:val="20"/>
                        </w:rPr>
                      </w:pPr>
                    </w:p>
                    <w:p w14:paraId="14343B1F" w14:textId="77777777" w:rsidR="008206CA" w:rsidRPr="002C4072" w:rsidRDefault="008206CA" w:rsidP="008206CA">
                      <w:pPr>
                        <w:rPr>
                          <w:sz w:val="20"/>
                        </w:rPr>
                      </w:pPr>
                    </w:p>
                  </w:txbxContent>
                </v:textbox>
                <w10:wrap anchorx="margin"/>
              </v:roundrect>
            </w:pict>
          </mc:Fallback>
        </mc:AlternateContent>
      </w:r>
      <w:r>
        <w:rPr>
          <w:noProof/>
        </w:rPr>
        <mc:AlternateContent>
          <mc:Choice Requires="wps">
            <w:drawing>
              <wp:anchor distT="0" distB="0" distL="114300" distR="114300" simplePos="0" relativeHeight="251649024" behindDoc="0" locked="0" layoutInCell="1" allowOverlap="1" wp14:anchorId="1F668F40" wp14:editId="6136FEC6">
                <wp:simplePos x="0" y="0"/>
                <wp:positionH relativeFrom="margin">
                  <wp:posOffset>274320</wp:posOffset>
                </wp:positionH>
                <wp:positionV relativeFrom="paragraph">
                  <wp:posOffset>87630</wp:posOffset>
                </wp:positionV>
                <wp:extent cx="4200525" cy="3962400"/>
                <wp:effectExtent l="0" t="0" r="9525" b="0"/>
                <wp:wrapNone/>
                <wp:docPr id="103" name="Rectangle: Rounded Corners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3962400"/>
                        </a:xfrm>
                        <a:prstGeom prst="roundRect">
                          <a:avLst/>
                        </a:prstGeom>
                        <a:solidFill>
                          <a:srgbClr val="4F81BD"/>
                        </a:solidFill>
                        <a:ln w="25400" cap="flat" cmpd="sng" algn="ctr">
                          <a:solidFill>
                            <a:srgbClr val="4F81BD">
                              <a:shade val="50000"/>
                            </a:srgbClr>
                          </a:solidFill>
                          <a:prstDash val="solid"/>
                        </a:ln>
                        <a:effectLst/>
                      </wps:spPr>
                      <wps:txbx>
                        <w:txbxContent>
                          <w:p w14:paraId="76DD9AE5" w14:textId="77777777" w:rsidR="008206CA" w:rsidRPr="008206CA" w:rsidRDefault="008206CA" w:rsidP="008206CA">
                            <w:pPr>
                              <w:pStyle w:val="Default"/>
                              <w:numPr>
                                <w:ilvl w:val="0"/>
                                <w:numId w:val="39"/>
                              </w:numPr>
                              <w:rPr>
                                <w:i/>
                                <w:color w:val="FFFFFF"/>
                                <w:sz w:val="22"/>
                                <w:szCs w:val="22"/>
                              </w:rPr>
                            </w:pPr>
                            <w:r w:rsidRPr="008206CA">
                              <w:rPr>
                                <w:color w:val="FFFFFF"/>
                                <w:sz w:val="22"/>
                                <w:szCs w:val="22"/>
                              </w:rPr>
                              <w:t xml:space="preserve">The Council has a clear vision which is set out in the Corporate Plan </w:t>
                            </w:r>
                            <w:r w:rsidRPr="008206CA">
                              <w:rPr>
                                <w:i/>
                                <w:color w:val="FFFFFF"/>
                                <w:sz w:val="22"/>
                                <w:szCs w:val="22"/>
                              </w:rPr>
                              <w:t>Delivering a Successful &amp; Sustainable Swansea</w:t>
                            </w:r>
                            <w:r w:rsidRPr="008206CA">
                              <w:rPr>
                                <w:color w:val="FFFFFF"/>
                                <w:sz w:val="22"/>
                                <w:szCs w:val="22"/>
                              </w:rPr>
                              <w:t xml:space="preserve"> which prioritises 6 Well-being Objectives. </w:t>
                            </w:r>
                          </w:p>
                          <w:p w14:paraId="2E8C43FF" w14:textId="77777777" w:rsidR="008206CA" w:rsidRPr="008206CA" w:rsidRDefault="008206CA" w:rsidP="008206CA">
                            <w:pPr>
                              <w:pStyle w:val="Default"/>
                              <w:numPr>
                                <w:ilvl w:val="0"/>
                                <w:numId w:val="39"/>
                              </w:numPr>
                              <w:rPr>
                                <w:color w:val="FFFFFF"/>
                                <w:sz w:val="22"/>
                                <w:szCs w:val="22"/>
                              </w:rPr>
                            </w:pPr>
                            <w:r w:rsidRPr="008206CA">
                              <w:rPr>
                                <w:color w:val="FFFFFF"/>
                                <w:sz w:val="22"/>
                                <w:szCs w:val="22"/>
                              </w:rPr>
                              <w:t xml:space="preserve">Delivery of the Corporate Plan is monitored through the Council’s Performance Management Framework with quarterly and annual performance monitoring by CMT/Cabinet. </w:t>
                            </w:r>
                          </w:p>
                          <w:p w14:paraId="56194A67" w14:textId="77777777" w:rsidR="008206CA" w:rsidRPr="008206CA" w:rsidRDefault="008206CA" w:rsidP="008206CA">
                            <w:pPr>
                              <w:pStyle w:val="Default"/>
                              <w:numPr>
                                <w:ilvl w:val="0"/>
                                <w:numId w:val="39"/>
                              </w:numPr>
                              <w:rPr>
                                <w:color w:val="FFFFFF"/>
                                <w:sz w:val="22"/>
                                <w:szCs w:val="22"/>
                              </w:rPr>
                            </w:pPr>
                            <w:r w:rsidRPr="008206CA">
                              <w:rPr>
                                <w:color w:val="FFFFFF"/>
                                <w:sz w:val="22"/>
                                <w:szCs w:val="22"/>
                              </w:rPr>
                              <w:t>There is an Annual Performance Review.</w:t>
                            </w:r>
                          </w:p>
                          <w:p w14:paraId="2348372C" w14:textId="77777777" w:rsidR="008206CA" w:rsidRPr="008206CA" w:rsidRDefault="008206CA" w:rsidP="008206CA">
                            <w:pPr>
                              <w:pStyle w:val="Default"/>
                              <w:numPr>
                                <w:ilvl w:val="0"/>
                                <w:numId w:val="39"/>
                              </w:numPr>
                              <w:rPr>
                                <w:color w:val="FFFFFF"/>
                                <w:sz w:val="22"/>
                                <w:szCs w:val="22"/>
                              </w:rPr>
                            </w:pPr>
                            <w:r w:rsidRPr="008206CA">
                              <w:rPr>
                                <w:color w:val="FFFFFF"/>
                                <w:sz w:val="22"/>
                                <w:szCs w:val="22"/>
                              </w:rPr>
                              <w:t>Annual Service Plans address the sustainability of service delivery along with key corporate priorities.</w:t>
                            </w:r>
                          </w:p>
                          <w:p w14:paraId="24796016" w14:textId="77777777" w:rsidR="008206CA" w:rsidRPr="008206CA" w:rsidRDefault="008206CA" w:rsidP="008206CA">
                            <w:pPr>
                              <w:pStyle w:val="Default"/>
                              <w:numPr>
                                <w:ilvl w:val="0"/>
                                <w:numId w:val="39"/>
                              </w:numPr>
                              <w:rPr>
                                <w:color w:val="FFFFFF"/>
                                <w:sz w:val="22"/>
                                <w:szCs w:val="22"/>
                              </w:rPr>
                            </w:pPr>
                            <w:r w:rsidRPr="008206CA">
                              <w:rPr>
                                <w:color w:val="FFFFFF"/>
                                <w:sz w:val="22"/>
                                <w:szCs w:val="22"/>
                              </w:rPr>
                              <w:t>There is monthly Performance and Financial Monitoring meetings held for each Directorate.</w:t>
                            </w:r>
                          </w:p>
                          <w:p w14:paraId="5F68024F" w14:textId="77777777" w:rsidR="008206CA" w:rsidRPr="008206CA" w:rsidRDefault="008206CA" w:rsidP="008206CA">
                            <w:pPr>
                              <w:pStyle w:val="Default"/>
                              <w:numPr>
                                <w:ilvl w:val="0"/>
                                <w:numId w:val="39"/>
                              </w:numPr>
                              <w:rPr>
                                <w:color w:val="FFFFFF"/>
                                <w:sz w:val="22"/>
                                <w:szCs w:val="22"/>
                              </w:rPr>
                            </w:pPr>
                            <w:r w:rsidRPr="008206CA">
                              <w:rPr>
                                <w:color w:val="FFFFFF"/>
                                <w:sz w:val="22"/>
                                <w:szCs w:val="22"/>
                              </w:rPr>
                              <w:t>There is a Corporate Risk Management Policy ensuring consistent application of risk registers and terminology and audit scrutiny.</w:t>
                            </w:r>
                          </w:p>
                          <w:p w14:paraId="342D7421" w14:textId="77777777" w:rsidR="008206CA" w:rsidRPr="008206CA" w:rsidRDefault="008206CA" w:rsidP="008206CA">
                            <w:pPr>
                              <w:pStyle w:val="Default"/>
                              <w:ind w:left="360"/>
                              <w:rPr>
                                <w:color w:val="FFFFFF"/>
                                <w:sz w:val="22"/>
                                <w:szCs w:val="22"/>
                              </w:rPr>
                            </w:pPr>
                          </w:p>
                          <w:p w14:paraId="4ECCF140" w14:textId="77777777" w:rsidR="008206CA" w:rsidRPr="008C2E69" w:rsidRDefault="008206CA" w:rsidP="008206CA">
                            <w:pPr>
                              <w:pStyle w:val="Default"/>
                              <w:jc w:val="both"/>
                            </w:pPr>
                          </w:p>
                          <w:p w14:paraId="2750073B" w14:textId="77777777" w:rsidR="008206CA" w:rsidRDefault="008206CA" w:rsidP="008206CA">
                            <w:pPr>
                              <w:pStyle w:val="Default"/>
                              <w:ind w:left="360"/>
                              <w:rPr>
                                <w:sz w:val="22"/>
                                <w:szCs w:val="22"/>
                              </w:rPr>
                            </w:pPr>
                          </w:p>
                          <w:p w14:paraId="44323A40" w14:textId="77777777" w:rsidR="008206CA" w:rsidRPr="008C2E69" w:rsidRDefault="008206CA" w:rsidP="008206CA">
                            <w:pPr>
                              <w:pStyle w:val="Default"/>
                              <w:ind w:left="360"/>
                            </w:pPr>
                          </w:p>
                          <w:p w14:paraId="55F17E98" w14:textId="77777777" w:rsidR="008206CA" w:rsidRDefault="008206CA" w:rsidP="008206CA">
                            <w:pPr>
                              <w:ind w:left="284" w:hanging="426"/>
                              <w:rPr>
                                <w:rFonts w:ascii="Arial" w:hAnsi="Arial" w:cs="Arial"/>
                              </w:rPr>
                            </w:pPr>
                          </w:p>
                          <w:p w14:paraId="2C9262CA" w14:textId="77777777" w:rsidR="008206CA" w:rsidRDefault="008206CA" w:rsidP="008206CA">
                            <w:pPr>
                              <w:ind w:left="284" w:hanging="426"/>
                              <w:rPr>
                                <w:rFonts w:ascii="Arial" w:hAnsi="Arial" w:cs="Arial"/>
                              </w:rPr>
                            </w:pPr>
                          </w:p>
                          <w:p w14:paraId="06E4A37F" w14:textId="77777777" w:rsidR="008206CA" w:rsidRDefault="008206CA" w:rsidP="008206CA">
                            <w:pPr>
                              <w:ind w:left="284" w:hanging="426"/>
                              <w:rPr>
                                <w:rFonts w:ascii="Arial" w:hAnsi="Arial" w:cs="Arial"/>
                              </w:rPr>
                            </w:pPr>
                          </w:p>
                          <w:p w14:paraId="0C60F6E3" w14:textId="77777777" w:rsidR="008206CA" w:rsidRPr="008206CA" w:rsidRDefault="008206CA" w:rsidP="008206CA">
                            <w:pPr>
                              <w:ind w:left="284" w:hanging="426"/>
                              <w:rPr>
                                <w:rFonts w:ascii="Symbol" w:hAnsi="Symbol"/>
                                <w:highlight w:val="lightGra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68F40" id="Rectangle: Rounded Corners 103" o:spid="_x0000_s1041" style="position:absolute;margin-left:21.6pt;margin-top:6.9pt;width:330.75pt;height:31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" fillcolor="#4f81bd" strokecolor="#385d8a" strokeweight="2pt">
                <v:path arrowok="t"/>
                <v:textbox>
                  <w:txbxContent>
                    <w:p w14:paraId="76DD9AE5" w14:textId="77777777" w:rsidR="008206CA" w:rsidRPr="008206CA" w:rsidRDefault="008206CA" w:rsidP="008206CA">
                      <w:pPr>
                        <w:pStyle w:val="Default"/>
                        <w:numPr>
                          <w:ilvl w:val="0"/>
                          <w:numId w:val="39"/>
                        </w:numPr>
                        <w:rPr>
                          <w:i/>
                          <w:color w:val="FFFFFF"/>
                          <w:sz w:val="22"/>
                          <w:szCs w:val="22"/>
                        </w:rPr>
                      </w:pPr>
                      <w:r w:rsidRPr="008206CA">
                        <w:rPr>
                          <w:color w:val="FFFFFF"/>
                          <w:sz w:val="22"/>
                          <w:szCs w:val="22"/>
                        </w:rPr>
                        <w:t xml:space="preserve">The Council has a clear vision which is set out in the Corporate Plan </w:t>
                      </w:r>
                      <w:r w:rsidRPr="008206CA">
                        <w:rPr>
                          <w:i/>
                          <w:color w:val="FFFFFF"/>
                          <w:sz w:val="22"/>
                          <w:szCs w:val="22"/>
                        </w:rPr>
                        <w:t>Delivering a Successful &amp; Sustainable Swansea</w:t>
                      </w:r>
                      <w:r w:rsidRPr="008206CA">
                        <w:rPr>
                          <w:color w:val="FFFFFF"/>
                          <w:sz w:val="22"/>
                          <w:szCs w:val="22"/>
                        </w:rPr>
                        <w:t xml:space="preserve"> which prioritises 6 Well-being Objectives. </w:t>
                      </w:r>
                    </w:p>
                    <w:p w14:paraId="2E8C43FF" w14:textId="77777777" w:rsidR="008206CA" w:rsidRPr="008206CA" w:rsidRDefault="008206CA" w:rsidP="008206CA">
                      <w:pPr>
                        <w:pStyle w:val="Default"/>
                        <w:numPr>
                          <w:ilvl w:val="0"/>
                          <w:numId w:val="39"/>
                        </w:numPr>
                        <w:rPr>
                          <w:color w:val="FFFFFF"/>
                          <w:sz w:val="22"/>
                          <w:szCs w:val="22"/>
                        </w:rPr>
                      </w:pPr>
                      <w:r w:rsidRPr="008206CA">
                        <w:rPr>
                          <w:color w:val="FFFFFF"/>
                          <w:sz w:val="22"/>
                          <w:szCs w:val="22"/>
                        </w:rPr>
                        <w:t xml:space="preserve">Delivery of the Corporate Plan is monitored through the Council’s Performance Management Framework with quarterly and annual performance monitoring by CMT/Cabinet. </w:t>
                      </w:r>
                    </w:p>
                    <w:p w14:paraId="56194A67" w14:textId="77777777" w:rsidR="008206CA" w:rsidRPr="008206CA" w:rsidRDefault="008206CA" w:rsidP="008206CA">
                      <w:pPr>
                        <w:pStyle w:val="Default"/>
                        <w:numPr>
                          <w:ilvl w:val="0"/>
                          <w:numId w:val="39"/>
                        </w:numPr>
                        <w:rPr>
                          <w:color w:val="FFFFFF"/>
                          <w:sz w:val="22"/>
                          <w:szCs w:val="22"/>
                        </w:rPr>
                      </w:pPr>
                      <w:r w:rsidRPr="008206CA">
                        <w:rPr>
                          <w:color w:val="FFFFFF"/>
                          <w:sz w:val="22"/>
                          <w:szCs w:val="22"/>
                        </w:rPr>
                        <w:t>There is an Annual Performance Review.</w:t>
                      </w:r>
                    </w:p>
                    <w:p w14:paraId="2348372C" w14:textId="77777777" w:rsidR="008206CA" w:rsidRPr="008206CA" w:rsidRDefault="008206CA" w:rsidP="008206CA">
                      <w:pPr>
                        <w:pStyle w:val="Default"/>
                        <w:numPr>
                          <w:ilvl w:val="0"/>
                          <w:numId w:val="39"/>
                        </w:numPr>
                        <w:rPr>
                          <w:color w:val="FFFFFF"/>
                          <w:sz w:val="22"/>
                          <w:szCs w:val="22"/>
                        </w:rPr>
                      </w:pPr>
                      <w:r w:rsidRPr="008206CA">
                        <w:rPr>
                          <w:color w:val="FFFFFF"/>
                          <w:sz w:val="22"/>
                          <w:szCs w:val="22"/>
                        </w:rPr>
                        <w:t>Annual Service Plans address the sustainability of service delivery along with key corporate priorities.</w:t>
                      </w:r>
                    </w:p>
                    <w:p w14:paraId="24796016" w14:textId="77777777" w:rsidR="008206CA" w:rsidRPr="008206CA" w:rsidRDefault="008206CA" w:rsidP="008206CA">
                      <w:pPr>
                        <w:pStyle w:val="Default"/>
                        <w:numPr>
                          <w:ilvl w:val="0"/>
                          <w:numId w:val="39"/>
                        </w:numPr>
                        <w:rPr>
                          <w:color w:val="FFFFFF"/>
                          <w:sz w:val="22"/>
                          <w:szCs w:val="22"/>
                        </w:rPr>
                      </w:pPr>
                      <w:r w:rsidRPr="008206CA">
                        <w:rPr>
                          <w:color w:val="FFFFFF"/>
                          <w:sz w:val="22"/>
                          <w:szCs w:val="22"/>
                        </w:rPr>
                        <w:t>There is monthly Performance and Financial Monitoring meetings held for each Directorate.</w:t>
                      </w:r>
                    </w:p>
                    <w:p w14:paraId="5F68024F" w14:textId="77777777" w:rsidR="008206CA" w:rsidRPr="008206CA" w:rsidRDefault="008206CA" w:rsidP="008206CA">
                      <w:pPr>
                        <w:pStyle w:val="Default"/>
                        <w:numPr>
                          <w:ilvl w:val="0"/>
                          <w:numId w:val="39"/>
                        </w:numPr>
                        <w:rPr>
                          <w:color w:val="FFFFFF"/>
                          <w:sz w:val="22"/>
                          <w:szCs w:val="22"/>
                        </w:rPr>
                      </w:pPr>
                      <w:r w:rsidRPr="008206CA">
                        <w:rPr>
                          <w:color w:val="FFFFFF"/>
                          <w:sz w:val="22"/>
                          <w:szCs w:val="22"/>
                        </w:rPr>
                        <w:t>There is a Corporate Risk Management Policy ensuring consistent application of risk registers and terminology and audit scrutiny.</w:t>
                      </w:r>
                    </w:p>
                    <w:p w14:paraId="342D7421" w14:textId="77777777" w:rsidR="008206CA" w:rsidRPr="008206CA" w:rsidRDefault="008206CA" w:rsidP="008206CA">
                      <w:pPr>
                        <w:pStyle w:val="Default"/>
                        <w:ind w:left="360"/>
                        <w:rPr>
                          <w:color w:val="FFFFFF"/>
                          <w:sz w:val="22"/>
                          <w:szCs w:val="22"/>
                        </w:rPr>
                      </w:pPr>
                    </w:p>
                    <w:p w14:paraId="4ECCF140" w14:textId="77777777" w:rsidR="008206CA" w:rsidRPr="008C2E69" w:rsidRDefault="008206CA" w:rsidP="008206CA">
                      <w:pPr>
                        <w:pStyle w:val="Default"/>
                        <w:jc w:val="both"/>
                      </w:pPr>
                    </w:p>
                    <w:p w14:paraId="2750073B" w14:textId="77777777" w:rsidR="008206CA" w:rsidRDefault="008206CA" w:rsidP="008206CA">
                      <w:pPr>
                        <w:pStyle w:val="Default"/>
                        <w:ind w:left="360"/>
                        <w:rPr>
                          <w:sz w:val="22"/>
                          <w:szCs w:val="22"/>
                        </w:rPr>
                      </w:pPr>
                    </w:p>
                    <w:p w14:paraId="44323A40" w14:textId="77777777" w:rsidR="008206CA" w:rsidRPr="008C2E69" w:rsidRDefault="008206CA" w:rsidP="008206CA">
                      <w:pPr>
                        <w:pStyle w:val="Default"/>
                        <w:ind w:left="360"/>
                      </w:pPr>
                    </w:p>
                    <w:p w14:paraId="55F17E98" w14:textId="77777777" w:rsidR="008206CA" w:rsidRDefault="008206CA" w:rsidP="008206CA">
                      <w:pPr>
                        <w:ind w:left="284" w:hanging="426"/>
                        <w:rPr>
                          <w:rFonts w:ascii="Arial" w:hAnsi="Arial" w:cs="Arial"/>
                        </w:rPr>
                      </w:pPr>
                    </w:p>
                    <w:p w14:paraId="2C9262CA" w14:textId="77777777" w:rsidR="008206CA" w:rsidRDefault="008206CA" w:rsidP="008206CA">
                      <w:pPr>
                        <w:ind w:left="284" w:hanging="426"/>
                        <w:rPr>
                          <w:rFonts w:ascii="Arial" w:hAnsi="Arial" w:cs="Arial"/>
                        </w:rPr>
                      </w:pPr>
                    </w:p>
                    <w:p w14:paraId="06E4A37F" w14:textId="77777777" w:rsidR="008206CA" w:rsidRDefault="008206CA" w:rsidP="008206CA">
                      <w:pPr>
                        <w:ind w:left="284" w:hanging="426"/>
                        <w:rPr>
                          <w:rFonts w:ascii="Arial" w:hAnsi="Arial" w:cs="Arial"/>
                        </w:rPr>
                      </w:pPr>
                    </w:p>
                    <w:p w14:paraId="0C60F6E3" w14:textId="77777777" w:rsidR="008206CA" w:rsidRPr="008206CA" w:rsidRDefault="008206CA" w:rsidP="008206CA">
                      <w:pPr>
                        <w:ind w:left="284" w:hanging="426"/>
                        <w:rPr>
                          <w:rFonts w:ascii="Symbol" w:hAnsi="Symbol"/>
                          <w:highlight w:val="lightGray"/>
                        </w:rPr>
                      </w:pPr>
                    </w:p>
                  </w:txbxContent>
                </v:textbox>
                <w10:wrap anchorx="margin"/>
              </v:roundrect>
            </w:pict>
          </mc:Fallback>
        </mc:AlternateContent>
      </w:r>
    </w:p>
    <w:p w14:paraId="2E2D4490" w14:textId="77777777" w:rsidR="008206CA" w:rsidRDefault="008206CA" w:rsidP="008206CA"/>
    <w:p w14:paraId="19AC1EA2" w14:textId="77777777" w:rsidR="008206CA" w:rsidRDefault="008206CA" w:rsidP="008206CA">
      <w:r>
        <w:br w:type="page"/>
      </w:r>
    </w:p>
    <w:p w14:paraId="7B1FE9EA" w14:textId="77777777" w:rsidR="008206CA" w:rsidRDefault="008206CA" w:rsidP="008206CA">
      <w:pPr>
        <w:rPr>
          <w:rFonts w:ascii="Arial" w:hAnsi="Arial" w:cs="Arial"/>
          <w:b/>
          <w:sz w:val="24"/>
          <w:szCs w:val="24"/>
        </w:rPr>
      </w:pPr>
      <w:r w:rsidRPr="000C4803">
        <w:rPr>
          <w:rFonts w:ascii="Arial" w:hAnsi="Arial" w:cs="Arial"/>
          <w:b/>
          <w:sz w:val="24"/>
          <w:szCs w:val="24"/>
        </w:rPr>
        <w:t>P</w:t>
      </w:r>
      <w:r>
        <w:rPr>
          <w:rFonts w:ascii="Arial" w:hAnsi="Arial" w:cs="Arial"/>
          <w:b/>
          <w:sz w:val="24"/>
          <w:szCs w:val="24"/>
        </w:rPr>
        <w:t>rinciple D</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175"/>
      </w:tblGrid>
      <w:tr w:rsidR="008206CA" w14:paraId="305AA4FC" w14:textId="77777777" w:rsidTr="00DE37F4">
        <w:trPr>
          <w:trHeight w:val="374"/>
        </w:trPr>
        <w:tc>
          <w:tcPr>
            <w:tcW w:w="14175" w:type="dxa"/>
            <w:shd w:val="clear" w:color="auto" w:fill="A6A6A6"/>
          </w:tcPr>
          <w:p w14:paraId="125DB7A3" w14:textId="77777777" w:rsidR="008206CA" w:rsidRPr="00DE37F4" w:rsidRDefault="008206CA" w:rsidP="00DE37F4">
            <w:pPr>
              <w:rPr>
                <w:rFonts w:ascii="Arial" w:hAnsi="Arial" w:cs="Arial"/>
                <w:sz w:val="24"/>
                <w:szCs w:val="24"/>
              </w:rPr>
            </w:pPr>
            <w:r w:rsidRPr="00DE37F4">
              <w:rPr>
                <w:rFonts w:ascii="Arial" w:hAnsi="Arial" w:cs="Arial"/>
                <w:b/>
                <w:bCs/>
                <w:color w:val="000000"/>
              </w:rPr>
              <w:t>Determining the interventions necessary to optimise the achievement of the intended outcomes</w:t>
            </w:r>
            <w:r w:rsidRPr="00DE37F4">
              <w:rPr>
                <w:rFonts w:ascii="Arial" w:hAnsi="Arial" w:cs="Arial"/>
                <w:sz w:val="24"/>
                <w:szCs w:val="24"/>
              </w:rPr>
              <w:t xml:space="preserve"> </w:t>
            </w:r>
          </w:p>
        </w:tc>
      </w:tr>
    </w:tbl>
    <w:p w14:paraId="207816F0" w14:textId="77777777" w:rsidR="008206CA" w:rsidRPr="002C4072" w:rsidRDefault="008206CA" w:rsidP="008206CA">
      <w:pPr>
        <w:pStyle w:val="NoSpacing"/>
      </w:pPr>
    </w:p>
    <w:p w14:paraId="3A14C24A" w14:textId="228A90B4" w:rsidR="008206CA" w:rsidRDefault="00516E75" w:rsidP="008206CA">
      <w:pPr>
        <w:ind w:left="-709"/>
        <w:rPr>
          <w:rFonts w:ascii="Arial" w:hAnsi="Arial" w:cs="Arial"/>
          <w:b/>
          <w:sz w:val="24"/>
          <w:szCs w:val="24"/>
        </w:rPr>
      </w:pPr>
      <w:r>
        <w:rPr>
          <w:noProof/>
        </w:rPr>
        <mc:AlternateContent>
          <mc:Choice Requires="wps">
            <w:drawing>
              <wp:anchor distT="45720" distB="45720" distL="114300" distR="114300" simplePos="0" relativeHeight="251653120" behindDoc="0" locked="0" layoutInCell="1" allowOverlap="1" wp14:anchorId="3C925D45" wp14:editId="22AEAF5F">
                <wp:simplePos x="0" y="0"/>
                <wp:positionH relativeFrom="column">
                  <wp:posOffset>6334125</wp:posOffset>
                </wp:positionH>
                <wp:positionV relativeFrom="paragraph">
                  <wp:posOffset>289560</wp:posOffset>
                </wp:positionV>
                <wp:extent cx="3019425" cy="533400"/>
                <wp:effectExtent l="0" t="0" r="9525"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33400"/>
                        </a:xfrm>
                        <a:prstGeom prst="rect">
                          <a:avLst/>
                        </a:prstGeom>
                        <a:solidFill>
                          <a:srgbClr val="FFFFFF"/>
                        </a:solidFill>
                        <a:ln w="9525">
                          <a:solidFill>
                            <a:srgbClr val="000000"/>
                          </a:solidFill>
                          <a:miter lim="800000"/>
                          <a:headEnd/>
                          <a:tailEnd/>
                        </a:ln>
                      </wps:spPr>
                      <wps:txbx>
                        <w:txbxContent>
                          <w:p w14:paraId="42E186E9" w14:textId="77777777" w:rsidR="008206CA" w:rsidRPr="005C141F" w:rsidRDefault="008206CA" w:rsidP="008206CA">
                            <w:pPr>
                              <w:shd w:val="clear" w:color="auto" w:fill="BFBFBF"/>
                              <w:jc w:val="center"/>
                              <w:rPr>
                                <w:b/>
                                <w:sz w:val="20"/>
                              </w:rPr>
                            </w:pPr>
                            <w:r w:rsidRPr="002317F3">
                              <w:rPr>
                                <w:rFonts w:ascii="Arial" w:hAnsi="Arial" w:cs="Arial"/>
                                <w:b/>
                                <w:bCs/>
                                <w:color w:val="000000"/>
                                <w:sz w:val="24"/>
                                <w:szCs w:val="24"/>
                              </w:rPr>
                              <w:t>Optimising achievement of intended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25D45" id="Text Box 102" o:spid="_x0000_s1042" type="#_x0000_t202" style="position:absolute;left:0;text-align:left;margin-left:498.75pt;margin-top:22.8pt;width:237.75pt;height:42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">
                <v:textbox>
                  <w:txbxContent>
                    <w:p w14:paraId="42E186E9" w14:textId="77777777" w:rsidR="008206CA" w:rsidRPr="005C141F" w:rsidRDefault="008206CA" w:rsidP="008206CA">
                      <w:pPr>
                        <w:shd w:val="clear" w:color="auto" w:fill="BFBFBF"/>
                        <w:jc w:val="center"/>
                        <w:rPr>
                          <w:b/>
                          <w:sz w:val="20"/>
                        </w:rPr>
                      </w:pPr>
                      <w:r w:rsidRPr="002317F3">
                        <w:rPr>
                          <w:rFonts w:ascii="Arial" w:hAnsi="Arial" w:cs="Arial"/>
                          <w:b/>
                          <w:bCs/>
                          <w:color w:val="000000"/>
                          <w:sz w:val="24"/>
                          <w:szCs w:val="24"/>
                        </w:rPr>
                        <w:t>Optimising achievement of intended outcomes</w:t>
                      </w:r>
                    </w:p>
                  </w:txbxContent>
                </v:textbox>
                <w10:wrap type="square"/>
              </v:shape>
            </w:pict>
          </mc:Fallback>
        </mc:AlternateContent>
      </w:r>
      <w:r>
        <w:rPr>
          <w:noProof/>
        </w:rPr>
        <mc:AlternateContent>
          <mc:Choice Requires="wps">
            <w:drawing>
              <wp:anchor distT="45720" distB="45720" distL="114300" distR="114300" simplePos="0" relativeHeight="251652096" behindDoc="0" locked="0" layoutInCell="1" allowOverlap="1" wp14:anchorId="561103CC" wp14:editId="2FEA7BD9">
                <wp:simplePos x="0" y="0"/>
                <wp:positionH relativeFrom="margin">
                  <wp:posOffset>3028950</wp:posOffset>
                </wp:positionH>
                <wp:positionV relativeFrom="paragraph">
                  <wp:posOffset>289560</wp:posOffset>
                </wp:positionV>
                <wp:extent cx="3028950" cy="504825"/>
                <wp:effectExtent l="0" t="0" r="0" b="9525"/>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04825"/>
                        </a:xfrm>
                        <a:prstGeom prst="rect">
                          <a:avLst/>
                        </a:prstGeom>
                        <a:solidFill>
                          <a:srgbClr val="FFFFFF"/>
                        </a:solidFill>
                        <a:ln w="9525">
                          <a:solidFill>
                            <a:srgbClr val="000000"/>
                          </a:solidFill>
                          <a:miter lim="800000"/>
                          <a:headEnd/>
                          <a:tailEnd/>
                        </a:ln>
                      </wps:spPr>
                      <wps:txbx>
                        <w:txbxContent>
                          <w:p w14:paraId="110D3FA7" w14:textId="77777777" w:rsidR="008206CA" w:rsidRPr="005C141F" w:rsidRDefault="008206CA" w:rsidP="008206CA">
                            <w:pPr>
                              <w:pStyle w:val="NoSpacing"/>
                              <w:shd w:val="clear" w:color="auto" w:fill="BFBFBF"/>
                              <w:jc w:val="center"/>
                              <w:rPr>
                                <w:b/>
                                <w:sz w:val="20"/>
                                <w:szCs w:val="20"/>
                              </w:rPr>
                            </w:pPr>
                            <w:r>
                              <w:rPr>
                                <w:rFonts w:ascii="Arial" w:hAnsi="Arial" w:cs="Arial"/>
                                <w:b/>
                                <w:bCs/>
                                <w:color w:val="000000"/>
                                <w:sz w:val="24"/>
                                <w:szCs w:val="24"/>
                              </w:rPr>
                              <w:t>Planning interventions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103CC" id="Text Box 101" o:spid="_x0000_s1043" type="#_x0000_t202" style="position:absolute;left:0;text-align:left;margin-left:238.5pt;margin-top:22.8pt;width:238.5pt;height:39.7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">
                <v:textbox>
                  <w:txbxContent>
                    <w:p w14:paraId="110D3FA7" w14:textId="77777777" w:rsidR="008206CA" w:rsidRPr="005C141F" w:rsidRDefault="008206CA" w:rsidP="008206CA">
                      <w:pPr>
                        <w:pStyle w:val="NoSpacing"/>
                        <w:shd w:val="clear" w:color="auto" w:fill="BFBFBF"/>
                        <w:jc w:val="center"/>
                        <w:rPr>
                          <w:b/>
                          <w:sz w:val="20"/>
                          <w:szCs w:val="20"/>
                        </w:rPr>
                      </w:pPr>
                      <w:r>
                        <w:rPr>
                          <w:rFonts w:ascii="Arial" w:hAnsi="Arial" w:cs="Arial"/>
                          <w:b/>
                          <w:bCs/>
                          <w:color w:val="000000"/>
                          <w:sz w:val="24"/>
                          <w:szCs w:val="24"/>
                        </w:rPr>
                        <w:t>Planning interventions</w:t>
                      </w:r>
                    </w:p>
                  </w:txbxContent>
                </v:textbox>
                <w10:wrap type="square" anchorx="margin"/>
              </v:shape>
            </w:pict>
          </mc:Fallback>
        </mc:AlternateContent>
      </w:r>
      <w:r>
        <w:rPr>
          <w:noProof/>
        </w:rPr>
        <mc:AlternateContent>
          <mc:Choice Requires="wps">
            <w:drawing>
              <wp:anchor distT="45720" distB="45720" distL="114300" distR="114300" simplePos="0" relativeHeight="251651072" behindDoc="0" locked="0" layoutInCell="1" allowOverlap="1" wp14:anchorId="65CB79E1" wp14:editId="5B2426AF">
                <wp:simplePos x="0" y="0"/>
                <wp:positionH relativeFrom="margin">
                  <wp:posOffset>37465</wp:posOffset>
                </wp:positionH>
                <wp:positionV relativeFrom="paragraph">
                  <wp:posOffset>270510</wp:posOffset>
                </wp:positionV>
                <wp:extent cx="2771775" cy="523875"/>
                <wp:effectExtent l="0" t="0" r="9525" b="9525"/>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23875"/>
                        </a:xfrm>
                        <a:prstGeom prst="rect">
                          <a:avLst/>
                        </a:prstGeom>
                        <a:solidFill>
                          <a:srgbClr val="FFFFFF"/>
                        </a:solidFill>
                        <a:ln w="9525">
                          <a:solidFill>
                            <a:srgbClr val="000000"/>
                          </a:solidFill>
                          <a:miter lim="800000"/>
                          <a:headEnd/>
                          <a:tailEnd/>
                        </a:ln>
                      </wps:spPr>
                      <wps:txbx>
                        <w:txbxContent>
                          <w:p w14:paraId="3C32B2CA" w14:textId="77777777" w:rsidR="008206CA" w:rsidRPr="004A31FE" w:rsidRDefault="008206CA" w:rsidP="008206CA">
                            <w:pPr>
                              <w:shd w:val="clear" w:color="auto" w:fill="BFBFBF"/>
                              <w:jc w:val="center"/>
                              <w:rPr>
                                <w:b/>
                              </w:rPr>
                            </w:pPr>
                            <w:r w:rsidRPr="000E4FC9">
                              <w:rPr>
                                <w:rFonts w:ascii="Arial" w:hAnsi="Arial" w:cs="Arial"/>
                                <w:b/>
                                <w:bCs/>
                                <w:color w:val="000000"/>
                                <w:sz w:val="24"/>
                                <w:szCs w:val="24"/>
                              </w:rPr>
                              <w:t>Determining interventions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B79E1" id="Text Box 100" o:spid="_x0000_s1044" type="#_x0000_t202" style="position:absolute;left:0;text-align:left;margin-left:2.95pt;margin-top:21.3pt;width:218.25pt;height:41.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">
                <v:textbox>
                  <w:txbxContent>
                    <w:p w14:paraId="3C32B2CA" w14:textId="77777777" w:rsidR="008206CA" w:rsidRPr="004A31FE" w:rsidRDefault="008206CA" w:rsidP="008206CA">
                      <w:pPr>
                        <w:shd w:val="clear" w:color="auto" w:fill="BFBFBF"/>
                        <w:jc w:val="center"/>
                        <w:rPr>
                          <w:b/>
                        </w:rPr>
                      </w:pPr>
                      <w:r w:rsidRPr="000E4FC9">
                        <w:rPr>
                          <w:rFonts w:ascii="Arial" w:hAnsi="Arial" w:cs="Arial"/>
                          <w:b/>
                          <w:bCs/>
                          <w:color w:val="000000"/>
                          <w:sz w:val="24"/>
                          <w:szCs w:val="24"/>
                        </w:rPr>
                        <w:t>Determining interventions</w:t>
                      </w:r>
                    </w:p>
                  </w:txbxContent>
                </v:textbox>
                <w10:wrap type="square" anchorx="margin"/>
              </v:shape>
            </w:pict>
          </mc:Fallback>
        </mc:AlternateContent>
      </w:r>
      <w:r w:rsidR="008206CA">
        <w:rPr>
          <w:rFonts w:ascii="Arial" w:hAnsi="Arial" w:cs="Arial"/>
          <w:b/>
          <w:sz w:val="24"/>
          <w:szCs w:val="24"/>
        </w:rPr>
        <w:tab/>
        <w:t>Sub Principles:</w:t>
      </w:r>
      <w:r w:rsidR="008206CA" w:rsidRPr="004A31FE">
        <w:rPr>
          <w:rFonts w:ascii="Arial" w:hAnsi="Arial" w:cs="Arial"/>
          <w:sz w:val="24"/>
          <w:szCs w:val="24"/>
        </w:rPr>
        <w:tab/>
      </w:r>
      <w:r w:rsidR="008206CA" w:rsidRPr="004A31FE">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p>
    <w:p w14:paraId="496E6733" w14:textId="77777777" w:rsidR="008206CA" w:rsidRPr="00D94CB3" w:rsidRDefault="008206CA" w:rsidP="008206CA">
      <w:pPr>
        <w:ind w:left="-709"/>
        <w:rPr>
          <w:rFonts w:ascii="Arial" w:hAnsi="Arial" w:cs="Arial"/>
          <w:b/>
          <w:sz w:val="24"/>
          <w:szCs w:val="24"/>
        </w:rPr>
      </w:pPr>
      <w:r>
        <w:rPr>
          <w:rFonts w:ascii="Arial" w:hAnsi="Arial" w:cs="Arial"/>
          <w:b/>
          <w:sz w:val="24"/>
          <w:szCs w:val="24"/>
        </w:rPr>
        <w:tab/>
      </w:r>
      <w:r w:rsidRPr="004A31FE">
        <w:rPr>
          <w:rFonts w:ascii="Arial" w:hAnsi="Arial" w:cs="Arial"/>
          <w:b/>
          <w:sz w:val="24"/>
          <w:szCs w:val="24"/>
        </w:rPr>
        <w:t>How we do this:</w:t>
      </w:r>
    </w:p>
    <w:p w14:paraId="2B79F2F5" w14:textId="0A56DC22" w:rsidR="008206CA" w:rsidRDefault="00516E75" w:rsidP="008206CA">
      <w:pPr>
        <w:rPr>
          <w:rFonts w:ascii="Arial" w:hAnsi="Arial" w:cs="Arial"/>
          <w:b/>
          <w:sz w:val="24"/>
          <w:szCs w:val="24"/>
        </w:rPr>
      </w:pPr>
      <w:r>
        <w:rPr>
          <w:noProof/>
        </w:rPr>
        <mc:AlternateContent>
          <mc:Choice Requires="wps">
            <w:drawing>
              <wp:anchor distT="0" distB="0" distL="114300" distR="114300" simplePos="0" relativeHeight="251654144" behindDoc="0" locked="0" layoutInCell="1" allowOverlap="1" wp14:anchorId="4A0FA599" wp14:editId="55C1E40E">
                <wp:simplePos x="0" y="0"/>
                <wp:positionH relativeFrom="margin">
                  <wp:posOffset>-281940</wp:posOffset>
                </wp:positionH>
                <wp:positionV relativeFrom="paragraph">
                  <wp:posOffset>70485</wp:posOffset>
                </wp:positionV>
                <wp:extent cx="2872740" cy="4137660"/>
                <wp:effectExtent l="0" t="0" r="3810" b="0"/>
                <wp:wrapNone/>
                <wp:docPr id="99" name="Rectangle: Rounded Corners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2740" cy="4137660"/>
                        </a:xfrm>
                        <a:prstGeom prst="roundRect">
                          <a:avLst/>
                        </a:prstGeom>
                        <a:solidFill>
                          <a:srgbClr val="4F81BD"/>
                        </a:solidFill>
                        <a:ln w="25400" cap="flat" cmpd="sng" algn="ctr">
                          <a:solidFill>
                            <a:srgbClr val="4F81BD">
                              <a:shade val="50000"/>
                            </a:srgbClr>
                          </a:solidFill>
                          <a:prstDash val="solid"/>
                        </a:ln>
                        <a:effectLst/>
                      </wps:spPr>
                      <wps:txbx>
                        <w:txbxContent>
                          <w:p w14:paraId="5CC88173" w14:textId="77777777" w:rsidR="008206CA" w:rsidRPr="008206CA" w:rsidRDefault="008206CA" w:rsidP="008206CA">
                            <w:pPr>
                              <w:pStyle w:val="Default"/>
                              <w:numPr>
                                <w:ilvl w:val="0"/>
                                <w:numId w:val="41"/>
                              </w:numPr>
                              <w:rPr>
                                <w:color w:val="FFFFFF"/>
                                <w:sz w:val="20"/>
                                <w:szCs w:val="20"/>
                              </w:rPr>
                            </w:pPr>
                            <w:r w:rsidRPr="008206CA">
                              <w:rPr>
                                <w:color w:val="FFFFFF"/>
                                <w:sz w:val="20"/>
                                <w:szCs w:val="20"/>
                              </w:rPr>
                              <w:t>The Council ensures that decision makers receive objective and rigorous analysis of options with intended outcomes and risks by:</w:t>
                            </w:r>
                          </w:p>
                          <w:p w14:paraId="131B0ABF" w14:textId="77777777" w:rsidR="008206CA" w:rsidRPr="008206CA" w:rsidRDefault="008206CA" w:rsidP="008206CA">
                            <w:pPr>
                              <w:pStyle w:val="Default"/>
                              <w:numPr>
                                <w:ilvl w:val="0"/>
                                <w:numId w:val="59"/>
                              </w:numPr>
                              <w:rPr>
                                <w:color w:val="FFFFFF"/>
                                <w:sz w:val="20"/>
                                <w:szCs w:val="20"/>
                              </w:rPr>
                            </w:pPr>
                            <w:r w:rsidRPr="008206CA">
                              <w:rPr>
                                <w:color w:val="FFFFFF"/>
                                <w:sz w:val="20"/>
                                <w:szCs w:val="20"/>
                              </w:rPr>
                              <w:t>written reports from Officers;</w:t>
                            </w:r>
                          </w:p>
                          <w:p w14:paraId="0F780D4B" w14:textId="77777777" w:rsidR="008206CA" w:rsidRPr="008206CA" w:rsidRDefault="008206CA" w:rsidP="008206CA">
                            <w:pPr>
                              <w:pStyle w:val="Default"/>
                              <w:numPr>
                                <w:ilvl w:val="0"/>
                                <w:numId w:val="59"/>
                              </w:numPr>
                              <w:rPr>
                                <w:color w:val="FFFFFF"/>
                                <w:sz w:val="20"/>
                                <w:szCs w:val="20"/>
                              </w:rPr>
                            </w:pPr>
                            <w:r w:rsidRPr="008206CA">
                              <w:rPr>
                                <w:color w:val="FFFFFF"/>
                                <w:sz w:val="20"/>
                                <w:szCs w:val="20"/>
                              </w:rPr>
                              <w:t>report clearance by legal, finance and Access to Services officers;</w:t>
                            </w:r>
                          </w:p>
                          <w:p w14:paraId="0BA2A9CD" w14:textId="77777777" w:rsidR="008206CA" w:rsidRPr="008206CA" w:rsidRDefault="008206CA" w:rsidP="008206CA">
                            <w:pPr>
                              <w:pStyle w:val="Default"/>
                              <w:numPr>
                                <w:ilvl w:val="0"/>
                                <w:numId w:val="59"/>
                              </w:numPr>
                              <w:rPr>
                                <w:color w:val="FFFFFF"/>
                                <w:sz w:val="20"/>
                                <w:szCs w:val="20"/>
                              </w:rPr>
                            </w:pPr>
                            <w:r w:rsidRPr="008206CA">
                              <w:rPr>
                                <w:color w:val="FFFFFF"/>
                                <w:sz w:val="20"/>
                                <w:szCs w:val="20"/>
                              </w:rPr>
                              <w:t>embedding of impact assessment in decision making process;</w:t>
                            </w:r>
                          </w:p>
                          <w:p w14:paraId="7A58CFBF" w14:textId="77777777" w:rsidR="008206CA" w:rsidRPr="008206CA" w:rsidRDefault="008206CA" w:rsidP="008206CA">
                            <w:pPr>
                              <w:pStyle w:val="Default"/>
                              <w:numPr>
                                <w:ilvl w:val="0"/>
                                <w:numId w:val="59"/>
                              </w:numPr>
                              <w:rPr>
                                <w:color w:val="FFFFFF"/>
                                <w:sz w:val="20"/>
                                <w:szCs w:val="20"/>
                              </w:rPr>
                            </w:pPr>
                            <w:r w:rsidRPr="008206CA">
                              <w:rPr>
                                <w:color w:val="FFFFFF"/>
                                <w:sz w:val="20"/>
                                <w:szCs w:val="20"/>
                              </w:rPr>
                              <w:t>clear option appraisals reflected in reports detailing impact, risk and any best value considerations.</w:t>
                            </w:r>
                          </w:p>
                          <w:p w14:paraId="3C26CE05" w14:textId="77777777" w:rsidR="008206CA" w:rsidRPr="008206CA" w:rsidRDefault="008206CA" w:rsidP="008206CA">
                            <w:pPr>
                              <w:pStyle w:val="Default"/>
                              <w:numPr>
                                <w:ilvl w:val="0"/>
                                <w:numId w:val="41"/>
                              </w:numPr>
                              <w:rPr>
                                <w:color w:val="FFFFFF"/>
                                <w:sz w:val="20"/>
                                <w:szCs w:val="20"/>
                              </w:rPr>
                            </w:pPr>
                            <w:r w:rsidRPr="008206CA">
                              <w:rPr>
                                <w:color w:val="FFFFFF"/>
                                <w:sz w:val="20"/>
                                <w:szCs w:val="20"/>
                              </w:rPr>
                              <w:t xml:space="preserve">The results of consultation exercises are fully considered by decision makers with consultation responses set out in report. </w:t>
                            </w:r>
                          </w:p>
                          <w:p w14:paraId="37BA6491" w14:textId="77777777" w:rsidR="008206CA" w:rsidRPr="008206CA" w:rsidRDefault="008206CA" w:rsidP="008206CA">
                            <w:pPr>
                              <w:pStyle w:val="Default"/>
                              <w:numPr>
                                <w:ilvl w:val="0"/>
                                <w:numId w:val="41"/>
                              </w:numPr>
                              <w:rPr>
                                <w:color w:val="FFFFFF"/>
                                <w:sz w:val="20"/>
                                <w:szCs w:val="20"/>
                              </w:rPr>
                            </w:pPr>
                            <w:r w:rsidRPr="008206CA">
                              <w:rPr>
                                <w:color w:val="FFFFFF"/>
                                <w:sz w:val="20"/>
                                <w:szCs w:val="20"/>
                              </w:rPr>
                              <w:t>Consultation on budget proposals is extensive and includes roadshows with staff.</w:t>
                            </w:r>
                          </w:p>
                          <w:p w14:paraId="04B0E4D9" w14:textId="77777777" w:rsidR="008206CA" w:rsidRPr="008206CA" w:rsidRDefault="008206CA" w:rsidP="008206CA">
                            <w:pPr>
                              <w:pStyle w:val="Default"/>
                              <w:numPr>
                                <w:ilvl w:val="0"/>
                                <w:numId w:val="41"/>
                              </w:numPr>
                              <w:rPr>
                                <w:color w:val="FFFFFF"/>
                                <w:sz w:val="20"/>
                                <w:szCs w:val="20"/>
                              </w:rPr>
                            </w:pPr>
                            <w:r w:rsidRPr="008206CA">
                              <w:rPr>
                                <w:color w:val="FFFFFF"/>
                                <w:sz w:val="20"/>
                                <w:szCs w:val="20"/>
                              </w:rPr>
                              <w:t>The Council has a Corporate Risk Management Policy.</w:t>
                            </w:r>
                          </w:p>
                          <w:p w14:paraId="114807F7" w14:textId="77777777" w:rsidR="008206CA" w:rsidRPr="008206CA" w:rsidRDefault="008206CA" w:rsidP="008206CA">
                            <w:pPr>
                              <w:pStyle w:val="Default"/>
                              <w:ind w:left="360"/>
                              <w:rPr>
                                <w:color w:val="FFFFFF"/>
                                <w:sz w:val="20"/>
                                <w:szCs w:val="20"/>
                              </w:rPr>
                            </w:pPr>
                          </w:p>
                          <w:p w14:paraId="13664BE0" w14:textId="77777777" w:rsidR="008206CA" w:rsidRPr="008C2E69" w:rsidRDefault="008206CA" w:rsidP="008206CA">
                            <w:pPr>
                              <w:pStyle w:val="Default"/>
                              <w:jc w:val="both"/>
                            </w:pPr>
                          </w:p>
                          <w:p w14:paraId="56798C3E" w14:textId="77777777" w:rsidR="008206CA" w:rsidRDefault="008206CA" w:rsidP="008206CA">
                            <w:pPr>
                              <w:pStyle w:val="Default"/>
                              <w:ind w:left="360"/>
                              <w:rPr>
                                <w:sz w:val="22"/>
                                <w:szCs w:val="22"/>
                              </w:rPr>
                            </w:pPr>
                          </w:p>
                          <w:p w14:paraId="10060563" w14:textId="77777777" w:rsidR="008206CA" w:rsidRPr="008C2E69" w:rsidRDefault="008206CA" w:rsidP="008206CA">
                            <w:pPr>
                              <w:pStyle w:val="Default"/>
                              <w:ind w:left="360"/>
                            </w:pPr>
                          </w:p>
                          <w:p w14:paraId="520958CB" w14:textId="77777777" w:rsidR="008206CA" w:rsidRDefault="008206CA" w:rsidP="008206CA">
                            <w:pPr>
                              <w:ind w:left="284" w:hanging="426"/>
                              <w:rPr>
                                <w:rFonts w:ascii="Arial" w:hAnsi="Arial" w:cs="Arial"/>
                              </w:rPr>
                            </w:pPr>
                          </w:p>
                          <w:p w14:paraId="4BA03591" w14:textId="77777777" w:rsidR="008206CA" w:rsidRDefault="008206CA" w:rsidP="008206CA">
                            <w:pPr>
                              <w:ind w:left="284" w:hanging="426"/>
                              <w:rPr>
                                <w:rFonts w:ascii="Arial" w:hAnsi="Arial" w:cs="Arial"/>
                              </w:rPr>
                            </w:pPr>
                          </w:p>
                          <w:p w14:paraId="5C33E300" w14:textId="77777777" w:rsidR="008206CA" w:rsidRDefault="008206CA" w:rsidP="008206CA">
                            <w:pPr>
                              <w:ind w:left="284" w:hanging="426"/>
                              <w:rPr>
                                <w:rFonts w:ascii="Arial" w:hAnsi="Arial" w:cs="Arial"/>
                              </w:rPr>
                            </w:pPr>
                          </w:p>
                          <w:p w14:paraId="4D986359" w14:textId="77777777" w:rsidR="008206CA" w:rsidRPr="008206CA" w:rsidRDefault="008206CA" w:rsidP="008206CA">
                            <w:pPr>
                              <w:ind w:left="284" w:hanging="426"/>
                              <w:rPr>
                                <w:rFonts w:ascii="Symbol" w:hAnsi="Symbol"/>
                                <w:highlight w:val="lightGra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FA599" id="Rectangle: Rounded Corners 99" o:spid="_x0000_s1045" style="position:absolute;margin-left:-22.2pt;margin-top:5.55pt;width:226.2pt;height:325.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" fillcolor="#4f81bd" strokecolor="#385d8a" strokeweight="2pt">
                <v:path arrowok="t"/>
                <v:textbox>
                  <w:txbxContent>
                    <w:p w14:paraId="5CC88173" w14:textId="77777777" w:rsidR="008206CA" w:rsidRPr="008206CA" w:rsidRDefault="008206CA" w:rsidP="008206CA">
                      <w:pPr>
                        <w:pStyle w:val="Default"/>
                        <w:numPr>
                          <w:ilvl w:val="0"/>
                          <w:numId w:val="41"/>
                        </w:numPr>
                        <w:rPr>
                          <w:color w:val="FFFFFF"/>
                          <w:sz w:val="20"/>
                          <w:szCs w:val="20"/>
                        </w:rPr>
                      </w:pPr>
                      <w:r w:rsidRPr="008206CA">
                        <w:rPr>
                          <w:color w:val="FFFFFF"/>
                          <w:sz w:val="20"/>
                          <w:szCs w:val="20"/>
                        </w:rPr>
                        <w:t>The Council ensures that decision makers receive objective and rigorous analysis of options with intended outcomes and risks by:</w:t>
                      </w:r>
                    </w:p>
                    <w:p w14:paraId="131B0ABF" w14:textId="77777777" w:rsidR="008206CA" w:rsidRPr="008206CA" w:rsidRDefault="008206CA" w:rsidP="008206CA">
                      <w:pPr>
                        <w:pStyle w:val="Default"/>
                        <w:numPr>
                          <w:ilvl w:val="0"/>
                          <w:numId w:val="59"/>
                        </w:numPr>
                        <w:rPr>
                          <w:color w:val="FFFFFF"/>
                          <w:sz w:val="20"/>
                          <w:szCs w:val="20"/>
                        </w:rPr>
                      </w:pPr>
                      <w:r w:rsidRPr="008206CA">
                        <w:rPr>
                          <w:color w:val="FFFFFF"/>
                          <w:sz w:val="20"/>
                          <w:szCs w:val="20"/>
                        </w:rPr>
                        <w:t>written reports from Officers;</w:t>
                      </w:r>
                    </w:p>
                    <w:p w14:paraId="0F780D4B" w14:textId="77777777" w:rsidR="008206CA" w:rsidRPr="008206CA" w:rsidRDefault="008206CA" w:rsidP="008206CA">
                      <w:pPr>
                        <w:pStyle w:val="Default"/>
                        <w:numPr>
                          <w:ilvl w:val="0"/>
                          <w:numId w:val="59"/>
                        </w:numPr>
                        <w:rPr>
                          <w:color w:val="FFFFFF"/>
                          <w:sz w:val="20"/>
                          <w:szCs w:val="20"/>
                        </w:rPr>
                      </w:pPr>
                      <w:r w:rsidRPr="008206CA">
                        <w:rPr>
                          <w:color w:val="FFFFFF"/>
                          <w:sz w:val="20"/>
                          <w:szCs w:val="20"/>
                        </w:rPr>
                        <w:t>report clearance by legal, finance and Access to Services officers;</w:t>
                      </w:r>
                    </w:p>
                    <w:p w14:paraId="0BA2A9CD" w14:textId="77777777" w:rsidR="008206CA" w:rsidRPr="008206CA" w:rsidRDefault="008206CA" w:rsidP="008206CA">
                      <w:pPr>
                        <w:pStyle w:val="Default"/>
                        <w:numPr>
                          <w:ilvl w:val="0"/>
                          <w:numId w:val="59"/>
                        </w:numPr>
                        <w:rPr>
                          <w:color w:val="FFFFFF"/>
                          <w:sz w:val="20"/>
                          <w:szCs w:val="20"/>
                        </w:rPr>
                      </w:pPr>
                      <w:r w:rsidRPr="008206CA">
                        <w:rPr>
                          <w:color w:val="FFFFFF"/>
                          <w:sz w:val="20"/>
                          <w:szCs w:val="20"/>
                        </w:rPr>
                        <w:t>embedding of impact assessment in decision making process;</w:t>
                      </w:r>
                    </w:p>
                    <w:p w14:paraId="7A58CFBF" w14:textId="77777777" w:rsidR="008206CA" w:rsidRPr="008206CA" w:rsidRDefault="008206CA" w:rsidP="008206CA">
                      <w:pPr>
                        <w:pStyle w:val="Default"/>
                        <w:numPr>
                          <w:ilvl w:val="0"/>
                          <w:numId w:val="59"/>
                        </w:numPr>
                        <w:rPr>
                          <w:color w:val="FFFFFF"/>
                          <w:sz w:val="20"/>
                          <w:szCs w:val="20"/>
                        </w:rPr>
                      </w:pPr>
                      <w:r w:rsidRPr="008206CA">
                        <w:rPr>
                          <w:color w:val="FFFFFF"/>
                          <w:sz w:val="20"/>
                          <w:szCs w:val="20"/>
                        </w:rPr>
                        <w:t>clear option appraisals reflected in reports detailing impact, risk and any best value considerations.</w:t>
                      </w:r>
                    </w:p>
                    <w:p w14:paraId="3C26CE05" w14:textId="77777777" w:rsidR="008206CA" w:rsidRPr="008206CA" w:rsidRDefault="008206CA" w:rsidP="008206CA">
                      <w:pPr>
                        <w:pStyle w:val="Default"/>
                        <w:numPr>
                          <w:ilvl w:val="0"/>
                          <w:numId w:val="41"/>
                        </w:numPr>
                        <w:rPr>
                          <w:color w:val="FFFFFF"/>
                          <w:sz w:val="20"/>
                          <w:szCs w:val="20"/>
                        </w:rPr>
                      </w:pPr>
                      <w:r w:rsidRPr="008206CA">
                        <w:rPr>
                          <w:color w:val="FFFFFF"/>
                          <w:sz w:val="20"/>
                          <w:szCs w:val="20"/>
                        </w:rPr>
                        <w:t xml:space="preserve">The results of consultation exercises are fully considered by decision makers with consultation responses set out in report. </w:t>
                      </w:r>
                    </w:p>
                    <w:p w14:paraId="37BA6491" w14:textId="77777777" w:rsidR="008206CA" w:rsidRPr="008206CA" w:rsidRDefault="008206CA" w:rsidP="008206CA">
                      <w:pPr>
                        <w:pStyle w:val="Default"/>
                        <w:numPr>
                          <w:ilvl w:val="0"/>
                          <w:numId w:val="41"/>
                        </w:numPr>
                        <w:rPr>
                          <w:color w:val="FFFFFF"/>
                          <w:sz w:val="20"/>
                          <w:szCs w:val="20"/>
                        </w:rPr>
                      </w:pPr>
                      <w:r w:rsidRPr="008206CA">
                        <w:rPr>
                          <w:color w:val="FFFFFF"/>
                          <w:sz w:val="20"/>
                          <w:szCs w:val="20"/>
                        </w:rPr>
                        <w:t>Consultation on budget proposals is extensive and includes roadshows with staff.</w:t>
                      </w:r>
                    </w:p>
                    <w:p w14:paraId="04B0E4D9" w14:textId="77777777" w:rsidR="008206CA" w:rsidRPr="008206CA" w:rsidRDefault="008206CA" w:rsidP="008206CA">
                      <w:pPr>
                        <w:pStyle w:val="Default"/>
                        <w:numPr>
                          <w:ilvl w:val="0"/>
                          <w:numId w:val="41"/>
                        </w:numPr>
                        <w:rPr>
                          <w:color w:val="FFFFFF"/>
                          <w:sz w:val="20"/>
                          <w:szCs w:val="20"/>
                        </w:rPr>
                      </w:pPr>
                      <w:r w:rsidRPr="008206CA">
                        <w:rPr>
                          <w:color w:val="FFFFFF"/>
                          <w:sz w:val="20"/>
                          <w:szCs w:val="20"/>
                        </w:rPr>
                        <w:t>The Council has a Corporate Risk Management Policy.</w:t>
                      </w:r>
                    </w:p>
                    <w:p w14:paraId="114807F7" w14:textId="77777777" w:rsidR="008206CA" w:rsidRPr="008206CA" w:rsidRDefault="008206CA" w:rsidP="008206CA">
                      <w:pPr>
                        <w:pStyle w:val="Default"/>
                        <w:ind w:left="360"/>
                        <w:rPr>
                          <w:color w:val="FFFFFF"/>
                          <w:sz w:val="20"/>
                          <w:szCs w:val="20"/>
                        </w:rPr>
                      </w:pPr>
                    </w:p>
                    <w:p w14:paraId="13664BE0" w14:textId="77777777" w:rsidR="008206CA" w:rsidRPr="008C2E69" w:rsidRDefault="008206CA" w:rsidP="008206CA">
                      <w:pPr>
                        <w:pStyle w:val="Default"/>
                        <w:jc w:val="both"/>
                      </w:pPr>
                    </w:p>
                    <w:p w14:paraId="56798C3E" w14:textId="77777777" w:rsidR="008206CA" w:rsidRDefault="008206CA" w:rsidP="008206CA">
                      <w:pPr>
                        <w:pStyle w:val="Default"/>
                        <w:ind w:left="360"/>
                        <w:rPr>
                          <w:sz w:val="22"/>
                          <w:szCs w:val="22"/>
                        </w:rPr>
                      </w:pPr>
                    </w:p>
                    <w:p w14:paraId="10060563" w14:textId="77777777" w:rsidR="008206CA" w:rsidRPr="008C2E69" w:rsidRDefault="008206CA" w:rsidP="008206CA">
                      <w:pPr>
                        <w:pStyle w:val="Default"/>
                        <w:ind w:left="360"/>
                      </w:pPr>
                    </w:p>
                    <w:p w14:paraId="520958CB" w14:textId="77777777" w:rsidR="008206CA" w:rsidRDefault="008206CA" w:rsidP="008206CA">
                      <w:pPr>
                        <w:ind w:left="284" w:hanging="426"/>
                        <w:rPr>
                          <w:rFonts w:ascii="Arial" w:hAnsi="Arial" w:cs="Arial"/>
                        </w:rPr>
                      </w:pPr>
                    </w:p>
                    <w:p w14:paraId="4BA03591" w14:textId="77777777" w:rsidR="008206CA" w:rsidRDefault="008206CA" w:rsidP="008206CA">
                      <w:pPr>
                        <w:ind w:left="284" w:hanging="426"/>
                        <w:rPr>
                          <w:rFonts w:ascii="Arial" w:hAnsi="Arial" w:cs="Arial"/>
                        </w:rPr>
                      </w:pPr>
                    </w:p>
                    <w:p w14:paraId="5C33E300" w14:textId="77777777" w:rsidR="008206CA" w:rsidRDefault="008206CA" w:rsidP="008206CA">
                      <w:pPr>
                        <w:ind w:left="284" w:hanging="426"/>
                        <w:rPr>
                          <w:rFonts w:ascii="Arial" w:hAnsi="Arial" w:cs="Arial"/>
                        </w:rPr>
                      </w:pPr>
                    </w:p>
                    <w:p w14:paraId="4D986359" w14:textId="77777777" w:rsidR="008206CA" w:rsidRPr="008206CA" w:rsidRDefault="008206CA" w:rsidP="008206CA">
                      <w:pPr>
                        <w:ind w:left="284" w:hanging="426"/>
                        <w:rPr>
                          <w:rFonts w:ascii="Symbol" w:hAnsi="Symbol"/>
                          <w:highlight w:val="lightGray"/>
                        </w:rPr>
                      </w:pPr>
                    </w:p>
                  </w:txbxContent>
                </v:textbox>
                <w10:wrap anchorx="margin"/>
              </v:roundrect>
            </w:pict>
          </mc:Fallback>
        </mc:AlternateContent>
      </w:r>
      <w:r>
        <w:rPr>
          <w:noProof/>
        </w:rPr>
        <mc:AlternateContent>
          <mc:Choice Requires="wps">
            <w:drawing>
              <wp:anchor distT="0" distB="0" distL="114300" distR="114300" simplePos="0" relativeHeight="251655168" behindDoc="0" locked="0" layoutInCell="1" allowOverlap="1" wp14:anchorId="5550B7E5" wp14:editId="4800B5CD">
                <wp:simplePos x="0" y="0"/>
                <wp:positionH relativeFrom="column">
                  <wp:posOffset>3055620</wp:posOffset>
                </wp:positionH>
                <wp:positionV relativeFrom="paragraph">
                  <wp:posOffset>62865</wp:posOffset>
                </wp:positionV>
                <wp:extent cx="2979420" cy="4122420"/>
                <wp:effectExtent l="0" t="0" r="0" b="0"/>
                <wp:wrapNone/>
                <wp:docPr id="98" name="Rectangle: Rounded Corners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9420" cy="4122420"/>
                        </a:xfrm>
                        <a:prstGeom prst="roundRect">
                          <a:avLst/>
                        </a:prstGeom>
                        <a:solidFill>
                          <a:srgbClr val="4F81BD"/>
                        </a:solidFill>
                        <a:ln w="25400" cap="flat" cmpd="sng" algn="ctr">
                          <a:solidFill>
                            <a:srgbClr val="4F81BD">
                              <a:shade val="50000"/>
                            </a:srgbClr>
                          </a:solidFill>
                          <a:prstDash val="solid"/>
                        </a:ln>
                        <a:effectLst/>
                      </wps:spPr>
                      <wps:txbx>
                        <w:txbxContent>
                          <w:p w14:paraId="1F73EBAE"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Council has established robust planning and control cycles covering strategic and operational plans, priorities and targets which is achieved through:</w:t>
                            </w:r>
                          </w:p>
                          <w:p w14:paraId="3D2529E2" w14:textId="77777777" w:rsidR="008206CA" w:rsidRPr="008206CA" w:rsidRDefault="008206CA" w:rsidP="008206CA">
                            <w:pPr>
                              <w:pStyle w:val="Default"/>
                              <w:numPr>
                                <w:ilvl w:val="0"/>
                                <w:numId w:val="60"/>
                              </w:numPr>
                              <w:rPr>
                                <w:color w:val="FFFFFF"/>
                                <w:sz w:val="20"/>
                                <w:szCs w:val="20"/>
                              </w:rPr>
                            </w:pPr>
                            <w:r w:rsidRPr="008206CA">
                              <w:rPr>
                                <w:color w:val="FFFFFF"/>
                                <w:sz w:val="20"/>
                                <w:szCs w:val="20"/>
                              </w:rPr>
                              <w:t>A timetable for producing and reviewing plans on an annual basis.</w:t>
                            </w:r>
                          </w:p>
                          <w:p w14:paraId="55C49B5E" w14:textId="77777777" w:rsidR="008206CA" w:rsidRPr="008206CA" w:rsidRDefault="008206CA" w:rsidP="008206CA">
                            <w:pPr>
                              <w:pStyle w:val="Default"/>
                              <w:numPr>
                                <w:ilvl w:val="0"/>
                                <w:numId w:val="60"/>
                              </w:numPr>
                              <w:rPr>
                                <w:color w:val="FFFFFF"/>
                                <w:sz w:val="20"/>
                                <w:szCs w:val="20"/>
                              </w:rPr>
                            </w:pPr>
                            <w:r w:rsidRPr="008206CA">
                              <w:rPr>
                                <w:color w:val="FFFFFF"/>
                                <w:sz w:val="20"/>
                                <w:szCs w:val="20"/>
                              </w:rPr>
                              <w:t>Working with a consultation and engagement strategy.</w:t>
                            </w:r>
                          </w:p>
                          <w:p w14:paraId="72893DF0" w14:textId="77777777" w:rsidR="008206CA" w:rsidRPr="008206CA" w:rsidRDefault="008206CA" w:rsidP="008206CA">
                            <w:pPr>
                              <w:pStyle w:val="Default"/>
                              <w:numPr>
                                <w:ilvl w:val="0"/>
                                <w:numId w:val="60"/>
                              </w:numPr>
                              <w:rPr>
                                <w:color w:val="FFFFFF"/>
                                <w:sz w:val="20"/>
                                <w:szCs w:val="20"/>
                              </w:rPr>
                            </w:pPr>
                            <w:r w:rsidRPr="008206CA">
                              <w:rPr>
                                <w:color w:val="FFFFFF"/>
                                <w:sz w:val="20"/>
                                <w:szCs w:val="20"/>
                              </w:rPr>
                              <w:t>Quarterly and annual performance monitoring including achievement of national and local performance indicators.</w:t>
                            </w:r>
                          </w:p>
                          <w:p w14:paraId="161A0365"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There is robust Medium Term Financial Planning.</w:t>
                            </w:r>
                          </w:p>
                          <w:p w14:paraId="7F01000C"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There is an Annual budget setting process in place including an extensive consultation exercise.</w:t>
                            </w:r>
                          </w:p>
                          <w:p w14:paraId="646BBBB3" w14:textId="77777777" w:rsidR="008206CA" w:rsidRDefault="008206CA" w:rsidP="008206CA">
                            <w:pPr>
                              <w:pStyle w:val="Default"/>
                              <w:ind w:left="360"/>
                            </w:pPr>
                          </w:p>
                          <w:p w14:paraId="140CBF3C" w14:textId="77777777" w:rsidR="008206CA" w:rsidRDefault="008206CA" w:rsidP="008206CA">
                            <w:pPr>
                              <w:pStyle w:val="Default"/>
                            </w:pPr>
                          </w:p>
                          <w:p w14:paraId="48112847" w14:textId="77777777" w:rsidR="008206CA" w:rsidRDefault="008206CA" w:rsidP="008206CA">
                            <w:pPr>
                              <w:pStyle w:val="Default"/>
                            </w:pPr>
                          </w:p>
                          <w:p w14:paraId="55431092" w14:textId="77777777" w:rsidR="008206CA" w:rsidRDefault="008206CA" w:rsidP="008206CA">
                            <w:pPr>
                              <w:pStyle w:val="Default"/>
                            </w:pPr>
                          </w:p>
                          <w:p w14:paraId="08DF96A5" w14:textId="77777777" w:rsidR="008206CA" w:rsidRDefault="008206CA" w:rsidP="008206CA">
                            <w:pPr>
                              <w:rPr>
                                <w:sz w:val="20"/>
                              </w:rPr>
                            </w:pPr>
                          </w:p>
                          <w:p w14:paraId="04A2F71C" w14:textId="77777777" w:rsidR="008206CA" w:rsidRPr="002C4072" w:rsidRDefault="008206CA" w:rsidP="008206CA">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0B7E5" id="Rectangle: Rounded Corners 98" o:spid="_x0000_s1046" style="position:absolute;margin-left:240.6pt;margin-top:4.95pt;width:234.6pt;height:32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" fillcolor="#4f81bd" strokecolor="#385d8a" strokeweight="2pt">
                <v:path arrowok="t"/>
                <v:textbox>
                  <w:txbxContent>
                    <w:p w14:paraId="1F73EBAE"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 Council has established robust planning and control cycles covering strategic and operational plans, priorities and targets which is achieved through:</w:t>
                      </w:r>
                    </w:p>
                    <w:p w14:paraId="3D2529E2" w14:textId="77777777" w:rsidR="008206CA" w:rsidRPr="008206CA" w:rsidRDefault="008206CA" w:rsidP="008206CA">
                      <w:pPr>
                        <w:pStyle w:val="Default"/>
                        <w:numPr>
                          <w:ilvl w:val="0"/>
                          <w:numId w:val="60"/>
                        </w:numPr>
                        <w:rPr>
                          <w:color w:val="FFFFFF"/>
                          <w:sz w:val="20"/>
                          <w:szCs w:val="20"/>
                        </w:rPr>
                      </w:pPr>
                      <w:r w:rsidRPr="008206CA">
                        <w:rPr>
                          <w:color w:val="FFFFFF"/>
                          <w:sz w:val="20"/>
                          <w:szCs w:val="20"/>
                        </w:rPr>
                        <w:t>A timetable for producing and reviewing plans on an annual basis.</w:t>
                      </w:r>
                    </w:p>
                    <w:p w14:paraId="55C49B5E" w14:textId="77777777" w:rsidR="008206CA" w:rsidRPr="008206CA" w:rsidRDefault="008206CA" w:rsidP="008206CA">
                      <w:pPr>
                        <w:pStyle w:val="Default"/>
                        <w:numPr>
                          <w:ilvl w:val="0"/>
                          <w:numId w:val="60"/>
                        </w:numPr>
                        <w:rPr>
                          <w:color w:val="FFFFFF"/>
                          <w:sz w:val="20"/>
                          <w:szCs w:val="20"/>
                        </w:rPr>
                      </w:pPr>
                      <w:r w:rsidRPr="008206CA">
                        <w:rPr>
                          <w:color w:val="FFFFFF"/>
                          <w:sz w:val="20"/>
                          <w:szCs w:val="20"/>
                        </w:rPr>
                        <w:t>Working with a consultation and engagement strategy.</w:t>
                      </w:r>
                    </w:p>
                    <w:p w14:paraId="72893DF0" w14:textId="77777777" w:rsidR="008206CA" w:rsidRPr="008206CA" w:rsidRDefault="008206CA" w:rsidP="008206CA">
                      <w:pPr>
                        <w:pStyle w:val="Default"/>
                        <w:numPr>
                          <w:ilvl w:val="0"/>
                          <w:numId w:val="60"/>
                        </w:numPr>
                        <w:rPr>
                          <w:color w:val="FFFFFF"/>
                          <w:sz w:val="20"/>
                          <w:szCs w:val="20"/>
                        </w:rPr>
                      </w:pPr>
                      <w:r w:rsidRPr="008206CA">
                        <w:rPr>
                          <w:color w:val="FFFFFF"/>
                          <w:sz w:val="20"/>
                          <w:szCs w:val="20"/>
                        </w:rPr>
                        <w:t>Quarterly and annual performance monitoring including achievement of national and local performance indicators.</w:t>
                      </w:r>
                    </w:p>
                    <w:p w14:paraId="161A0365"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There is robust Medium Term Financial Planning.</w:t>
                      </w:r>
                    </w:p>
                    <w:p w14:paraId="7F01000C" w14:textId="77777777" w:rsidR="008206CA" w:rsidRPr="008206CA" w:rsidRDefault="008206CA" w:rsidP="008206CA">
                      <w:pPr>
                        <w:pStyle w:val="Default"/>
                        <w:numPr>
                          <w:ilvl w:val="0"/>
                          <w:numId w:val="36"/>
                        </w:numPr>
                        <w:rPr>
                          <w:color w:val="FFFFFF"/>
                          <w:sz w:val="20"/>
                          <w:szCs w:val="20"/>
                        </w:rPr>
                      </w:pPr>
                      <w:r w:rsidRPr="008206CA">
                        <w:rPr>
                          <w:color w:val="FFFFFF"/>
                          <w:sz w:val="20"/>
                          <w:szCs w:val="20"/>
                        </w:rPr>
                        <w:t>There is an Annual budget setting process in place including an extensive consultation exercise.</w:t>
                      </w:r>
                    </w:p>
                    <w:p w14:paraId="646BBBB3" w14:textId="77777777" w:rsidR="008206CA" w:rsidRDefault="008206CA" w:rsidP="008206CA">
                      <w:pPr>
                        <w:pStyle w:val="Default"/>
                        <w:ind w:left="360"/>
                      </w:pPr>
                    </w:p>
                    <w:p w14:paraId="140CBF3C" w14:textId="77777777" w:rsidR="008206CA" w:rsidRDefault="008206CA" w:rsidP="008206CA">
                      <w:pPr>
                        <w:pStyle w:val="Default"/>
                      </w:pPr>
                    </w:p>
                    <w:p w14:paraId="48112847" w14:textId="77777777" w:rsidR="008206CA" w:rsidRDefault="008206CA" w:rsidP="008206CA">
                      <w:pPr>
                        <w:pStyle w:val="Default"/>
                      </w:pPr>
                    </w:p>
                    <w:p w14:paraId="55431092" w14:textId="77777777" w:rsidR="008206CA" w:rsidRDefault="008206CA" w:rsidP="008206CA">
                      <w:pPr>
                        <w:pStyle w:val="Default"/>
                      </w:pPr>
                    </w:p>
                    <w:p w14:paraId="08DF96A5" w14:textId="77777777" w:rsidR="008206CA" w:rsidRDefault="008206CA" w:rsidP="008206CA">
                      <w:pPr>
                        <w:rPr>
                          <w:sz w:val="20"/>
                        </w:rPr>
                      </w:pPr>
                    </w:p>
                    <w:p w14:paraId="04A2F71C" w14:textId="77777777" w:rsidR="008206CA" w:rsidRPr="002C4072" w:rsidRDefault="008206CA" w:rsidP="008206CA">
                      <w:pPr>
                        <w:rPr>
                          <w:sz w:val="20"/>
                        </w:rPr>
                      </w:pPr>
                    </w:p>
                  </w:txbxContent>
                </v:textbox>
              </v:roundrect>
            </w:pict>
          </mc:Fallback>
        </mc:AlternateContent>
      </w:r>
      <w:r>
        <w:rPr>
          <w:noProof/>
        </w:rPr>
        <mc:AlternateContent>
          <mc:Choice Requires="wps">
            <w:drawing>
              <wp:anchor distT="0" distB="0" distL="114300" distR="114300" simplePos="0" relativeHeight="251656192" behindDoc="0" locked="0" layoutInCell="1" allowOverlap="1" wp14:anchorId="14ABB9D1" wp14:editId="39E3E51D">
                <wp:simplePos x="0" y="0"/>
                <wp:positionH relativeFrom="column">
                  <wp:posOffset>6438900</wp:posOffset>
                </wp:positionH>
                <wp:positionV relativeFrom="paragraph">
                  <wp:posOffset>93345</wp:posOffset>
                </wp:positionV>
                <wp:extent cx="2880360" cy="4061460"/>
                <wp:effectExtent l="0" t="0" r="0" b="0"/>
                <wp:wrapNone/>
                <wp:docPr id="97" name="Rectangle: Rounded Corners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4061460"/>
                        </a:xfrm>
                        <a:prstGeom prst="roundRect">
                          <a:avLst/>
                        </a:prstGeom>
                        <a:solidFill>
                          <a:srgbClr val="4F81BD"/>
                        </a:solidFill>
                        <a:ln w="25400" cap="flat" cmpd="sng" algn="ctr">
                          <a:solidFill>
                            <a:srgbClr val="4F81BD">
                              <a:shade val="50000"/>
                            </a:srgbClr>
                          </a:solidFill>
                          <a:prstDash val="solid"/>
                        </a:ln>
                        <a:effectLst/>
                      </wps:spPr>
                      <wps:txbx>
                        <w:txbxContent>
                          <w:p w14:paraId="304AE9D5" w14:textId="77777777" w:rsidR="008206CA" w:rsidRPr="008206CA" w:rsidRDefault="008206CA" w:rsidP="008206CA">
                            <w:pPr>
                              <w:pStyle w:val="Default"/>
                              <w:numPr>
                                <w:ilvl w:val="0"/>
                                <w:numId w:val="42"/>
                              </w:numPr>
                              <w:rPr>
                                <w:color w:val="FFFFFF"/>
                                <w:sz w:val="20"/>
                                <w:szCs w:val="20"/>
                              </w:rPr>
                            </w:pPr>
                            <w:r w:rsidRPr="008206CA">
                              <w:rPr>
                                <w:color w:val="FFFFFF"/>
                                <w:sz w:val="20"/>
                                <w:szCs w:val="20"/>
                              </w:rPr>
                              <w:t>The Council ensures the Medium Term Financial Strategy integrates and balances service priorities, affordability and other resource constraints by setting out any shortfall in resources and spending requirements in the context of service priorities.</w:t>
                            </w:r>
                          </w:p>
                          <w:p w14:paraId="44F94C66" w14:textId="77777777" w:rsidR="008206CA" w:rsidRPr="008206CA" w:rsidRDefault="008206CA" w:rsidP="008206CA">
                            <w:pPr>
                              <w:pStyle w:val="Default"/>
                              <w:numPr>
                                <w:ilvl w:val="0"/>
                                <w:numId w:val="42"/>
                              </w:numPr>
                              <w:rPr>
                                <w:color w:val="FFFFFF"/>
                                <w:sz w:val="20"/>
                                <w:szCs w:val="20"/>
                              </w:rPr>
                            </w:pPr>
                            <w:r w:rsidRPr="008206CA">
                              <w:rPr>
                                <w:color w:val="FFFFFF"/>
                                <w:sz w:val="20"/>
                                <w:szCs w:val="20"/>
                              </w:rPr>
                              <w:t>To ensure that the budget process is all inclusive there is regular engagement with members with robust scrutiny by the Service Improvement &amp; Finance Scrutiny Performance Panel.</w:t>
                            </w:r>
                          </w:p>
                          <w:p w14:paraId="2AF4AB7D" w14:textId="77777777" w:rsidR="008206CA" w:rsidRPr="008206CA" w:rsidRDefault="008206CA" w:rsidP="008206CA">
                            <w:pPr>
                              <w:pStyle w:val="Default"/>
                              <w:numPr>
                                <w:ilvl w:val="0"/>
                                <w:numId w:val="42"/>
                              </w:numPr>
                              <w:rPr>
                                <w:color w:val="FFFFFF"/>
                                <w:sz w:val="20"/>
                                <w:szCs w:val="20"/>
                              </w:rPr>
                            </w:pPr>
                            <w:r w:rsidRPr="008206CA">
                              <w:rPr>
                                <w:i/>
                                <w:color w:val="FFFFFF"/>
                                <w:sz w:val="20"/>
                                <w:szCs w:val="20"/>
                              </w:rPr>
                              <w:t>Achieving Better Together</w:t>
                            </w:r>
                            <w:r w:rsidRPr="008206CA">
                              <w:rPr>
                                <w:color w:val="FFFFFF"/>
                                <w:sz w:val="20"/>
                                <w:szCs w:val="20"/>
                              </w:rPr>
                              <w:t xml:space="preserve"> (replacing Sustainable Swansea – Fit for the Future).</w:t>
                            </w:r>
                          </w:p>
                          <w:p w14:paraId="0763AA5D" w14:textId="77777777" w:rsidR="008206CA" w:rsidRPr="008206CA" w:rsidRDefault="008206CA" w:rsidP="008206CA">
                            <w:pPr>
                              <w:pStyle w:val="Default"/>
                              <w:numPr>
                                <w:ilvl w:val="0"/>
                                <w:numId w:val="42"/>
                              </w:numPr>
                              <w:rPr>
                                <w:color w:val="FFFFFF"/>
                                <w:sz w:val="20"/>
                                <w:szCs w:val="20"/>
                              </w:rPr>
                            </w:pPr>
                            <w:r w:rsidRPr="008206CA">
                              <w:rPr>
                                <w:color w:val="FFFFFF"/>
                                <w:sz w:val="20"/>
                                <w:szCs w:val="20"/>
                              </w:rPr>
                              <w:t>The Council ensures the achievement of “social value” through the effective commissioning of service in compliance with CPR’s e.g. Beyond Bricks and Mortar (community benefit clauses in council contracts).</w:t>
                            </w:r>
                          </w:p>
                          <w:p w14:paraId="158B5DFF" w14:textId="77777777" w:rsidR="008206CA" w:rsidRPr="008206CA" w:rsidRDefault="008206CA" w:rsidP="008206CA">
                            <w:pPr>
                              <w:pStyle w:val="Default"/>
                              <w:ind w:left="360"/>
                              <w:rPr>
                                <w:color w:val="FFFFFF"/>
                                <w:sz w:val="20"/>
                                <w:szCs w:val="20"/>
                              </w:rPr>
                            </w:pPr>
                          </w:p>
                          <w:p w14:paraId="1EA1B98F" w14:textId="77777777" w:rsidR="008206CA" w:rsidRPr="008206CA" w:rsidRDefault="008206CA" w:rsidP="008206CA">
                            <w:pPr>
                              <w:pStyle w:val="Default"/>
                              <w:rPr>
                                <w:color w:val="FFFFFF"/>
                                <w:sz w:val="20"/>
                                <w:szCs w:val="20"/>
                              </w:rPr>
                            </w:pPr>
                          </w:p>
                          <w:p w14:paraId="3D586616" w14:textId="77777777" w:rsidR="008206CA" w:rsidRPr="00957C79" w:rsidRDefault="008206CA" w:rsidP="008206CA">
                            <w:pPr>
                              <w:pStyle w:val="Default"/>
                              <w:rPr>
                                <w:sz w:val="20"/>
                                <w:szCs w:val="20"/>
                              </w:rPr>
                            </w:pPr>
                          </w:p>
                          <w:p w14:paraId="03512A3F" w14:textId="77777777" w:rsidR="008206CA" w:rsidRPr="008206CA" w:rsidRDefault="008206CA" w:rsidP="008206CA">
                            <w:pPr>
                              <w:pStyle w:val="Default"/>
                              <w:rPr>
                                <w:color w:val="FFFFFF"/>
                                <w:sz w:val="22"/>
                                <w:szCs w:val="22"/>
                              </w:rPr>
                            </w:pPr>
                          </w:p>
                          <w:p w14:paraId="5BCE549A" w14:textId="77777777" w:rsidR="008206CA" w:rsidRPr="008206CA" w:rsidRDefault="008206CA" w:rsidP="008206CA">
                            <w:pPr>
                              <w:pStyle w:val="Default"/>
                              <w:rPr>
                                <w:color w:val="FFFFFF"/>
                                <w:sz w:val="22"/>
                                <w:szCs w:val="22"/>
                              </w:rPr>
                            </w:pPr>
                          </w:p>
                          <w:p w14:paraId="15908E1D" w14:textId="77777777" w:rsidR="008206CA" w:rsidRPr="008206CA" w:rsidRDefault="008206CA" w:rsidP="008206CA">
                            <w:pPr>
                              <w:pStyle w:val="Default"/>
                              <w:rPr>
                                <w:color w:val="FFFFFF"/>
                                <w:sz w:val="22"/>
                                <w:szCs w:val="22"/>
                              </w:rPr>
                            </w:pPr>
                          </w:p>
                          <w:p w14:paraId="65A8A3CF" w14:textId="77777777" w:rsidR="008206CA" w:rsidRPr="008206CA" w:rsidRDefault="008206CA" w:rsidP="008206CA">
                            <w:pPr>
                              <w:pStyle w:val="Default"/>
                              <w:rPr>
                                <w:color w:val="FFFFFF"/>
                                <w:sz w:val="22"/>
                                <w:szCs w:val="22"/>
                              </w:rPr>
                            </w:pPr>
                          </w:p>
                          <w:p w14:paraId="11A11BA9" w14:textId="77777777" w:rsidR="008206CA" w:rsidRPr="008206CA" w:rsidRDefault="008206CA" w:rsidP="008206CA">
                            <w:pPr>
                              <w:pStyle w:val="Default"/>
                              <w:rPr>
                                <w:color w:val="FFFFFF"/>
                                <w:sz w:val="22"/>
                                <w:szCs w:val="22"/>
                              </w:rPr>
                            </w:pPr>
                          </w:p>
                          <w:p w14:paraId="6CAEE59A" w14:textId="77777777" w:rsidR="008206CA" w:rsidRDefault="008206CA" w:rsidP="008206CA">
                            <w:pPr>
                              <w:pStyle w:val="Default"/>
                              <w:rPr>
                                <w:sz w:val="22"/>
                                <w:szCs w:val="22"/>
                              </w:rPr>
                            </w:pPr>
                          </w:p>
                          <w:p w14:paraId="0CAB4287" w14:textId="77777777" w:rsidR="008206CA" w:rsidRDefault="008206CA" w:rsidP="008206CA">
                            <w:pPr>
                              <w:pStyle w:val="Default"/>
                              <w:rPr>
                                <w:sz w:val="22"/>
                                <w:szCs w:val="22"/>
                              </w:rPr>
                            </w:pPr>
                          </w:p>
                          <w:p w14:paraId="2123F901" w14:textId="77777777" w:rsidR="008206CA" w:rsidRDefault="008206CA" w:rsidP="008206CA">
                            <w:pPr>
                              <w:pStyle w:val="Default"/>
                              <w:rPr>
                                <w:sz w:val="22"/>
                                <w:szCs w:val="22"/>
                              </w:rPr>
                            </w:pPr>
                          </w:p>
                          <w:p w14:paraId="7C146B89" w14:textId="77777777" w:rsidR="008206CA" w:rsidRPr="00C02BB2" w:rsidRDefault="008206CA" w:rsidP="008206CA">
                            <w:pPr>
                              <w:pStyle w:val="Default"/>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BB9D1" id="Rectangle: Rounded Corners 97" o:spid="_x0000_s1047" style="position:absolute;margin-left:507pt;margin-top:7.35pt;width:226.8pt;height:3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" fillcolor="#4f81bd" strokecolor="#385d8a" strokeweight="2pt">
                <v:path arrowok="t"/>
                <v:textbox>
                  <w:txbxContent>
                    <w:p w14:paraId="304AE9D5" w14:textId="77777777" w:rsidR="008206CA" w:rsidRPr="008206CA" w:rsidRDefault="008206CA" w:rsidP="008206CA">
                      <w:pPr>
                        <w:pStyle w:val="Default"/>
                        <w:numPr>
                          <w:ilvl w:val="0"/>
                          <w:numId w:val="42"/>
                        </w:numPr>
                        <w:rPr>
                          <w:color w:val="FFFFFF"/>
                          <w:sz w:val="20"/>
                          <w:szCs w:val="20"/>
                        </w:rPr>
                      </w:pPr>
                      <w:r w:rsidRPr="008206CA">
                        <w:rPr>
                          <w:color w:val="FFFFFF"/>
                          <w:sz w:val="20"/>
                          <w:szCs w:val="20"/>
                        </w:rPr>
                        <w:t>The Council ensures the Medium Term Financial Strategy integrates and balances service priorities, affordability and other resource constraints by setting out any shortfall in resources and spending requirements in the context of service priorities.</w:t>
                      </w:r>
                    </w:p>
                    <w:p w14:paraId="44F94C66" w14:textId="77777777" w:rsidR="008206CA" w:rsidRPr="008206CA" w:rsidRDefault="008206CA" w:rsidP="008206CA">
                      <w:pPr>
                        <w:pStyle w:val="Default"/>
                        <w:numPr>
                          <w:ilvl w:val="0"/>
                          <w:numId w:val="42"/>
                        </w:numPr>
                        <w:rPr>
                          <w:color w:val="FFFFFF"/>
                          <w:sz w:val="20"/>
                          <w:szCs w:val="20"/>
                        </w:rPr>
                      </w:pPr>
                      <w:r w:rsidRPr="008206CA">
                        <w:rPr>
                          <w:color w:val="FFFFFF"/>
                          <w:sz w:val="20"/>
                          <w:szCs w:val="20"/>
                        </w:rPr>
                        <w:t>To ensure that the budget process is all inclusive there is regular engagement with members with robust scrutiny by the Service Improvement &amp; Finance Scrutiny Performance Panel.</w:t>
                      </w:r>
                    </w:p>
                    <w:p w14:paraId="2AF4AB7D" w14:textId="77777777" w:rsidR="008206CA" w:rsidRPr="008206CA" w:rsidRDefault="008206CA" w:rsidP="008206CA">
                      <w:pPr>
                        <w:pStyle w:val="Default"/>
                        <w:numPr>
                          <w:ilvl w:val="0"/>
                          <w:numId w:val="42"/>
                        </w:numPr>
                        <w:rPr>
                          <w:color w:val="FFFFFF"/>
                          <w:sz w:val="20"/>
                          <w:szCs w:val="20"/>
                        </w:rPr>
                      </w:pPr>
                      <w:r w:rsidRPr="008206CA">
                        <w:rPr>
                          <w:i/>
                          <w:color w:val="FFFFFF"/>
                          <w:sz w:val="20"/>
                          <w:szCs w:val="20"/>
                        </w:rPr>
                        <w:t>Achieving Better Together</w:t>
                      </w:r>
                      <w:r w:rsidRPr="008206CA">
                        <w:rPr>
                          <w:color w:val="FFFFFF"/>
                          <w:sz w:val="20"/>
                          <w:szCs w:val="20"/>
                        </w:rPr>
                        <w:t xml:space="preserve"> (replacing Sustainable Swansea – Fit for the Future).</w:t>
                      </w:r>
                    </w:p>
                    <w:p w14:paraId="0763AA5D" w14:textId="77777777" w:rsidR="008206CA" w:rsidRPr="008206CA" w:rsidRDefault="008206CA" w:rsidP="008206CA">
                      <w:pPr>
                        <w:pStyle w:val="Default"/>
                        <w:numPr>
                          <w:ilvl w:val="0"/>
                          <w:numId w:val="42"/>
                        </w:numPr>
                        <w:rPr>
                          <w:color w:val="FFFFFF"/>
                          <w:sz w:val="20"/>
                          <w:szCs w:val="20"/>
                        </w:rPr>
                      </w:pPr>
                      <w:r w:rsidRPr="008206CA">
                        <w:rPr>
                          <w:color w:val="FFFFFF"/>
                          <w:sz w:val="20"/>
                          <w:szCs w:val="20"/>
                        </w:rPr>
                        <w:t>The Council ensures the achievement of “social value” through the effective commissioning of service in compliance with CPR’s e.g. Beyond Bricks and Mortar (community benefit clauses in council contracts).</w:t>
                      </w:r>
                    </w:p>
                    <w:p w14:paraId="158B5DFF" w14:textId="77777777" w:rsidR="008206CA" w:rsidRPr="008206CA" w:rsidRDefault="008206CA" w:rsidP="008206CA">
                      <w:pPr>
                        <w:pStyle w:val="Default"/>
                        <w:ind w:left="360"/>
                        <w:rPr>
                          <w:color w:val="FFFFFF"/>
                          <w:sz w:val="20"/>
                          <w:szCs w:val="20"/>
                        </w:rPr>
                      </w:pPr>
                    </w:p>
                    <w:p w14:paraId="1EA1B98F" w14:textId="77777777" w:rsidR="008206CA" w:rsidRPr="008206CA" w:rsidRDefault="008206CA" w:rsidP="008206CA">
                      <w:pPr>
                        <w:pStyle w:val="Default"/>
                        <w:rPr>
                          <w:color w:val="FFFFFF"/>
                          <w:sz w:val="20"/>
                          <w:szCs w:val="20"/>
                        </w:rPr>
                      </w:pPr>
                    </w:p>
                    <w:p w14:paraId="3D586616" w14:textId="77777777" w:rsidR="008206CA" w:rsidRPr="00957C79" w:rsidRDefault="008206CA" w:rsidP="008206CA">
                      <w:pPr>
                        <w:pStyle w:val="Default"/>
                        <w:rPr>
                          <w:sz w:val="20"/>
                          <w:szCs w:val="20"/>
                        </w:rPr>
                      </w:pPr>
                    </w:p>
                    <w:p w14:paraId="03512A3F" w14:textId="77777777" w:rsidR="008206CA" w:rsidRPr="008206CA" w:rsidRDefault="008206CA" w:rsidP="008206CA">
                      <w:pPr>
                        <w:pStyle w:val="Default"/>
                        <w:rPr>
                          <w:color w:val="FFFFFF"/>
                          <w:sz w:val="22"/>
                          <w:szCs w:val="22"/>
                        </w:rPr>
                      </w:pPr>
                    </w:p>
                    <w:p w14:paraId="5BCE549A" w14:textId="77777777" w:rsidR="008206CA" w:rsidRPr="008206CA" w:rsidRDefault="008206CA" w:rsidP="008206CA">
                      <w:pPr>
                        <w:pStyle w:val="Default"/>
                        <w:rPr>
                          <w:color w:val="FFFFFF"/>
                          <w:sz w:val="22"/>
                          <w:szCs w:val="22"/>
                        </w:rPr>
                      </w:pPr>
                    </w:p>
                    <w:p w14:paraId="15908E1D" w14:textId="77777777" w:rsidR="008206CA" w:rsidRPr="008206CA" w:rsidRDefault="008206CA" w:rsidP="008206CA">
                      <w:pPr>
                        <w:pStyle w:val="Default"/>
                        <w:rPr>
                          <w:color w:val="FFFFFF"/>
                          <w:sz w:val="22"/>
                          <w:szCs w:val="22"/>
                        </w:rPr>
                      </w:pPr>
                    </w:p>
                    <w:p w14:paraId="65A8A3CF" w14:textId="77777777" w:rsidR="008206CA" w:rsidRPr="008206CA" w:rsidRDefault="008206CA" w:rsidP="008206CA">
                      <w:pPr>
                        <w:pStyle w:val="Default"/>
                        <w:rPr>
                          <w:color w:val="FFFFFF"/>
                          <w:sz w:val="22"/>
                          <w:szCs w:val="22"/>
                        </w:rPr>
                      </w:pPr>
                    </w:p>
                    <w:p w14:paraId="11A11BA9" w14:textId="77777777" w:rsidR="008206CA" w:rsidRPr="008206CA" w:rsidRDefault="008206CA" w:rsidP="008206CA">
                      <w:pPr>
                        <w:pStyle w:val="Default"/>
                        <w:rPr>
                          <w:color w:val="FFFFFF"/>
                          <w:sz w:val="22"/>
                          <w:szCs w:val="22"/>
                        </w:rPr>
                      </w:pPr>
                    </w:p>
                    <w:p w14:paraId="6CAEE59A" w14:textId="77777777" w:rsidR="008206CA" w:rsidRDefault="008206CA" w:rsidP="008206CA">
                      <w:pPr>
                        <w:pStyle w:val="Default"/>
                        <w:rPr>
                          <w:sz w:val="22"/>
                          <w:szCs w:val="22"/>
                        </w:rPr>
                      </w:pPr>
                    </w:p>
                    <w:p w14:paraId="0CAB4287" w14:textId="77777777" w:rsidR="008206CA" w:rsidRDefault="008206CA" w:rsidP="008206CA">
                      <w:pPr>
                        <w:pStyle w:val="Default"/>
                        <w:rPr>
                          <w:sz w:val="22"/>
                          <w:szCs w:val="22"/>
                        </w:rPr>
                      </w:pPr>
                    </w:p>
                    <w:p w14:paraId="2123F901" w14:textId="77777777" w:rsidR="008206CA" w:rsidRDefault="008206CA" w:rsidP="008206CA">
                      <w:pPr>
                        <w:pStyle w:val="Default"/>
                        <w:rPr>
                          <w:sz w:val="22"/>
                          <w:szCs w:val="22"/>
                        </w:rPr>
                      </w:pPr>
                    </w:p>
                    <w:p w14:paraId="7C146B89" w14:textId="77777777" w:rsidR="008206CA" w:rsidRPr="00C02BB2" w:rsidRDefault="008206CA" w:rsidP="008206CA">
                      <w:pPr>
                        <w:pStyle w:val="Default"/>
                        <w:rPr>
                          <w:sz w:val="22"/>
                          <w:szCs w:val="22"/>
                        </w:rPr>
                      </w:pPr>
                    </w:p>
                  </w:txbxContent>
                </v:textbox>
              </v:roundrect>
            </w:pict>
          </mc:Fallback>
        </mc:AlternateContent>
      </w:r>
    </w:p>
    <w:p w14:paraId="006A7C45" w14:textId="77777777" w:rsidR="008206CA" w:rsidRDefault="008206CA" w:rsidP="008206CA"/>
    <w:p w14:paraId="102E1FB0" w14:textId="77777777" w:rsidR="008206CA" w:rsidRDefault="008206CA" w:rsidP="008206CA"/>
    <w:p w14:paraId="54825464" w14:textId="77777777" w:rsidR="008206CA" w:rsidRDefault="008206CA" w:rsidP="008206CA">
      <w:r>
        <w:br w:type="page"/>
      </w:r>
    </w:p>
    <w:p w14:paraId="26EC612D" w14:textId="77777777" w:rsidR="008206CA" w:rsidRDefault="008206CA" w:rsidP="008206CA">
      <w:pPr>
        <w:rPr>
          <w:rFonts w:ascii="Arial" w:hAnsi="Arial" w:cs="Arial"/>
          <w:b/>
          <w:sz w:val="24"/>
          <w:szCs w:val="24"/>
        </w:rPr>
      </w:pPr>
      <w:r w:rsidRPr="000C4803">
        <w:rPr>
          <w:rFonts w:ascii="Arial" w:hAnsi="Arial" w:cs="Arial"/>
          <w:b/>
          <w:sz w:val="24"/>
          <w:szCs w:val="24"/>
        </w:rPr>
        <w:t>P</w:t>
      </w:r>
      <w:r>
        <w:rPr>
          <w:rFonts w:ascii="Arial" w:hAnsi="Arial" w:cs="Arial"/>
          <w:b/>
          <w:sz w:val="24"/>
          <w:szCs w:val="24"/>
        </w:rPr>
        <w:t>rinciple E</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175"/>
      </w:tblGrid>
      <w:tr w:rsidR="008206CA" w14:paraId="47C73459" w14:textId="77777777" w:rsidTr="00DE37F4">
        <w:trPr>
          <w:trHeight w:val="374"/>
        </w:trPr>
        <w:tc>
          <w:tcPr>
            <w:tcW w:w="14175" w:type="dxa"/>
            <w:shd w:val="clear" w:color="auto" w:fill="A6A6A6"/>
          </w:tcPr>
          <w:p w14:paraId="5558B93D" w14:textId="77777777" w:rsidR="008206CA" w:rsidRPr="00DE37F4" w:rsidRDefault="008206CA" w:rsidP="00DE37F4">
            <w:pPr>
              <w:rPr>
                <w:rFonts w:ascii="Arial" w:hAnsi="Arial" w:cs="Arial"/>
                <w:sz w:val="24"/>
                <w:szCs w:val="24"/>
              </w:rPr>
            </w:pPr>
            <w:r w:rsidRPr="00DE37F4">
              <w:rPr>
                <w:rFonts w:ascii="Arial" w:hAnsi="Arial" w:cs="Arial"/>
                <w:b/>
                <w:bCs/>
                <w:color w:val="000000"/>
              </w:rPr>
              <w:t>Developing the entity’s capacity, including the capability of its leadership and the individuals within it.</w:t>
            </w:r>
          </w:p>
        </w:tc>
      </w:tr>
    </w:tbl>
    <w:p w14:paraId="40301658" w14:textId="77777777" w:rsidR="008206CA" w:rsidRPr="00C566F6" w:rsidRDefault="008206CA" w:rsidP="008206CA">
      <w:pPr>
        <w:pStyle w:val="NoSpacing"/>
      </w:pPr>
    </w:p>
    <w:p w14:paraId="0FD609E9" w14:textId="7AF4BD7E" w:rsidR="008206CA" w:rsidRDefault="00516E75" w:rsidP="008206CA">
      <w:pPr>
        <w:ind w:left="-709"/>
        <w:rPr>
          <w:rFonts w:ascii="Arial" w:hAnsi="Arial" w:cs="Arial"/>
          <w:b/>
          <w:sz w:val="24"/>
          <w:szCs w:val="24"/>
        </w:rPr>
      </w:pPr>
      <w:r>
        <w:rPr>
          <w:noProof/>
        </w:rPr>
        <mc:AlternateContent>
          <mc:Choice Requires="wps">
            <w:drawing>
              <wp:anchor distT="45720" distB="45720" distL="114300" distR="114300" simplePos="0" relativeHeight="251657216" behindDoc="0" locked="0" layoutInCell="1" allowOverlap="1" wp14:anchorId="1B043070" wp14:editId="41F54F6C">
                <wp:simplePos x="0" y="0"/>
                <wp:positionH relativeFrom="margin">
                  <wp:posOffset>861060</wp:posOffset>
                </wp:positionH>
                <wp:positionV relativeFrom="paragraph">
                  <wp:posOffset>269240</wp:posOffset>
                </wp:positionV>
                <wp:extent cx="3002280" cy="523875"/>
                <wp:effectExtent l="0" t="0" r="7620" b="9525"/>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523875"/>
                        </a:xfrm>
                        <a:prstGeom prst="rect">
                          <a:avLst/>
                        </a:prstGeom>
                        <a:solidFill>
                          <a:srgbClr val="FFFFFF"/>
                        </a:solidFill>
                        <a:ln w="9525">
                          <a:solidFill>
                            <a:srgbClr val="000000"/>
                          </a:solidFill>
                          <a:miter lim="800000"/>
                          <a:headEnd/>
                          <a:tailEnd/>
                        </a:ln>
                      </wps:spPr>
                      <wps:txbx>
                        <w:txbxContent>
                          <w:p w14:paraId="40BC9AE2" w14:textId="77777777" w:rsidR="008206CA" w:rsidRPr="004A31FE" w:rsidRDefault="008206CA" w:rsidP="008206CA">
                            <w:pPr>
                              <w:shd w:val="clear" w:color="auto" w:fill="BFBFBF"/>
                              <w:jc w:val="center"/>
                              <w:rPr>
                                <w:b/>
                              </w:rPr>
                            </w:pPr>
                            <w:r w:rsidRPr="009F2261">
                              <w:rPr>
                                <w:rFonts w:ascii="Arial" w:hAnsi="Arial" w:cs="Arial"/>
                                <w:b/>
                                <w:bCs/>
                                <w:color w:val="000000"/>
                                <w:sz w:val="24"/>
                                <w:szCs w:val="24"/>
                              </w:rPr>
                              <w:t>Developing the entity’s 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43070" id="Text Box 96" o:spid="_x0000_s1048" type="#_x0000_t202" style="position:absolute;left:0;text-align:left;margin-left:67.8pt;margin-top:21.2pt;width:236.4pt;height:41.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">
                <v:textbox>
                  <w:txbxContent>
                    <w:p w14:paraId="40BC9AE2" w14:textId="77777777" w:rsidR="008206CA" w:rsidRPr="004A31FE" w:rsidRDefault="008206CA" w:rsidP="008206CA">
                      <w:pPr>
                        <w:shd w:val="clear" w:color="auto" w:fill="BFBFBF"/>
                        <w:jc w:val="center"/>
                        <w:rPr>
                          <w:b/>
                        </w:rPr>
                      </w:pPr>
                      <w:r w:rsidRPr="009F2261">
                        <w:rPr>
                          <w:rFonts w:ascii="Arial" w:hAnsi="Arial" w:cs="Arial"/>
                          <w:b/>
                          <w:bCs/>
                          <w:color w:val="000000"/>
                          <w:sz w:val="24"/>
                          <w:szCs w:val="24"/>
                        </w:rPr>
                        <w:t>Developing the entity’s capacity</w:t>
                      </w:r>
                    </w:p>
                  </w:txbxContent>
                </v:textbox>
                <w10:wrap type="square" anchorx="margin"/>
              </v:shape>
            </w:pict>
          </mc:Fallback>
        </mc:AlternateContent>
      </w:r>
      <w:r>
        <w:rPr>
          <w:noProof/>
        </w:rPr>
        <mc:AlternateContent>
          <mc:Choice Requires="wps">
            <w:drawing>
              <wp:anchor distT="45720" distB="45720" distL="114300" distR="114300" simplePos="0" relativeHeight="251658240" behindDoc="0" locked="0" layoutInCell="1" allowOverlap="1" wp14:anchorId="0AC3044B" wp14:editId="15D6E0A0">
                <wp:simplePos x="0" y="0"/>
                <wp:positionH relativeFrom="margin">
                  <wp:posOffset>5227320</wp:posOffset>
                </wp:positionH>
                <wp:positionV relativeFrom="paragraph">
                  <wp:posOffset>292100</wp:posOffset>
                </wp:positionV>
                <wp:extent cx="3009900" cy="504825"/>
                <wp:effectExtent l="0" t="0" r="0" b="9525"/>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04825"/>
                        </a:xfrm>
                        <a:prstGeom prst="rect">
                          <a:avLst/>
                        </a:prstGeom>
                        <a:solidFill>
                          <a:srgbClr val="FFFFFF"/>
                        </a:solidFill>
                        <a:ln w="9525">
                          <a:solidFill>
                            <a:srgbClr val="000000"/>
                          </a:solidFill>
                          <a:miter lim="800000"/>
                          <a:headEnd/>
                          <a:tailEnd/>
                        </a:ln>
                      </wps:spPr>
                      <wps:txbx>
                        <w:txbxContent>
                          <w:p w14:paraId="5FE9CD71" w14:textId="77777777" w:rsidR="008206CA" w:rsidRPr="005C141F" w:rsidRDefault="008206CA" w:rsidP="008206CA">
                            <w:pPr>
                              <w:pStyle w:val="NoSpacing"/>
                              <w:shd w:val="clear" w:color="auto" w:fill="BFBFBF"/>
                              <w:jc w:val="center"/>
                              <w:rPr>
                                <w:b/>
                                <w:sz w:val="20"/>
                                <w:szCs w:val="20"/>
                              </w:rPr>
                            </w:pPr>
                            <w:r w:rsidRPr="009F2261">
                              <w:rPr>
                                <w:rFonts w:ascii="Arial" w:hAnsi="Arial" w:cs="Arial"/>
                                <w:b/>
                                <w:bCs/>
                                <w:color w:val="000000"/>
                              </w:rPr>
                              <w:t>Developing the capability of the entity’s leadership and other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3044B" id="Text Box 95" o:spid="_x0000_s1049" type="#_x0000_t202" style="position:absolute;left:0;text-align:left;margin-left:411.6pt;margin-top:23pt;width:237pt;height:39.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">
                <v:textbox>
                  <w:txbxContent>
                    <w:p w14:paraId="5FE9CD71" w14:textId="77777777" w:rsidR="008206CA" w:rsidRPr="005C141F" w:rsidRDefault="008206CA" w:rsidP="008206CA">
                      <w:pPr>
                        <w:pStyle w:val="NoSpacing"/>
                        <w:shd w:val="clear" w:color="auto" w:fill="BFBFBF"/>
                        <w:jc w:val="center"/>
                        <w:rPr>
                          <w:b/>
                          <w:sz w:val="20"/>
                          <w:szCs w:val="20"/>
                        </w:rPr>
                      </w:pPr>
                      <w:r w:rsidRPr="009F2261">
                        <w:rPr>
                          <w:rFonts w:ascii="Arial" w:hAnsi="Arial" w:cs="Arial"/>
                          <w:b/>
                          <w:bCs/>
                          <w:color w:val="000000"/>
                        </w:rPr>
                        <w:t>Developing the capability of the entity’s leadership and other individuals</w:t>
                      </w:r>
                    </w:p>
                  </w:txbxContent>
                </v:textbox>
                <w10:wrap type="square" anchorx="margin"/>
              </v:shape>
            </w:pict>
          </mc:Fallback>
        </mc:AlternateContent>
      </w:r>
      <w:r w:rsidR="008206CA">
        <w:rPr>
          <w:rFonts w:ascii="Arial" w:hAnsi="Arial" w:cs="Arial"/>
          <w:b/>
          <w:sz w:val="24"/>
          <w:szCs w:val="24"/>
        </w:rPr>
        <w:tab/>
        <w:t>Sub Principles:</w:t>
      </w:r>
      <w:r w:rsidR="008206CA" w:rsidRPr="004A31FE">
        <w:rPr>
          <w:rFonts w:ascii="Arial" w:hAnsi="Arial" w:cs="Arial"/>
          <w:sz w:val="24"/>
          <w:szCs w:val="24"/>
        </w:rPr>
        <w:tab/>
      </w:r>
      <w:r w:rsidR="008F79D4" w:rsidRPr="008F79D4">
        <w:rPr>
          <w:rFonts w:ascii="Arial" w:hAnsi="Arial" w:cs="Arial"/>
          <w:b/>
          <w:bCs/>
          <w:sz w:val="24"/>
          <w:szCs w:val="24"/>
        </w:rPr>
        <w:t>How we do this :</w:t>
      </w:r>
      <w:r w:rsidR="008206CA" w:rsidRPr="004A31FE">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p>
    <w:p w14:paraId="2146DE41" w14:textId="77777777" w:rsidR="008206CA" w:rsidRDefault="008206CA" w:rsidP="008206CA">
      <w:pPr>
        <w:ind w:left="-709"/>
        <w:rPr>
          <w:rFonts w:ascii="Arial" w:hAnsi="Arial" w:cs="Arial"/>
          <w:b/>
          <w:sz w:val="24"/>
          <w:szCs w:val="24"/>
        </w:rPr>
      </w:pPr>
      <w:r>
        <w:rPr>
          <w:rFonts w:ascii="Arial" w:hAnsi="Arial" w:cs="Arial"/>
          <w:b/>
          <w:sz w:val="24"/>
          <w:szCs w:val="24"/>
        </w:rPr>
        <w:tab/>
      </w:r>
    </w:p>
    <w:p w14:paraId="36C91657" w14:textId="77777777" w:rsidR="008206CA" w:rsidRDefault="008206CA" w:rsidP="008206CA">
      <w:pPr>
        <w:ind w:left="-709"/>
        <w:rPr>
          <w:rFonts w:ascii="Arial" w:hAnsi="Arial" w:cs="Arial"/>
          <w:b/>
          <w:sz w:val="24"/>
          <w:szCs w:val="24"/>
        </w:rPr>
      </w:pPr>
    </w:p>
    <w:p w14:paraId="5B6AE052" w14:textId="77777777" w:rsidR="008206CA" w:rsidRPr="00D94CB3" w:rsidRDefault="008206CA" w:rsidP="008206CA">
      <w:pPr>
        <w:ind w:left="-709"/>
        <w:rPr>
          <w:rFonts w:ascii="Arial" w:hAnsi="Arial" w:cs="Arial"/>
          <w:b/>
          <w:sz w:val="24"/>
          <w:szCs w:val="24"/>
        </w:rPr>
      </w:pPr>
      <w:r>
        <w:rPr>
          <w:rFonts w:ascii="Arial" w:hAnsi="Arial" w:cs="Arial"/>
          <w:b/>
          <w:sz w:val="24"/>
          <w:szCs w:val="24"/>
        </w:rPr>
        <w:tab/>
      </w:r>
    </w:p>
    <w:p w14:paraId="2E2C8607" w14:textId="77777777" w:rsidR="008206CA" w:rsidRDefault="008206CA" w:rsidP="008206CA">
      <w:pPr>
        <w:rPr>
          <w:rFonts w:ascii="Arial" w:hAnsi="Arial" w:cs="Arial"/>
          <w:b/>
          <w:sz w:val="24"/>
          <w:szCs w:val="24"/>
        </w:rPr>
      </w:pPr>
    </w:p>
    <w:p w14:paraId="7D1E8505" w14:textId="1E4CD1FC" w:rsidR="008206CA" w:rsidRDefault="00516E75" w:rsidP="008206CA">
      <w:r>
        <w:rPr>
          <w:noProof/>
        </w:rPr>
        <mc:AlternateContent>
          <mc:Choice Requires="wps">
            <w:drawing>
              <wp:anchor distT="0" distB="0" distL="114300" distR="114300" simplePos="0" relativeHeight="251660288" behindDoc="0" locked="0" layoutInCell="1" allowOverlap="1" wp14:anchorId="76886F49" wp14:editId="604DA8AD">
                <wp:simplePos x="0" y="0"/>
                <wp:positionH relativeFrom="column">
                  <wp:posOffset>4640580</wp:posOffset>
                </wp:positionH>
                <wp:positionV relativeFrom="paragraph">
                  <wp:posOffset>93345</wp:posOffset>
                </wp:positionV>
                <wp:extent cx="4046220" cy="3893820"/>
                <wp:effectExtent l="0" t="0" r="0" b="0"/>
                <wp:wrapNone/>
                <wp:docPr id="94" name="Rectangle: Rounded Corners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6220" cy="3893820"/>
                        </a:xfrm>
                        <a:prstGeom prst="roundRect">
                          <a:avLst/>
                        </a:prstGeom>
                        <a:solidFill>
                          <a:srgbClr val="4F81BD"/>
                        </a:solidFill>
                        <a:ln w="25400" cap="flat" cmpd="sng" algn="ctr">
                          <a:solidFill>
                            <a:srgbClr val="4F81BD">
                              <a:shade val="50000"/>
                            </a:srgbClr>
                          </a:solidFill>
                          <a:prstDash val="solid"/>
                        </a:ln>
                        <a:effectLst/>
                      </wps:spPr>
                      <wps:txbx>
                        <w:txbxContent>
                          <w:p w14:paraId="3E3CBDC5" w14:textId="77777777" w:rsidR="008206CA" w:rsidRPr="008206CA" w:rsidRDefault="008206CA" w:rsidP="008206CA">
                            <w:pPr>
                              <w:pStyle w:val="ListParagraph"/>
                              <w:numPr>
                                <w:ilvl w:val="0"/>
                                <w:numId w:val="34"/>
                              </w:numPr>
                              <w:autoSpaceDE w:val="0"/>
                              <w:autoSpaceDN w:val="0"/>
                              <w:adjustRightInd w:val="0"/>
                              <w:spacing w:before="0" w:after="200" w:line="276" w:lineRule="auto"/>
                              <w:ind w:left="317"/>
                              <w:rPr>
                                <w:rFonts w:cs="Arial"/>
                                <w:color w:val="FFFFFF"/>
                                <w:sz w:val="20"/>
                                <w:szCs w:val="20"/>
                              </w:rPr>
                            </w:pPr>
                            <w:r w:rsidRPr="008206CA">
                              <w:rPr>
                                <w:rFonts w:cs="Arial"/>
                                <w:color w:val="FFFFFF"/>
                                <w:sz w:val="20"/>
                                <w:szCs w:val="20"/>
                              </w:rPr>
                              <w:t>Effective shared leadership and understanding of roles and objectives is supported by:</w:t>
                            </w:r>
                          </w:p>
                          <w:p w14:paraId="3B48F680"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 Leader and Chief Executive have clearly defined leadership roles.</w:t>
                            </w:r>
                          </w:p>
                          <w:p w14:paraId="79254E5C"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 Chief Executive Appraisal and Remuneration Committee have responsibility for the appraisal of the Chief Executive.</w:t>
                            </w:r>
                          </w:p>
                          <w:p w14:paraId="273C12AA"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There has been member led training with both senior officers and cabinet members.</w:t>
                            </w:r>
                          </w:p>
                          <w:p w14:paraId="46A4C552"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There are regular 1-2-1 meetings with the Leader, Cabinet members, Chief Ex, CMT and Heads of Service.</w:t>
                            </w:r>
                          </w:p>
                          <w:p w14:paraId="3A32B228"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 Transformation and Future Council objective and the Organisational Development Strategy.</w:t>
                            </w:r>
                          </w:p>
                          <w:p w14:paraId="45E97A6E" w14:textId="77777777" w:rsidR="008206CA" w:rsidRPr="008206CA" w:rsidRDefault="008206CA" w:rsidP="008206CA">
                            <w:pPr>
                              <w:pStyle w:val="ListParagraph"/>
                              <w:numPr>
                                <w:ilvl w:val="0"/>
                                <w:numId w:val="34"/>
                              </w:numPr>
                              <w:autoSpaceDE w:val="0"/>
                              <w:autoSpaceDN w:val="0"/>
                              <w:adjustRightInd w:val="0"/>
                              <w:spacing w:before="0" w:after="200" w:line="276" w:lineRule="auto"/>
                              <w:ind w:left="317"/>
                              <w:rPr>
                                <w:rFonts w:cs="Arial"/>
                                <w:color w:val="FFFFFF"/>
                                <w:sz w:val="20"/>
                                <w:szCs w:val="20"/>
                              </w:rPr>
                            </w:pPr>
                            <w:r w:rsidRPr="008206CA">
                              <w:rPr>
                                <w:rFonts w:cs="Arial"/>
                                <w:color w:val="FFFFFF"/>
                                <w:sz w:val="20"/>
                                <w:szCs w:val="20"/>
                              </w:rPr>
                              <w:t>The Constitution sets out the Scheme of Delegation which is regularly reviewed.</w:t>
                            </w:r>
                          </w:p>
                          <w:p w14:paraId="290A95E5" w14:textId="77777777" w:rsidR="008206CA" w:rsidRPr="008206CA" w:rsidRDefault="008206CA" w:rsidP="008206CA">
                            <w:pPr>
                              <w:pStyle w:val="ListParagraph"/>
                              <w:numPr>
                                <w:ilvl w:val="0"/>
                                <w:numId w:val="34"/>
                              </w:numPr>
                              <w:autoSpaceDE w:val="0"/>
                              <w:autoSpaceDN w:val="0"/>
                              <w:adjustRightInd w:val="0"/>
                              <w:spacing w:before="0" w:after="200" w:line="276" w:lineRule="auto"/>
                              <w:ind w:left="317"/>
                              <w:rPr>
                                <w:rFonts w:cs="Arial"/>
                                <w:color w:val="FFFFFF"/>
                                <w:sz w:val="20"/>
                                <w:szCs w:val="20"/>
                              </w:rPr>
                            </w:pPr>
                            <w:r w:rsidRPr="008206CA">
                              <w:rPr>
                                <w:rFonts w:cs="Arial"/>
                                <w:color w:val="FFFFFF"/>
                                <w:sz w:val="20"/>
                                <w:szCs w:val="20"/>
                              </w:rPr>
                              <w:t>Annual appraisal and performance review.</w:t>
                            </w:r>
                          </w:p>
                          <w:p w14:paraId="1625340E" w14:textId="77777777" w:rsidR="008206CA" w:rsidRPr="008206CA" w:rsidRDefault="008206CA" w:rsidP="008206CA">
                            <w:pPr>
                              <w:pStyle w:val="ListParagraph"/>
                              <w:autoSpaceDE w:val="0"/>
                              <w:autoSpaceDN w:val="0"/>
                              <w:adjustRightInd w:val="0"/>
                              <w:ind w:left="317"/>
                              <w:rPr>
                                <w:rFonts w:cs="Arial"/>
                                <w:color w:val="FFFFFF"/>
                                <w:sz w:val="20"/>
                                <w:szCs w:val="20"/>
                              </w:rPr>
                            </w:pPr>
                          </w:p>
                          <w:p w14:paraId="2C4AC9F7" w14:textId="77777777" w:rsidR="008206CA" w:rsidRPr="008206CA" w:rsidRDefault="008206CA" w:rsidP="008206CA">
                            <w:pPr>
                              <w:autoSpaceDE w:val="0"/>
                              <w:autoSpaceDN w:val="0"/>
                              <w:adjustRightInd w:val="0"/>
                              <w:rPr>
                                <w:rFonts w:ascii="Arial" w:hAnsi="Arial" w:cs="Arial"/>
                                <w:color w:val="FFFFFF"/>
                                <w:sz w:val="20"/>
                              </w:rPr>
                            </w:pPr>
                          </w:p>
                          <w:p w14:paraId="4C32CA24" w14:textId="77777777" w:rsidR="008206CA" w:rsidRPr="008206CA" w:rsidRDefault="008206CA" w:rsidP="008206CA">
                            <w:pPr>
                              <w:autoSpaceDE w:val="0"/>
                              <w:autoSpaceDN w:val="0"/>
                              <w:adjustRightInd w:val="0"/>
                              <w:rPr>
                                <w:rFonts w:ascii="Arial" w:hAnsi="Arial" w:cs="Arial"/>
                                <w:color w:val="FFFFFF"/>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86F49" id="Rectangle: Rounded Corners 94" o:spid="_x0000_s1050" style="position:absolute;margin-left:365.4pt;margin-top:7.35pt;width:318.6pt;height:30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" fillcolor="#4f81bd" strokecolor="#385d8a" strokeweight="2pt">
                <v:path arrowok="t"/>
                <v:textbox>
                  <w:txbxContent>
                    <w:p w14:paraId="3E3CBDC5" w14:textId="77777777" w:rsidR="008206CA" w:rsidRPr="008206CA" w:rsidRDefault="008206CA" w:rsidP="008206CA">
                      <w:pPr>
                        <w:pStyle w:val="ListParagraph"/>
                        <w:numPr>
                          <w:ilvl w:val="0"/>
                          <w:numId w:val="34"/>
                        </w:numPr>
                        <w:autoSpaceDE w:val="0"/>
                        <w:autoSpaceDN w:val="0"/>
                        <w:adjustRightInd w:val="0"/>
                        <w:spacing w:before="0" w:after="200" w:line="276" w:lineRule="auto"/>
                        <w:ind w:left="317"/>
                        <w:rPr>
                          <w:rFonts w:cs="Arial"/>
                          <w:color w:val="FFFFFF"/>
                          <w:sz w:val="20"/>
                          <w:szCs w:val="20"/>
                        </w:rPr>
                      </w:pPr>
                      <w:r w:rsidRPr="008206CA">
                        <w:rPr>
                          <w:rFonts w:cs="Arial"/>
                          <w:color w:val="FFFFFF"/>
                          <w:sz w:val="20"/>
                          <w:szCs w:val="20"/>
                        </w:rPr>
                        <w:t>Effective shared leadership and understanding of roles and objectives is supported by:</w:t>
                      </w:r>
                    </w:p>
                    <w:p w14:paraId="3B48F680"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 Leader and Chief Executive have clearly defined leadership roles.</w:t>
                      </w:r>
                    </w:p>
                    <w:p w14:paraId="79254E5C"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 Chief Executive Appraisal and Remuneration Committee have responsibility for the appraisal of the Chief Executive.</w:t>
                      </w:r>
                    </w:p>
                    <w:p w14:paraId="273C12AA"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There has been member led training with both senior officers and cabinet members.</w:t>
                      </w:r>
                    </w:p>
                    <w:p w14:paraId="46A4C552"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There are regular 1-2-1 meetings with the Leader, Cabinet members, Chief Ex, CMT and Heads of Service.</w:t>
                      </w:r>
                    </w:p>
                    <w:p w14:paraId="3A32B228"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 Transformation and Future Council objective and the Organisational Development Strategy.</w:t>
                      </w:r>
                    </w:p>
                    <w:p w14:paraId="45E97A6E" w14:textId="77777777" w:rsidR="008206CA" w:rsidRPr="008206CA" w:rsidRDefault="008206CA" w:rsidP="008206CA">
                      <w:pPr>
                        <w:pStyle w:val="ListParagraph"/>
                        <w:numPr>
                          <w:ilvl w:val="0"/>
                          <w:numId w:val="34"/>
                        </w:numPr>
                        <w:autoSpaceDE w:val="0"/>
                        <w:autoSpaceDN w:val="0"/>
                        <w:adjustRightInd w:val="0"/>
                        <w:spacing w:before="0" w:after="200" w:line="276" w:lineRule="auto"/>
                        <w:ind w:left="317"/>
                        <w:rPr>
                          <w:rFonts w:cs="Arial"/>
                          <w:color w:val="FFFFFF"/>
                          <w:sz w:val="20"/>
                          <w:szCs w:val="20"/>
                        </w:rPr>
                      </w:pPr>
                      <w:r w:rsidRPr="008206CA">
                        <w:rPr>
                          <w:rFonts w:cs="Arial"/>
                          <w:color w:val="FFFFFF"/>
                          <w:sz w:val="20"/>
                          <w:szCs w:val="20"/>
                        </w:rPr>
                        <w:t>The Constitution sets out the Scheme of Delegation which is regularly reviewed.</w:t>
                      </w:r>
                    </w:p>
                    <w:p w14:paraId="290A95E5" w14:textId="77777777" w:rsidR="008206CA" w:rsidRPr="008206CA" w:rsidRDefault="008206CA" w:rsidP="008206CA">
                      <w:pPr>
                        <w:pStyle w:val="ListParagraph"/>
                        <w:numPr>
                          <w:ilvl w:val="0"/>
                          <w:numId w:val="34"/>
                        </w:numPr>
                        <w:autoSpaceDE w:val="0"/>
                        <w:autoSpaceDN w:val="0"/>
                        <w:adjustRightInd w:val="0"/>
                        <w:spacing w:before="0" w:after="200" w:line="276" w:lineRule="auto"/>
                        <w:ind w:left="317"/>
                        <w:rPr>
                          <w:rFonts w:cs="Arial"/>
                          <w:color w:val="FFFFFF"/>
                          <w:sz w:val="20"/>
                          <w:szCs w:val="20"/>
                        </w:rPr>
                      </w:pPr>
                      <w:r w:rsidRPr="008206CA">
                        <w:rPr>
                          <w:rFonts w:cs="Arial"/>
                          <w:color w:val="FFFFFF"/>
                          <w:sz w:val="20"/>
                          <w:szCs w:val="20"/>
                        </w:rPr>
                        <w:t>Annual appraisal and performance review.</w:t>
                      </w:r>
                    </w:p>
                    <w:p w14:paraId="1625340E" w14:textId="77777777" w:rsidR="008206CA" w:rsidRPr="008206CA" w:rsidRDefault="008206CA" w:rsidP="008206CA">
                      <w:pPr>
                        <w:pStyle w:val="ListParagraph"/>
                        <w:autoSpaceDE w:val="0"/>
                        <w:autoSpaceDN w:val="0"/>
                        <w:adjustRightInd w:val="0"/>
                        <w:ind w:left="317"/>
                        <w:rPr>
                          <w:rFonts w:cs="Arial"/>
                          <w:color w:val="FFFFFF"/>
                          <w:sz w:val="20"/>
                          <w:szCs w:val="20"/>
                        </w:rPr>
                      </w:pPr>
                    </w:p>
                    <w:p w14:paraId="2C4AC9F7" w14:textId="77777777" w:rsidR="008206CA" w:rsidRPr="008206CA" w:rsidRDefault="008206CA" w:rsidP="008206CA">
                      <w:pPr>
                        <w:autoSpaceDE w:val="0"/>
                        <w:autoSpaceDN w:val="0"/>
                        <w:adjustRightInd w:val="0"/>
                        <w:rPr>
                          <w:rFonts w:ascii="Arial" w:hAnsi="Arial" w:cs="Arial"/>
                          <w:color w:val="FFFFFF"/>
                          <w:sz w:val="20"/>
                        </w:rPr>
                      </w:pPr>
                    </w:p>
                    <w:p w14:paraId="4C32CA24" w14:textId="77777777" w:rsidR="008206CA" w:rsidRPr="008206CA" w:rsidRDefault="008206CA" w:rsidP="008206CA">
                      <w:pPr>
                        <w:autoSpaceDE w:val="0"/>
                        <w:autoSpaceDN w:val="0"/>
                        <w:adjustRightInd w:val="0"/>
                        <w:rPr>
                          <w:rFonts w:ascii="Arial" w:hAnsi="Arial" w:cs="Arial"/>
                          <w:color w:val="FFFFFF"/>
                          <w:sz w:val="20"/>
                        </w:rPr>
                      </w:pPr>
                    </w:p>
                  </w:txbxContent>
                </v:textbox>
              </v:roundrect>
            </w:pict>
          </mc:Fallback>
        </mc:AlternateContent>
      </w:r>
      <w:r>
        <w:rPr>
          <w:noProof/>
        </w:rPr>
        <mc:AlternateContent>
          <mc:Choice Requires="wps">
            <w:drawing>
              <wp:anchor distT="0" distB="0" distL="114300" distR="114300" simplePos="0" relativeHeight="251659264" behindDoc="0" locked="0" layoutInCell="1" allowOverlap="1" wp14:anchorId="6B222CA4" wp14:editId="5903BD6C">
                <wp:simplePos x="0" y="0"/>
                <wp:positionH relativeFrom="margin">
                  <wp:posOffset>220980</wp:posOffset>
                </wp:positionH>
                <wp:positionV relativeFrom="paragraph">
                  <wp:posOffset>93345</wp:posOffset>
                </wp:positionV>
                <wp:extent cx="4130040" cy="3825240"/>
                <wp:effectExtent l="0" t="0" r="3810" b="3810"/>
                <wp:wrapNone/>
                <wp:docPr id="93" name="Rectangle: Rounded Corners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0040" cy="3825240"/>
                        </a:xfrm>
                        <a:prstGeom prst="roundRect">
                          <a:avLst/>
                        </a:prstGeom>
                        <a:solidFill>
                          <a:srgbClr val="4F81BD"/>
                        </a:solidFill>
                        <a:ln w="25400" cap="flat" cmpd="sng" algn="ctr">
                          <a:solidFill>
                            <a:srgbClr val="4F81BD">
                              <a:shade val="50000"/>
                            </a:srgbClr>
                          </a:solidFill>
                          <a:prstDash val="solid"/>
                        </a:ln>
                        <a:effectLst/>
                      </wps:spPr>
                      <wps:txbx>
                        <w:txbxContent>
                          <w:p w14:paraId="32516327" w14:textId="77777777" w:rsidR="008206CA" w:rsidRPr="008206CA" w:rsidRDefault="008206CA" w:rsidP="008206CA">
                            <w:pPr>
                              <w:pStyle w:val="Default"/>
                              <w:numPr>
                                <w:ilvl w:val="0"/>
                                <w:numId w:val="43"/>
                              </w:numPr>
                              <w:rPr>
                                <w:color w:val="FFFFFF"/>
                                <w:sz w:val="20"/>
                                <w:szCs w:val="20"/>
                              </w:rPr>
                            </w:pPr>
                            <w:r w:rsidRPr="008206CA">
                              <w:rPr>
                                <w:color w:val="FFFFFF"/>
                                <w:sz w:val="20"/>
                                <w:szCs w:val="20"/>
                              </w:rPr>
                              <w:t>The Council aims to ensure that Members and Officers have the right skills, knowledge and mind set to operate efficiently and effectively to achieve intended outcomes by:</w:t>
                            </w:r>
                          </w:p>
                          <w:p w14:paraId="77559659" w14:textId="77777777" w:rsidR="008206CA" w:rsidRPr="008206CA" w:rsidRDefault="008206CA" w:rsidP="008206CA">
                            <w:pPr>
                              <w:pStyle w:val="Default"/>
                              <w:numPr>
                                <w:ilvl w:val="0"/>
                                <w:numId w:val="61"/>
                              </w:numPr>
                              <w:rPr>
                                <w:color w:val="FFFFFF"/>
                                <w:sz w:val="20"/>
                                <w:szCs w:val="20"/>
                              </w:rPr>
                            </w:pPr>
                            <w:r w:rsidRPr="008206CA">
                              <w:rPr>
                                <w:color w:val="FFFFFF"/>
                                <w:sz w:val="20"/>
                                <w:szCs w:val="20"/>
                              </w:rPr>
                              <w:t>adopting a comprehensive induction training programme for members and officers;</w:t>
                            </w:r>
                          </w:p>
                          <w:p w14:paraId="2975C39A" w14:textId="77777777" w:rsidR="008206CA" w:rsidRPr="008206CA" w:rsidRDefault="008206CA" w:rsidP="008206CA">
                            <w:pPr>
                              <w:pStyle w:val="Default"/>
                              <w:numPr>
                                <w:ilvl w:val="0"/>
                                <w:numId w:val="61"/>
                              </w:numPr>
                              <w:rPr>
                                <w:color w:val="FFFFFF"/>
                                <w:sz w:val="20"/>
                                <w:szCs w:val="20"/>
                              </w:rPr>
                            </w:pPr>
                            <w:r w:rsidRPr="008206CA">
                              <w:rPr>
                                <w:color w:val="FFFFFF"/>
                                <w:sz w:val="20"/>
                                <w:szCs w:val="20"/>
                              </w:rPr>
                              <w:t>a Councillor Training Programme based on a Training Needs Assessment;</w:t>
                            </w:r>
                          </w:p>
                          <w:p w14:paraId="25DDBABF" w14:textId="77777777" w:rsidR="008206CA" w:rsidRPr="008206CA" w:rsidRDefault="008206CA" w:rsidP="008206CA">
                            <w:pPr>
                              <w:pStyle w:val="Default"/>
                              <w:numPr>
                                <w:ilvl w:val="0"/>
                                <w:numId w:val="61"/>
                              </w:numPr>
                              <w:rPr>
                                <w:color w:val="FFFFFF"/>
                                <w:sz w:val="20"/>
                                <w:szCs w:val="20"/>
                              </w:rPr>
                            </w:pPr>
                            <w:r w:rsidRPr="008206CA">
                              <w:rPr>
                                <w:color w:val="FFFFFF"/>
                                <w:sz w:val="20"/>
                                <w:szCs w:val="20"/>
                              </w:rPr>
                              <w:t>annual performance review of staff;</w:t>
                            </w:r>
                          </w:p>
                          <w:p w14:paraId="4651F605" w14:textId="77777777" w:rsidR="008206CA" w:rsidRPr="008206CA" w:rsidRDefault="008206CA" w:rsidP="008206CA">
                            <w:pPr>
                              <w:pStyle w:val="Default"/>
                              <w:numPr>
                                <w:ilvl w:val="0"/>
                                <w:numId w:val="61"/>
                              </w:numPr>
                              <w:rPr>
                                <w:color w:val="FFFFFF"/>
                                <w:sz w:val="20"/>
                                <w:szCs w:val="20"/>
                              </w:rPr>
                            </w:pPr>
                            <w:r w:rsidRPr="008206CA">
                              <w:rPr>
                                <w:color w:val="FFFFFF"/>
                                <w:sz w:val="20"/>
                                <w:szCs w:val="20"/>
                              </w:rPr>
                              <w:t>adoption of a mentoring scheme.</w:t>
                            </w:r>
                          </w:p>
                          <w:p w14:paraId="51580657" w14:textId="77777777" w:rsidR="008206CA" w:rsidRPr="008206CA" w:rsidRDefault="008206CA" w:rsidP="008206CA">
                            <w:pPr>
                              <w:pStyle w:val="Default"/>
                              <w:numPr>
                                <w:ilvl w:val="0"/>
                                <w:numId w:val="43"/>
                              </w:numPr>
                              <w:rPr>
                                <w:color w:val="FFFFFF"/>
                                <w:sz w:val="20"/>
                                <w:szCs w:val="20"/>
                              </w:rPr>
                            </w:pPr>
                            <w:r w:rsidRPr="008206CA">
                              <w:rPr>
                                <w:color w:val="FFFFFF"/>
                                <w:sz w:val="20"/>
                                <w:szCs w:val="20"/>
                              </w:rPr>
                              <w:t>Operational capacity is supported by the Transformation &amp; Future Council objective to help tackle rising demand and reducing revenue budget.</w:t>
                            </w:r>
                          </w:p>
                          <w:p w14:paraId="38F8205B" w14:textId="77777777" w:rsidR="008206CA" w:rsidRPr="008206CA" w:rsidRDefault="008206CA" w:rsidP="008206CA">
                            <w:pPr>
                              <w:pStyle w:val="Default"/>
                              <w:numPr>
                                <w:ilvl w:val="0"/>
                                <w:numId w:val="43"/>
                              </w:numPr>
                              <w:rPr>
                                <w:color w:val="FFFFFF"/>
                                <w:sz w:val="20"/>
                                <w:szCs w:val="20"/>
                              </w:rPr>
                            </w:pPr>
                            <w:r w:rsidRPr="008206CA">
                              <w:rPr>
                                <w:color w:val="FFFFFF"/>
                                <w:sz w:val="20"/>
                                <w:szCs w:val="20"/>
                              </w:rPr>
                              <w:t>The Organisational Development Strategy aims to develop the right staff with the right skills to work in a sustainable way.</w:t>
                            </w:r>
                          </w:p>
                          <w:p w14:paraId="21FE1A5A" w14:textId="77777777" w:rsidR="008206CA" w:rsidRPr="008206CA" w:rsidRDefault="008206CA" w:rsidP="008206CA">
                            <w:pPr>
                              <w:pStyle w:val="Default"/>
                              <w:numPr>
                                <w:ilvl w:val="0"/>
                                <w:numId w:val="43"/>
                              </w:numPr>
                              <w:rPr>
                                <w:color w:val="FFFFFF"/>
                                <w:sz w:val="20"/>
                                <w:szCs w:val="20"/>
                              </w:rPr>
                            </w:pPr>
                            <w:r w:rsidRPr="008206CA">
                              <w:rPr>
                                <w:color w:val="FFFFFF"/>
                                <w:sz w:val="20"/>
                                <w:szCs w:val="20"/>
                              </w:rPr>
                              <w:t>There is engagement with benchmarking groups such as APSE, CIPFA.</w:t>
                            </w:r>
                          </w:p>
                          <w:p w14:paraId="2C45B9A0" w14:textId="77777777" w:rsidR="008206CA" w:rsidRPr="009017B3" w:rsidRDefault="008206CA" w:rsidP="008206CA">
                            <w:pPr>
                              <w:pStyle w:val="Default"/>
                              <w:numPr>
                                <w:ilvl w:val="0"/>
                                <w:numId w:val="43"/>
                              </w:numPr>
                              <w:jc w:val="both"/>
                              <w:rPr>
                                <w:sz w:val="22"/>
                                <w:szCs w:val="22"/>
                              </w:rPr>
                            </w:pPr>
                            <w:r w:rsidRPr="008206CA">
                              <w:rPr>
                                <w:color w:val="FFFFFF"/>
                                <w:sz w:val="20"/>
                                <w:szCs w:val="20"/>
                              </w:rPr>
                              <w:t xml:space="preserve">There is collaborative and partnership working including the Public Service Board, Regional Partnership Board, ERW. </w:t>
                            </w:r>
                          </w:p>
                          <w:p w14:paraId="09EEFB2E" w14:textId="77777777" w:rsidR="008206CA" w:rsidRPr="008C2E69" w:rsidRDefault="008206CA" w:rsidP="008206CA">
                            <w:pPr>
                              <w:pStyle w:val="Default"/>
                              <w:ind w:left="360"/>
                            </w:pPr>
                          </w:p>
                          <w:p w14:paraId="3026D533" w14:textId="77777777" w:rsidR="008206CA" w:rsidRDefault="008206CA" w:rsidP="008206CA">
                            <w:pPr>
                              <w:ind w:left="284" w:hanging="426"/>
                              <w:rPr>
                                <w:rFonts w:ascii="Arial" w:hAnsi="Arial" w:cs="Arial"/>
                              </w:rPr>
                            </w:pPr>
                          </w:p>
                          <w:p w14:paraId="5CCDD5ED" w14:textId="77777777" w:rsidR="008206CA" w:rsidRDefault="008206CA" w:rsidP="008206CA">
                            <w:pPr>
                              <w:ind w:left="284" w:hanging="426"/>
                              <w:rPr>
                                <w:rFonts w:ascii="Arial" w:hAnsi="Arial" w:cs="Arial"/>
                              </w:rPr>
                            </w:pPr>
                          </w:p>
                          <w:p w14:paraId="5F94BB1D" w14:textId="77777777" w:rsidR="008206CA" w:rsidRDefault="008206CA" w:rsidP="008206CA">
                            <w:pPr>
                              <w:ind w:left="284" w:hanging="426"/>
                              <w:rPr>
                                <w:rFonts w:ascii="Arial" w:hAnsi="Arial" w:cs="Arial"/>
                              </w:rPr>
                            </w:pPr>
                          </w:p>
                          <w:p w14:paraId="67DB3574" w14:textId="77777777" w:rsidR="008206CA" w:rsidRPr="008206CA" w:rsidRDefault="008206CA" w:rsidP="008206CA">
                            <w:pPr>
                              <w:ind w:left="284" w:hanging="426"/>
                              <w:rPr>
                                <w:rFonts w:ascii="Symbol" w:hAnsi="Symbol"/>
                                <w:highlight w:val="lightGra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22CA4" id="Rectangle: Rounded Corners 93" o:spid="_x0000_s1051" style="position:absolute;margin-left:17.4pt;margin-top:7.35pt;width:325.2pt;height:30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" fillcolor="#4f81bd" strokecolor="#385d8a" strokeweight="2pt">
                <v:path arrowok="t"/>
                <v:textbox>
                  <w:txbxContent>
                    <w:p w14:paraId="32516327" w14:textId="77777777" w:rsidR="008206CA" w:rsidRPr="008206CA" w:rsidRDefault="008206CA" w:rsidP="008206CA">
                      <w:pPr>
                        <w:pStyle w:val="Default"/>
                        <w:numPr>
                          <w:ilvl w:val="0"/>
                          <w:numId w:val="43"/>
                        </w:numPr>
                        <w:rPr>
                          <w:color w:val="FFFFFF"/>
                          <w:sz w:val="20"/>
                          <w:szCs w:val="20"/>
                        </w:rPr>
                      </w:pPr>
                      <w:r w:rsidRPr="008206CA">
                        <w:rPr>
                          <w:color w:val="FFFFFF"/>
                          <w:sz w:val="20"/>
                          <w:szCs w:val="20"/>
                        </w:rPr>
                        <w:t>The Council aims to ensure that Members and Officers have the right skills, knowledge and mind set to operate efficiently and effectively to achieve intended outcomes by:</w:t>
                      </w:r>
                    </w:p>
                    <w:p w14:paraId="77559659" w14:textId="77777777" w:rsidR="008206CA" w:rsidRPr="008206CA" w:rsidRDefault="008206CA" w:rsidP="008206CA">
                      <w:pPr>
                        <w:pStyle w:val="Default"/>
                        <w:numPr>
                          <w:ilvl w:val="0"/>
                          <w:numId w:val="61"/>
                        </w:numPr>
                        <w:rPr>
                          <w:color w:val="FFFFFF"/>
                          <w:sz w:val="20"/>
                          <w:szCs w:val="20"/>
                        </w:rPr>
                      </w:pPr>
                      <w:r w:rsidRPr="008206CA">
                        <w:rPr>
                          <w:color w:val="FFFFFF"/>
                          <w:sz w:val="20"/>
                          <w:szCs w:val="20"/>
                        </w:rPr>
                        <w:t>adopting a comprehensive induction training programme for members and officers;</w:t>
                      </w:r>
                    </w:p>
                    <w:p w14:paraId="2975C39A" w14:textId="77777777" w:rsidR="008206CA" w:rsidRPr="008206CA" w:rsidRDefault="008206CA" w:rsidP="008206CA">
                      <w:pPr>
                        <w:pStyle w:val="Default"/>
                        <w:numPr>
                          <w:ilvl w:val="0"/>
                          <w:numId w:val="61"/>
                        </w:numPr>
                        <w:rPr>
                          <w:color w:val="FFFFFF"/>
                          <w:sz w:val="20"/>
                          <w:szCs w:val="20"/>
                        </w:rPr>
                      </w:pPr>
                      <w:r w:rsidRPr="008206CA">
                        <w:rPr>
                          <w:color w:val="FFFFFF"/>
                          <w:sz w:val="20"/>
                          <w:szCs w:val="20"/>
                        </w:rPr>
                        <w:t>a Councillor Training Programme based on a Training Needs Assessment;</w:t>
                      </w:r>
                    </w:p>
                    <w:p w14:paraId="25DDBABF" w14:textId="77777777" w:rsidR="008206CA" w:rsidRPr="008206CA" w:rsidRDefault="008206CA" w:rsidP="008206CA">
                      <w:pPr>
                        <w:pStyle w:val="Default"/>
                        <w:numPr>
                          <w:ilvl w:val="0"/>
                          <w:numId w:val="61"/>
                        </w:numPr>
                        <w:rPr>
                          <w:color w:val="FFFFFF"/>
                          <w:sz w:val="20"/>
                          <w:szCs w:val="20"/>
                        </w:rPr>
                      </w:pPr>
                      <w:r w:rsidRPr="008206CA">
                        <w:rPr>
                          <w:color w:val="FFFFFF"/>
                          <w:sz w:val="20"/>
                          <w:szCs w:val="20"/>
                        </w:rPr>
                        <w:t>annual performance review of staff;</w:t>
                      </w:r>
                    </w:p>
                    <w:p w14:paraId="4651F605" w14:textId="77777777" w:rsidR="008206CA" w:rsidRPr="008206CA" w:rsidRDefault="008206CA" w:rsidP="008206CA">
                      <w:pPr>
                        <w:pStyle w:val="Default"/>
                        <w:numPr>
                          <w:ilvl w:val="0"/>
                          <w:numId w:val="61"/>
                        </w:numPr>
                        <w:rPr>
                          <w:color w:val="FFFFFF"/>
                          <w:sz w:val="20"/>
                          <w:szCs w:val="20"/>
                        </w:rPr>
                      </w:pPr>
                      <w:r w:rsidRPr="008206CA">
                        <w:rPr>
                          <w:color w:val="FFFFFF"/>
                          <w:sz w:val="20"/>
                          <w:szCs w:val="20"/>
                        </w:rPr>
                        <w:t>adoption of a mentoring scheme.</w:t>
                      </w:r>
                    </w:p>
                    <w:p w14:paraId="51580657" w14:textId="77777777" w:rsidR="008206CA" w:rsidRPr="008206CA" w:rsidRDefault="008206CA" w:rsidP="008206CA">
                      <w:pPr>
                        <w:pStyle w:val="Default"/>
                        <w:numPr>
                          <w:ilvl w:val="0"/>
                          <w:numId w:val="43"/>
                        </w:numPr>
                        <w:rPr>
                          <w:color w:val="FFFFFF"/>
                          <w:sz w:val="20"/>
                          <w:szCs w:val="20"/>
                        </w:rPr>
                      </w:pPr>
                      <w:r w:rsidRPr="008206CA">
                        <w:rPr>
                          <w:color w:val="FFFFFF"/>
                          <w:sz w:val="20"/>
                          <w:szCs w:val="20"/>
                        </w:rPr>
                        <w:t>Operational capacity is supported by the Transformation &amp; Future Council objective to help tackle rising demand and reducing revenue budget.</w:t>
                      </w:r>
                    </w:p>
                    <w:p w14:paraId="38F8205B" w14:textId="77777777" w:rsidR="008206CA" w:rsidRPr="008206CA" w:rsidRDefault="008206CA" w:rsidP="008206CA">
                      <w:pPr>
                        <w:pStyle w:val="Default"/>
                        <w:numPr>
                          <w:ilvl w:val="0"/>
                          <w:numId w:val="43"/>
                        </w:numPr>
                        <w:rPr>
                          <w:color w:val="FFFFFF"/>
                          <w:sz w:val="20"/>
                          <w:szCs w:val="20"/>
                        </w:rPr>
                      </w:pPr>
                      <w:r w:rsidRPr="008206CA">
                        <w:rPr>
                          <w:color w:val="FFFFFF"/>
                          <w:sz w:val="20"/>
                          <w:szCs w:val="20"/>
                        </w:rPr>
                        <w:t>The Organisational Development Strategy aims to develop the right staff with the right skills to work in a sustainable way.</w:t>
                      </w:r>
                    </w:p>
                    <w:p w14:paraId="21FE1A5A" w14:textId="77777777" w:rsidR="008206CA" w:rsidRPr="008206CA" w:rsidRDefault="008206CA" w:rsidP="008206CA">
                      <w:pPr>
                        <w:pStyle w:val="Default"/>
                        <w:numPr>
                          <w:ilvl w:val="0"/>
                          <w:numId w:val="43"/>
                        </w:numPr>
                        <w:rPr>
                          <w:color w:val="FFFFFF"/>
                          <w:sz w:val="20"/>
                          <w:szCs w:val="20"/>
                        </w:rPr>
                      </w:pPr>
                      <w:r w:rsidRPr="008206CA">
                        <w:rPr>
                          <w:color w:val="FFFFFF"/>
                          <w:sz w:val="20"/>
                          <w:szCs w:val="20"/>
                        </w:rPr>
                        <w:t>There is engagement with benchmarking groups such as APSE, CIPFA.</w:t>
                      </w:r>
                    </w:p>
                    <w:p w14:paraId="2C45B9A0" w14:textId="77777777" w:rsidR="008206CA" w:rsidRPr="009017B3" w:rsidRDefault="008206CA" w:rsidP="008206CA">
                      <w:pPr>
                        <w:pStyle w:val="Default"/>
                        <w:numPr>
                          <w:ilvl w:val="0"/>
                          <w:numId w:val="43"/>
                        </w:numPr>
                        <w:jc w:val="both"/>
                        <w:rPr>
                          <w:sz w:val="22"/>
                          <w:szCs w:val="22"/>
                        </w:rPr>
                      </w:pPr>
                      <w:r w:rsidRPr="008206CA">
                        <w:rPr>
                          <w:color w:val="FFFFFF"/>
                          <w:sz w:val="20"/>
                          <w:szCs w:val="20"/>
                        </w:rPr>
                        <w:t xml:space="preserve">There is collaborative and partnership working including the Public Service Board, Regional Partnership Board, ERW. </w:t>
                      </w:r>
                    </w:p>
                    <w:p w14:paraId="09EEFB2E" w14:textId="77777777" w:rsidR="008206CA" w:rsidRPr="008C2E69" w:rsidRDefault="008206CA" w:rsidP="008206CA">
                      <w:pPr>
                        <w:pStyle w:val="Default"/>
                        <w:ind w:left="360"/>
                      </w:pPr>
                    </w:p>
                    <w:p w14:paraId="3026D533" w14:textId="77777777" w:rsidR="008206CA" w:rsidRDefault="008206CA" w:rsidP="008206CA">
                      <w:pPr>
                        <w:ind w:left="284" w:hanging="426"/>
                        <w:rPr>
                          <w:rFonts w:ascii="Arial" w:hAnsi="Arial" w:cs="Arial"/>
                        </w:rPr>
                      </w:pPr>
                    </w:p>
                    <w:p w14:paraId="5CCDD5ED" w14:textId="77777777" w:rsidR="008206CA" w:rsidRDefault="008206CA" w:rsidP="008206CA">
                      <w:pPr>
                        <w:ind w:left="284" w:hanging="426"/>
                        <w:rPr>
                          <w:rFonts w:ascii="Arial" w:hAnsi="Arial" w:cs="Arial"/>
                        </w:rPr>
                      </w:pPr>
                    </w:p>
                    <w:p w14:paraId="5F94BB1D" w14:textId="77777777" w:rsidR="008206CA" w:rsidRDefault="008206CA" w:rsidP="008206CA">
                      <w:pPr>
                        <w:ind w:left="284" w:hanging="426"/>
                        <w:rPr>
                          <w:rFonts w:ascii="Arial" w:hAnsi="Arial" w:cs="Arial"/>
                        </w:rPr>
                      </w:pPr>
                    </w:p>
                    <w:p w14:paraId="67DB3574" w14:textId="77777777" w:rsidR="008206CA" w:rsidRPr="008206CA" w:rsidRDefault="008206CA" w:rsidP="008206CA">
                      <w:pPr>
                        <w:ind w:left="284" w:hanging="426"/>
                        <w:rPr>
                          <w:rFonts w:ascii="Symbol" w:hAnsi="Symbol"/>
                          <w:highlight w:val="lightGray"/>
                        </w:rPr>
                      </w:pPr>
                    </w:p>
                  </w:txbxContent>
                </v:textbox>
                <w10:wrap anchorx="margin"/>
              </v:roundrect>
            </w:pict>
          </mc:Fallback>
        </mc:AlternateContent>
      </w:r>
    </w:p>
    <w:p w14:paraId="16E1FFCA" w14:textId="77777777" w:rsidR="008206CA" w:rsidRDefault="008206CA" w:rsidP="008206CA"/>
    <w:p w14:paraId="771E9C4E" w14:textId="77777777" w:rsidR="008206CA" w:rsidRDefault="008206CA" w:rsidP="008206CA">
      <w:r>
        <w:br w:type="page"/>
      </w:r>
    </w:p>
    <w:p w14:paraId="6C5F57D1" w14:textId="77777777" w:rsidR="008206CA" w:rsidRDefault="008206CA" w:rsidP="008206CA">
      <w:pPr>
        <w:rPr>
          <w:rFonts w:ascii="Arial" w:hAnsi="Arial" w:cs="Arial"/>
          <w:b/>
          <w:sz w:val="24"/>
          <w:szCs w:val="24"/>
        </w:rPr>
      </w:pPr>
      <w:r w:rsidRPr="000C4803">
        <w:rPr>
          <w:rFonts w:ascii="Arial" w:hAnsi="Arial" w:cs="Arial"/>
          <w:b/>
          <w:sz w:val="24"/>
          <w:szCs w:val="24"/>
        </w:rPr>
        <w:t>P</w:t>
      </w:r>
      <w:r>
        <w:rPr>
          <w:rFonts w:ascii="Arial" w:hAnsi="Arial" w:cs="Arial"/>
          <w:b/>
          <w:sz w:val="24"/>
          <w:szCs w:val="24"/>
        </w:rPr>
        <w:t>rinciple F</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175"/>
      </w:tblGrid>
      <w:tr w:rsidR="008206CA" w14:paraId="6DA80830" w14:textId="77777777" w:rsidTr="00DE37F4">
        <w:trPr>
          <w:trHeight w:val="374"/>
        </w:trPr>
        <w:tc>
          <w:tcPr>
            <w:tcW w:w="14175" w:type="dxa"/>
            <w:shd w:val="clear" w:color="auto" w:fill="A6A6A6"/>
          </w:tcPr>
          <w:p w14:paraId="20B8D3F4" w14:textId="77777777" w:rsidR="008206CA" w:rsidRPr="00DE37F4" w:rsidRDefault="008206CA" w:rsidP="00DE37F4">
            <w:pPr>
              <w:rPr>
                <w:rFonts w:ascii="Arial" w:hAnsi="Arial" w:cs="Arial"/>
                <w:sz w:val="24"/>
                <w:szCs w:val="24"/>
              </w:rPr>
            </w:pPr>
            <w:r w:rsidRPr="00DE37F4">
              <w:rPr>
                <w:rFonts w:ascii="Arial" w:hAnsi="Arial" w:cs="Arial"/>
                <w:b/>
                <w:bCs/>
                <w:color w:val="000000"/>
              </w:rPr>
              <w:t>Managing risks and performance through robust internal control and strong public financial management</w:t>
            </w:r>
          </w:p>
        </w:tc>
      </w:tr>
    </w:tbl>
    <w:p w14:paraId="624EFD64" w14:textId="17F189A8" w:rsidR="008206CA" w:rsidRPr="00C566F6" w:rsidRDefault="00516E75" w:rsidP="008206CA">
      <w:pPr>
        <w:pStyle w:val="NoSpacing"/>
      </w:pPr>
      <w:r>
        <w:rPr>
          <w:noProof/>
        </w:rPr>
        <mc:AlternateContent>
          <mc:Choice Requires="wps">
            <w:drawing>
              <wp:anchor distT="45720" distB="45720" distL="114300" distR="114300" simplePos="0" relativeHeight="251666432" behindDoc="0" locked="0" layoutInCell="1" allowOverlap="1" wp14:anchorId="191789CA" wp14:editId="236294C2">
                <wp:simplePos x="0" y="0"/>
                <wp:positionH relativeFrom="column">
                  <wp:posOffset>3291840</wp:posOffset>
                </wp:positionH>
                <wp:positionV relativeFrom="paragraph">
                  <wp:posOffset>48260</wp:posOffset>
                </wp:positionV>
                <wp:extent cx="1943100" cy="373380"/>
                <wp:effectExtent l="0" t="0" r="0" b="762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73380"/>
                        </a:xfrm>
                        <a:prstGeom prst="rect">
                          <a:avLst/>
                        </a:prstGeom>
                        <a:solidFill>
                          <a:srgbClr val="FFFFFF"/>
                        </a:solidFill>
                        <a:ln w="9525">
                          <a:solidFill>
                            <a:srgbClr val="000000"/>
                          </a:solidFill>
                          <a:miter lim="800000"/>
                          <a:headEnd/>
                          <a:tailEnd/>
                        </a:ln>
                      </wps:spPr>
                      <wps:txbx>
                        <w:txbxContent>
                          <w:p w14:paraId="60DC7BF2" w14:textId="77777777" w:rsidR="008206CA" w:rsidRDefault="008206CA" w:rsidP="008206CA">
                            <w:pPr>
                              <w:shd w:val="clear" w:color="auto" w:fill="A6A6A6"/>
                              <w:jc w:val="center"/>
                            </w:pPr>
                            <w:r>
                              <w:rPr>
                                <w:rFonts w:ascii="Arial" w:hAnsi="Arial" w:cs="Arial"/>
                                <w:b/>
                                <w:sz w:val="24"/>
                                <w:szCs w:val="24"/>
                              </w:rPr>
                              <w:t>Robust internal control</w:t>
                            </w:r>
                          </w:p>
                          <w:p w14:paraId="058BD8D2" w14:textId="77777777" w:rsidR="008206CA" w:rsidRDefault="008206CA" w:rsidP="008206CA">
                            <w:pPr>
                              <w:shd w:val="clear" w:color="auto" w:fill="A6A6A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789CA" id="Text Box 92" o:spid="_x0000_s1052" type="#_x0000_t202" style="position:absolute;margin-left:259.2pt;margin-top:3.8pt;width:153pt;height:29.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">
                <v:textbox>
                  <w:txbxContent>
                    <w:p w14:paraId="60DC7BF2" w14:textId="77777777" w:rsidR="008206CA" w:rsidRDefault="008206CA" w:rsidP="008206CA">
                      <w:pPr>
                        <w:shd w:val="clear" w:color="auto" w:fill="A6A6A6"/>
                        <w:jc w:val="center"/>
                      </w:pPr>
                      <w:r>
                        <w:rPr>
                          <w:rFonts w:ascii="Arial" w:hAnsi="Arial" w:cs="Arial"/>
                          <w:b/>
                          <w:sz w:val="24"/>
                          <w:szCs w:val="24"/>
                        </w:rPr>
                        <w:t>Robust internal control</w:t>
                      </w:r>
                    </w:p>
                    <w:p w14:paraId="058BD8D2" w14:textId="77777777" w:rsidR="008206CA" w:rsidRDefault="008206CA" w:rsidP="008206CA">
                      <w:pPr>
                        <w:shd w:val="clear" w:color="auto" w:fill="A6A6A6"/>
                      </w:pPr>
                    </w:p>
                  </w:txbxContent>
                </v:textbox>
                <w10:wrap type="square"/>
              </v:shape>
            </w:pict>
          </mc:Fallback>
        </mc:AlternateContent>
      </w:r>
    </w:p>
    <w:p w14:paraId="0B5BCB29" w14:textId="446B0139" w:rsidR="008206CA" w:rsidRDefault="00516E75" w:rsidP="008206CA">
      <w:pPr>
        <w:ind w:left="-709"/>
        <w:rPr>
          <w:rFonts w:ascii="Arial" w:hAnsi="Arial" w:cs="Arial"/>
          <w:b/>
          <w:sz w:val="24"/>
          <w:szCs w:val="24"/>
        </w:rPr>
      </w:pPr>
      <w:r>
        <w:rPr>
          <w:noProof/>
        </w:rPr>
        <mc:AlternateContent>
          <mc:Choice Requires="wps">
            <w:drawing>
              <wp:anchor distT="45720" distB="45720" distL="114300" distR="114300" simplePos="0" relativeHeight="251673600" behindDoc="0" locked="0" layoutInCell="1" allowOverlap="1" wp14:anchorId="370DC7C0" wp14:editId="313E7714">
                <wp:simplePos x="0" y="0"/>
                <wp:positionH relativeFrom="margin">
                  <wp:posOffset>5524500</wp:posOffset>
                </wp:positionH>
                <wp:positionV relativeFrom="paragraph">
                  <wp:posOffset>330200</wp:posOffset>
                </wp:positionV>
                <wp:extent cx="1455420" cy="485775"/>
                <wp:effectExtent l="0" t="0" r="0" b="9525"/>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485775"/>
                        </a:xfrm>
                        <a:prstGeom prst="rect">
                          <a:avLst/>
                        </a:prstGeom>
                        <a:solidFill>
                          <a:srgbClr val="FFFFFF"/>
                        </a:solidFill>
                        <a:ln w="9525">
                          <a:solidFill>
                            <a:srgbClr val="000000"/>
                          </a:solidFill>
                          <a:miter lim="800000"/>
                          <a:headEnd/>
                          <a:tailEnd/>
                        </a:ln>
                      </wps:spPr>
                      <wps:txbx>
                        <w:txbxContent>
                          <w:p w14:paraId="4A0A65CE" w14:textId="77777777" w:rsidR="008206CA" w:rsidRDefault="008206CA" w:rsidP="008206CA">
                            <w:pPr>
                              <w:shd w:val="clear" w:color="auto" w:fill="A6A6A6"/>
                              <w:jc w:val="center"/>
                            </w:pPr>
                            <w:r>
                              <w:rPr>
                                <w:rFonts w:ascii="Arial" w:hAnsi="Arial" w:cs="Arial"/>
                                <w:b/>
                                <w:sz w:val="24"/>
                                <w:szCs w:val="24"/>
                              </w:rPr>
                              <w:t>Managing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DC7C0" id="Text Box 91" o:spid="_x0000_s1053" type="#_x0000_t202" style="position:absolute;left:0;text-align:left;margin-left:435pt;margin-top:26pt;width:114.6pt;height:38.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">
                <v:textbox>
                  <w:txbxContent>
                    <w:p w14:paraId="4A0A65CE" w14:textId="77777777" w:rsidR="008206CA" w:rsidRDefault="008206CA" w:rsidP="008206CA">
                      <w:pPr>
                        <w:shd w:val="clear" w:color="auto" w:fill="A6A6A6"/>
                        <w:jc w:val="center"/>
                      </w:pPr>
                      <w:r>
                        <w:rPr>
                          <w:rFonts w:ascii="Arial" w:hAnsi="Arial" w:cs="Arial"/>
                          <w:b/>
                          <w:sz w:val="24"/>
                          <w:szCs w:val="24"/>
                        </w:rPr>
                        <w:t>Managing data</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26B4E186" wp14:editId="32626BA1">
                <wp:simplePos x="0" y="0"/>
                <wp:positionH relativeFrom="margin">
                  <wp:posOffset>-312420</wp:posOffset>
                </wp:positionH>
                <wp:positionV relativeFrom="paragraph">
                  <wp:posOffset>276860</wp:posOffset>
                </wp:positionV>
                <wp:extent cx="1280160" cy="523875"/>
                <wp:effectExtent l="0" t="0" r="0" b="9525"/>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3875"/>
                        </a:xfrm>
                        <a:prstGeom prst="rect">
                          <a:avLst/>
                        </a:prstGeom>
                        <a:solidFill>
                          <a:srgbClr val="FFFFFF"/>
                        </a:solidFill>
                        <a:ln w="9525">
                          <a:solidFill>
                            <a:srgbClr val="000000"/>
                          </a:solidFill>
                          <a:miter lim="800000"/>
                          <a:headEnd/>
                          <a:tailEnd/>
                        </a:ln>
                      </wps:spPr>
                      <wps:txbx>
                        <w:txbxContent>
                          <w:p w14:paraId="229F91AD" w14:textId="77777777" w:rsidR="008206CA" w:rsidRPr="004A31FE" w:rsidRDefault="008206CA" w:rsidP="008206CA">
                            <w:pPr>
                              <w:shd w:val="clear" w:color="auto" w:fill="BFBFBF"/>
                              <w:jc w:val="center"/>
                              <w:rPr>
                                <w:b/>
                              </w:rPr>
                            </w:pPr>
                            <w:r>
                              <w:rPr>
                                <w:rFonts w:ascii="Arial" w:hAnsi="Arial" w:cs="Arial"/>
                                <w:b/>
                                <w:sz w:val="24"/>
                                <w:szCs w:val="24"/>
                              </w:rPr>
                              <w:t>Managing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4E186" id="Text Box 90" o:spid="_x0000_s1054" type="#_x0000_t202" style="position:absolute;left:0;text-align:left;margin-left:-24.6pt;margin-top:21.8pt;width:100.8pt;height:41.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">
                <v:textbox>
                  <w:txbxContent>
                    <w:p w14:paraId="229F91AD" w14:textId="77777777" w:rsidR="008206CA" w:rsidRPr="004A31FE" w:rsidRDefault="008206CA" w:rsidP="008206CA">
                      <w:pPr>
                        <w:shd w:val="clear" w:color="auto" w:fill="BFBFBF"/>
                        <w:jc w:val="center"/>
                        <w:rPr>
                          <w:b/>
                        </w:rPr>
                      </w:pPr>
                      <w:r>
                        <w:rPr>
                          <w:rFonts w:ascii="Arial" w:hAnsi="Arial" w:cs="Arial"/>
                          <w:b/>
                          <w:sz w:val="24"/>
                          <w:szCs w:val="24"/>
                        </w:rPr>
                        <w:t>Managing risk</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043CA42E" wp14:editId="6DC944ED">
                <wp:simplePos x="0" y="0"/>
                <wp:positionH relativeFrom="margin">
                  <wp:posOffset>1584960</wp:posOffset>
                </wp:positionH>
                <wp:positionV relativeFrom="paragraph">
                  <wp:posOffset>292100</wp:posOffset>
                </wp:positionV>
                <wp:extent cx="1211580" cy="504825"/>
                <wp:effectExtent l="0" t="0" r="7620" b="9525"/>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504825"/>
                        </a:xfrm>
                        <a:prstGeom prst="rect">
                          <a:avLst/>
                        </a:prstGeom>
                        <a:solidFill>
                          <a:srgbClr val="FFFFFF"/>
                        </a:solidFill>
                        <a:ln w="9525">
                          <a:solidFill>
                            <a:srgbClr val="000000"/>
                          </a:solidFill>
                          <a:miter lim="800000"/>
                          <a:headEnd/>
                          <a:tailEnd/>
                        </a:ln>
                      </wps:spPr>
                      <wps:txbx>
                        <w:txbxContent>
                          <w:p w14:paraId="6128AFF6" w14:textId="77777777" w:rsidR="008206CA" w:rsidRPr="005C141F" w:rsidRDefault="008206CA" w:rsidP="008206CA">
                            <w:pPr>
                              <w:pStyle w:val="NoSpacing"/>
                              <w:shd w:val="clear" w:color="auto" w:fill="BFBFBF"/>
                              <w:jc w:val="center"/>
                              <w:rPr>
                                <w:b/>
                                <w:sz w:val="20"/>
                                <w:szCs w:val="20"/>
                              </w:rPr>
                            </w:pPr>
                            <w:r>
                              <w:rPr>
                                <w:rFonts w:ascii="Arial" w:hAnsi="Arial" w:cs="Arial"/>
                                <w:b/>
                                <w:sz w:val="24"/>
                                <w:szCs w:val="24"/>
                              </w:rPr>
                              <w:t>Managing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CA42E" id="Text Box 89" o:spid="_x0000_s1055" type="#_x0000_t202" style="position:absolute;left:0;text-align:left;margin-left:124.8pt;margin-top:23pt;width:95.4pt;height:39.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">
                <v:textbox>
                  <w:txbxContent>
                    <w:p w14:paraId="6128AFF6" w14:textId="77777777" w:rsidR="008206CA" w:rsidRPr="005C141F" w:rsidRDefault="008206CA" w:rsidP="008206CA">
                      <w:pPr>
                        <w:pStyle w:val="NoSpacing"/>
                        <w:shd w:val="clear" w:color="auto" w:fill="BFBFBF"/>
                        <w:jc w:val="center"/>
                        <w:rPr>
                          <w:b/>
                          <w:sz w:val="20"/>
                          <w:szCs w:val="20"/>
                        </w:rPr>
                      </w:pPr>
                      <w:r>
                        <w:rPr>
                          <w:rFonts w:ascii="Arial" w:hAnsi="Arial" w:cs="Arial"/>
                          <w:b/>
                          <w:sz w:val="24"/>
                          <w:szCs w:val="24"/>
                        </w:rPr>
                        <w:t>Managing performance</w:t>
                      </w:r>
                    </w:p>
                  </w:txbxContent>
                </v:textbox>
                <w10:wrap type="square" anchorx="margin"/>
              </v:shape>
            </w:pict>
          </mc:Fallback>
        </mc:AlternateContent>
      </w:r>
      <w:r w:rsidR="008206CA">
        <w:rPr>
          <w:rFonts w:ascii="Arial" w:hAnsi="Arial" w:cs="Arial"/>
          <w:b/>
          <w:sz w:val="24"/>
          <w:szCs w:val="24"/>
        </w:rPr>
        <w:tab/>
        <w:t>Sub Principles  -</w:t>
      </w:r>
      <w:r w:rsidR="008206CA" w:rsidRPr="004A31FE">
        <w:rPr>
          <w:rFonts w:ascii="Arial" w:hAnsi="Arial" w:cs="Arial"/>
          <w:sz w:val="24"/>
          <w:szCs w:val="24"/>
        </w:rPr>
        <w:tab/>
      </w:r>
      <w:r w:rsidR="008206CA" w:rsidRPr="008206CA">
        <w:rPr>
          <w:rFonts w:ascii="Arial" w:hAnsi="Arial" w:cs="Arial"/>
          <w:b/>
          <w:bCs/>
          <w:sz w:val="24"/>
          <w:szCs w:val="24"/>
        </w:rPr>
        <w:t>How we do this :</w:t>
      </w:r>
      <w:r w:rsidR="008206CA" w:rsidRPr="004A31FE">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p>
    <w:p w14:paraId="5B8D9199" w14:textId="03FE9A32" w:rsidR="008206CA" w:rsidRDefault="00516E75" w:rsidP="008206CA">
      <w:pPr>
        <w:pStyle w:val="NoSpacing"/>
      </w:pPr>
      <w:r>
        <w:rPr>
          <w:noProof/>
        </w:rPr>
        <mc:AlternateContent>
          <mc:Choice Requires="wps">
            <w:drawing>
              <wp:anchor distT="0" distB="0" distL="114300" distR="114300" simplePos="0" relativeHeight="251665408" behindDoc="0" locked="0" layoutInCell="1" allowOverlap="1" wp14:anchorId="25732BAA" wp14:editId="00F64D42">
                <wp:simplePos x="0" y="0"/>
                <wp:positionH relativeFrom="margin">
                  <wp:posOffset>3352800</wp:posOffset>
                </wp:positionH>
                <wp:positionV relativeFrom="paragraph">
                  <wp:posOffset>117475</wp:posOffset>
                </wp:positionV>
                <wp:extent cx="1790700" cy="5410200"/>
                <wp:effectExtent l="0" t="0" r="0" b="0"/>
                <wp:wrapNone/>
                <wp:docPr id="88" name="Rectangle: Rounded Corners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5410200"/>
                        </a:xfrm>
                        <a:prstGeom prst="roundRect">
                          <a:avLst/>
                        </a:prstGeom>
                        <a:solidFill>
                          <a:srgbClr val="4F81BD"/>
                        </a:solidFill>
                        <a:ln w="25400" cap="flat" cmpd="sng" algn="ctr">
                          <a:solidFill>
                            <a:srgbClr val="4F81BD">
                              <a:shade val="50000"/>
                            </a:srgbClr>
                          </a:solidFill>
                          <a:prstDash val="solid"/>
                        </a:ln>
                        <a:effectLst/>
                      </wps:spPr>
                      <wps:txbx>
                        <w:txbxContent>
                          <w:p w14:paraId="403EE741" w14:textId="77777777" w:rsidR="008206CA" w:rsidRPr="008206CA" w:rsidRDefault="008206CA" w:rsidP="008206CA">
                            <w:pPr>
                              <w:pStyle w:val="NoSpacing"/>
                              <w:numPr>
                                <w:ilvl w:val="0"/>
                                <w:numId w:val="56"/>
                              </w:numPr>
                              <w:ind w:left="284" w:hanging="284"/>
                              <w:rPr>
                                <w:rFonts w:ascii="Arial" w:hAnsi="Arial" w:cs="Arial"/>
                                <w:color w:val="FFFFFF"/>
                                <w:sz w:val="20"/>
                                <w:szCs w:val="20"/>
                              </w:rPr>
                            </w:pPr>
                            <w:r w:rsidRPr="008206CA">
                              <w:rPr>
                                <w:rFonts w:ascii="Arial" w:hAnsi="Arial" w:cs="Arial"/>
                                <w:color w:val="FFFFFF"/>
                                <w:sz w:val="20"/>
                                <w:szCs w:val="20"/>
                              </w:rPr>
                              <w:t>CIA provides independent assurance on the adequacy of internal control through the IA plan approved by the Governance &amp; Audit Committee.</w:t>
                            </w:r>
                          </w:p>
                          <w:p w14:paraId="483A7F74" w14:textId="77777777" w:rsidR="008206CA" w:rsidRPr="008206CA" w:rsidRDefault="008206CA" w:rsidP="008206CA">
                            <w:pPr>
                              <w:pStyle w:val="NoSpacing"/>
                              <w:numPr>
                                <w:ilvl w:val="0"/>
                                <w:numId w:val="56"/>
                              </w:numPr>
                              <w:ind w:left="284" w:hanging="284"/>
                              <w:rPr>
                                <w:rFonts w:ascii="Arial" w:hAnsi="Arial" w:cs="Arial"/>
                                <w:color w:val="FFFFFF"/>
                                <w:sz w:val="20"/>
                                <w:szCs w:val="20"/>
                              </w:rPr>
                            </w:pPr>
                            <w:r w:rsidRPr="008206CA">
                              <w:rPr>
                                <w:rFonts w:ascii="Arial" w:hAnsi="Arial" w:cs="Arial"/>
                                <w:color w:val="FFFFFF"/>
                                <w:sz w:val="20"/>
                                <w:szCs w:val="20"/>
                              </w:rPr>
                              <w:t>The Governance &amp; Audit Committee provides independent and objective assurance on effectiveness of internal control, risk management and governance arrangements.</w:t>
                            </w:r>
                          </w:p>
                          <w:p w14:paraId="073872FD" w14:textId="77777777" w:rsidR="008206CA" w:rsidRPr="008206CA" w:rsidRDefault="008206CA" w:rsidP="008206CA">
                            <w:pPr>
                              <w:pStyle w:val="NoSpacing"/>
                              <w:numPr>
                                <w:ilvl w:val="0"/>
                                <w:numId w:val="56"/>
                              </w:numPr>
                              <w:ind w:left="284" w:hanging="284"/>
                              <w:rPr>
                                <w:rFonts w:ascii="Arial" w:hAnsi="Arial" w:cs="Arial"/>
                                <w:color w:val="FFFFFF"/>
                                <w:sz w:val="20"/>
                                <w:szCs w:val="20"/>
                              </w:rPr>
                            </w:pPr>
                            <w:r w:rsidRPr="008206CA">
                              <w:rPr>
                                <w:rFonts w:ascii="Arial" w:hAnsi="Arial" w:cs="Arial"/>
                                <w:color w:val="FFFFFF"/>
                                <w:sz w:val="20"/>
                                <w:szCs w:val="20"/>
                              </w:rPr>
                              <w:t xml:space="preserve">The Council is dedicated to tackling fraud and corruption  and has an Anti-Fraud and Corruption Policy and Whistleblowing Policy </w:t>
                            </w:r>
                          </w:p>
                          <w:p w14:paraId="1BA01254" w14:textId="77777777" w:rsidR="008206CA" w:rsidRPr="008206CA" w:rsidRDefault="008206CA" w:rsidP="008206CA">
                            <w:pPr>
                              <w:pStyle w:val="NoSpacing"/>
                              <w:numPr>
                                <w:ilvl w:val="0"/>
                                <w:numId w:val="56"/>
                              </w:numPr>
                              <w:ind w:left="284" w:hanging="284"/>
                              <w:rPr>
                                <w:rFonts w:ascii="Arial" w:hAnsi="Arial" w:cs="Arial"/>
                                <w:color w:val="FFFFFF"/>
                                <w:sz w:val="20"/>
                                <w:szCs w:val="20"/>
                              </w:rPr>
                            </w:pPr>
                            <w:r w:rsidRPr="008206CA">
                              <w:rPr>
                                <w:rFonts w:ascii="Arial" w:hAnsi="Arial" w:cs="Arial"/>
                                <w:color w:val="FFFFFF"/>
                                <w:sz w:val="20"/>
                                <w:szCs w:val="20"/>
                              </w:rPr>
                              <w:t>The Governance &amp; Audit Committee receives an annual report on the fraud function and Anti-Fraud Plan.</w:t>
                            </w:r>
                          </w:p>
                          <w:p w14:paraId="66EBDFC1" w14:textId="77777777" w:rsidR="008206CA" w:rsidRPr="008206CA" w:rsidRDefault="008206CA" w:rsidP="008206CA">
                            <w:pPr>
                              <w:pStyle w:val="NoSpacing"/>
                              <w:numPr>
                                <w:ilvl w:val="0"/>
                                <w:numId w:val="56"/>
                              </w:numPr>
                              <w:ind w:left="284" w:hanging="284"/>
                              <w:rPr>
                                <w:rFonts w:ascii="Arial" w:hAnsi="Arial" w:cs="Arial"/>
                                <w:color w:val="FFFFFF"/>
                                <w:sz w:val="20"/>
                                <w:szCs w:val="20"/>
                              </w:rPr>
                            </w:pPr>
                            <w:r w:rsidRPr="008206CA">
                              <w:rPr>
                                <w:rFonts w:ascii="Arial" w:hAnsi="Arial" w:cs="Arial"/>
                                <w:color w:val="FFFFFF"/>
                                <w:sz w:val="20"/>
                                <w:szCs w:val="20"/>
                              </w:rPr>
                              <w:t>The Internal Audit Plan is approved by Governance &amp; Audit Committee.</w:t>
                            </w:r>
                          </w:p>
                          <w:p w14:paraId="01F3D4A5" w14:textId="77777777" w:rsidR="008206CA" w:rsidRPr="008206CA" w:rsidRDefault="008206CA" w:rsidP="008206CA">
                            <w:pPr>
                              <w:pStyle w:val="NoSpacing"/>
                              <w:rPr>
                                <w:rFonts w:ascii="Arial" w:hAnsi="Arial" w:cs="Arial"/>
                                <w:color w:val="FFFFFF"/>
                              </w:rPr>
                            </w:pPr>
                          </w:p>
                          <w:p w14:paraId="02317624" w14:textId="77777777" w:rsidR="008206CA" w:rsidRPr="008206CA" w:rsidRDefault="008206CA" w:rsidP="008206CA">
                            <w:pPr>
                              <w:pStyle w:val="Default"/>
                              <w:rPr>
                                <w:color w:val="FFFFFF"/>
                                <w:sz w:val="22"/>
                                <w:szCs w:val="22"/>
                              </w:rPr>
                            </w:pPr>
                          </w:p>
                          <w:p w14:paraId="3E8DFF66" w14:textId="77777777" w:rsidR="008206CA" w:rsidRPr="008206CA" w:rsidRDefault="008206CA" w:rsidP="008206CA">
                            <w:pPr>
                              <w:pStyle w:val="Default"/>
                              <w:rPr>
                                <w:color w:val="FFFFFF"/>
                                <w:sz w:val="22"/>
                                <w:szCs w:val="22"/>
                              </w:rPr>
                            </w:pPr>
                          </w:p>
                          <w:p w14:paraId="688BBEFE" w14:textId="77777777" w:rsidR="008206CA" w:rsidRDefault="008206CA" w:rsidP="008206CA">
                            <w:pPr>
                              <w:pStyle w:val="Default"/>
                              <w:rPr>
                                <w:sz w:val="22"/>
                                <w:szCs w:val="22"/>
                              </w:rPr>
                            </w:pPr>
                          </w:p>
                          <w:p w14:paraId="542B11C1" w14:textId="77777777" w:rsidR="008206CA" w:rsidRDefault="008206CA" w:rsidP="008206CA">
                            <w:pPr>
                              <w:pStyle w:val="Default"/>
                              <w:rPr>
                                <w:sz w:val="22"/>
                                <w:szCs w:val="22"/>
                              </w:rPr>
                            </w:pPr>
                          </w:p>
                          <w:p w14:paraId="13550025" w14:textId="77777777" w:rsidR="008206CA" w:rsidRDefault="008206CA" w:rsidP="008206CA">
                            <w:pPr>
                              <w:pStyle w:val="Default"/>
                              <w:rPr>
                                <w:sz w:val="22"/>
                                <w:szCs w:val="22"/>
                              </w:rPr>
                            </w:pPr>
                          </w:p>
                          <w:p w14:paraId="3EF3358D" w14:textId="77777777" w:rsidR="008206CA" w:rsidRPr="00C02BB2" w:rsidRDefault="008206CA" w:rsidP="008206CA">
                            <w:pPr>
                              <w:pStyle w:val="Default"/>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32BAA" id="Rectangle: Rounded Corners 88" o:spid="_x0000_s1056" style="position:absolute;margin-left:264pt;margin-top:9.25pt;width:141pt;height:42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" fillcolor="#4f81bd" strokecolor="#385d8a" strokeweight="2pt">
                <v:path arrowok="t"/>
                <v:textbox>
                  <w:txbxContent>
                    <w:p w14:paraId="403EE741" w14:textId="77777777" w:rsidR="008206CA" w:rsidRPr="008206CA" w:rsidRDefault="008206CA" w:rsidP="008206CA">
                      <w:pPr>
                        <w:pStyle w:val="NoSpacing"/>
                        <w:numPr>
                          <w:ilvl w:val="0"/>
                          <w:numId w:val="56"/>
                        </w:numPr>
                        <w:ind w:left="284" w:hanging="284"/>
                        <w:rPr>
                          <w:rFonts w:ascii="Arial" w:hAnsi="Arial" w:cs="Arial"/>
                          <w:color w:val="FFFFFF"/>
                          <w:sz w:val="20"/>
                          <w:szCs w:val="20"/>
                        </w:rPr>
                      </w:pPr>
                      <w:r w:rsidRPr="008206CA">
                        <w:rPr>
                          <w:rFonts w:ascii="Arial" w:hAnsi="Arial" w:cs="Arial"/>
                          <w:color w:val="FFFFFF"/>
                          <w:sz w:val="20"/>
                          <w:szCs w:val="20"/>
                        </w:rPr>
                        <w:t>CIA provides independent assurance on the adequacy of internal control through the IA plan approved by the Governance &amp; Audit Committee.</w:t>
                      </w:r>
                    </w:p>
                    <w:p w14:paraId="483A7F74" w14:textId="77777777" w:rsidR="008206CA" w:rsidRPr="008206CA" w:rsidRDefault="008206CA" w:rsidP="008206CA">
                      <w:pPr>
                        <w:pStyle w:val="NoSpacing"/>
                        <w:numPr>
                          <w:ilvl w:val="0"/>
                          <w:numId w:val="56"/>
                        </w:numPr>
                        <w:ind w:left="284" w:hanging="284"/>
                        <w:rPr>
                          <w:rFonts w:ascii="Arial" w:hAnsi="Arial" w:cs="Arial"/>
                          <w:color w:val="FFFFFF"/>
                          <w:sz w:val="20"/>
                          <w:szCs w:val="20"/>
                        </w:rPr>
                      </w:pPr>
                      <w:r w:rsidRPr="008206CA">
                        <w:rPr>
                          <w:rFonts w:ascii="Arial" w:hAnsi="Arial" w:cs="Arial"/>
                          <w:color w:val="FFFFFF"/>
                          <w:sz w:val="20"/>
                          <w:szCs w:val="20"/>
                        </w:rPr>
                        <w:t>The Governance &amp; Audit Committee provides independent and objective assurance on effectiveness of internal control, risk management and governance arrangements.</w:t>
                      </w:r>
                    </w:p>
                    <w:p w14:paraId="073872FD" w14:textId="77777777" w:rsidR="008206CA" w:rsidRPr="008206CA" w:rsidRDefault="008206CA" w:rsidP="008206CA">
                      <w:pPr>
                        <w:pStyle w:val="NoSpacing"/>
                        <w:numPr>
                          <w:ilvl w:val="0"/>
                          <w:numId w:val="56"/>
                        </w:numPr>
                        <w:ind w:left="284" w:hanging="284"/>
                        <w:rPr>
                          <w:rFonts w:ascii="Arial" w:hAnsi="Arial" w:cs="Arial"/>
                          <w:color w:val="FFFFFF"/>
                          <w:sz w:val="20"/>
                          <w:szCs w:val="20"/>
                        </w:rPr>
                      </w:pPr>
                      <w:r w:rsidRPr="008206CA">
                        <w:rPr>
                          <w:rFonts w:ascii="Arial" w:hAnsi="Arial" w:cs="Arial"/>
                          <w:color w:val="FFFFFF"/>
                          <w:sz w:val="20"/>
                          <w:szCs w:val="20"/>
                        </w:rPr>
                        <w:t xml:space="preserve">The Council is dedicated to tackling fraud and corruption  and has an Anti-Fraud and Corruption Policy and Whistleblowing Policy </w:t>
                      </w:r>
                    </w:p>
                    <w:p w14:paraId="1BA01254" w14:textId="77777777" w:rsidR="008206CA" w:rsidRPr="008206CA" w:rsidRDefault="008206CA" w:rsidP="008206CA">
                      <w:pPr>
                        <w:pStyle w:val="NoSpacing"/>
                        <w:numPr>
                          <w:ilvl w:val="0"/>
                          <w:numId w:val="56"/>
                        </w:numPr>
                        <w:ind w:left="284" w:hanging="284"/>
                        <w:rPr>
                          <w:rFonts w:ascii="Arial" w:hAnsi="Arial" w:cs="Arial"/>
                          <w:color w:val="FFFFFF"/>
                          <w:sz w:val="20"/>
                          <w:szCs w:val="20"/>
                        </w:rPr>
                      </w:pPr>
                      <w:r w:rsidRPr="008206CA">
                        <w:rPr>
                          <w:rFonts w:ascii="Arial" w:hAnsi="Arial" w:cs="Arial"/>
                          <w:color w:val="FFFFFF"/>
                          <w:sz w:val="20"/>
                          <w:szCs w:val="20"/>
                        </w:rPr>
                        <w:t>The Governance &amp; Audit Committee receives an annual report on the fraud function and Anti-Fraud Plan.</w:t>
                      </w:r>
                    </w:p>
                    <w:p w14:paraId="66EBDFC1" w14:textId="77777777" w:rsidR="008206CA" w:rsidRPr="008206CA" w:rsidRDefault="008206CA" w:rsidP="008206CA">
                      <w:pPr>
                        <w:pStyle w:val="NoSpacing"/>
                        <w:numPr>
                          <w:ilvl w:val="0"/>
                          <w:numId w:val="56"/>
                        </w:numPr>
                        <w:ind w:left="284" w:hanging="284"/>
                        <w:rPr>
                          <w:rFonts w:ascii="Arial" w:hAnsi="Arial" w:cs="Arial"/>
                          <w:color w:val="FFFFFF"/>
                          <w:sz w:val="20"/>
                          <w:szCs w:val="20"/>
                        </w:rPr>
                      </w:pPr>
                      <w:r w:rsidRPr="008206CA">
                        <w:rPr>
                          <w:rFonts w:ascii="Arial" w:hAnsi="Arial" w:cs="Arial"/>
                          <w:color w:val="FFFFFF"/>
                          <w:sz w:val="20"/>
                          <w:szCs w:val="20"/>
                        </w:rPr>
                        <w:t>The Internal Audit Plan is approved by Governance &amp; Audit Committee.</w:t>
                      </w:r>
                    </w:p>
                    <w:p w14:paraId="01F3D4A5" w14:textId="77777777" w:rsidR="008206CA" w:rsidRPr="008206CA" w:rsidRDefault="008206CA" w:rsidP="008206CA">
                      <w:pPr>
                        <w:pStyle w:val="NoSpacing"/>
                        <w:rPr>
                          <w:rFonts w:ascii="Arial" w:hAnsi="Arial" w:cs="Arial"/>
                          <w:color w:val="FFFFFF"/>
                        </w:rPr>
                      </w:pPr>
                    </w:p>
                    <w:p w14:paraId="02317624" w14:textId="77777777" w:rsidR="008206CA" w:rsidRPr="008206CA" w:rsidRDefault="008206CA" w:rsidP="008206CA">
                      <w:pPr>
                        <w:pStyle w:val="Default"/>
                        <w:rPr>
                          <w:color w:val="FFFFFF"/>
                          <w:sz w:val="22"/>
                          <w:szCs w:val="22"/>
                        </w:rPr>
                      </w:pPr>
                    </w:p>
                    <w:p w14:paraId="3E8DFF66" w14:textId="77777777" w:rsidR="008206CA" w:rsidRPr="008206CA" w:rsidRDefault="008206CA" w:rsidP="008206CA">
                      <w:pPr>
                        <w:pStyle w:val="Default"/>
                        <w:rPr>
                          <w:color w:val="FFFFFF"/>
                          <w:sz w:val="22"/>
                          <w:szCs w:val="22"/>
                        </w:rPr>
                      </w:pPr>
                    </w:p>
                    <w:p w14:paraId="688BBEFE" w14:textId="77777777" w:rsidR="008206CA" w:rsidRDefault="008206CA" w:rsidP="008206CA">
                      <w:pPr>
                        <w:pStyle w:val="Default"/>
                        <w:rPr>
                          <w:sz w:val="22"/>
                          <w:szCs w:val="22"/>
                        </w:rPr>
                      </w:pPr>
                    </w:p>
                    <w:p w14:paraId="542B11C1" w14:textId="77777777" w:rsidR="008206CA" w:rsidRDefault="008206CA" w:rsidP="008206CA">
                      <w:pPr>
                        <w:pStyle w:val="Default"/>
                        <w:rPr>
                          <w:sz w:val="22"/>
                          <w:szCs w:val="22"/>
                        </w:rPr>
                      </w:pPr>
                    </w:p>
                    <w:p w14:paraId="13550025" w14:textId="77777777" w:rsidR="008206CA" w:rsidRDefault="008206CA" w:rsidP="008206CA">
                      <w:pPr>
                        <w:pStyle w:val="Default"/>
                        <w:rPr>
                          <w:sz w:val="22"/>
                          <w:szCs w:val="22"/>
                        </w:rPr>
                      </w:pPr>
                    </w:p>
                    <w:p w14:paraId="3EF3358D" w14:textId="77777777" w:rsidR="008206CA" w:rsidRPr="00C02BB2" w:rsidRDefault="008206CA" w:rsidP="008206CA">
                      <w:pPr>
                        <w:pStyle w:val="Default"/>
                        <w:rPr>
                          <w:sz w:val="22"/>
                          <w:szCs w:val="22"/>
                        </w:rPr>
                      </w:pPr>
                    </w:p>
                  </w:txbxContent>
                </v:textbox>
                <w10:wrap anchorx="margin"/>
              </v:roundrect>
            </w:pict>
          </mc:Fallback>
        </mc:AlternateContent>
      </w:r>
      <w:r>
        <w:rPr>
          <w:noProof/>
        </w:rPr>
        <mc:AlternateContent>
          <mc:Choice Requires="wps">
            <w:drawing>
              <wp:anchor distT="45720" distB="45720" distL="114300" distR="114300" simplePos="0" relativeHeight="251674624" behindDoc="0" locked="0" layoutInCell="1" allowOverlap="1" wp14:anchorId="4E5EE004" wp14:editId="1BD0CA6E">
                <wp:simplePos x="0" y="0"/>
                <wp:positionH relativeFrom="column">
                  <wp:posOffset>7629525</wp:posOffset>
                </wp:positionH>
                <wp:positionV relativeFrom="paragraph">
                  <wp:posOffset>12065</wp:posOffset>
                </wp:positionV>
                <wp:extent cx="1724025" cy="476250"/>
                <wp:effectExtent l="0" t="0" r="9525" b="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76250"/>
                        </a:xfrm>
                        <a:prstGeom prst="rect">
                          <a:avLst/>
                        </a:prstGeom>
                        <a:solidFill>
                          <a:srgbClr val="FFFFFF"/>
                        </a:solidFill>
                        <a:ln w="9525">
                          <a:solidFill>
                            <a:srgbClr val="000000"/>
                          </a:solidFill>
                          <a:miter lim="800000"/>
                          <a:headEnd/>
                          <a:tailEnd/>
                        </a:ln>
                      </wps:spPr>
                      <wps:txbx>
                        <w:txbxContent>
                          <w:p w14:paraId="0837BE0E" w14:textId="77777777" w:rsidR="008206CA" w:rsidRDefault="008206CA" w:rsidP="008206CA">
                            <w:pPr>
                              <w:shd w:val="clear" w:color="auto" w:fill="A6A6A6"/>
                              <w:jc w:val="center"/>
                            </w:pPr>
                            <w:r w:rsidRPr="00480387">
                              <w:rPr>
                                <w:rFonts w:ascii="Arial" w:hAnsi="Arial" w:cs="Arial"/>
                                <w:b/>
                              </w:rPr>
                              <w:t>Strong public financial</w:t>
                            </w:r>
                            <w:r>
                              <w:rPr>
                                <w:rFonts w:ascii="Arial" w:hAnsi="Arial" w:cs="Arial"/>
                                <w:b/>
                                <w:sz w:val="24"/>
                                <w:szCs w:val="24"/>
                              </w:rPr>
                              <w:t xml:space="preserve">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EE004" id="Text Box 87" o:spid="_x0000_s1057" type="#_x0000_t202" style="position:absolute;margin-left:600.75pt;margin-top:.95pt;width:135.75pt;height:3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">
                <v:textbox>
                  <w:txbxContent>
                    <w:p w14:paraId="0837BE0E" w14:textId="77777777" w:rsidR="008206CA" w:rsidRDefault="008206CA" w:rsidP="008206CA">
                      <w:pPr>
                        <w:shd w:val="clear" w:color="auto" w:fill="A6A6A6"/>
                        <w:jc w:val="center"/>
                      </w:pPr>
                      <w:r w:rsidRPr="00480387">
                        <w:rPr>
                          <w:rFonts w:ascii="Arial" w:hAnsi="Arial" w:cs="Arial"/>
                          <w:b/>
                        </w:rPr>
                        <w:t>Strong public financial</w:t>
                      </w:r>
                      <w:r>
                        <w:rPr>
                          <w:rFonts w:ascii="Arial" w:hAnsi="Arial" w:cs="Arial"/>
                          <w:b/>
                          <w:sz w:val="24"/>
                          <w:szCs w:val="24"/>
                        </w:rPr>
                        <w:t xml:space="preserve"> management</w:t>
                      </w:r>
                    </w:p>
                  </w:txbxContent>
                </v:textbox>
                <w10:wrap type="square"/>
              </v:shape>
            </w:pict>
          </mc:Fallback>
        </mc:AlternateContent>
      </w:r>
      <w:r w:rsidR="008206CA">
        <w:tab/>
      </w:r>
    </w:p>
    <w:p w14:paraId="61179324" w14:textId="77777777" w:rsidR="008206CA" w:rsidRDefault="008206CA" w:rsidP="008206CA">
      <w:pPr>
        <w:ind w:left="-709"/>
        <w:rPr>
          <w:rFonts w:ascii="Arial" w:hAnsi="Arial" w:cs="Arial"/>
          <w:b/>
          <w:sz w:val="24"/>
          <w:szCs w:val="24"/>
        </w:rPr>
      </w:pPr>
      <w:r>
        <w:rPr>
          <w:rFonts w:ascii="Arial" w:hAnsi="Arial" w:cs="Arial"/>
          <w:b/>
          <w:sz w:val="24"/>
          <w:szCs w:val="24"/>
        </w:rPr>
        <w:tab/>
      </w:r>
    </w:p>
    <w:p w14:paraId="6074AFE2" w14:textId="77777777" w:rsidR="008206CA" w:rsidRDefault="008206CA" w:rsidP="008206CA">
      <w:pPr>
        <w:pStyle w:val="NoSpacing"/>
      </w:pPr>
    </w:p>
    <w:p w14:paraId="778C48D7" w14:textId="1183DA16" w:rsidR="008206CA" w:rsidRPr="00D94CB3" w:rsidRDefault="00516E75" w:rsidP="008206CA">
      <w:pPr>
        <w:ind w:left="-709"/>
        <w:rPr>
          <w:rFonts w:ascii="Arial" w:hAnsi="Arial" w:cs="Arial"/>
          <w:b/>
          <w:sz w:val="24"/>
          <w:szCs w:val="24"/>
        </w:rPr>
      </w:pPr>
      <w:r>
        <w:rPr>
          <w:noProof/>
        </w:rPr>
        <mc:AlternateContent>
          <mc:Choice Requires="wps">
            <w:drawing>
              <wp:anchor distT="0" distB="0" distL="114300" distR="114300" simplePos="0" relativeHeight="251676672" behindDoc="0" locked="0" layoutInCell="1" allowOverlap="1" wp14:anchorId="28C4C954" wp14:editId="7C66DEF2">
                <wp:simplePos x="0" y="0"/>
                <wp:positionH relativeFrom="page">
                  <wp:posOffset>8601075</wp:posOffset>
                </wp:positionH>
                <wp:positionV relativeFrom="paragraph">
                  <wp:posOffset>143510</wp:posOffset>
                </wp:positionV>
                <wp:extent cx="1952625" cy="4029075"/>
                <wp:effectExtent l="0" t="0" r="9525" b="9525"/>
                <wp:wrapNone/>
                <wp:docPr id="86"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0290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192106F" w14:textId="77777777" w:rsidR="008206CA" w:rsidRPr="008206CA" w:rsidRDefault="008206CA" w:rsidP="008206CA">
                            <w:pPr>
                              <w:pStyle w:val="Default"/>
                              <w:numPr>
                                <w:ilvl w:val="0"/>
                                <w:numId w:val="47"/>
                              </w:numPr>
                              <w:rPr>
                                <w:color w:val="FFFFFF"/>
                                <w:sz w:val="20"/>
                                <w:szCs w:val="20"/>
                              </w:rPr>
                            </w:pPr>
                            <w:r w:rsidRPr="008206CA">
                              <w:rPr>
                                <w:color w:val="FFFFFF"/>
                                <w:sz w:val="20"/>
                                <w:szCs w:val="20"/>
                              </w:rPr>
                              <w:t>The Council ensures both long term achievement of outcomes and short term performance through the delivery of the Medium Term Financial Plan.</w:t>
                            </w:r>
                          </w:p>
                          <w:p w14:paraId="5B8D1D42" w14:textId="77777777" w:rsidR="008206CA" w:rsidRPr="008206CA" w:rsidRDefault="008206CA" w:rsidP="008206CA">
                            <w:pPr>
                              <w:pStyle w:val="Default"/>
                              <w:numPr>
                                <w:ilvl w:val="0"/>
                                <w:numId w:val="47"/>
                              </w:numPr>
                              <w:rPr>
                                <w:color w:val="FFFFFF"/>
                                <w:sz w:val="20"/>
                                <w:szCs w:val="20"/>
                              </w:rPr>
                            </w:pPr>
                            <w:r w:rsidRPr="008206CA">
                              <w:rPr>
                                <w:color w:val="FFFFFF"/>
                                <w:sz w:val="20"/>
                                <w:szCs w:val="20"/>
                              </w:rPr>
                              <w:t>Financial management is integrated at all levels of planning and control by:</w:t>
                            </w:r>
                          </w:p>
                          <w:p w14:paraId="4FA849E3" w14:textId="77777777" w:rsidR="008206CA" w:rsidRPr="008206CA" w:rsidRDefault="008206CA" w:rsidP="008206CA">
                            <w:pPr>
                              <w:pStyle w:val="Default"/>
                              <w:numPr>
                                <w:ilvl w:val="0"/>
                                <w:numId w:val="63"/>
                              </w:numPr>
                              <w:rPr>
                                <w:color w:val="FFFFFF"/>
                                <w:sz w:val="20"/>
                                <w:szCs w:val="20"/>
                              </w:rPr>
                            </w:pPr>
                            <w:r w:rsidRPr="008206CA">
                              <w:rPr>
                                <w:color w:val="FFFFFF"/>
                                <w:sz w:val="20"/>
                                <w:szCs w:val="20"/>
                              </w:rPr>
                              <w:t>financial implications are included in all decision making reports;</w:t>
                            </w:r>
                          </w:p>
                          <w:p w14:paraId="062777C3" w14:textId="77777777" w:rsidR="008206CA" w:rsidRPr="008206CA" w:rsidRDefault="008206CA" w:rsidP="008206CA">
                            <w:pPr>
                              <w:pStyle w:val="Default"/>
                              <w:numPr>
                                <w:ilvl w:val="0"/>
                                <w:numId w:val="63"/>
                              </w:numPr>
                              <w:rPr>
                                <w:color w:val="FFFFFF"/>
                                <w:sz w:val="20"/>
                                <w:szCs w:val="20"/>
                              </w:rPr>
                            </w:pPr>
                            <w:r w:rsidRPr="008206CA">
                              <w:rPr>
                                <w:color w:val="FFFFFF"/>
                                <w:sz w:val="20"/>
                                <w:szCs w:val="20"/>
                              </w:rPr>
                              <w:t>there is a specific Corporate risk around Financial Control and MTFP owned by the S151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4C954" id="Rectangle: Rounded Corners 86" o:spid="_x0000_s1058" style="position:absolute;left:0;text-align:left;margin-left:677.25pt;margin-top:11.3pt;width:153.75pt;height:317.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" fillcolor="#4472c4" strokecolor="#2f528f" strokeweight="1pt">
                <v:stroke joinstyle="miter"/>
                <v:path arrowok="t"/>
                <v:textbox>
                  <w:txbxContent>
                    <w:p w14:paraId="0192106F" w14:textId="77777777" w:rsidR="008206CA" w:rsidRPr="008206CA" w:rsidRDefault="008206CA" w:rsidP="008206CA">
                      <w:pPr>
                        <w:pStyle w:val="Default"/>
                        <w:numPr>
                          <w:ilvl w:val="0"/>
                          <w:numId w:val="47"/>
                        </w:numPr>
                        <w:rPr>
                          <w:color w:val="FFFFFF"/>
                          <w:sz w:val="20"/>
                          <w:szCs w:val="20"/>
                        </w:rPr>
                      </w:pPr>
                      <w:r w:rsidRPr="008206CA">
                        <w:rPr>
                          <w:color w:val="FFFFFF"/>
                          <w:sz w:val="20"/>
                          <w:szCs w:val="20"/>
                        </w:rPr>
                        <w:t>The Council ensures both long term achievement of outcomes and short term performance through the delivery of the Medium Term Financial Plan.</w:t>
                      </w:r>
                    </w:p>
                    <w:p w14:paraId="5B8D1D42" w14:textId="77777777" w:rsidR="008206CA" w:rsidRPr="008206CA" w:rsidRDefault="008206CA" w:rsidP="008206CA">
                      <w:pPr>
                        <w:pStyle w:val="Default"/>
                        <w:numPr>
                          <w:ilvl w:val="0"/>
                          <w:numId w:val="47"/>
                        </w:numPr>
                        <w:rPr>
                          <w:color w:val="FFFFFF"/>
                          <w:sz w:val="20"/>
                          <w:szCs w:val="20"/>
                        </w:rPr>
                      </w:pPr>
                      <w:r w:rsidRPr="008206CA">
                        <w:rPr>
                          <w:color w:val="FFFFFF"/>
                          <w:sz w:val="20"/>
                          <w:szCs w:val="20"/>
                        </w:rPr>
                        <w:t>Financial management is integrated at all levels of planning and control by:</w:t>
                      </w:r>
                    </w:p>
                    <w:p w14:paraId="4FA849E3" w14:textId="77777777" w:rsidR="008206CA" w:rsidRPr="008206CA" w:rsidRDefault="008206CA" w:rsidP="008206CA">
                      <w:pPr>
                        <w:pStyle w:val="Default"/>
                        <w:numPr>
                          <w:ilvl w:val="0"/>
                          <w:numId w:val="63"/>
                        </w:numPr>
                        <w:rPr>
                          <w:color w:val="FFFFFF"/>
                          <w:sz w:val="20"/>
                          <w:szCs w:val="20"/>
                        </w:rPr>
                      </w:pPr>
                      <w:r w:rsidRPr="008206CA">
                        <w:rPr>
                          <w:color w:val="FFFFFF"/>
                          <w:sz w:val="20"/>
                          <w:szCs w:val="20"/>
                        </w:rPr>
                        <w:t>financial implications are included in all decision making reports;</w:t>
                      </w:r>
                    </w:p>
                    <w:p w14:paraId="062777C3" w14:textId="77777777" w:rsidR="008206CA" w:rsidRPr="008206CA" w:rsidRDefault="008206CA" w:rsidP="008206CA">
                      <w:pPr>
                        <w:pStyle w:val="Default"/>
                        <w:numPr>
                          <w:ilvl w:val="0"/>
                          <w:numId w:val="63"/>
                        </w:numPr>
                        <w:rPr>
                          <w:color w:val="FFFFFF"/>
                          <w:sz w:val="20"/>
                          <w:szCs w:val="20"/>
                        </w:rPr>
                      </w:pPr>
                      <w:r w:rsidRPr="008206CA">
                        <w:rPr>
                          <w:color w:val="FFFFFF"/>
                          <w:sz w:val="20"/>
                          <w:szCs w:val="20"/>
                        </w:rPr>
                        <w:t>there is a specific Corporate risk around Financial Control and MTFP owned by the S151 officer.</w:t>
                      </w:r>
                    </w:p>
                  </w:txbxContent>
                </v:textbox>
                <w10:wrap anchorx="page"/>
              </v:roundrect>
            </w:pict>
          </mc:Fallback>
        </mc:AlternateContent>
      </w:r>
      <w:r>
        <w:rPr>
          <w:noProof/>
        </w:rPr>
        <mc:AlternateContent>
          <mc:Choice Requires="wps">
            <w:drawing>
              <wp:anchor distT="0" distB="0" distL="114300" distR="114300" simplePos="0" relativeHeight="251675648" behindDoc="0" locked="0" layoutInCell="1" allowOverlap="1" wp14:anchorId="206C671F" wp14:editId="53E222F0">
                <wp:simplePos x="0" y="0"/>
                <wp:positionH relativeFrom="column">
                  <wp:posOffset>2781300</wp:posOffset>
                </wp:positionH>
                <wp:positionV relativeFrom="paragraph">
                  <wp:posOffset>3175</wp:posOffset>
                </wp:positionV>
                <wp:extent cx="1857375" cy="4709160"/>
                <wp:effectExtent l="0" t="0" r="9525" b="0"/>
                <wp:wrapNone/>
                <wp:docPr id="85"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470916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55B0744" w14:textId="77777777" w:rsidR="008206CA" w:rsidRPr="008206CA" w:rsidRDefault="008206CA" w:rsidP="008206CA">
                            <w:pPr>
                              <w:pStyle w:val="Default"/>
                              <w:numPr>
                                <w:ilvl w:val="0"/>
                                <w:numId w:val="46"/>
                              </w:numPr>
                              <w:rPr>
                                <w:color w:val="FFFFFF"/>
                                <w:sz w:val="20"/>
                                <w:szCs w:val="20"/>
                              </w:rPr>
                            </w:pPr>
                            <w:r w:rsidRPr="008206CA">
                              <w:rPr>
                                <w:color w:val="FFFFFF"/>
                                <w:sz w:val="20"/>
                                <w:szCs w:val="20"/>
                              </w:rPr>
                              <w:t>The Council demonstrates effective safeguarding of  personal data and information by:</w:t>
                            </w:r>
                          </w:p>
                          <w:p w14:paraId="4032A37B"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 appointment of a Data Protection Officer.</w:t>
                            </w:r>
                          </w:p>
                          <w:p w14:paraId="71B66F2F"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 adoption of a Data Protection Policy.</w:t>
                            </w:r>
                          </w:p>
                          <w:p w14:paraId="7ED4658B"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An Information Governance Unit and Senior Information Risk Officer.</w:t>
                            </w:r>
                          </w:p>
                          <w:p w14:paraId="35486EEC"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An information asset register</w:t>
                            </w:r>
                          </w:p>
                          <w:p w14:paraId="36D41D17"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 Council is signed up to the Wales Accord for Sharing Personal Information (WASPI).</w:t>
                            </w:r>
                          </w:p>
                          <w:p w14:paraId="026CCE88"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Data Protection training is mandatory.</w:t>
                            </w:r>
                          </w:p>
                          <w:p w14:paraId="233BDC59" w14:textId="77777777" w:rsidR="008206CA" w:rsidRDefault="008206CA" w:rsidP="008206CA">
                            <w:pPr>
                              <w:jc w:val="center"/>
                            </w:pPr>
                          </w:p>
                          <w:p w14:paraId="4A810ADD" w14:textId="77777777" w:rsidR="008206CA" w:rsidRDefault="008206CA" w:rsidP="008206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C671F" id="Rectangle: Rounded Corners 85" o:spid="_x0000_s1059" style="position:absolute;left:0;text-align:left;margin-left:219pt;margin-top:.25pt;width:146.25pt;height:37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" fillcolor="#4472c4" strokecolor="#2f528f" strokeweight="1pt">
                <v:stroke joinstyle="miter"/>
                <v:path arrowok="t"/>
                <v:textbox>
                  <w:txbxContent>
                    <w:p w14:paraId="755B0744" w14:textId="77777777" w:rsidR="008206CA" w:rsidRPr="008206CA" w:rsidRDefault="008206CA" w:rsidP="008206CA">
                      <w:pPr>
                        <w:pStyle w:val="Default"/>
                        <w:numPr>
                          <w:ilvl w:val="0"/>
                          <w:numId w:val="46"/>
                        </w:numPr>
                        <w:rPr>
                          <w:color w:val="FFFFFF"/>
                          <w:sz w:val="20"/>
                          <w:szCs w:val="20"/>
                        </w:rPr>
                      </w:pPr>
                      <w:r w:rsidRPr="008206CA">
                        <w:rPr>
                          <w:color w:val="FFFFFF"/>
                          <w:sz w:val="20"/>
                          <w:szCs w:val="20"/>
                        </w:rPr>
                        <w:t>The Council demonstrates effective safeguarding of  personal data and information by:</w:t>
                      </w:r>
                    </w:p>
                    <w:p w14:paraId="4032A37B"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 appointment of a Data Protection Officer.</w:t>
                      </w:r>
                    </w:p>
                    <w:p w14:paraId="71B66F2F"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 adoption of a Data Protection Policy.</w:t>
                      </w:r>
                    </w:p>
                    <w:p w14:paraId="7ED4658B"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An Information Governance Unit and Senior Information Risk Officer.</w:t>
                      </w:r>
                    </w:p>
                    <w:p w14:paraId="35486EEC"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An information asset register</w:t>
                      </w:r>
                    </w:p>
                    <w:p w14:paraId="36D41D17"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The Council is signed up to the Wales Accord for Sharing Personal Information (WASPI).</w:t>
                      </w:r>
                    </w:p>
                    <w:p w14:paraId="026CCE88" w14:textId="77777777" w:rsidR="008206CA" w:rsidRPr="008206CA" w:rsidRDefault="008206CA" w:rsidP="008206CA">
                      <w:pPr>
                        <w:pStyle w:val="ListParagraph"/>
                        <w:numPr>
                          <w:ilvl w:val="0"/>
                          <w:numId w:val="62"/>
                        </w:numPr>
                        <w:autoSpaceDE w:val="0"/>
                        <w:autoSpaceDN w:val="0"/>
                        <w:adjustRightInd w:val="0"/>
                        <w:spacing w:before="0" w:after="200" w:line="276" w:lineRule="auto"/>
                        <w:rPr>
                          <w:rFonts w:cs="Arial"/>
                          <w:color w:val="FFFFFF"/>
                          <w:sz w:val="20"/>
                          <w:szCs w:val="20"/>
                        </w:rPr>
                      </w:pPr>
                      <w:r w:rsidRPr="008206CA">
                        <w:rPr>
                          <w:rFonts w:cs="Arial"/>
                          <w:color w:val="FFFFFF"/>
                          <w:sz w:val="20"/>
                          <w:szCs w:val="20"/>
                        </w:rPr>
                        <w:t>Data Protection training is mandatory.</w:t>
                      </w:r>
                    </w:p>
                    <w:p w14:paraId="233BDC59" w14:textId="77777777" w:rsidR="008206CA" w:rsidRDefault="008206CA" w:rsidP="008206CA">
                      <w:pPr>
                        <w:jc w:val="center"/>
                      </w:pPr>
                    </w:p>
                    <w:p w14:paraId="4A810ADD" w14:textId="77777777" w:rsidR="008206CA" w:rsidRDefault="008206CA" w:rsidP="008206CA"/>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79BCCE4D" wp14:editId="5FBEF927">
                <wp:simplePos x="0" y="0"/>
                <wp:positionH relativeFrom="margin">
                  <wp:posOffset>-514350</wp:posOffset>
                </wp:positionH>
                <wp:positionV relativeFrom="paragraph">
                  <wp:posOffset>264160</wp:posOffset>
                </wp:positionV>
                <wp:extent cx="1666875" cy="4143375"/>
                <wp:effectExtent l="0" t="0" r="9525" b="9525"/>
                <wp:wrapNone/>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4143375"/>
                        </a:xfrm>
                        <a:prstGeom prst="roundRect">
                          <a:avLst/>
                        </a:prstGeom>
                        <a:solidFill>
                          <a:srgbClr val="4F81BD"/>
                        </a:solidFill>
                        <a:ln w="25400" cap="flat" cmpd="sng" algn="ctr">
                          <a:solidFill>
                            <a:srgbClr val="4F81BD">
                              <a:shade val="50000"/>
                            </a:srgbClr>
                          </a:solidFill>
                          <a:prstDash val="solid"/>
                        </a:ln>
                        <a:effectLst/>
                      </wps:spPr>
                      <wps:txbx>
                        <w:txbxContent>
                          <w:p w14:paraId="09BD12FA"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Risk management is an integral part of decision making supported by:</w:t>
                            </w:r>
                          </w:p>
                          <w:p w14:paraId="358DC60E"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A  Corporate Risk Management Policy with clear nominated officer responsibility.</w:t>
                            </w:r>
                          </w:p>
                          <w:p w14:paraId="1AF3DAA2"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New risk register application.</w:t>
                            </w:r>
                          </w:p>
                          <w:p w14:paraId="181740A3"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Monthly review of risks by CMT.</w:t>
                            </w:r>
                          </w:p>
                          <w:p w14:paraId="4F176124"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 xml:space="preserve">Monthly review of Directorate Risks at PFM meetings. </w:t>
                            </w:r>
                          </w:p>
                          <w:p w14:paraId="4EF67732"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The publication of Corporate Risks allowing greater scrutiny.</w:t>
                            </w:r>
                          </w:p>
                          <w:p w14:paraId="6047A030"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The Governance &amp; Audit Committee regular review of  risks (see paras 8.34 &amp; 9)</w:t>
                            </w:r>
                          </w:p>
                          <w:p w14:paraId="36D94846" w14:textId="77777777" w:rsidR="008206CA" w:rsidRPr="008C2E69" w:rsidRDefault="008206CA" w:rsidP="008206CA">
                            <w:pPr>
                              <w:pStyle w:val="Default"/>
                              <w:jc w:val="both"/>
                            </w:pPr>
                          </w:p>
                          <w:p w14:paraId="48B6826A" w14:textId="77777777" w:rsidR="008206CA" w:rsidRDefault="008206CA" w:rsidP="008206CA">
                            <w:pPr>
                              <w:pStyle w:val="Default"/>
                              <w:ind w:left="360"/>
                              <w:rPr>
                                <w:sz w:val="22"/>
                                <w:szCs w:val="22"/>
                              </w:rPr>
                            </w:pPr>
                          </w:p>
                          <w:p w14:paraId="1CB6064F" w14:textId="77777777" w:rsidR="008206CA" w:rsidRPr="008C2E69" w:rsidRDefault="008206CA" w:rsidP="008206CA">
                            <w:pPr>
                              <w:pStyle w:val="Default"/>
                              <w:ind w:left="360"/>
                            </w:pPr>
                          </w:p>
                          <w:p w14:paraId="0E1CCA76" w14:textId="77777777" w:rsidR="008206CA" w:rsidRDefault="008206CA" w:rsidP="008206CA">
                            <w:pPr>
                              <w:ind w:left="284" w:hanging="426"/>
                              <w:rPr>
                                <w:rFonts w:ascii="Arial" w:hAnsi="Arial" w:cs="Arial"/>
                              </w:rPr>
                            </w:pPr>
                          </w:p>
                          <w:p w14:paraId="018FC878" w14:textId="77777777" w:rsidR="008206CA" w:rsidRDefault="008206CA" w:rsidP="008206CA">
                            <w:pPr>
                              <w:ind w:left="284" w:hanging="426"/>
                              <w:rPr>
                                <w:rFonts w:ascii="Arial" w:hAnsi="Arial" w:cs="Arial"/>
                              </w:rPr>
                            </w:pPr>
                          </w:p>
                          <w:p w14:paraId="040A4E88" w14:textId="77777777" w:rsidR="008206CA" w:rsidRDefault="008206CA" w:rsidP="008206CA">
                            <w:pPr>
                              <w:ind w:left="284" w:hanging="426"/>
                              <w:rPr>
                                <w:rFonts w:ascii="Arial" w:hAnsi="Arial" w:cs="Arial"/>
                              </w:rPr>
                            </w:pPr>
                          </w:p>
                          <w:p w14:paraId="1A736DF5" w14:textId="77777777" w:rsidR="008206CA" w:rsidRPr="008206CA" w:rsidRDefault="008206CA" w:rsidP="008206CA">
                            <w:pPr>
                              <w:ind w:left="284" w:hanging="426"/>
                              <w:rPr>
                                <w:rFonts w:ascii="Symbol" w:hAnsi="Symbol"/>
                                <w:highlight w:val="lightGra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CCE4D" id="Rectangle: Rounded Corners 84" o:spid="_x0000_s1060" style="position:absolute;left:0;text-align:left;margin-left:-40.5pt;margin-top:20.8pt;width:131.25pt;height:32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" fillcolor="#4f81bd" strokecolor="#385d8a" strokeweight="2pt">
                <v:path arrowok="t"/>
                <v:textbox>
                  <w:txbxContent>
                    <w:p w14:paraId="09BD12FA"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Risk management is an integral part of decision making supported by:</w:t>
                      </w:r>
                    </w:p>
                    <w:p w14:paraId="358DC60E"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A  Corporate Risk Management Policy with clear nominated officer responsibility.</w:t>
                      </w:r>
                    </w:p>
                    <w:p w14:paraId="1AF3DAA2"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New risk register application.</w:t>
                      </w:r>
                    </w:p>
                    <w:p w14:paraId="181740A3"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Monthly review of risks by CMT.</w:t>
                      </w:r>
                    </w:p>
                    <w:p w14:paraId="4F176124"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 xml:space="preserve">Monthly review of Directorate Risks at PFM meetings. </w:t>
                      </w:r>
                    </w:p>
                    <w:p w14:paraId="4EF67732"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The publication of Corporate Risks allowing greater scrutiny.</w:t>
                      </w:r>
                    </w:p>
                    <w:p w14:paraId="6047A030" w14:textId="77777777" w:rsidR="008206CA" w:rsidRPr="008206CA" w:rsidRDefault="008206CA" w:rsidP="008206CA">
                      <w:pPr>
                        <w:pStyle w:val="Default"/>
                        <w:numPr>
                          <w:ilvl w:val="0"/>
                          <w:numId w:val="44"/>
                        </w:numPr>
                        <w:rPr>
                          <w:color w:val="FFFFFF"/>
                          <w:sz w:val="20"/>
                          <w:szCs w:val="20"/>
                        </w:rPr>
                      </w:pPr>
                      <w:r w:rsidRPr="008206CA">
                        <w:rPr>
                          <w:color w:val="FFFFFF"/>
                          <w:sz w:val="20"/>
                          <w:szCs w:val="20"/>
                        </w:rPr>
                        <w:t>The Governance &amp; Audit Committee regular review of  risks (see paras 8.34 &amp; 9)</w:t>
                      </w:r>
                    </w:p>
                    <w:p w14:paraId="36D94846" w14:textId="77777777" w:rsidR="008206CA" w:rsidRPr="008C2E69" w:rsidRDefault="008206CA" w:rsidP="008206CA">
                      <w:pPr>
                        <w:pStyle w:val="Default"/>
                        <w:jc w:val="both"/>
                      </w:pPr>
                    </w:p>
                    <w:p w14:paraId="48B6826A" w14:textId="77777777" w:rsidR="008206CA" w:rsidRDefault="008206CA" w:rsidP="008206CA">
                      <w:pPr>
                        <w:pStyle w:val="Default"/>
                        <w:ind w:left="360"/>
                        <w:rPr>
                          <w:sz w:val="22"/>
                          <w:szCs w:val="22"/>
                        </w:rPr>
                      </w:pPr>
                    </w:p>
                    <w:p w14:paraId="1CB6064F" w14:textId="77777777" w:rsidR="008206CA" w:rsidRPr="008C2E69" w:rsidRDefault="008206CA" w:rsidP="008206CA">
                      <w:pPr>
                        <w:pStyle w:val="Default"/>
                        <w:ind w:left="360"/>
                      </w:pPr>
                    </w:p>
                    <w:p w14:paraId="0E1CCA76" w14:textId="77777777" w:rsidR="008206CA" w:rsidRDefault="008206CA" w:rsidP="008206CA">
                      <w:pPr>
                        <w:ind w:left="284" w:hanging="426"/>
                        <w:rPr>
                          <w:rFonts w:ascii="Arial" w:hAnsi="Arial" w:cs="Arial"/>
                        </w:rPr>
                      </w:pPr>
                    </w:p>
                    <w:p w14:paraId="018FC878" w14:textId="77777777" w:rsidR="008206CA" w:rsidRDefault="008206CA" w:rsidP="008206CA">
                      <w:pPr>
                        <w:ind w:left="284" w:hanging="426"/>
                        <w:rPr>
                          <w:rFonts w:ascii="Arial" w:hAnsi="Arial" w:cs="Arial"/>
                        </w:rPr>
                      </w:pPr>
                    </w:p>
                    <w:p w14:paraId="040A4E88" w14:textId="77777777" w:rsidR="008206CA" w:rsidRDefault="008206CA" w:rsidP="008206CA">
                      <w:pPr>
                        <w:ind w:left="284" w:hanging="426"/>
                        <w:rPr>
                          <w:rFonts w:ascii="Arial" w:hAnsi="Arial" w:cs="Arial"/>
                        </w:rPr>
                      </w:pPr>
                    </w:p>
                    <w:p w14:paraId="1A736DF5" w14:textId="77777777" w:rsidR="008206CA" w:rsidRPr="008206CA" w:rsidRDefault="008206CA" w:rsidP="008206CA">
                      <w:pPr>
                        <w:ind w:left="284" w:hanging="426"/>
                        <w:rPr>
                          <w:rFonts w:ascii="Symbol" w:hAnsi="Symbol"/>
                          <w:highlight w:val="lightGray"/>
                        </w:rPr>
                      </w:pPr>
                    </w:p>
                  </w:txbxContent>
                </v:textbox>
                <w10:wrap anchorx="margin"/>
              </v:roundrect>
            </w:pict>
          </mc:Fallback>
        </mc:AlternateContent>
      </w:r>
      <w:r w:rsidR="008206CA">
        <w:rPr>
          <w:rFonts w:ascii="Arial" w:hAnsi="Arial" w:cs="Arial"/>
          <w:b/>
          <w:sz w:val="24"/>
          <w:szCs w:val="24"/>
        </w:rPr>
        <w:tab/>
      </w:r>
      <w:r w:rsidR="008206CA" w:rsidRPr="004A31FE">
        <w:rPr>
          <w:rFonts w:ascii="Arial" w:hAnsi="Arial" w:cs="Arial"/>
          <w:b/>
          <w:sz w:val="24"/>
          <w:szCs w:val="24"/>
        </w:rPr>
        <w:t>:</w:t>
      </w:r>
    </w:p>
    <w:p w14:paraId="5BD354D8" w14:textId="140887D5" w:rsidR="008206CA" w:rsidRDefault="00516E75" w:rsidP="008206CA">
      <w:pPr>
        <w:rPr>
          <w:rFonts w:ascii="Arial" w:hAnsi="Arial" w:cs="Arial"/>
          <w:b/>
          <w:sz w:val="24"/>
          <w:szCs w:val="24"/>
        </w:rPr>
      </w:pPr>
      <w:r>
        <w:rPr>
          <w:noProof/>
        </w:rPr>
        <mc:AlternateContent>
          <mc:Choice Requires="wps">
            <w:drawing>
              <wp:anchor distT="0" distB="0" distL="114300" distR="114300" simplePos="0" relativeHeight="251664384" behindDoc="0" locked="0" layoutInCell="1" allowOverlap="1" wp14:anchorId="5B434919" wp14:editId="6B46BE89">
                <wp:simplePos x="0" y="0"/>
                <wp:positionH relativeFrom="column">
                  <wp:posOffset>1383030</wp:posOffset>
                </wp:positionH>
                <wp:positionV relativeFrom="paragraph">
                  <wp:posOffset>90170</wp:posOffset>
                </wp:positionV>
                <wp:extent cx="1800225" cy="4143375"/>
                <wp:effectExtent l="0" t="0" r="9525" b="9525"/>
                <wp:wrapNone/>
                <wp:docPr id="83"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4143375"/>
                        </a:xfrm>
                        <a:prstGeom prst="roundRect">
                          <a:avLst/>
                        </a:prstGeom>
                        <a:solidFill>
                          <a:srgbClr val="4F81BD"/>
                        </a:solidFill>
                        <a:ln w="25400" cap="flat" cmpd="sng" algn="ctr">
                          <a:solidFill>
                            <a:srgbClr val="4F81BD">
                              <a:shade val="50000"/>
                            </a:srgbClr>
                          </a:solidFill>
                          <a:prstDash val="solid"/>
                        </a:ln>
                        <a:effectLst/>
                      </wps:spPr>
                      <wps:txbx>
                        <w:txbxContent>
                          <w:p w14:paraId="23FA5600" w14:textId="77777777" w:rsidR="008206CA" w:rsidRPr="008206CA" w:rsidRDefault="008206CA" w:rsidP="008206CA">
                            <w:pPr>
                              <w:pStyle w:val="Default"/>
                              <w:numPr>
                                <w:ilvl w:val="0"/>
                                <w:numId w:val="45"/>
                              </w:numPr>
                              <w:rPr>
                                <w:color w:val="FFFFFF"/>
                                <w:sz w:val="20"/>
                                <w:szCs w:val="20"/>
                              </w:rPr>
                            </w:pPr>
                            <w:r w:rsidRPr="008206CA">
                              <w:rPr>
                                <w:color w:val="FFFFFF"/>
                                <w:sz w:val="20"/>
                                <w:szCs w:val="20"/>
                              </w:rPr>
                              <w:t>There are quarterly performance monitoring reports to Cabinet.</w:t>
                            </w:r>
                          </w:p>
                          <w:p w14:paraId="55C1FFF0" w14:textId="77777777" w:rsidR="008206CA" w:rsidRPr="008206CA" w:rsidRDefault="008206CA" w:rsidP="008206CA">
                            <w:pPr>
                              <w:pStyle w:val="Default"/>
                              <w:numPr>
                                <w:ilvl w:val="0"/>
                                <w:numId w:val="45"/>
                              </w:numPr>
                              <w:rPr>
                                <w:color w:val="FFFFFF"/>
                                <w:sz w:val="20"/>
                                <w:szCs w:val="20"/>
                              </w:rPr>
                            </w:pPr>
                            <w:r w:rsidRPr="008206CA">
                              <w:rPr>
                                <w:color w:val="FFFFFF"/>
                                <w:sz w:val="20"/>
                                <w:szCs w:val="20"/>
                              </w:rPr>
                              <w:t>Each Head of Service produces an Annual Service Plan setting out clear objectives and SWOT analysis of their service.</w:t>
                            </w:r>
                          </w:p>
                          <w:p w14:paraId="0E846E09" w14:textId="77777777" w:rsidR="008206CA" w:rsidRPr="008206CA" w:rsidRDefault="008206CA" w:rsidP="008206CA">
                            <w:pPr>
                              <w:pStyle w:val="Default"/>
                              <w:numPr>
                                <w:ilvl w:val="0"/>
                                <w:numId w:val="45"/>
                              </w:numPr>
                              <w:rPr>
                                <w:color w:val="FFFFFF"/>
                                <w:sz w:val="20"/>
                                <w:szCs w:val="20"/>
                              </w:rPr>
                            </w:pPr>
                            <w:r w:rsidRPr="008206CA">
                              <w:rPr>
                                <w:color w:val="FFFFFF"/>
                                <w:sz w:val="20"/>
                                <w:szCs w:val="20"/>
                              </w:rPr>
                              <w:t>There are regular reports as to performance indicators and milestones against intended outcomes.</w:t>
                            </w:r>
                          </w:p>
                          <w:p w14:paraId="097E0C91" w14:textId="77777777" w:rsidR="008206CA" w:rsidRPr="008206CA" w:rsidRDefault="008206CA" w:rsidP="008206CA">
                            <w:pPr>
                              <w:pStyle w:val="Default"/>
                              <w:numPr>
                                <w:ilvl w:val="0"/>
                                <w:numId w:val="45"/>
                              </w:numPr>
                              <w:rPr>
                                <w:color w:val="FFFFFF"/>
                                <w:sz w:val="20"/>
                                <w:szCs w:val="20"/>
                              </w:rPr>
                            </w:pPr>
                            <w:r w:rsidRPr="008206CA">
                              <w:rPr>
                                <w:color w:val="FFFFFF"/>
                                <w:sz w:val="20"/>
                                <w:szCs w:val="20"/>
                              </w:rPr>
                              <w:t xml:space="preserve">There is robust scrutiny challenge by pre decision scrutiny, inquiries and Call-In. </w:t>
                            </w:r>
                          </w:p>
                          <w:p w14:paraId="43B4BA1E" w14:textId="77777777" w:rsidR="008206CA" w:rsidRPr="008206CA" w:rsidRDefault="008206CA" w:rsidP="008206CA">
                            <w:pPr>
                              <w:pStyle w:val="Default"/>
                              <w:numPr>
                                <w:ilvl w:val="0"/>
                                <w:numId w:val="45"/>
                              </w:numPr>
                              <w:rPr>
                                <w:color w:val="FFFFFF"/>
                                <w:sz w:val="20"/>
                                <w:szCs w:val="20"/>
                              </w:rPr>
                            </w:pPr>
                            <w:r w:rsidRPr="008206CA">
                              <w:rPr>
                                <w:color w:val="FFFFFF"/>
                                <w:sz w:val="20"/>
                                <w:szCs w:val="20"/>
                              </w:rPr>
                              <w:t>Monthly Directorate Performance and Financial Monitoring meetings.</w:t>
                            </w:r>
                          </w:p>
                          <w:p w14:paraId="0754E785" w14:textId="77777777" w:rsidR="008206CA" w:rsidRDefault="008206CA" w:rsidP="008206CA">
                            <w:pPr>
                              <w:pStyle w:val="Default"/>
                            </w:pPr>
                          </w:p>
                          <w:p w14:paraId="5F428BE4" w14:textId="77777777" w:rsidR="008206CA" w:rsidRDefault="008206CA" w:rsidP="008206CA">
                            <w:pPr>
                              <w:pStyle w:val="Default"/>
                            </w:pPr>
                          </w:p>
                          <w:p w14:paraId="16FD9AF9" w14:textId="77777777" w:rsidR="008206CA" w:rsidRDefault="008206CA" w:rsidP="008206CA">
                            <w:pPr>
                              <w:pStyle w:val="Default"/>
                            </w:pPr>
                          </w:p>
                          <w:p w14:paraId="1A2F0093" w14:textId="77777777" w:rsidR="008206CA" w:rsidRDefault="008206CA" w:rsidP="008206CA">
                            <w:pPr>
                              <w:pStyle w:val="Default"/>
                            </w:pPr>
                          </w:p>
                          <w:p w14:paraId="1835D122" w14:textId="77777777" w:rsidR="008206CA" w:rsidRDefault="008206CA" w:rsidP="008206CA">
                            <w:pPr>
                              <w:pStyle w:val="Default"/>
                            </w:pPr>
                          </w:p>
                          <w:p w14:paraId="63A4D500" w14:textId="77777777" w:rsidR="008206CA" w:rsidRDefault="008206CA" w:rsidP="008206CA">
                            <w:pPr>
                              <w:pStyle w:val="Default"/>
                            </w:pPr>
                          </w:p>
                          <w:p w14:paraId="458C3E10" w14:textId="77777777" w:rsidR="008206CA" w:rsidRDefault="008206CA" w:rsidP="008206CA">
                            <w:pPr>
                              <w:rPr>
                                <w:sz w:val="20"/>
                              </w:rPr>
                            </w:pPr>
                          </w:p>
                          <w:p w14:paraId="3035B638" w14:textId="77777777" w:rsidR="008206CA" w:rsidRPr="002C4072" w:rsidRDefault="008206CA" w:rsidP="008206CA">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34919" id="Rectangle: Rounded Corners 83" o:spid="_x0000_s1061" style="position:absolute;margin-left:108.9pt;margin-top:7.1pt;width:141.75pt;height:3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" fillcolor="#4f81bd" strokecolor="#385d8a" strokeweight="2pt">
                <v:path arrowok="t"/>
                <v:textbox>
                  <w:txbxContent>
                    <w:p w14:paraId="23FA5600" w14:textId="77777777" w:rsidR="008206CA" w:rsidRPr="008206CA" w:rsidRDefault="008206CA" w:rsidP="008206CA">
                      <w:pPr>
                        <w:pStyle w:val="Default"/>
                        <w:numPr>
                          <w:ilvl w:val="0"/>
                          <w:numId w:val="45"/>
                        </w:numPr>
                        <w:rPr>
                          <w:color w:val="FFFFFF"/>
                          <w:sz w:val="20"/>
                          <w:szCs w:val="20"/>
                        </w:rPr>
                      </w:pPr>
                      <w:r w:rsidRPr="008206CA">
                        <w:rPr>
                          <w:color w:val="FFFFFF"/>
                          <w:sz w:val="20"/>
                          <w:szCs w:val="20"/>
                        </w:rPr>
                        <w:t>There are quarterly performance monitoring reports to Cabinet.</w:t>
                      </w:r>
                    </w:p>
                    <w:p w14:paraId="55C1FFF0" w14:textId="77777777" w:rsidR="008206CA" w:rsidRPr="008206CA" w:rsidRDefault="008206CA" w:rsidP="008206CA">
                      <w:pPr>
                        <w:pStyle w:val="Default"/>
                        <w:numPr>
                          <w:ilvl w:val="0"/>
                          <w:numId w:val="45"/>
                        </w:numPr>
                        <w:rPr>
                          <w:color w:val="FFFFFF"/>
                          <w:sz w:val="20"/>
                          <w:szCs w:val="20"/>
                        </w:rPr>
                      </w:pPr>
                      <w:r w:rsidRPr="008206CA">
                        <w:rPr>
                          <w:color w:val="FFFFFF"/>
                          <w:sz w:val="20"/>
                          <w:szCs w:val="20"/>
                        </w:rPr>
                        <w:t>Each Head of Service produces an Annual Service Plan setting out clear objectives and SWOT analysis of their service.</w:t>
                      </w:r>
                    </w:p>
                    <w:p w14:paraId="0E846E09" w14:textId="77777777" w:rsidR="008206CA" w:rsidRPr="008206CA" w:rsidRDefault="008206CA" w:rsidP="008206CA">
                      <w:pPr>
                        <w:pStyle w:val="Default"/>
                        <w:numPr>
                          <w:ilvl w:val="0"/>
                          <w:numId w:val="45"/>
                        </w:numPr>
                        <w:rPr>
                          <w:color w:val="FFFFFF"/>
                          <w:sz w:val="20"/>
                          <w:szCs w:val="20"/>
                        </w:rPr>
                      </w:pPr>
                      <w:r w:rsidRPr="008206CA">
                        <w:rPr>
                          <w:color w:val="FFFFFF"/>
                          <w:sz w:val="20"/>
                          <w:szCs w:val="20"/>
                        </w:rPr>
                        <w:t>There are regular reports as to performance indicators and milestones against intended outcomes.</w:t>
                      </w:r>
                    </w:p>
                    <w:p w14:paraId="097E0C91" w14:textId="77777777" w:rsidR="008206CA" w:rsidRPr="008206CA" w:rsidRDefault="008206CA" w:rsidP="008206CA">
                      <w:pPr>
                        <w:pStyle w:val="Default"/>
                        <w:numPr>
                          <w:ilvl w:val="0"/>
                          <w:numId w:val="45"/>
                        </w:numPr>
                        <w:rPr>
                          <w:color w:val="FFFFFF"/>
                          <w:sz w:val="20"/>
                          <w:szCs w:val="20"/>
                        </w:rPr>
                      </w:pPr>
                      <w:r w:rsidRPr="008206CA">
                        <w:rPr>
                          <w:color w:val="FFFFFF"/>
                          <w:sz w:val="20"/>
                          <w:szCs w:val="20"/>
                        </w:rPr>
                        <w:t xml:space="preserve">There is robust scrutiny challenge by pre decision scrutiny, inquiries and Call-In. </w:t>
                      </w:r>
                    </w:p>
                    <w:p w14:paraId="43B4BA1E" w14:textId="77777777" w:rsidR="008206CA" w:rsidRPr="008206CA" w:rsidRDefault="008206CA" w:rsidP="008206CA">
                      <w:pPr>
                        <w:pStyle w:val="Default"/>
                        <w:numPr>
                          <w:ilvl w:val="0"/>
                          <w:numId w:val="45"/>
                        </w:numPr>
                        <w:rPr>
                          <w:color w:val="FFFFFF"/>
                          <w:sz w:val="20"/>
                          <w:szCs w:val="20"/>
                        </w:rPr>
                      </w:pPr>
                      <w:r w:rsidRPr="008206CA">
                        <w:rPr>
                          <w:color w:val="FFFFFF"/>
                          <w:sz w:val="20"/>
                          <w:szCs w:val="20"/>
                        </w:rPr>
                        <w:t>Monthly Directorate Performance and Financial Monitoring meetings.</w:t>
                      </w:r>
                    </w:p>
                    <w:p w14:paraId="0754E785" w14:textId="77777777" w:rsidR="008206CA" w:rsidRDefault="008206CA" w:rsidP="008206CA">
                      <w:pPr>
                        <w:pStyle w:val="Default"/>
                      </w:pPr>
                    </w:p>
                    <w:p w14:paraId="5F428BE4" w14:textId="77777777" w:rsidR="008206CA" w:rsidRDefault="008206CA" w:rsidP="008206CA">
                      <w:pPr>
                        <w:pStyle w:val="Default"/>
                      </w:pPr>
                    </w:p>
                    <w:p w14:paraId="16FD9AF9" w14:textId="77777777" w:rsidR="008206CA" w:rsidRDefault="008206CA" w:rsidP="008206CA">
                      <w:pPr>
                        <w:pStyle w:val="Default"/>
                      </w:pPr>
                    </w:p>
                    <w:p w14:paraId="1A2F0093" w14:textId="77777777" w:rsidR="008206CA" w:rsidRDefault="008206CA" w:rsidP="008206CA">
                      <w:pPr>
                        <w:pStyle w:val="Default"/>
                      </w:pPr>
                    </w:p>
                    <w:p w14:paraId="1835D122" w14:textId="77777777" w:rsidR="008206CA" w:rsidRDefault="008206CA" w:rsidP="008206CA">
                      <w:pPr>
                        <w:pStyle w:val="Default"/>
                      </w:pPr>
                    </w:p>
                    <w:p w14:paraId="63A4D500" w14:textId="77777777" w:rsidR="008206CA" w:rsidRDefault="008206CA" w:rsidP="008206CA">
                      <w:pPr>
                        <w:pStyle w:val="Default"/>
                      </w:pPr>
                    </w:p>
                    <w:p w14:paraId="458C3E10" w14:textId="77777777" w:rsidR="008206CA" w:rsidRDefault="008206CA" w:rsidP="008206CA">
                      <w:pPr>
                        <w:rPr>
                          <w:sz w:val="20"/>
                        </w:rPr>
                      </w:pPr>
                    </w:p>
                    <w:p w14:paraId="3035B638" w14:textId="77777777" w:rsidR="008206CA" w:rsidRPr="002C4072" w:rsidRDefault="008206CA" w:rsidP="008206CA">
                      <w:pPr>
                        <w:rPr>
                          <w:sz w:val="20"/>
                        </w:rPr>
                      </w:pPr>
                    </w:p>
                  </w:txbxContent>
                </v:textbox>
              </v:roundrect>
            </w:pict>
          </mc:Fallback>
        </mc:AlternateContent>
      </w:r>
    </w:p>
    <w:p w14:paraId="556ABC4F" w14:textId="77777777" w:rsidR="008206CA" w:rsidRDefault="008206CA" w:rsidP="008206CA"/>
    <w:p w14:paraId="7AC6F45E" w14:textId="77777777" w:rsidR="008206CA" w:rsidRDefault="008206CA" w:rsidP="008206CA"/>
    <w:p w14:paraId="3D99B9E7" w14:textId="77777777" w:rsidR="008206CA" w:rsidRDefault="008206CA" w:rsidP="008206CA">
      <w:r>
        <w:br w:type="page"/>
      </w:r>
    </w:p>
    <w:p w14:paraId="4D7DA138" w14:textId="77777777" w:rsidR="008206CA" w:rsidRDefault="008206CA" w:rsidP="008206CA">
      <w:pPr>
        <w:rPr>
          <w:rFonts w:ascii="Arial" w:hAnsi="Arial" w:cs="Arial"/>
          <w:b/>
          <w:sz w:val="24"/>
          <w:szCs w:val="24"/>
        </w:rPr>
      </w:pPr>
      <w:r w:rsidRPr="000C4803">
        <w:rPr>
          <w:rFonts w:ascii="Arial" w:hAnsi="Arial" w:cs="Arial"/>
          <w:b/>
          <w:sz w:val="24"/>
          <w:szCs w:val="24"/>
        </w:rPr>
        <w:t>P</w:t>
      </w:r>
      <w:r>
        <w:rPr>
          <w:rFonts w:ascii="Arial" w:hAnsi="Arial" w:cs="Arial"/>
          <w:b/>
          <w:sz w:val="24"/>
          <w:szCs w:val="24"/>
        </w:rPr>
        <w:t>rinciple G</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175"/>
      </w:tblGrid>
      <w:tr w:rsidR="008206CA" w14:paraId="4E6EB808" w14:textId="77777777" w:rsidTr="00DE37F4">
        <w:trPr>
          <w:trHeight w:val="374"/>
        </w:trPr>
        <w:tc>
          <w:tcPr>
            <w:tcW w:w="14175" w:type="dxa"/>
            <w:shd w:val="clear" w:color="auto" w:fill="A6A6A6"/>
          </w:tcPr>
          <w:p w14:paraId="679EB410" w14:textId="77777777" w:rsidR="008206CA" w:rsidRPr="00DE37F4" w:rsidRDefault="008206CA" w:rsidP="00DE37F4">
            <w:pPr>
              <w:rPr>
                <w:rFonts w:ascii="Arial" w:hAnsi="Arial" w:cs="Arial"/>
                <w:sz w:val="24"/>
                <w:szCs w:val="24"/>
              </w:rPr>
            </w:pPr>
            <w:r w:rsidRPr="00DE37F4">
              <w:rPr>
                <w:rFonts w:ascii="Arial" w:hAnsi="Arial" w:cs="Arial"/>
                <w:b/>
                <w:bCs/>
                <w:color w:val="000000"/>
              </w:rPr>
              <w:t>Implementing good practices in transparency, reporting and audit to deliver effective accountability</w:t>
            </w:r>
          </w:p>
        </w:tc>
      </w:tr>
    </w:tbl>
    <w:p w14:paraId="0896EC2B" w14:textId="77777777" w:rsidR="008206CA" w:rsidRPr="00C566F6" w:rsidRDefault="008206CA" w:rsidP="008206CA">
      <w:pPr>
        <w:pStyle w:val="NoSpacing"/>
      </w:pPr>
    </w:p>
    <w:p w14:paraId="20EED842" w14:textId="43A00C86" w:rsidR="008206CA" w:rsidRDefault="00516E75" w:rsidP="008206CA">
      <w:pPr>
        <w:ind w:left="-709"/>
        <w:rPr>
          <w:rFonts w:ascii="Arial" w:hAnsi="Arial" w:cs="Arial"/>
          <w:b/>
          <w:sz w:val="24"/>
          <w:szCs w:val="24"/>
        </w:rPr>
      </w:pPr>
      <w:r>
        <w:rPr>
          <w:noProof/>
        </w:rPr>
        <mc:AlternateContent>
          <mc:Choice Requires="wps">
            <w:drawing>
              <wp:anchor distT="45720" distB="45720" distL="114300" distR="114300" simplePos="0" relativeHeight="251668480" behindDoc="0" locked="0" layoutInCell="1" allowOverlap="1" wp14:anchorId="3F5817ED" wp14:editId="3497EE5C">
                <wp:simplePos x="0" y="0"/>
                <wp:positionH relativeFrom="margin">
                  <wp:posOffset>3114675</wp:posOffset>
                </wp:positionH>
                <wp:positionV relativeFrom="paragraph">
                  <wp:posOffset>292735</wp:posOffset>
                </wp:positionV>
                <wp:extent cx="2857500" cy="504825"/>
                <wp:effectExtent l="0" t="0" r="0" b="9525"/>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04825"/>
                        </a:xfrm>
                        <a:prstGeom prst="rect">
                          <a:avLst/>
                        </a:prstGeom>
                        <a:solidFill>
                          <a:srgbClr val="FFFFFF"/>
                        </a:solidFill>
                        <a:ln w="9525">
                          <a:solidFill>
                            <a:srgbClr val="000000"/>
                          </a:solidFill>
                          <a:miter lim="800000"/>
                          <a:headEnd/>
                          <a:tailEnd/>
                        </a:ln>
                      </wps:spPr>
                      <wps:txbx>
                        <w:txbxContent>
                          <w:p w14:paraId="60E8D284" w14:textId="77777777" w:rsidR="008206CA" w:rsidRPr="005C141F" w:rsidRDefault="008206CA" w:rsidP="008206CA">
                            <w:pPr>
                              <w:pStyle w:val="NoSpacing"/>
                              <w:shd w:val="clear" w:color="auto" w:fill="BFBFBF"/>
                              <w:jc w:val="center"/>
                              <w:rPr>
                                <w:b/>
                                <w:sz w:val="20"/>
                                <w:szCs w:val="20"/>
                              </w:rPr>
                            </w:pPr>
                            <w:r>
                              <w:rPr>
                                <w:rFonts w:ascii="Arial" w:hAnsi="Arial" w:cs="Arial"/>
                                <w:b/>
                                <w:sz w:val="24"/>
                                <w:szCs w:val="24"/>
                              </w:rPr>
                              <w:t>Implementing good practices in reporting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817ED" id="Text Box 82" o:spid="_x0000_s1062" type="#_x0000_t202" style="position:absolute;left:0;text-align:left;margin-left:245.25pt;margin-top:23.05pt;width:225pt;height:39.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">
                <v:textbox>
                  <w:txbxContent>
                    <w:p w14:paraId="60E8D284" w14:textId="77777777" w:rsidR="008206CA" w:rsidRPr="005C141F" w:rsidRDefault="008206CA" w:rsidP="008206CA">
                      <w:pPr>
                        <w:pStyle w:val="NoSpacing"/>
                        <w:shd w:val="clear" w:color="auto" w:fill="BFBFBF"/>
                        <w:jc w:val="center"/>
                        <w:rPr>
                          <w:b/>
                          <w:sz w:val="20"/>
                          <w:szCs w:val="20"/>
                        </w:rPr>
                      </w:pPr>
                      <w:r>
                        <w:rPr>
                          <w:rFonts w:ascii="Arial" w:hAnsi="Arial" w:cs="Arial"/>
                          <w:b/>
                          <w:sz w:val="24"/>
                          <w:szCs w:val="24"/>
                        </w:rPr>
                        <w:t>Implementing good practices in reporting</w:t>
                      </w:r>
                    </w:p>
                  </w:txbxContent>
                </v:textbox>
                <w10:wrap type="square"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319AC2C1" wp14:editId="7E374901">
                <wp:simplePos x="0" y="0"/>
                <wp:positionH relativeFrom="column">
                  <wp:posOffset>6410325</wp:posOffset>
                </wp:positionH>
                <wp:positionV relativeFrom="paragraph">
                  <wp:posOffset>302260</wp:posOffset>
                </wp:positionV>
                <wp:extent cx="2705100" cy="514350"/>
                <wp:effectExtent l="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14350"/>
                        </a:xfrm>
                        <a:prstGeom prst="rect">
                          <a:avLst/>
                        </a:prstGeom>
                        <a:solidFill>
                          <a:srgbClr val="FFFFFF"/>
                        </a:solidFill>
                        <a:ln w="9525">
                          <a:solidFill>
                            <a:srgbClr val="000000"/>
                          </a:solidFill>
                          <a:miter lim="800000"/>
                          <a:headEnd/>
                          <a:tailEnd/>
                        </a:ln>
                      </wps:spPr>
                      <wps:txbx>
                        <w:txbxContent>
                          <w:p w14:paraId="79B38F05" w14:textId="77777777" w:rsidR="008206CA" w:rsidRDefault="008206CA" w:rsidP="008206CA">
                            <w:pPr>
                              <w:shd w:val="clear" w:color="auto" w:fill="A6A6A6"/>
                              <w:jc w:val="center"/>
                            </w:pPr>
                            <w:r>
                              <w:rPr>
                                <w:rFonts w:ascii="Arial" w:hAnsi="Arial" w:cs="Arial"/>
                                <w:b/>
                                <w:sz w:val="24"/>
                                <w:szCs w:val="24"/>
                              </w:rPr>
                              <w:t>Assurance and effective accountability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AC2C1" id="Text Box 81" o:spid="_x0000_s1063" type="#_x0000_t202" style="position:absolute;left:0;text-align:left;margin-left:504.75pt;margin-top:23.8pt;width:213pt;height:4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">
                <v:textbox>
                  <w:txbxContent>
                    <w:p w14:paraId="79B38F05" w14:textId="77777777" w:rsidR="008206CA" w:rsidRDefault="008206CA" w:rsidP="008206CA">
                      <w:pPr>
                        <w:shd w:val="clear" w:color="auto" w:fill="A6A6A6"/>
                        <w:jc w:val="center"/>
                      </w:pPr>
                      <w:r>
                        <w:rPr>
                          <w:rFonts w:ascii="Arial" w:hAnsi="Arial" w:cs="Arial"/>
                          <w:b/>
                          <w:sz w:val="24"/>
                          <w:szCs w:val="24"/>
                        </w:rPr>
                        <w:t>Assurance and effective accountability</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192E2FEC" wp14:editId="21627F9B">
                <wp:simplePos x="0" y="0"/>
                <wp:positionH relativeFrom="margin">
                  <wp:posOffset>37465</wp:posOffset>
                </wp:positionH>
                <wp:positionV relativeFrom="paragraph">
                  <wp:posOffset>270510</wp:posOffset>
                </wp:positionV>
                <wp:extent cx="2771775" cy="523875"/>
                <wp:effectExtent l="0" t="0" r="9525" b="9525"/>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23875"/>
                        </a:xfrm>
                        <a:prstGeom prst="rect">
                          <a:avLst/>
                        </a:prstGeom>
                        <a:solidFill>
                          <a:srgbClr val="FFFFFF"/>
                        </a:solidFill>
                        <a:ln w="9525">
                          <a:solidFill>
                            <a:srgbClr val="000000"/>
                          </a:solidFill>
                          <a:miter lim="800000"/>
                          <a:headEnd/>
                          <a:tailEnd/>
                        </a:ln>
                      </wps:spPr>
                      <wps:txbx>
                        <w:txbxContent>
                          <w:p w14:paraId="4ABB65BC" w14:textId="77777777" w:rsidR="008206CA" w:rsidRPr="004A31FE" w:rsidRDefault="008206CA" w:rsidP="008206CA">
                            <w:pPr>
                              <w:shd w:val="clear" w:color="auto" w:fill="BFBFBF"/>
                              <w:jc w:val="center"/>
                              <w:rPr>
                                <w:b/>
                              </w:rPr>
                            </w:pPr>
                            <w:r>
                              <w:rPr>
                                <w:rFonts w:ascii="Arial" w:hAnsi="Arial" w:cs="Arial"/>
                                <w:b/>
                                <w:sz w:val="24"/>
                                <w:szCs w:val="24"/>
                              </w:rPr>
                              <w:t>Implementing good practice in transparency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E2FEC" id="Text Box 80" o:spid="_x0000_s1064" type="#_x0000_t202" style="position:absolute;left:0;text-align:left;margin-left:2.95pt;margin-top:21.3pt;width:218.25pt;height:41.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">
                <v:textbox>
                  <w:txbxContent>
                    <w:p w14:paraId="4ABB65BC" w14:textId="77777777" w:rsidR="008206CA" w:rsidRPr="004A31FE" w:rsidRDefault="008206CA" w:rsidP="008206CA">
                      <w:pPr>
                        <w:shd w:val="clear" w:color="auto" w:fill="BFBFBF"/>
                        <w:jc w:val="center"/>
                        <w:rPr>
                          <w:b/>
                        </w:rPr>
                      </w:pPr>
                      <w:r>
                        <w:rPr>
                          <w:rFonts w:ascii="Arial" w:hAnsi="Arial" w:cs="Arial"/>
                          <w:b/>
                          <w:sz w:val="24"/>
                          <w:szCs w:val="24"/>
                        </w:rPr>
                        <w:t>Implementing good practice in transparency</w:t>
                      </w:r>
                    </w:p>
                  </w:txbxContent>
                </v:textbox>
                <w10:wrap type="square" anchorx="margin"/>
              </v:shape>
            </w:pict>
          </mc:Fallback>
        </mc:AlternateContent>
      </w:r>
      <w:r w:rsidR="008206CA">
        <w:rPr>
          <w:rFonts w:ascii="Arial" w:hAnsi="Arial" w:cs="Arial"/>
          <w:b/>
          <w:sz w:val="24"/>
          <w:szCs w:val="24"/>
        </w:rPr>
        <w:tab/>
        <w:t>Sub Principles:</w:t>
      </w:r>
      <w:r w:rsidR="008206CA" w:rsidRPr="004A31FE">
        <w:rPr>
          <w:rFonts w:ascii="Arial" w:hAnsi="Arial" w:cs="Arial"/>
          <w:sz w:val="24"/>
          <w:szCs w:val="24"/>
        </w:rPr>
        <w:tab/>
      </w:r>
      <w:r w:rsidR="008206CA" w:rsidRPr="004A31FE">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r w:rsidR="008206CA">
        <w:rPr>
          <w:rFonts w:ascii="Arial" w:hAnsi="Arial" w:cs="Arial"/>
          <w:sz w:val="24"/>
          <w:szCs w:val="24"/>
        </w:rPr>
        <w:tab/>
      </w:r>
    </w:p>
    <w:p w14:paraId="05EB1D05" w14:textId="6EE3B3D1" w:rsidR="008206CA" w:rsidRPr="00672628" w:rsidRDefault="00516E75" w:rsidP="008206CA">
      <w:pPr>
        <w:pStyle w:val="NoSpacing"/>
      </w:pPr>
      <w:r>
        <w:rPr>
          <w:noProof/>
        </w:rPr>
        <mc:AlternateContent>
          <mc:Choice Requires="wps">
            <w:drawing>
              <wp:anchor distT="0" distB="0" distL="114300" distR="114300" simplePos="0" relativeHeight="251671552" behindDoc="0" locked="0" layoutInCell="1" allowOverlap="1" wp14:anchorId="1BF120FE" wp14:editId="330200C1">
                <wp:simplePos x="0" y="0"/>
                <wp:positionH relativeFrom="column">
                  <wp:posOffset>5951220</wp:posOffset>
                </wp:positionH>
                <wp:positionV relativeFrom="paragraph">
                  <wp:posOffset>699770</wp:posOffset>
                </wp:positionV>
                <wp:extent cx="3600450" cy="4472940"/>
                <wp:effectExtent l="0" t="0" r="0" b="3810"/>
                <wp:wrapNone/>
                <wp:docPr id="79"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0" cy="4472940"/>
                        </a:xfrm>
                        <a:prstGeom prst="roundRect">
                          <a:avLst/>
                        </a:prstGeom>
                        <a:solidFill>
                          <a:srgbClr val="4F81BD"/>
                        </a:solidFill>
                        <a:ln w="25400" cap="flat" cmpd="sng" algn="ctr">
                          <a:solidFill>
                            <a:srgbClr val="4F81BD">
                              <a:shade val="50000"/>
                            </a:srgbClr>
                          </a:solidFill>
                          <a:prstDash val="solid"/>
                        </a:ln>
                        <a:effectLst/>
                      </wps:spPr>
                      <wps:txbx>
                        <w:txbxContent>
                          <w:p w14:paraId="73F1EFF7"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Through the assurance mechanisms set out below the Council can demonstrate effective accountability:</w:t>
                            </w:r>
                          </w:p>
                          <w:p w14:paraId="238FDF2D"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The Internal Audit work plan provides assurance on the council’s control mechanisms, risk management and governance arrangements which is monitored by the Governance &amp; Audit Committee.</w:t>
                            </w:r>
                          </w:p>
                          <w:p w14:paraId="61719258"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 xml:space="preserve">All agreed actions from Internal Audit reviews are monitored. </w:t>
                            </w:r>
                          </w:p>
                          <w:p w14:paraId="5D08215E"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Reports and plans to implement Audit Wales and Internal Audit recommendations reported (as relevant) to Scrutiny and Governance &amp; Audit Committee.</w:t>
                            </w:r>
                          </w:p>
                          <w:p w14:paraId="1BF50677"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 xml:space="preserve">Peer Review and inspection from regulatory bodies and external compliance reviews which are reported to CMT/Cabinet and used to improve service delivery. </w:t>
                            </w:r>
                          </w:p>
                          <w:p w14:paraId="2205CB9D"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There is Scrutiny and audit review of Audit Wales reports and action plans.</w:t>
                            </w:r>
                          </w:p>
                          <w:p w14:paraId="53610B58"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Assurance on risks associated with delivery of services through third parties is achieved by:</w:t>
                            </w:r>
                          </w:p>
                          <w:p w14:paraId="4CFD097B" w14:textId="77777777" w:rsidR="008206CA" w:rsidRPr="008206CA" w:rsidRDefault="008206CA" w:rsidP="008206CA">
                            <w:pPr>
                              <w:pStyle w:val="ListParagraph"/>
                              <w:numPr>
                                <w:ilvl w:val="0"/>
                                <w:numId w:val="65"/>
                              </w:numPr>
                              <w:autoSpaceDE w:val="0"/>
                              <w:autoSpaceDN w:val="0"/>
                              <w:adjustRightInd w:val="0"/>
                              <w:spacing w:before="0" w:after="0" w:line="240" w:lineRule="auto"/>
                              <w:rPr>
                                <w:rFonts w:cs="Arial"/>
                                <w:color w:val="FFFFFF"/>
                                <w:sz w:val="20"/>
                                <w:szCs w:val="20"/>
                              </w:rPr>
                            </w:pPr>
                            <w:r w:rsidRPr="008206CA">
                              <w:rPr>
                                <w:rFonts w:cs="Arial"/>
                                <w:color w:val="FFFFFF"/>
                                <w:sz w:val="20"/>
                                <w:szCs w:val="20"/>
                              </w:rPr>
                              <w:t>Commissioning and monitoring arrangements and compliance with Contract Procedure Rules.</w:t>
                            </w:r>
                          </w:p>
                          <w:p w14:paraId="22619DB6" w14:textId="77777777" w:rsidR="008206CA" w:rsidRPr="008206CA" w:rsidRDefault="008206CA" w:rsidP="008206CA">
                            <w:pPr>
                              <w:pStyle w:val="ListParagraph"/>
                              <w:numPr>
                                <w:ilvl w:val="0"/>
                                <w:numId w:val="65"/>
                              </w:numPr>
                              <w:autoSpaceDE w:val="0"/>
                              <w:autoSpaceDN w:val="0"/>
                              <w:adjustRightInd w:val="0"/>
                              <w:spacing w:before="0" w:after="0" w:line="240" w:lineRule="auto"/>
                              <w:rPr>
                                <w:rFonts w:cs="Arial"/>
                                <w:color w:val="FFFFFF"/>
                                <w:sz w:val="20"/>
                                <w:szCs w:val="20"/>
                              </w:rPr>
                            </w:pPr>
                            <w:r w:rsidRPr="008206CA">
                              <w:rPr>
                                <w:rFonts w:cs="Arial"/>
                                <w:color w:val="FFFFFF"/>
                                <w:sz w:val="20"/>
                                <w:szCs w:val="20"/>
                              </w:rPr>
                              <w:t>SMAS reflect risk assessments in relation to partnership/third party working.</w:t>
                            </w:r>
                          </w:p>
                          <w:p w14:paraId="15EC036C" w14:textId="77777777" w:rsidR="008206CA" w:rsidRPr="008206CA" w:rsidRDefault="008206CA" w:rsidP="008206CA">
                            <w:pPr>
                              <w:pStyle w:val="Default"/>
                              <w:rPr>
                                <w:color w:val="FFFFFF"/>
                                <w:sz w:val="22"/>
                                <w:szCs w:val="22"/>
                              </w:rPr>
                            </w:pPr>
                          </w:p>
                          <w:p w14:paraId="1A4BF178" w14:textId="77777777" w:rsidR="008206CA" w:rsidRPr="008206CA" w:rsidRDefault="008206CA" w:rsidP="008206CA">
                            <w:pPr>
                              <w:pStyle w:val="Default"/>
                              <w:rPr>
                                <w:color w:val="FFFFFF"/>
                                <w:sz w:val="22"/>
                                <w:szCs w:val="22"/>
                              </w:rPr>
                            </w:pPr>
                          </w:p>
                          <w:p w14:paraId="6E7B5B03" w14:textId="77777777" w:rsidR="008206CA" w:rsidRDefault="008206CA" w:rsidP="008206CA">
                            <w:pPr>
                              <w:pStyle w:val="Default"/>
                              <w:rPr>
                                <w:sz w:val="22"/>
                                <w:szCs w:val="22"/>
                              </w:rPr>
                            </w:pPr>
                          </w:p>
                          <w:p w14:paraId="0D5F7ACE" w14:textId="77777777" w:rsidR="008206CA" w:rsidRDefault="008206CA" w:rsidP="008206CA">
                            <w:pPr>
                              <w:pStyle w:val="Default"/>
                              <w:rPr>
                                <w:sz w:val="22"/>
                                <w:szCs w:val="22"/>
                              </w:rPr>
                            </w:pPr>
                          </w:p>
                          <w:p w14:paraId="22F6D5ED" w14:textId="77777777" w:rsidR="008206CA" w:rsidRDefault="008206CA" w:rsidP="008206CA">
                            <w:pPr>
                              <w:pStyle w:val="Default"/>
                              <w:rPr>
                                <w:sz w:val="22"/>
                                <w:szCs w:val="22"/>
                              </w:rPr>
                            </w:pPr>
                          </w:p>
                          <w:p w14:paraId="7279BB90" w14:textId="77777777" w:rsidR="008206CA" w:rsidRPr="00C02BB2" w:rsidRDefault="008206CA" w:rsidP="008206CA">
                            <w:pPr>
                              <w:pStyle w:val="Default"/>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120FE" id="Rectangle: Rounded Corners 79" o:spid="_x0000_s1065" style="position:absolute;margin-left:468.6pt;margin-top:55.1pt;width:283.5pt;height:35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" fillcolor="#4f81bd" strokecolor="#385d8a" strokeweight="2pt">
                <v:path arrowok="t"/>
                <v:textbox>
                  <w:txbxContent>
                    <w:p w14:paraId="73F1EFF7"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Through the assurance mechanisms set out below the Council can demonstrate effective accountability:</w:t>
                      </w:r>
                    </w:p>
                    <w:p w14:paraId="238FDF2D"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The Internal Audit work plan provides assurance on the council’s control mechanisms, risk management and governance arrangements which is monitored by the Governance &amp; Audit Committee.</w:t>
                      </w:r>
                    </w:p>
                    <w:p w14:paraId="61719258"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 xml:space="preserve">All agreed actions from Internal Audit reviews are monitored. </w:t>
                      </w:r>
                    </w:p>
                    <w:p w14:paraId="5D08215E"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Reports and plans to implement Audit Wales and Internal Audit recommendations reported (as relevant) to Scrutiny and Governance &amp; Audit Committee.</w:t>
                      </w:r>
                    </w:p>
                    <w:p w14:paraId="1BF50677"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 xml:space="preserve">Peer Review and inspection from regulatory bodies and external compliance reviews which are reported to CMT/Cabinet and used to improve service delivery. </w:t>
                      </w:r>
                    </w:p>
                    <w:p w14:paraId="2205CB9D"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There is Scrutiny and audit review of Audit Wales reports and action plans.</w:t>
                      </w:r>
                    </w:p>
                    <w:p w14:paraId="53610B58" w14:textId="77777777" w:rsidR="008206CA" w:rsidRPr="008206CA" w:rsidRDefault="008206CA" w:rsidP="008206CA">
                      <w:pPr>
                        <w:numPr>
                          <w:ilvl w:val="0"/>
                          <w:numId w:val="48"/>
                        </w:numPr>
                        <w:autoSpaceDE w:val="0"/>
                        <w:autoSpaceDN w:val="0"/>
                        <w:adjustRightInd w:val="0"/>
                        <w:rPr>
                          <w:rFonts w:ascii="Arial" w:hAnsi="Arial" w:cs="Arial"/>
                          <w:color w:val="FFFFFF"/>
                          <w:sz w:val="20"/>
                        </w:rPr>
                      </w:pPr>
                      <w:r w:rsidRPr="008206CA">
                        <w:rPr>
                          <w:rFonts w:ascii="Arial" w:hAnsi="Arial" w:cs="Arial"/>
                          <w:color w:val="FFFFFF"/>
                          <w:sz w:val="20"/>
                        </w:rPr>
                        <w:t>Assurance on risks associated with delivery of services through third parties is achieved by:</w:t>
                      </w:r>
                    </w:p>
                    <w:p w14:paraId="4CFD097B" w14:textId="77777777" w:rsidR="008206CA" w:rsidRPr="008206CA" w:rsidRDefault="008206CA" w:rsidP="008206CA">
                      <w:pPr>
                        <w:pStyle w:val="ListParagraph"/>
                        <w:numPr>
                          <w:ilvl w:val="0"/>
                          <w:numId w:val="65"/>
                        </w:numPr>
                        <w:autoSpaceDE w:val="0"/>
                        <w:autoSpaceDN w:val="0"/>
                        <w:adjustRightInd w:val="0"/>
                        <w:spacing w:before="0" w:after="0" w:line="240" w:lineRule="auto"/>
                        <w:rPr>
                          <w:rFonts w:cs="Arial"/>
                          <w:color w:val="FFFFFF"/>
                          <w:sz w:val="20"/>
                          <w:szCs w:val="20"/>
                        </w:rPr>
                      </w:pPr>
                      <w:r w:rsidRPr="008206CA">
                        <w:rPr>
                          <w:rFonts w:cs="Arial"/>
                          <w:color w:val="FFFFFF"/>
                          <w:sz w:val="20"/>
                          <w:szCs w:val="20"/>
                        </w:rPr>
                        <w:t>Commissioning and monitoring arrangements and compliance with Contract Procedure Rules.</w:t>
                      </w:r>
                    </w:p>
                    <w:p w14:paraId="22619DB6" w14:textId="77777777" w:rsidR="008206CA" w:rsidRPr="008206CA" w:rsidRDefault="008206CA" w:rsidP="008206CA">
                      <w:pPr>
                        <w:pStyle w:val="ListParagraph"/>
                        <w:numPr>
                          <w:ilvl w:val="0"/>
                          <w:numId w:val="65"/>
                        </w:numPr>
                        <w:autoSpaceDE w:val="0"/>
                        <w:autoSpaceDN w:val="0"/>
                        <w:adjustRightInd w:val="0"/>
                        <w:spacing w:before="0" w:after="0" w:line="240" w:lineRule="auto"/>
                        <w:rPr>
                          <w:rFonts w:cs="Arial"/>
                          <w:color w:val="FFFFFF"/>
                          <w:sz w:val="20"/>
                          <w:szCs w:val="20"/>
                        </w:rPr>
                      </w:pPr>
                      <w:r w:rsidRPr="008206CA">
                        <w:rPr>
                          <w:rFonts w:cs="Arial"/>
                          <w:color w:val="FFFFFF"/>
                          <w:sz w:val="20"/>
                          <w:szCs w:val="20"/>
                        </w:rPr>
                        <w:t>SMAS reflect risk assessments in relation to partnership/third party working.</w:t>
                      </w:r>
                    </w:p>
                    <w:p w14:paraId="15EC036C" w14:textId="77777777" w:rsidR="008206CA" w:rsidRPr="008206CA" w:rsidRDefault="008206CA" w:rsidP="008206CA">
                      <w:pPr>
                        <w:pStyle w:val="Default"/>
                        <w:rPr>
                          <w:color w:val="FFFFFF"/>
                          <w:sz w:val="22"/>
                          <w:szCs w:val="22"/>
                        </w:rPr>
                      </w:pPr>
                    </w:p>
                    <w:p w14:paraId="1A4BF178" w14:textId="77777777" w:rsidR="008206CA" w:rsidRPr="008206CA" w:rsidRDefault="008206CA" w:rsidP="008206CA">
                      <w:pPr>
                        <w:pStyle w:val="Default"/>
                        <w:rPr>
                          <w:color w:val="FFFFFF"/>
                          <w:sz w:val="22"/>
                          <w:szCs w:val="22"/>
                        </w:rPr>
                      </w:pPr>
                    </w:p>
                    <w:p w14:paraId="6E7B5B03" w14:textId="77777777" w:rsidR="008206CA" w:rsidRDefault="008206CA" w:rsidP="008206CA">
                      <w:pPr>
                        <w:pStyle w:val="Default"/>
                        <w:rPr>
                          <w:sz w:val="22"/>
                          <w:szCs w:val="22"/>
                        </w:rPr>
                      </w:pPr>
                    </w:p>
                    <w:p w14:paraId="0D5F7ACE" w14:textId="77777777" w:rsidR="008206CA" w:rsidRDefault="008206CA" w:rsidP="008206CA">
                      <w:pPr>
                        <w:pStyle w:val="Default"/>
                        <w:rPr>
                          <w:sz w:val="22"/>
                          <w:szCs w:val="22"/>
                        </w:rPr>
                      </w:pPr>
                    </w:p>
                    <w:p w14:paraId="22F6D5ED" w14:textId="77777777" w:rsidR="008206CA" w:rsidRDefault="008206CA" w:rsidP="008206CA">
                      <w:pPr>
                        <w:pStyle w:val="Default"/>
                        <w:rPr>
                          <w:sz w:val="22"/>
                          <w:szCs w:val="22"/>
                        </w:rPr>
                      </w:pPr>
                    </w:p>
                    <w:p w14:paraId="7279BB90" w14:textId="77777777" w:rsidR="008206CA" w:rsidRPr="00C02BB2" w:rsidRDefault="008206CA" w:rsidP="008206CA">
                      <w:pPr>
                        <w:pStyle w:val="Default"/>
                        <w:rPr>
                          <w:sz w:val="22"/>
                          <w:szCs w:val="22"/>
                        </w:rPr>
                      </w:pPr>
                    </w:p>
                  </w:txbxContent>
                </v:textbox>
              </v:roundrect>
            </w:pict>
          </mc:Fallback>
        </mc:AlternateContent>
      </w:r>
      <w:r w:rsidR="008206CA">
        <w:tab/>
      </w:r>
    </w:p>
    <w:p w14:paraId="27C4EF68" w14:textId="535B8937" w:rsidR="008206CA" w:rsidRPr="00663811" w:rsidRDefault="00516E75" w:rsidP="008206CA">
      <w:pPr>
        <w:ind w:left="-709"/>
        <w:rPr>
          <w:rFonts w:ascii="Arial" w:hAnsi="Arial" w:cs="Arial"/>
          <w:b/>
          <w:sz w:val="24"/>
          <w:szCs w:val="24"/>
        </w:rPr>
        <w:sectPr w:rsidR="008206CA" w:rsidRPr="00663811" w:rsidSect="00DE37F4">
          <w:headerReference w:type="default" r:id="rId29"/>
          <w:footerReference w:type="default" r:id="rId30"/>
          <w:pgSz w:w="16838" w:h="11906" w:orient="landscape" w:code="9"/>
          <w:pgMar w:top="1440" w:right="1440" w:bottom="1440" w:left="1440" w:header="709" w:footer="0" w:gutter="0"/>
          <w:cols w:space="708"/>
          <w:docGrid w:linePitch="360"/>
        </w:sectPr>
      </w:pPr>
      <w:r>
        <w:rPr>
          <w:noProof/>
        </w:rPr>
        <mc:AlternateContent>
          <mc:Choice Requires="wps">
            <w:drawing>
              <wp:anchor distT="0" distB="0" distL="114300" distR="114300" simplePos="0" relativeHeight="251670528" behindDoc="0" locked="0" layoutInCell="1" allowOverlap="1" wp14:anchorId="0C8B62DA" wp14:editId="53147864">
                <wp:simplePos x="0" y="0"/>
                <wp:positionH relativeFrom="column">
                  <wp:posOffset>2647950</wp:posOffset>
                </wp:positionH>
                <wp:positionV relativeFrom="paragraph">
                  <wp:posOffset>262255</wp:posOffset>
                </wp:positionV>
                <wp:extent cx="3190875" cy="4065270"/>
                <wp:effectExtent l="0" t="0" r="9525" b="0"/>
                <wp:wrapNone/>
                <wp:docPr id="78"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4065270"/>
                        </a:xfrm>
                        <a:prstGeom prst="roundRect">
                          <a:avLst/>
                        </a:prstGeom>
                        <a:solidFill>
                          <a:srgbClr val="4F81BD"/>
                        </a:solidFill>
                        <a:ln w="25400" cap="flat" cmpd="sng" algn="ctr">
                          <a:solidFill>
                            <a:srgbClr val="4F81BD">
                              <a:shade val="50000"/>
                            </a:srgbClr>
                          </a:solidFill>
                          <a:prstDash val="solid"/>
                        </a:ln>
                        <a:effectLst/>
                      </wps:spPr>
                      <wps:txbx>
                        <w:txbxContent>
                          <w:p w14:paraId="5C120A4E" w14:textId="77777777" w:rsidR="008206CA" w:rsidRPr="008206CA" w:rsidRDefault="008206CA" w:rsidP="008206CA">
                            <w:pPr>
                              <w:numPr>
                                <w:ilvl w:val="0"/>
                                <w:numId w:val="49"/>
                              </w:numPr>
                              <w:autoSpaceDE w:val="0"/>
                              <w:autoSpaceDN w:val="0"/>
                              <w:adjustRightInd w:val="0"/>
                              <w:rPr>
                                <w:rFonts w:ascii="Arial" w:hAnsi="Arial" w:cs="Arial"/>
                                <w:color w:val="FFFFFF"/>
                                <w:sz w:val="20"/>
                              </w:rPr>
                            </w:pPr>
                            <w:r w:rsidRPr="008206CA">
                              <w:rPr>
                                <w:rFonts w:ascii="Arial" w:hAnsi="Arial" w:cs="Arial"/>
                                <w:color w:val="FFFFFF"/>
                                <w:sz w:val="20"/>
                              </w:rPr>
                              <w:t>The Council reports at least annually on performance as evidenced by:</w:t>
                            </w:r>
                          </w:p>
                          <w:p w14:paraId="3B223D09" w14:textId="77777777" w:rsidR="008206CA" w:rsidRPr="008206CA" w:rsidRDefault="008206CA" w:rsidP="008206CA">
                            <w:pPr>
                              <w:pStyle w:val="ListParagraph"/>
                              <w:numPr>
                                <w:ilvl w:val="0"/>
                                <w:numId w:val="64"/>
                              </w:numPr>
                              <w:autoSpaceDE w:val="0"/>
                              <w:autoSpaceDN w:val="0"/>
                              <w:adjustRightInd w:val="0"/>
                              <w:spacing w:before="0" w:after="0" w:line="240" w:lineRule="auto"/>
                              <w:rPr>
                                <w:rFonts w:cs="Arial"/>
                                <w:color w:val="FFFFFF"/>
                                <w:sz w:val="20"/>
                                <w:szCs w:val="20"/>
                              </w:rPr>
                            </w:pPr>
                            <w:r w:rsidRPr="008206CA">
                              <w:rPr>
                                <w:rFonts w:cs="Arial"/>
                                <w:color w:val="FFFFFF"/>
                                <w:sz w:val="20"/>
                                <w:szCs w:val="20"/>
                              </w:rPr>
                              <w:t>Quarterly and annual reports to Cabinet on performance.</w:t>
                            </w:r>
                          </w:p>
                          <w:p w14:paraId="2B8C4EEC" w14:textId="77777777" w:rsidR="008206CA" w:rsidRPr="008206CA" w:rsidRDefault="008206CA" w:rsidP="008206CA">
                            <w:pPr>
                              <w:pStyle w:val="ListParagraph"/>
                              <w:numPr>
                                <w:ilvl w:val="0"/>
                                <w:numId w:val="64"/>
                              </w:numPr>
                              <w:autoSpaceDE w:val="0"/>
                              <w:autoSpaceDN w:val="0"/>
                              <w:adjustRightInd w:val="0"/>
                              <w:spacing w:before="0" w:after="0" w:line="240" w:lineRule="auto"/>
                              <w:rPr>
                                <w:rFonts w:cs="Arial"/>
                                <w:color w:val="FFFFFF"/>
                                <w:sz w:val="20"/>
                                <w:szCs w:val="20"/>
                              </w:rPr>
                            </w:pPr>
                            <w:r w:rsidRPr="008206CA">
                              <w:rPr>
                                <w:rFonts w:cs="Arial"/>
                                <w:color w:val="FFFFFF"/>
                                <w:sz w:val="20"/>
                                <w:szCs w:val="20"/>
                              </w:rPr>
                              <w:t>An annual Review of Performance report setting out how the Council has performed in meeting its Corporate Objectives.</w:t>
                            </w:r>
                          </w:p>
                          <w:p w14:paraId="40BC869B" w14:textId="77777777" w:rsidR="008206CA" w:rsidRPr="008206CA" w:rsidRDefault="008206CA" w:rsidP="008206CA">
                            <w:pPr>
                              <w:pStyle w:val="ListParagraph"/>
                              <w:numPr>
                                <w:ilvl w:val="0"/>
                                <w:numId w:val="64"/>
                              </w:numPr>
                              <w:autoSpaceDE w:val="0"/>
                              <w:autoSpaceDN w:val="0"/>
                              <w:adjustRightInd w:val="0"/>
                              <w:spacing w:before="0" w:after="0" w:line="240" w:lineRule="auto"/>
                              <w:rPr>
                                <w:rFonts w:cs="Arial"/>
                                <w:color w:val="FFFFFF"/>
                                <w:sz w:val="20"/>
                                <w:szCs w:val="20"/>
                              </w:rPr>
                            </w:pPr>
                            <w:r w:rsidRPr="008206CA">
                              <w:rPr>
                                <w:rFonts w:cs="Arial"/>
                                <w:color w:val="FFFFFF"/>
                                <w:sz w:val="20"/>
                                <w:szCs w:val="20"/>
                              </w:rPr>
                              <w:t>The Annual Statement of Accounts audited by external auditor and approved by Council and published demonstrates how the Council has achieved performance, value for money and the stewardship of resources.</w:t>
                            </w:r>
                          </w:p>
                          <w:p w14:paraId="1B84BE1B" w14:textId="77777777" w:rsidR="008206CA" w:rsidRPr="008206CA" w:rsidRDefault="008206CA" w:rsidP="008206CA">
                            <w:pPr>
                              <w:numPr>
                                <w:ilvl w:val="0"/>
                                <w:numId w:val="49"/>
                              </w:numPr>
                              <w:autoSpaceDE w:val="0"/>
                              <w:autoSpaceDN w:val="0"/>
                              <w:adjustRightInd w:val="0"/>
                              <w:rPr>
                                <w:rFonts w:ascii="Arial" w:hAnsi="Arial" w:cs="Arial"/>
                                <w:color w:val="FFFFFF"/>
                                <w:sz w:val="20"/>
                              </w:rPr>
                            </w:pPr>
                            <w:r w:rsidRPr="008206CA">
                              <w:rPr>
                                <w:rFonts w:ascii="Arial" w:hAnsi="Arial" w:cs="Arial"/>
                                <w:color w:val="FFFFFF"/>
                                <w:sz w:val="20"/>
                              </w:rPr>
                              <w:t xml:space="preserve">Senior Managers complete Self-Assessment &amp; Management Assurance Statements (SMAS) reflecting performance against governance, risk management and internal control. The SMAS contribute to the Annual Governance Statement.  </w:t>
                            </w:r>
                          </w:p>
                          <w:p w14:paraId="4E7DC476" w14:textId="77777777" w:rsidR="008206CA" w:rsidRPr="008206CA" w:rsidRDefault="008206CA" w:rsidP="008206CA">
                            <w:pPr>
                              <w:numPr>
                                <w:ilvl w:val="0"/>
                                <w:numId w:val="49"/>
                              </w:numPr>
                              <w:autoSpaceDE w:val="0"/>
                              <w:autoSpaceDN w:val="0"/>
                              <w:adjustRightInd w:val="0"/>
                              <w:rPr>
                                <w:rFonts w:ascii="Arial" w:hAnsi="Arial" w:cs="Arial"/>
                                <w:color w:val="FFFFFF"/>
                                <w:sz w:val="20"/>
                              </w:rPr>
                            </w:pPr>
                            <w:r w:rsidRPr="008206CA">
                              <w:rPr>
                                <w:rFonts w:ascii="Arial" w:hAnsi="Arial" w:cs="Arial"/>
                                <w:color w:val="FFFFFF"/>
                                <w:sz w:val="20"/>
                              </w:rPr>
                              <w:t>The Council have adopted the Code of Corporate Governance based on CIPFA framework.</w:t>
                            </w:r>
                          </w:p>
                          <w:p w14:paraId="49E6B49D" w14:textId="77777777" w:rsidR="008206CA" w:rsidRPr="008206CA" w:rsidRDefault="008206CA" w:rsidP="008206CA">
                            <w:pPr>
                              <w:autoSpaceDE w:val="0"/>
                              <w:autoSpaceDN w:val="0"/>
                              <w:adjustRightInd w:val="0"/>
                              <w:ind w:left="360"/>
                              <w:rPr>
                                <w:rFonts w:ascii="Arial" w:hAnsi="Arial" w:cs="Arial"/>
                                <w:color w:val="FFFFFF"/>
                              </w:rPr>
                            </w:pPr>
                          </w:p>
                          <w:p w14:paraId="32ABCB65" w14:textId="77777777" w:rsidR="008206CA" w:rsidRPr="008206CA" w:rsidRDefault="008206CA" w:rsidP="008206CA">
                            <w:pPr>
                              <w:autoSpaceDE w:val="0"/>
                              <w:autoSpaceDN w:val="0"/>
                              <w:adjustRightInd w:val="0"/>
                              <w:rPr>
                                <w:rFonts w:ascii="Arial" w:hAnsi="Arial" w:cs="Arial"/>
                                <w:color w:val="FFFFFF"/>
                              </w:rPr>
                            </w:pPr>
                          </w:p>
                          <w:p w14:paraId="03A6ABCD" w14:textId="77777777" w:rsidR="008206CA" w:rsidRDefault="008206CA" w:rsidP="008206CA">
                            <w:pPr>
                              <w:autoSpaceDE w:val="0"/>
                              <w:autoSpaceDN w:val="0"/>
                              <w:adjustRightInd w:val="0"/>
                              <w:rPr>
                                <w:rFonts w:ascii="Arial" w:hAnsi="Arial" w:cs="Arial"/>
                                <w:color w:val="000000"/>
                                <w:sz w:val="24"/>
                                <w:szCs w:val="24"/>
                              </w:rPr>
                            </w:pPr>
                          </w:p>
                          <w:p w14:paraId="2C197D3D" w14:textId="77777777" w:rsidR="008206CA" w:rsidRPr="00672628" w:rsidRDefault="008206CA" w:rsidP="008206CA">
                            <w:pPr>
                              <w:autoSpaceDE w:val="0"/>
                              <w:autoSpaceDN w:val="0"/>
                              <w:adjustRightInd w:val="0"/>
                              <w:rPr>
                                <w:rFonts w:ascii="Arial" w:hAnsi="Arial" w:cs="Arial"/>
                                <w:color w:val="000000"/>
                                <w:sz w:val="24"/>
                                <w:szCs w:val="24"/>
                              </w:rPr>
                            </w:pPr>
                          </w:p>
                          <w:p w14:paraId="68E6559D" w14:textId="77777777" w:rsidR="008206CA" w:rsidRDefault="008206CA" w:rsidP="008206CA">
                            <w:pPr>
                              <w:pStyle w:val="Default"/>
                            </w:pPr>
                          </w:p>
                          <w:p w14:paraId="676F5AAC" w14:textId="77777777" w:rsidR="008206CA" w:rsidRDefault="008206CA" w:rsidP="008206CA">
                            <w:pPr>
                              <w:pStyle w:val="Default"/>
                            </w:pPr>
                          </w:p>
                          <w:p w14:paraId="35F6753E" w14:textId="77777777" w:rsidR="008206CA" w:rsidRDefault="008206CA" w:rsidP="008206CA">
                            <w:pPr>
                              <w:pStyle w:val="Default"/>
                            </w:pPr>
                          </w:p>
                          <w:p w14:paraId="4AFC8F8F" w14:textId="77777777" w:rsidR="008206CA" w:rsidRDefault="008206CA" w:rsidP="008206CA">
                            <w:pPr>
                              <w:pStyle w:val="Default"/>
                            </w:pPr>
                          </w:p>
                          <w:p w14:paraId="561C3817" w14:textId="77777777" w:rsidR="008206CA" w:rsidRDefault="008206CA" w:rsidP="008206CA">
                            <w:pPr>
                              <w:pStyle w:val="Default"/>
                            </w:pPr>
                          </w:p>
                          <w:p w14:paraId="13A0ADB7" w14:textId="77777777" w:rsidR="008206CA" w:rsidRDefault="008206CA" w:rsidP="008206CA">
                            <w:pPr>
                              <w:pStyle w:val="Default"/>
                            </w:pPr>
                          </w:p>
                          <w:p w14:paraId="1634F36A" w14:textId="77777777" w:rsidR="008206CA" w:rsidRDefault="008206CA" w:rsidP="008206CA">
                            <w:pPr>
                              <w:rPr>
                                <w:sz w:val="20"/>
                              </w:rPr>
                            </w:pPr>
                          </w:p>
                          <w:p w14:paraId="086AEA40" w14:textId="77777777" w:rsidR="008206CA" w:rsidRPr="002C4072" w:rsidRDefault="008206CA" w:rsidP="008206CA">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B62DA" id="Rectangle: Rounded Corners 78" o:spid="_x0000_s1066" style="position:absolute;left:0;text-align:left;margin-left:208.5pt;margin-top:20.65pt;width:251.25pt;height:32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" fillcolor="#4f81bd" strokecolor="#385d8a" strokeweight="2pt">
                <v:path arrowok="t"/>
                <v:textbox>
                  <w:txbxContent>
                    <w:p w14:paraId="5C120A4E" w14:textId="77777777" w:rsidR="008206CA" w:rsidRPr="008206CA" w:rsidRDefault="008206CA" w:rsidP="008206CA">
                      <w:pPr>
                        <w:numPr>
                          <w:ilvl w:val="0"/>
                          <w:numId w:val="49"/>
                        </w:numPr>
                        <w:autoSpaceDE w:val="0"/>
                        <w:autoSpaceDN w:val="0"/>
                        <w:adjustRightInd w:val="0"/>
                        <w:rPr>
                          <w:rFonts w:ascii="Arial" w:hAnsi="Arial" w:cs="Arial"/>
                          <w:color w:val="FFFFFF"/>
                          <w:sz w:val="20"/>
                        </w:rPr>
                      </w:pPr>
                      <w:r w:rsidRPr="008206CA">
                        <w:rPr>
                          <w:rFonts w:ascii="Arial" w:hAnsi="Arial" w:cs="Arial"/>
                          <w:color w:val="FFFFFF"/>
                          <w:sz w:val="20"/>
                        </w:rPr>
                        <w:t>The Council reports at least annually on performance as evidenced by:</w:t>
                      </w:r>
                    </w:p>
                    <w:p w14:paraId="3B223D09" w14:textId="77777777" w:rsidR="008206CA" w:rsidRPr="008206CA" w:rsidRDefault="008206CA" w:rsidP="008206CA">
                      <w:pPr>
                        <w:pStyle w:val="ListParagraph"/>
                        <w:numPr>
                          <w:ilvl w:val="0"/>
                          <w:numId w:val="64"/>
                        </w:numPr>
                        <w:autoSpaceDE w:val="0"/>
                        <w:autoSpaceDN w:val="0"/>
                        <w:adjustRightInd w:val="0"/>
                        <w:spacing w:before="0" w:after="0" w:line="240" w:lineRule="auto"/>
                        <w:rPr>
                          <w:rFonts w:cs="Arial"/>
                          <w:color w:val="FFFFFF"/>
                          <w:sz w:val="20"/>
                          <w:szCs w:val="20"/>
                        </w:rPr>
                      </w:pPr>
                      <w:r w:rsidRPr="008206CA">
                        <w:rPr>
                          <w:rFonts w:cs="Arial"/>
                          <w:color w:val="FFFFFF"/>
                          <w:sz w:val="20"/>
                          <w:szCs w:val="20"/>
                        </w:rPr>
                        <w:t>Quarterly and annual reports to Cabinet on performance.</w:t>
                      </w:r>
                    </w:p>
                    <w:p w14:paraId="2B8C4EEC" w14:textId="77777777" w:rsidR="008206CA" w:rsidRPr="008206CA" w:rsidRDefault="008206CA" w:rsidP="008206CA">
                      <w:pPr>
                        <w:pStyle w:val="ListParagraph"/>
                        <w:numPr>
                          <w:ilvl w:val="0"/>
                          <w:numId w:val="64"/>
                        </w:numPr>
                        <w:autoSpaceDE w:val="0"/>
                        <w:autoSpaceDN w:val="0"/>
                        <w:adjustRightInd w:val="0"/>
                        <w:spacing w:before="0" w:after="0" w:line="240" w:lineRule="auto"/>
                        <w:rPr>
                          <w:rFonts w:cs="Arial"/>
                          <w:color w:val="FFFFFF"/>
                          <w:sz w:val="20"/>
                          <w:szCs w:val="20"/>
                        </w:rPr>
                      </w:pPr>
                      <w:r w:rsidRPr="008206CA">
                        <w:rPr>
                          <w:rFonts w:cs="Arial"/>
                          <w:color w:val="FFFFFF"/>
                          <w:sz w:val="20"/>
                          <w:szCs w:val="20"/>
                        </w:rPr>
                        <w:t>An annual Review of Performance report setting out how the Council has performed in meeting its Corporate Objectives.</w:t>
                      </w:r>
                    </w:p>
                    <w:p w14:paraId="40BC869B" w14:textId="77777777" w:rsidR="008206CA" w:rsidRPr="008206CA" w:rsidRDefault="008206CA" w:rsidP="008206CA">
                      <w:pPr>
                        <w:pStyle w:val="ListParagraph"/>
                        <w:numPr>
                          <w:ilvl w:val="0"/>
                          <w:numId w:val="64"/>
                        </w:numPr>
                        <w:autoSpaceDE w:val="0"/>
                        <w:autoSpaceDN w:val="0"/>
                        <w:adjustRightInd w:val="0"/>
                        <w:spacing w:before="0" w:after="0" w:line="240" w:lineRule="auto"/>
                        <w:rPr>
                          <w:rFonts w:cs="Arial"/>
                          <w:color w:val="FFFFFF"/>
                          <w:sz w:val="20"/>
                          <w:szCs w:val="20"/>
                        </w:rPr>
                      </w:pPr>
                      <w:r w:rsidRPr="008206CA">
                        <w:rPr>
                          <w:rFonts w:cs="Arial"/>
                          <w:color w:val="FFFFFF"/>
                          <w:sz w:val="20"/>
                          <w:szCs w:val="20"/>
                        </w:rPr>
                        <w:t>The Annual Statement of Accounts audited by external auditor and approved by Council and published demonstrates how the Council has achieved performance, value for money and the stewardship of resources.</w:t>
                      </w:r>
                    </w:p>
                    <w:p w14:paraId="1B84BE1B" w14:textId="77777777" w:rsidR="008206CA" w:rsidRPr="008206CA" w:rsidRDefault="008206CA" w:rsidP="008206CA">
                      <w:pPr>
                        <w:numPr>
                          <w:ilvl w:val="0"/>
                          <w:numId w:val="49"/>
                        </w:numPr>
                        <w:autoSpaceDE w:val="0"/>
                        <w:autoSpaceDN w:val="0"/>
                        <w:adjustRightInd w:val="0"/>
                        <w:rPr>
                          <w:rFonts w:ascii="Arial" w:hAnsi="Arial" w:cs="Arial"/>
                          <w:color w:val="FFFFFF"/>
                          <w:sz w:val="20"/>
                        </w:rPr>
                      </w:pPr>
                      <w:r w:rsidRPr="008206CA">
                        <w:rPr>
                          <w:rFonts w:ascii="Arial" w:hAnsi="Arial" w:cs="Arial"/>
                          <w:color w:val="FFFFFF"/>
                          <w:sz w:val="20"/>
                        </w:rPr>
                        <w:t xml:space="preserve">Senior Managers complete Self-Assessment &amp; Management Assurance Statements (SMAS) reflecting performance against governance, risk management and internal control. The SMAS contribute to the Annual Governance Statement.  </w:t>
                      </w:r>
                    </w:p>
                    <w:p w14:paraId="4E7DC476" w14:textId="77777777" w:rsidR="008206CA" w:rsidRPr="008206CA" w:rsidRDefault="008206CA" w:rsidP="008206CA">
                      <w:pPr>
                        <w:numPr>
                          <w:ilvl w:val="0"/>
                          <w:numId w:val="49"/>
                        </w:numPr>
                        <w:autoSpaceDE w:val="0"/>
                        <w:autoSpaceDN w:val="0"/>
                        <w:adjustRightInd w:val="0"/>
                        <w:rPr>
                          <w:rFonts w:ascii="Arial" w:hAnsi="Arial" w:cs="Arial"/>
                          <w:color w:val="FFFFFF"/>
                          <w:sz w:val="20"/>
                        </w:rPr>
                      </w:pPr>
                      <w:r w:rsidRPr="008206CA">
                        <w:rPr>
                          <w:rFonts w:ascii="Arial" w:hAnsi="Arial" w:cs="Arial"/>
                          <w:color w:val="FFFFFF"/>
                          <w:sz w:val="20"/>
                        </w:rPr>
                        <w:t>The Council have adopted the Code of Corporate Governance based on CIPFA framework.</w:t>
                      </w:r>
                    </w:p>
                    <w:p w14:paraId="49E6B49D" w14:textId="77777777" w:rsidR="008206CA" w:rsidRPr="008206CA" w:rsidRDefault="008206CA" w:rsidP="008206CA">
                      <w:pPr>
                        <w:autoSpaceDE w:val="0"/>
                        <w:autoSpaceDN w:val="0"/>
                        <w:adjustRightInd w:val="0"/>
                        <w:ind w:left="360"/>
                        <w:rPr>
                          <w:rFonts w:ascii="Arial" w:hAnsi="Arial" w:cs="Arial"/>
                          <w:color w:val="FFFFFF"/>
                        </w:rPr>
                      </w:pPr>
                    </w:p>
                    <w:p w14:paraId="32ABCB65" w14:textId="77777777" w:rsidR="008206CA" w:rsidRPr="008206CA" w:rsidRDefault="008206CA" w:rsidP="008206CA">
                      <w:pPr>
                        <w:autoSpaceDE w:val="0"/>
                        <w:autoSpaceDN w:val="0"/>
                        <w:adjustRightInd w:val="0"/>
                        <w:rPr>
                          <w:rFonts w:ascii="Arial" w:hAnsi="Arial" w:cs="Arial"/>
                          <w:color w:val="FFFFFF"/>
                        </w:rPr>
                      </w:pPr>
                    </w:p>
                    <w:p w14:paraId="03A6ABCD" w14:textId="77777777" w:rsidR="008206CA" w:rsidRDefault="008206CA" w:rsidP="008206CA">
                      <w:pPr>
                        <w:autoSpaceDE w:val="0"/>
                        <w:autoSpaceDN w:val="0"/>
                        <w:adjustRightInd w:val="0"/>
                        <w:rPr>
                          <w:rFonts w:ascii="Arial" w:hAnsi="Arial" w:cs="Arial"/>
                          <w:color w:val="000000"/>
                          <w:sz w:val="24"/>
                          <w:szCs w:val="24"/>
                        </w:rPr>
                      </w:pPr>
                    </w:p>
                    <w:p w14:paraId="2C197D3D" w14:textId="77777777" w:rsidR="008206CA" w:rsidRPr="00672628" w:rsidRDefault="008206CA" w:rsidP="008206CA">
                      <w:pPr>
                        <w:autoSpaceDE w:val="0"/>
                        <w:autoSpaceDN w:val="0"/>
                        <w:adjustRightInd w:val="0"/>
                        <w:rPr>
                          <w:rFonts w:ascii="Arial" w:hAnsi="Arial" w:cs="Arial"/>
                          <w:color w:val="000000"/>
                          <w:sz w:val="24"/>
                          <w:szCs w:val="24"/>
                        </w:rPr>
                      </w:pPr>
                    </w:p>
                    <w:p w14:paraId="68E6559D" w14:textId="77777777" w:rsidR="008206CA" w:rsidRDefault="008206CA" w:rsidP="008206CA">
                      <w:pPr>
                        <w:pStyle w:val="Default"/>
                      </w:pPr>
                    </w:p>
                    <w:p w14:paraId="676F5AAC" w14:textId="77777777" w:rsidR="008206CA" w:rsidRDefault="008206CA" w:rsidP="008206CA">
                      <w:pPr>
                        <w:pStyle w:val="Default"/>
                      </w:pPr>
                    </w:p>
                    <w:p w14:paraId="35F6753E" w14:textId="77777777" w:rsidR="008206CA" w:rsidRDefault="008206CA" w:rsidP="008206CA">
                      <w:pPr>
                        <w:pStyle w:val="Default"/>
                      </w:pPr>
                    </w:p>
                    <w:p w14:paraId="4AFC8F8F" w14:textId="77777777" w:rsidR="008206CA" w:rsidRDefault="008206CA" w:rsidP="008206CA">
                      <w:pPr>
                        <w:pStyle w:val="Default"/>
                      </w:pPr>
                    </w:p>
                    <w:p w14:paraId="561C3817" w14:textId="77777777" w:rsidR="008206CA" w:rsidRDefault="008206CA" w:rsidP="008206CA">
                      <w:pPr>
                        <w:pStyle w:val="Default"/>
                      </w:pPr>
                    </w:p>
                    <w:p w14:paraId="13A0ADB7" w14:textId="77777777" w:rsidR="008206CA" w:rsidRDefault="008206CA" w:rsidP="008206CA">
                      <w:pPr>
                        <w:pStyle w:val="Default"/>
                      </w:pPr>
                    </w:p>
                    <w:p w14:paraId="1634F36A" w14:textId="77777777" w:rsidR="008206CA" w:rsidRDefault="008206CA" w:rsidP="008206CA">
                      <w:pPr>
                        <w:rPr>
                          <w:sz w:val="20"/>
                        </w:rPr>
                      </w:pPr>
                    </w:p>
                    <w:p w14:paraId="086AEA40" w14:textId="77777777" w:rsidR="008206CA" w:rsidRPr="002C4072" w:rsidRDefault="008206CA" w:rsidP="008206CA">
                      <w:pPr>
                        <w:rPr>
                          <w:sz w:val="20"/>
                        </w:rPr>
                      </w:pP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5A5C0FF9" wp14:editId="4206DB86">
                <wp:simplePos x="0" y="0"/>
                <wp:positionH relativeFrom="margin">
                  <wp:posOffset>-619125</wp:posOffset>
                </wp:positionH>
                <wp:positionV relativeFrom="paragraph">
                  <wp:posOffset>214630</wp:posOffset>
                </wp:positionV>
                <wp:extent cx="3152775" cy="4095750"/>
                <wp:effectExtent l="0" t="0" r="9525" b="0"/>
                <wp:wrapNone/>
                <wp:docPr id="77" name="Rectangle: Rounded Corners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2775" cy="4095750"/>
                        </a:xfrm>
                        <a:prstGeom prst="roundRect">
                          <a:avLst/>
                        </a:prstGeom>
                        <a:solidFill>
                          <a:srgbClr val="4F81BD"/>
                        </a:solidFill>
                        <a:ln w="25400" cap="flat" cmpd="sng" algn="ctr">
                          <a:solidFill>
                            <a:srgbClr val="4F81BD">
                              <a:shade val="50000"/>
                            </a:srgbClr>
                          </a:solidFill>
                          <a:prstDash val="solid"/>
                        </a:ln>
                        <a:effectLst/>
                      </wps:spPr>
                      <wps:txbx>
                        <w:txbxContent>
                          <w:p w14:paraId="61955161" w14:textId="77777777" w:rsidR="008206CA" w:rsidRPr="008206CA" w:rsidRDefault="008206CA" w:rsidP="008206CA">
                            <w:pPr>
                              <w:numPr>
                                <w:ilvl w:val="0"/>
                                <w:numId w:val="50"/>
                              </w:numPr>
                              <w:autoSpaceDE w:val="0"/>
                              <w:autoSpaceDN w:val="0"/>
                              <w:adjustRightInd w:val="0"/>
                              <w:rPr>
                                <w:rFonts w:ascii="Arial" w:hAnsi="Arial" w:cs="Arial"/>
                                <w:color w:val="FFFFFF"/>
                                <w:sz w:val="20"/>
                              </w:rPr>
                            </w:pPr>
                            <w:r w:rsidRPr="008206CA">
                              <w:rPr>
                                <w:rFonts w:ascii="Arial" w:hAnsi="Arial" w:cs="Arial"/>
                                <w:color w:val="FFFFFF"/>
                                <w:sz w:val="20"/>
                              </w:rPr>
                              <w:t>The Council aims to present understandable and transparent reports for both stakeholders and the public which is supported by:-</w:t>
                            </w:r>
                          </w:p>
                          <w:p w14:paraId="385FE06A" w14:textId="77777777" w:rsidR="008206CA" w:rsidRPr="008206CA" w:rsidRDefault="008206CA" w:rsidP="008206CA">
                            <w:pPr>
                              <w:numPr>
                                <w:ilvl w:val="0"/>
                                <w:numId w:val="50"/>
                              </w:numPr>
                              <w:autoSpaceDE w:val="0"/>
                              <w:autoSpaceDN w:val="0"/>
                              <w:adjustRightInd w:val="0"/>
                              <w:rPr>
                                <w:rFonts w:ascii="Arial" w:hAnsi="Arial" w:cs="Arial"/>
                                <w:color w:val="FFFFFF"/>
                                <w:sz w:val="20"/>
                              </w:rPr>
                            </w:pPr>
                            <w:r w:rsidRPr="008206CA">
                              <w:rPr>
                                <w:rFonts w:ascii="Arial" w:hAnsi="Arial" w:cs="Arial"/>
                                <w:color w:val="FFFFFF"/>
                                <w:sz w:val="20"/>
                              </w:rPr>
                              <w:t xml:space="preserve">- A Report Authors Protocol which </w:t>
                            </w:r>
                          </w:p>
                          <w:p w14:paraId="513104BE" w14:textId="77777777" w:rsidR="008206CA" w:rsidRPr="008206CA" w:rsidRDefault="008206CA" w:rsidP="008206CA">
                            <w:pPr>
                              <w:autoSpaceDE w:val="0"/>
                              <w:autoSpaceDN w:val="0"/>
                              <w:adjustRightInd w:val="0"/>
                              <w:ind w:left="360"/>
                              <w:rPr>
                                <w:rFonts w:ascii="Arial" w:hAnsi="Arial" w:cs="Arial"/>
                                <w:color w:val="FFFFFF"/>
                                <w:sz w:val="20"/>
                              </w:rPr>
                            </w:pPr>
                            <w:r w:rsidRPr="008206CA">
                              <w:rPr>
                                <w:rFonts w:ascii="Arial" w:hAnsi="Arial" w:cs="Arial"/>
                                <w:color w:val="FFFFFF"/>
                                <w:sz w:val="20"/>
                              </w:rPr>
                              <w:t xml:space="preserve">  ensures consistency in reports.</w:t>
                            </w:r>
                          </w:p>
                          <w:p w14:paraId="608FDCBD" w14:textId="77777777" w:rsidR="008206CA" w:rsidRPr="008206CA" w:rsidRDefault="008206CA" w:rsidP="008206CA">
                            <w:pPr>
                              <w:autoSpaceDE w:val="0"/>
                              <w:autoSpaceDN w:val="0"/>
                              <w:adjustRightInd w:val="0"/>
                              <w:rPr>
                                <w:rFonts w:ascii="Arial" w:hAnsi="Arial" w:cs="Arial"/>
                                <w:color w:val="FFFFFF"/>
                                <w:sz w:val="20"/>
                              </w:rPr>
                            </w:pPr>
                            <w:r w:rsidRPr="008206CA">
                              <w:rPr>
                                <w:rFonts w:ascii="Arial" w:hAnsi="Arial" w:cs="Arial"/>
                                <w:color w:val="FFFFFF"/>
                                <w:sz w:val="20"/>
                              </w:rPr>
                              <w:t xml:space="preserve">      - A Clear Writing guide for     </w:t>
                            </w:r>
                          </w:p>
                          <w:p w14:paraId="0A143833" w14:textId="77777777" w:rsidR="008206CA" w:rsidRPr="008206CA" w:rsidRDefault="008206CA" w:rsidP="008206CA">
                            <w:pPr>
                              <w:autoSpaceDE w:val="0"/>
                              <w:autoSpaceDN w:val="0"/>
                              <w:adjustRightInd w:val="0"/>
                              <w:rPr>
                                <w:rFonts w:ascii="Arial" w:hAnsi="Arial" w:cs="Arial"/>
                                <w:color w:val="FFFFFF"/>
                                <w:sz w:val="20"/>
                              </w:rPr>
                            </w:pPr>
                            <w:r w:rsidRPr="008206CA">
                              <w:rPr>
                                <w:rFonts w:ascii="Arial" w:hAnsi="Arial" w:cs="Arial"/>
                                <w:color w:val="FFFFFF"/>
                                <w:sz w:val="20"/>
                              </w:rPr>
                              <w:t xml:space="preserve">         Officers.   </w:t>
                            </w:r>
                          </w:p>
                          <w:p w14:paraId="44BCA178" w14:textId="77777777" w:rsidR="008206CA" w:rsidRPr="008206CA" w:rsidRDefault="008206CA" w:rsidP="008206CA">
                            <w:pPr>
                              <w:autoSpaceDE w:val="0"/>
                              <w:autoSpaceDN w:val="0"/>
                              <w:adjustRightInd w:val="0"/>
                              <w:rPr>
                                <w:rFonts w:ascii="Arial" w:hAnsi="Arial" w:cs="Arial"/>
                                <w:color w:val="FFFFFF"/>
                                <w:sz w:val="20"/>
                              </w:rPr>
                            </w:pPr>
                            <w:r w:rsidRPr="008206CA">
                              <w:rPr>
                                <w:rFonts w:ascii="Arial" w:hAnsi="Arial" w:cs="Arial"/>
                                <w:color w:val="FFFFFF"/>
                                <w:sz w:val="20"/>
                              </w:rPr>
                              <w:t xml:space="preserve">      - All reports are signed off by</w:t>
                            </w:r>
                          </w:p>
                          <w:p w14:paraId="138B4121" w14:textId="77777777" w:rsidR="008206CA" w:rsidRPr="008206CA" w:rsidRDefault="008206CA" w:rsidP="008206CA">
                            <w:pPr>
                              <w:autoSpaceDE w:val="0"/>
                              <w:autoSpaceDN w:val="0"/>
                              <w:adjustRightInd w:val="0"/>
                              <w:rPr>
                                <w:rFonts w:ascii="Arial" w:hAnsi="Arial" w:cs="Arial"/>
                                <w:color w:val="FFFFFF"/>
                                <w:sz w:val="20"/>
                              </w:rPr>
                            </w:pPr>
                            <w:r w:rsidRPr="008206CA">
                              <w:rPr>
                                <w:rFonts w:ascii="Arial" w:hAnsi="Arial" w:cs="Arial"/>
                                <w:color w:val="FFFFFF"/>
                                <w:sz w:val="20"/>
                              </w:rPr>
                              <w:t xml:space="preserve">        Cabinet Member, legal, finance </w:t>
                            </w:r>
                          </w:p>
                          <w:p w14:paraId="604E3BDE" w14:textId="77777777" w:rsidR="008206CA" w:rsidRPr="008206CA" w:rsidRDefault="008206CA" w:rsidP="008206CA">
                            <w:pPr>
                              <w:autoSpaceDE w:val="0"/>
                              <w:autoSpaceDN w:val="0"/>
                              <w:adjustRightInd w:val="0"/>
                              <w:rPr>
                                <w:rFonts w:ascii="Arial" w:hAnsi="Arial" w:cs="Arial"/>
                                <w:color w:val="FFFFFF"/>
                                <w:sz w:val="20"/>
                              </w:rPr>
                            </w:pPr>
                            <w:r w:rsidRPr="008206CA">
                              <w:rPr>
                                <w:rFonts w:ascii="Arial" w:hAnsi="Arial" w:cs="Arial"/>
                                <w:color w:val="FFFFFF"/>
                                <w:sz w:val="20"/>
                              </w:rPr>
                              <w:t xml:space="preserve">        and Access to Services officers.</w:t>
                            </w:r>
                          </w:p>
                          <w:p w14:paraId="345BAC49" w14:textId="77777777" w:rsidR="008206CA" w:rsidRPr="008206CA" w:rsidRDefault="008206CA" w:rsidP="008206CA">
                            <w:pPr>
                              <w:pStyle w:val="ListParagraph"/>
                              <w:numPr>
                                <w:ilvl w:val="0"/>
                                <w:numId w:val="66"/>
                              </w:numPr>
                              <w:autoSpaceDE w:val="0"/>
                              <w:autoSpaceDN w:val="0"/>
                              <w:adjustRightInd w:val="0"/>
                              <w:spacing w:before="0" w:after="0" w:line="240" w:lineRule="auto"/>
                              <w:ind w:left="426" w:hanging="142"/>
                              <w:rPr>
                                <w:rFonts w:cs="Arial"/>
                                <w:color w:val="FFFFFF"/>
                                <w:sz w:val="20"/>
                                <w:szCs w:val="20"/>
                              </w:rPr>
                            </w:pPr>
                            <w:r w:rsidRPr="008206CA">
                              <w:rPr>
                                <w:rFonts w:cs="Arial"/>
                                <w:color w:val="FFFFFF"/>
                                <w:sz w:val="20"/>
                                <w:szCs w:val="20"/>
                              </w:rPr>
                              <w:t>The Council has a Publication Scheme which is available on the website.</w:t>
                            </w:r>
                          </w:p>
                          <w:p w14:paraId="3BED30EE" w14:textId="77777777" w:rsidR="008206CA" w:rsidRPr="008206CA" w:rsidRDefault="008206CA" w:rsidP="008206CA">
                            <w:pPr>
                              <w:pStyle w:val="ListParagraph"/>
                              <w:numPr>
                                <w:ilvl w:val="0"/>
                                <w:numId w:val="66"/>
                              </w:numPr>
                              <w:autoSpaceDE w:val="0"/>
                              <w:autoSpaceDN w:val="0"/>
                              <w:adjustRightInd w:val="0"/>
                              <w:spacing w:before="0" w:after="0" w:line="240" w:lineRule="auto"/>
                              <w:ind w:left="426" w:hanging="142"/>
                              <w:rPr>
                                <w:rFonts w:cs="Arial"/>
                                <w:color w:val="FFFFFF"/>
                                <w:sz w:val="20"/>
                                <w:szCs w:val="20"/>
                              </w:rPr>
                            </w:pPr>
                            <w:r w:rsidRPr="008206CA">
                              <w:rPr>
                                <w:rFonts w:cs="Arial"/>
                                <w:color w:val="FFFFFF"/>
                                <w:sz w:val="20"/>
                                <w:szCs w:val="20"/>
                              </w:rPr>
                              <w:t>Where possible exempt reports are split so that the main report can be heard in public with confidential information being a separate exempt report.</w:t>
                            </w:r>
                          </w:p>
                          <w:p w14:paraId="157AEE15" w14:textId="77777777" w:rsidR="008206CA" w:rsidRPr="008206CA" w:rsidRDefault="008206CA" w:rsidP="008206CA">
                            <w:pPr>
                              <w:pStyle w:val="ListParagraph"/>
                              <w:numPr>
                                <w:ilvl w:val="0"/>
                                <w:numId w:val="66"/>
                              </w:numPr>
                              <w:autoSpaceDE w:val="0"/>
                              <w:autoSpaceDN w:val="0"/>
                              <w:adjustRightInd w:val="0"/>
                              <w:spacing w:before="0" w:after="0" w:line="240" w:lineRule="auto"/>
                              <w:ind w:left="426" w:hanging="142"/>
                              <w:rPr>
                                <w:rFonts w:cs="Arial"/>
                                <w:color w:val="FFFFFF"/>
                                <w:sz w:val="20"/>
                                <w:szCs w:val="20"/>
                              </w:rPr>
                            </w:pPr>
                            <w:r w:rsidRPr="008206CA">
                              <w:rPr>
                                <w:rFonts w:cs="Arial"/>
                                <w:color w:val="FFFFFF"/>
                                <w:sz w:val="20"/>
                                <w:szCs w:val="20"/>
                              </w:rPr>
                              <w:t>Publication of delegated decisions.</w:t>
                            </w:r>
                          </w:p>
                          <w:p w14:paraId="280C6A61" w14:textId="77777777" w:rsidR="008206CA" w:rsidRPr="008206CA" w:rsidRDefault="008206CA" w:rsidP="008206CA">
                            <w:pPr>
                              <w:pStyle w:val="ListParagraph"/>
                              <w:numPr>
                                <w:ilvl w:val="0"/>
                                <w:numId w:val="66"/>
                              </w:numPr>
                              <w:autoSpaceDE w:val="0"/>
                              <w:autoSpaceDN w:val="0"/>
                              <w:adjustRightInd w:val="0"/>
                              <w:spacing w:before="0" w:after="0" w:line="240" w:lineRule="auto"/>
                              <w:ind w:left="426" w:hanging="142"/>
                              <w:rPr>
                                <w:rFonts w:cs="Arial"/>
                                <w:color w:val="FFFFFF"/>
                                <w:sz w:val="20"/>
                                <w:szCs w:val="20"/>
                              </w:rPr>
                            </w:pPr>
                            <w:r w:rsidRPr="008206CA">
                              <w:rPr>
                                <w:rFonts w:cs="Arial"/>
                                <w:color w:val="FFFFFF"/>
                                <w:sz w:val="20"/>
                                <w:szCs w:val="20"/>
                              </w:rPr>
                              <w:t>Reports are published on the website and agendas are published in the Welsh Language.</w:t>
                            </w:r>
                          </w:p>
                          <w:p w14:paraId="7F59E167" w14:textId="77777777" w:rsidR="008206CA" w:rsidRDefault="008206CA" w:rsidP="008206CA">
                            <w:pPr>
                              <w:pStyle w:val="Default"/>
                              <w:jc w:val="both"/>
                              <w:rPr>
                                <w:color w:val="auto"/>
                                <w:sz w:val="22"/>
                                <w:szCs w:val="22"/>
                              </w:rPr>
                            </w:pPr>
                          </w:p>
                          <w:p w14:paraId="36292846" w14:textId="77777777" w:rsidR="008206CA" w:rsidRDefault="008206CA" w:rsidP="008206CA">
                            <w:pPr>
                              <w:pStyle w:val="Default"/>
                              <w:jc w:val="both"/>
                              <w:rPr>
                                <w:color w:val="auto"/>
                                <w:sz w:val="22"/>
                                <w:szCs w:val="22"/>
                              </w:rPr>
                            </w:pPr>
                          </w:p>
                          <w:p w14:paraId="63FAE902" w14:textId="77777777" w:rsidR="008206CA" w:rsidRDefault="008206CA" w:rsidP="008206CA">
                            <w:pPr>
                              <w:pStyle w:val="Default"/>
                              <w:jc w:val="both"/>
                              <w:rPr>
                                <w:color w:val="auto"/>
                                <w:sz w:val="22"/>
                                <w:szCs w:val="22"/>
                              </w:rPr>
                            </w:pPr>
                          </w:p>
                          <w:p w14:paraId="2BC9DAED" w14:textId="77777777" w:rsidR="008206CA" w:rsidRDefault="008206CA" w:rsidP="008206CA">
                            <w:pPr>
                              <w:pStyle w:val="Default"/>
                              <w:jc w:val="both"/>
                              <w:rPr>
                                <w:color w:val="auto"/>
                                <w:sz w:val="22"/>
                                <w:szCs w:val="22"/>
                              </w:rPr>
                            </w:pPr>
                          </w:p>
                          <w:p w14:paraId="79E090D5" w14:textId="77777777" w:rsidR="008206CA" w:rsidRDefault="008206CA" w:rsidP="008206CA">
                            <w:pPr>
                              <w:pStyle w:val="Default"/>
                              <w:jc w:val="both"/>
                              <w:rPr>
                                <w:color w:val="auto"/>
                                <w:sz w:val="22"/>
                                <w:szCs w:val="22"/>
                              </w:rPr>
                            </w:pPr>
                          </w:p>
                          <w:p w14:paraId="37213A4F" w14:textId="77777777" w:rsidR="008206CA" w:rsidRDefault="008206CA" w:rsidP="008206CA">
                            <w:pPr>
                              <w:pStyle w:val="Default"/>
                              <w:jc w:val="both"/>
                              <w:rPr>
                                <w:color w:val="auto"/>
                                <w:sz w:val="22"/>
                                <w:szCs w:val="22"/>
                              </w:rPr>
                            </w:pPr>
                          </w:p>
                          <w:p w14:paraId="10C6B727" w14:textId="77777777" w:rsidR="008206CA" w:rsidRPr="008C2E69" w:rsidRDefault="008206CA" w:rsidP="008206CA">
                            <w:pPr>
                              <w:pStyle w:val="Default"/>
                              <w:jc w:val="both"/>
                            </w:pPr>
                          </w:p>
                          <w:p w14:paraId="326D0D77" w14:textId="77777777" w:rsidR="008206CA" w:rsidRDefault="008206CA" w:rsidP="008206CA">
                            <w:pPr>
                              <w:pStyle w:val="Default"/>
                              <w:ind w:left="360"/>
                              <w:rPr>
                                <w:sz w:val="22"/>
                                <w:szCs w:val="22"/>
                              </w:rPr>
                            </w:pPr>
                          </w:p>
                          <w:p w14:paraId="1CAA4DD9" w14:textId="77777777" w:rsidR="008206CA" w:rsidRPr="008C2E69" w:rsidRDefault="008206CA" w:rsidP="008206CA">
                            <w:pPr>
                              <w:pStyle w:val="Default"/>
                              <w:ind w:left="360"/>
                            </w:pPr>
                          </w:p>
                          <w:p w14:paraId="4C793979" w14:textId="77777777" w:rsidR="008206CA" w:rsidRDefault="008206CA" w:rsidP="008206CA">
                            <w:pPr>
                              <w:ind w:left="284" w:hanging="426"/>
                              <w:rPr>
                                <w:rFonts w:ascii="Arial" w:hAnsi="Arial" w:cs="Arial"/>
                              </w:rPr>
                            </w:pPr>
                          </w:p>
                          <w:p w14:paraId="619EC746" w14:textId="77777777" w:rsidR="008206CA" w:rsidRDefault="008206CA" w:rsidP="008206CA">
                            <w:pPr>
                              <w:ind w:left="284" w:hanging="426"/>
                              <w:rPr>
                                <w:rFonts w:ascii="Arial" w:hAnsi="Arial" w:cs="Arial"/>
                              </w:rPr>
                            </w:pPr>
                          </w:p>
                          <w:p w14:paraId="234FACFC" w14:textId="77777777" w:rsidR="008206CA" w:rsidRDefault="008206CA" w:rsidP="008206CA">
                            <w:pPr>
                              <w:ind w:left="284" w:hanging="426"/>
                              <w:rPr>
                                <w:rFonts w:ascii="Arial" w:hAnsi="Arial" w:cs="Arial"/>
                              </w:rPr>
                            </w:pPr>
                          </w:p>
                          <w:p w14:paraId="42AC103F" w14:textId="77777777" w:rsidR="008206CA" w:rsidRPr="008206CA" w:rsidRDefault="008206CA" w:rsidP="008206CA">
                            <w:pPr>
                              <w:ind w:left="284" w:hanging="426"/>
                              <w:rPr>
                                <w:rFonts w:ascii="Symbol" w:hAnsi="Symbol"/>
                                <w:highlight w:val="lightGra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C0FF9" id="Rectangle: Rounded Corners 77" o:spid="_x0000_s1067" style="position:absolute;left:0;text-align:left;margin-left:-48.75pt;margin-top:16.9pt;width:248.25pt;height:32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" fillcolor="#4f81bd" strokecolor="#385d8a" strokeweight="2pt">
                <v:path arrowok="t"/>
                <v:textbox>
                  <w:txbxContent>
                    <w:p w14:paraId="61955161" w14:textId="77777777" w:rsidR="008206CA" w:rsidRPr="008206CA" w:rsidRDefault="008206CA" w:rsidP="008206CA">
                      <w:pPr>
                        <w:numPr>
                          <w:ilvl w:val="0"/>
                          <w:numId w:val="50"/>
                        </w:numPr>
                        <w:autoSpaceDE w:val="0"/>
                        <w:autoSpaceDN w:val="0"/>
                        <w:adjustRightInd w:val="0"/>
                        <w:rPr>
                          <w:rFonts w:ascii="Arial" w:hAnsi="Arial" w:cs="Arial"/>
                          <w:color w:val="FFFFFF"/>
                          <w:sz w:val="20"/>
                        </w:rPr>
                      </w:pPr>
                      <w:r w:rsidRPr="008206CA">
                        <w:rPr>
                          <w:rFonts w:ascii="Arial" w:hAnsi="Arial" w:cs="Arial"/>
                          <w:color w:val="FFFFFF"/>
                          <w:sz w:val="20"/>
                        </w:rPr>
                        <w:t>The Council aims to present understandable and transparent reports for both stakeholders and the public which is supported by:-</w:t>
                      </w:r>
                    </w:p>
                    <w:p w14:paraId="385FE06A" w14:textId="77777777" w:rsidR="008206CA" w:rsidRPr="008206CA" w:rsidRDefault="008206CA" w:rsidP="008206CA">
                      <w:pPr>
                        <w:numPr>
                          <w:ilvl w:val="0"/>
                          <w:numId w:val="50"/>
                        </w:numPr>
                        <w:autoSpaceDE w:val="0"/>
                        <w:autoSpaceDN w:val="0"/>
                        <w:adjustRightInd w:val="0"/>
                        <w:rPr>
                          <w:rFonts w:ascii="Arial" w:hAnsi="Arial" w:cs="Arial"/>
                          <w:color w:val="FFFFFF"/>
                          <w:sz w:val="20"/>
                        </w:rPr>
                      </w:pPr>
                      <w:r w:rsidRPr="008206CA">
                        <w:rPr>
                          <w:rFonts w:ascii="Arial" w:hAnsi="Arial" w:cs="Arial"/>
                          <w:color w:val="FFFFFF"/>
                          <w:sz w:val="20"/>
                        </w:rPr>
                        <w:t xml:space="preserve">- A Report Authors Protocol which </w:t>
                      </w:r>
                    </w:p>
                    <w:p w14:paraId="513104BE" w14:textId="77777777" w:rsidR="008206CA" w:rsidRPr="008206CA" w:rsidRDefault="008206CA" w:rsidP="008206CA">
                      <w:pPr>
                        <w:autoSpaceDE w:val="0"/>
                        <w:autoSpaceDN w:val="0"/>
                        <w:adjustRightInd w:val="0"/>
                        <w:ind w:left="360"/>
                        <w:rPr>
                          <w:rFonts w:ascii="Arial" w:hAnsi="Arial" w:cs="Arial"/>
                          <w:color w:val="FFFFFF"/>
                          <w:sz w:val="20"/>
                        </w:rPr>
                      </w:pPr>
                      <w:r w:rsidRPr="008206CA">
                        <w:rPr>
                          <w:rFonts w:ascii="Arial" w:hAnsi="Arial" w:cs="Arial"/>
                          <w:color w:val="FFFFFF"/>
                          <w:sz w:val="20"/>
                        </w:rPr>
                        <w:t xml:space="preserve">  ensures consistency in reports.</w:t>
                      </w:r>
                    </w:p>
                    <w:p w14:paraId="608FDCBD" w14:textId="77777777" w:rsidR="008206CA" w:rsidRPr="008206CA" w:rsidRDefault="008206CA" w:rsidP="008206CA">
                      <w:pPr>
                        <w:autoSpaceDE w:val="0"/>
                        <w:autoSpaceDN w:val="0"/>
                        <w:adjustRightInd w:val="0"/>
                        <w:rPr>
                          <w:rFonts w:ascii="Arial" w:hAnsi="Arial" w:cs="Arial"/>
                          <w:color w:val="FFFFFF"/>
                          <w:sz w:val="20"/>
                        </w:rPr>
                      </w:pPr>
                      <w:r w:rsidRPr="008206CA">
                        <w:rPr>
                          <w:rFonts w:ascii="Arial" w:hAnsi="Arial" w:cs="Arial"/>
                          <w:color w:val="FFFFFF"/>
                          <w:sz w:val="20"/>
                        </w:rPr>
                        <w:t xml:space="preserve">      - A Clear Writing guide for     </w:t>
                      </w:r>
                    </w:p>
                    <w:p w14:paraId="0A143833" w14:textId="77777777" w:rsidR="008206CA" w:rsidRPr="008206CA" w:rsidRDefault="008206CA" w:rsidP="008206CA">
                      <w:pPr>
                        <w:autoSpaceDE w:val="0"/>
                        <w:autoSpaceDN w:val="0"/>
                        <w:adjustRightInd w:val="0"/>
                        <w:rPr>
                          <w:rFonts w:ascii="Arial" w:hAnsi="Arial" w:cs="Arial"/>
                          <w:color w:val="FFFFFF"/>
                          <w:sz w:val="20"/>
                        </w:rPr>
                      </w:pPr>
                      <w:r w:rsidRPr="008206CA">
                        <w:rPr>
                          <w:rFonts w:ascii="Arial" w:hAnsi="Arial" w:cs="Arial"/>
                          <w:color w:val="FFFFFF"/>
                          <w:sz w:val="20"/>
                        </w:rPr>
                        <w:t xml:space="preserve">         Officers.   </w:t>
                      </w:r>
                    </w:p>
                    <w:p w14:paraId="44BCA178" w14:textId="77777777" w:rsidR="008206CA" w:rsidRPr="008206CA" w:rsidRDefault="008206CA" w:rsidP="008206CA">
                      <w:pPr>
                        <w:autoSpaceDE w:val="0"/>
                        <w:autoSpaceDN w:val="0"/>
                        <w:adjustRightInd w:val="0"/>
                        <w:rPr>
                          <w:rFonts w:ascii="Arial" w:hAnsi="Arial" w:cs="Arial"/>
                          <w:color w:val="FFFFFF"/>
                          <w:sz w:val="20"/>
                        </w:rPr>
                      </w:pPr>
                      <w:r w:rsidRPr="008206CA">
                        <w:rPr>
                          <w:rFonts w:ascii="Arial" w:hAnsi="Arial" w:cs="Arial"/>
                          <w:color w:val="FFFFFF"/>
                          <w:sz w:val="20"/>
                        </w:rPr>
                        <w:t xml:space="preserve">      - All reports are signed off by</w:t>
                      </w:r>
                    </w:p>
                    <w:p w14:paraId="138B4121" w14:textId="77777777" w:rsidR="008206CA" w:rsidRPr="008206CA" w:rsidRDefault="008206CA" w:rsidP="008206CA">
                      <w:pPr>
                        <w:autoSpaceDE w:val="0"/>
                        <w:autoSpaceDN w:val="0"/>
                        <w:adjustRightInd w:val="0"/>
                        <w:rPr>
                          <w:rFonts w:ascii="Arial" w:hAnsi="Arial" w:cs="Arial"/>
                          <w:color w:val="FFFFFF"/>
                          <w:sz w:val="20"/>
                        </w:rPr>
                      </w:pPr>
                      <w:r w:rsidRPr="008206CA">
                        <w:rPr>
                          <w:rFonts w:ascii="Arial" w:hAnsi="Arial" w:cs="Arial"/>
                          <w:color w:val="FFFFFF"/>
                          <w:sz w:val="20"/>
                        </w:rPr>
                        <w:t xml:space="preserve">        Cabinet Member, legal, finance </w:t>
                      </w:r>
                    </w:p>
                    <w:p w14:paraId="604E3BDE" w14:textId="77777777" w:rsidR="008206CA" w:rsidRPr="008206CA" w:rsidRDefault="008206CA" w:rsidP="008206CA">
                      <w:pPr>
                        <w:autoSpaceDE w:val="0"/>
                        <w:autoSpaceDN w:val="0"/>
                        <w:adjustRightInd w:val="0"/>
                        <w:rPr>
                          <w:rFonts w:ascii="Arial" w:hAnsi="Arial" w:cs="Arial"/>
                          <w:color w:val="FFFFFF"/>
                          <w:sz w:val="20"/>
                        </w:rPr>
                      </w:pPr>
                      <w:r w:rsidRPr="008206CA">
                        <w:rPr>
                          <w:rFonts w:ascii="Arial" w:hAnsi="Arial" w:cs="Arial"/>
                          <w:color w:val="FFFFFF"/>
                          <w:sz w:val="20"/>
                        </w:rPr>
                        <w:t xml:space="preserve">        and Access to Services officers.</w:t>
                      </w:r>
                    </w:p>
                    <w:p w14:paraId="345BAC49" w14:textId="77777777" w:rsidR="008206CA" w:rsidRPr="008206CA" w:rsidRDefault="008206CA" w:rsidP="008206CA">
                      <w:pPr>
                        <w:pStyle w:val="ListParagraph"/>
                        <w:numPr>
                          <w:ilvl w:val="0"/>
                          <w:numId w:val="66"/>
                        </w:numPr>
                        <w:autoSpaceDE w:val="0"/>
                        <w:autoSpaceDN w:val="0"/>
                        <w:adjustRightInd w:val="0"/>
                        <w:spacing w:before="0" w:after="0" w:line="240" w:lineRule="auto"/>
                        <w:ind w:left="426" w:hanging="142"/>
                        <w:rPr>
                          <w:rFonts w:cs="Arial"/>
                          <w:color w:val="FFFFFF"/>
                          <w:sz w:val="20"/>
                          <w:szCs w:val="20"/>
                        </w:rPr>
                      </w:pPr>
                      <w:r w:rsidRPr="008206CA">
                        <w:rPr>
                          <w:rFonts w:cs="Arial"/>
                          <w:color w:val="FFFFFF"/>
                          <w:sz w:val="20"/>
                          <w:szCs w:val="20"/>
                        </w:rPr>
                        <w:t>The Council has a Publication Scheme which is available on the website.</w:t>
                      </w:r>
                    </w:p>
                    <w:p w14:paraId="3BED30EE" w14:textId="77777777" w:rsidR="008206CA" w:rsidRPr="008206CA" w:rsidRDefault="008206CA" w:rsidP="008206CA">
                      <w:pPr>
                        <w:pStyle w:val="ListParagraph"/>
                        <w:numPr>
                          <w:ilvl w:val="0"/>
                          <w:numId w:val="66"/>
                        </w:numPr>
                        <w:autoSpaceDE w:val="0"/>
                        <w:autoSpaceDN w:val="0"/>
                        <w:adjustRightInd w:val="0"/>
                        <w:spacing w:before="0" w:after="0" w:line="240" w:lineRule="auto"/>
                        <w:ind w:left="426" w:hanging="142"/>
                        <w:rPr>
                          <w:rFonts w:cs="Arial"/>
                          <w:color w:val="FFFFFF"/>
                          <w:sz w:val="20"/>
                          <w:szCs w:val="20"/>
                        </w:rPr>
                      </w:pPr>
                      <w:r w:rsidRPr="008206CA">
                        <w:rPr>
                          <w:rFonts w:cs="Arial"/>
                          <w:color w:val="FFFFFF"/>
                          <w:sz w:val="20"/>
                          <w:szCs w:val="20"/>
                        </w:rPr>
                        <w:t>Where possible exempt reports are split so that the main report can be heard in public with confidential information being a separate exempt report.</w:t>
                      </w:r>
                    </w:p>
                    <w:p w14:paraId="157AEE15" w14:textId="77777777" w:rsidR="008206CA" w:rsidRPr="008206CA" w:rsidRDefault="008206CA" w:rsidP="008206CA">
                      <w:pPr>
                        <w:pStyle w:val="ListParagraph"/>
                        <w:numPr>
                          <w:ilvl w:val="0"/>
                          <w:numId w:val="66"/>
                        </w:numPr>
                        <w:autoSpaceDE w:val="0"/>
                        <w:autoSpaceDN w:val="0"/>
                        <w:adjustRightInd w:val="0"/>
                        <w:spacing w:before="0" w:after="0" w:line="240" w:lineRule="auto"/>
                        <w:ind w:left="426" w:hanging="142"/>
                        <w:rPr>
                          <w:rFonts w:cs="Arial"/>
                          <w:color w:val="FFFFFF"/>
                          <w:sz w:val="20"/>
                          <w:szCs w:val="20"/>
                        </w:rPr>
                      </w:pPr>
                      <w:r w:rsidRPr="008206CA">
                        <w:rPr>
                          <w:rFonts w:cs="Arial"/>
                          <w:color w:val="FFFFFF"/>
                          <w:sz w:val="20"/>
                          <w:szCs w:val="20"/>
                        </w:rPr>
                        <w:t>Publication of delegated decisions.</w:t>
                      </w:r>
                    </w:p>
                    <w:p w14:paraId="280C6A61" w14:textId="77777777" w:rsidR="008206CA" w:rsidRPr="008206CA" w:rsidRDefault="008206CA" w:rsidP="008206CA">
                      <w:pPr>
                        <w:pStyle w:val="ListParagraph"/>
                        <w:numPr>
                          <w:ilvl w:val="0"/>
                          <w:numId w:val="66"/>
                        </w:numPr>
                        <w:autoSpaceDE w:val="0"/>
                        <w:autoSpaceDN w:val="0"/>
                        <w:adjustRightInd w:val="0"/>
                        <w:spacing w:before="0" w:after="0" w:line="240" w:lineRule="auto"/>
                        <w:ind w:left="426" w:hanging="142"/>
                        <w:rPr>
                          <w:rFonts w:cs="Arial"/>
                          <w:color w:val="FFFFFF"/>
                          <w:sz w:val="20"/>
                          <w:szCs w:val="20"/>
                        </w:rPr>
                      </w:pPr>
                      <w:r w:rsidRPr="008206CA">
                        <w:rPr>
                          <w:rFonts w:cs="Arial"/>
                          <w:color w:val="FFFFFF"/>
                          <w:sz w:val="20"/>
                          <w:szCs w:val="20"/>
                        </w:rPr>
                        <w:t>Reports are published on the website and agendas are published in the Welsh Language.</w:t>
                      </w:r>
                    </w:p>
                    <w:p w14:paraId="7F59E167" w14:textId="77777777" w:rsidR="008206CA" w:rsidRDefault="008206CA" w:rsidP="008206CA">
                      <w:pPr>
                        <w:pStyle w:val="Default"/>
                        <w:jc w:val="both"/>
                        <w:rPr>
                          <w:color w:val="auto"/>
                          <w:sz w:val="22"/>
                          <w:szCs w:val="22"/>
                        </w:rPr>
                      </w:pPr>
                    </w:p>
                    <w:p w14:paraId="36292846" w14:textId="77777777" w:rsidR="008206CA" w:rsidRDefault="008206CA" w:rsidP="008206CA">
                      <w:pPr>
                        <w:pStyle w:val="Default"/>
                        <w:jc w:val="both"/>
                        <w:rPr>
                          <w:color w:val="auto"/>
                          <w:sz w:val="22"/>
                          <w:szCs w:val="22"/>
                        </w:rPr>
                      </w:pPr>
                    </w:p>
                    <w:p w14:paraId="63FAE902" w14:textId="77777777" w:rsidR="008206CA" w:rsidRDefault="008206CA" w:rsidP="008206CA">
                      <w:pPr>
                        <w:pStyle w:val="Default"/>
                        <w:jc w:val="both"/>
                        <w:rPr>
                          <w:color w:val="auto"/>
                          <w:sz w:val="22"/>
                          <w:szCs w:val="22"/>
                        </w:rPr>
                      </w:pPr>
                    </w:p>
                    <w:p w14:paraId="2BC9DAED" w14:textId="77777777" w:rsidR="008206CA" w:rsidRDefault="008206CA" w:rsidP="008206CA">
                      <w:pPr>
                        <w:pStyle w:val="Default"/>
                        <w:jc w:val="both"/>
                        <w:rPr>
                          <w:color w:val="auto"/>
                          <w:sz w:val="22"/>
                          <w:szCs w:val="22"/>
                        </w:rPr>
                      </w:pPr>
                    </w:p>
                    <w:p w14:paraId="79E090D5" w14:textId="77777777" w:rsidR="008206CA" w:rsidRDefault="008206CA" w:rsidP="008206CA">
                      <w:pPr>
                        <w:pStyle w:val="Default"/>
                        <w:jc w:val="both"/>
                        <w:rPr>
                          <w:color w:val="auto"/>
                          <w:sz w:val="22"/>
                          <w:szCs w:val="22"/>
                        </w:rPr>
                      </w:pPr>
                    </w:p>
                    <w:p w14:paraId="37213A4F" w14:textId="77777777" w:rsidR="008206CA" w:rsidRDefault="008206CA" w:rsidP="008206CA">
                      <w:pPr>
                        <w:pStyle w:val="Default"/>
                        <w:jc w:val="both"/>
                        <w:rPr>
                          <w:color w:val="auto"/>
                          <w:sz w:val="22"/>
                          <w:szCs w:val="22"/>
                        </w:rPr>
                      </w:pPr>
                    </w:p>
                    <w:p w14:paraId="10C6B727" w14:textId="77777777" w:rsidR="008206CA" w:rsidRPr="008C2E69" w:rsidRDefault="008206CA" w:rsidP="008206CA">
                      <w:pPr>
                        <w:pStyle w:val="Default"/>
                        <w:jc w:val="both"/>
                      </w:pPr>
                    </w:p>
                    <w:p w14:paraId="326D0D77" w14:textId="77777777" w:rsidR="008206CA" w:rsidRDefault="008206CA" w:rsidP="008206CA">
                      <w:pPr>
                        <w:pStyle w:val="Default"/>
                        <w:ind w:left="360"/>
                        <w:rPr>
                          <w:sz w:val="22"/>
                          <w:szCs w:val="22"/>
                        </w:rPr>
                      </w:pPr>
                    </w:p>
                    <w:p w14:paraId="1CAA4DD9" w14:textId="77777777" w:rsidR="008206CA" w:rsidRPr="008C2E69" w:rsidRDefault="008206CA" w:rsidP="008206CA">
                      <w:pPr>
                        <w:pStyle w:val="Default"/>
                        <w:ind w:left="360"/>
                      </w:pPr>
                    </w:p>
                    <w:p w14:paraId="4C793979" w14:textId="77777777" w:rsidR="008206CA" w:rsidRDefault="008206CA" w:rsidP="008206CA">
                      <w:pPr>
                        <w:ind w:left="284" w:hanging="426"/>
                        <w:rPr>
                          <w:rFonts w:ascii="Arial" w:hAnsi="Arial" w:cs="Arial"/>
                        </w:rPr>
                      </w:pPr>
                    </w:p>
                    <w:p w14:paraId="619EC746" w14:textId="77777777" w:rsidR="008206CA" w:rsidRDefault="008206CA" w:rsidP="008206CA">
                      <w:pPr>
                        <w:ind w:left="284" w:hanging="426"/>
                        <w:rPr>
                          <w:rFonts w:ascii="Arial" w:hAnsi="Arial" w:cs="Arial"/>
                        </w:rPr>
                      </w:pPr>
                    </w:p>
                    <w:p w14:paraId="234FACFC" w14:textId="77777777" w:rsidR="008206CA" w:rsidRDefault="008206CA" w:rsidP="008206CA">
                      <w:pPr>
                        <w:ind w:left="284" w:hanging="426"/>
                        <w:rPr>
                          <w:rFonts w:ascii="Arial" w:hAnsi="Arial" w:cs="Arial"/>
                        </w:rPr>
                      </w:pPr>
                    </w:p>
                    <w:p w14:paraId="42AC103F" w14:textId="77777777" w:rsidR="008206CA" w:rsidRPr="008206CA" w:rsidRDefault="008206CA" w:rsidP="008206CA">
                      <w:pPr>
                        <w:ind w:left="284" w:hanging="426"/>
                        <w:rPr>
                          <w:rFonts w:ascii="Symbol" w:hAnsi="Symbol"/>
                          <w:highlight w:val="lightGray"/>
                        </w:rPr>
                      </w:pPr>
                    </w:p>
                  </w:txbxContent>
                </v:textbox>
                <w10:wrap anchorx="margin"/>
              </v:roundrect>
            </w:pict>
          </mc:Fallback>
        </mc:AlternateContent>
      </w:r>
      <w:r w:rsidR="008206CA">
        <w:rPr>
          <w:rFonts w:ascii="Arial" w:hAnsi="Arial" w:cs="Arial"/>
          <w:b/>
          <w:sz w:val="24"/>
          <w:szCs w:val="24"/>
        </w:rPr>
        <w:tab/>
        <w:t>How we do this</w:t>
      </w:r>
    </w:p>
    <w:p w14:paraId="49213129" w14:textId="41481A08" w:rsidR="008206CA" w:rsidRPr="00954A31" w:rsidRDefault="00516E75" w:rsidP="008206CA">
      <w:pPr>
        <w:sectPr w:rsidR="008206CA" w:rsidRPr="00954A31" w:rsidSect="00DE37F4">
          <w:pgSz w:w="16838" w:h="11906" w:orient="landscape" w:code="9"/>
          <w:pgMar w:top="1440" w:right="1440" w:bottom="1440" w:left="1440" w:header="709" w:footer="0" w:gutter="0"/>
          <w:cols w:space="708"/>
          <w:docGrid w:linePitch="360"/>
        </w:sectPr>
      </w:pPr>
      <w:r>
        <w:rPr>
          <w:noProof/>
        </w:rPr>
        <w:lastRenderedPageBreak/>
        <mc:AlternateContent>
          <mc:Choice Requires="wps">
            <w:drawing>
              <wp:anchor distT="0" distB="0" distL="114300" distR="114300" simplePos="0" relativeHeight="251684864" behindDoc="0" locked="0" layoutInCell="1" allowOverlap="1" wp14:anchorId="18DDA7F0" wp14:editId="7E59420E">
                <wp:simplePos x="0" y="0"/>
                <wp:positionH relativeFrom="column">
                  <wp:posOffset>-99060</wp:posOffset>
                </wp:positionH>
                <wp:positionV relativeFrom="paragraph">
                  <wp:posOffset>4701540</wp:posOffset>
                </wp:positionV>
                <wp:extent cx="1685925" cy="914400"/>
                <wp:effectExtent l="19050" t="19050" r="28575" b="114300"/>
                <wp:wrapNone/>
                <wp:docPr id="76" name="Speech Bubble: 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914400"/>
                        </a:xfrm>
                        <a:prstGeom prst="wedgeEllipseCallout">
                          <a:avLst/>
                        </a:prstGeom>
                        <a:solidFill>
                          <a:srgbClr val="4F81BD"/>
                        </a:solidFill>
                        <a:ln w="25400" cap="flat" cmpd="sng" algn="ctr">
                          <a:solidFill>
                            <a:srgbClr val="4F81BD">
                              <a:shade val="50000"/>
                            </a:srgbClr>
                          </a:solidFill>
                          <a:prstDash val="solid"/>
                        </a:ln>
                        <a:effectLst/>
                      </wps:spPr>
                      <wps:txbx>
                        <w:txbxContent>
                          <w:p w14:paraId="10011BF2" w14:textId="77777777" w:rsidR="008206CA" w:rsidRPr="008206CA" w:rsidRDefault="008206CA" w:rsidP="008206CA">
                            <w:pPr>
                              <w:jc w:val="center"/>
                              <w:rPr>
                                <w:rFonts w:ascii="Arial" w:hAnsi="Arial" w:cs="Arial"/>
                                <w:color w:val="FFFFFF"/>
                              </w:rPr>
                            </w:pPr>
                            <w:r w:rsidRPr="008206CA">
                              <w:rPr>
                                <w:rFonts w:ascii="Arial" w:hAnsi="Arial" w:cs="Arial"/>
                                <w:color w:val="FFFFFF"/>
                              </w:rPr>
                              <w:t>Governance &amp; Audit Committee</w:t>
                            </w:r>
                          </w:p>
                          <w:p w14:paraId="1599D9CD" w14:textId="77777777" w:rsidR="008206CA" w:rsidRDefault="008206CA" w:rsidP="008206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DA7F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6" o:spid="_x0000_s1068" type="#_x0000_t63" style="position:absolute;margin-left:-7.8pt;margin-top:370.2pt;width:132.7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" adj="6300,24300" fillcolor="#4f81bd" strokecolor="#385d8a" strokeweight="2pt">
                <v:path arrowok="t"/>
                <v:textbox>
                  <w:txbxContent>
                    <w:p w14:paraId="10011BF2" w14:textId="77777777" w:rsidR="008206CA" w:rsidRPr="008206CA" w:rsidRDefault="008206CA" w:rsidP="008206CA">
                      <w:pPr>
                        <w:jc w:val="center"/>
                        <w:rPr>
                          <w:rFonts w:ascii="Arial" w:hAnsi="Arial" w:cs="Arial"/>
                          <w:color w:val="FFFFFF"/>
                        </w:rPr>
                      </w:pPr>
                      <w:r w:rsidRPr="008206CA">
                        <w:rPr>
                          <w:rFonts w:ascii="Arial" w:hAnsi="Arial" w:cs="Arial"/>
                          <w:color w:val="FFFFFF"/>
                        </w:rPr>
                        <w:t>Governance &amp; Audit Committee</w:t>
                      </w:r>
                    </w:p>
                    <w:p w14:paraId="1599D9CD" w14:textId="77777777" w:rsidR="008206CA" w:rsidRDefault="008206CA" w:rsidP="008206CA">
                      <w:pPr>
                        <w:jc w:val="cente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A806BEC" wp14:editId="35891904">
                <wp:simplePos x="0" y="0"/>
                <wp:positionH relativeFrom="column">
                  <wp:posOffset>7477125</wp:posOffset>
                </wp:positionH>
                <wp:positionV relativeFrom="paragraph">
                  <wp:posOffset>3584575</wp:posOffset>
                </wp:positionV>
                <wp:extent cx="1962150" cy="819150"/>
                <wp:effectExtent l="19050" t="19050" r="19050" b="114300"/>
                <wp:wrapNone/>
                <wp:docPr id="75" name="Speech Bubble: 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819150"/>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5CE24712" w14:textId="77777777" w:rsidR="008206CA" w:rsidRPr="00663811" w:rsidRDefault="008206CA" w:rsidP="008206CA">
                            <w:pPr>
                              <w:jc w:val="center"/>
                              <w:rPr>
                                <w:rFonts w:ascii="Arial" w:hAnsi="Arial" w:cs="Arial"/>
                              </w:rPr>
                            </w:pPr>
                            <w:r w:rsidRPr="00663811">
                              <w:rPr>
                                <w:rFonts w:ascii="Arial" w:hAnsi="Arial" w:cs="Arial"/>
                              </w:rPr>
                              <w:t>Statutory Inspections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806BEC" id="Speech Bubble: Oval 75" o:spid="_x0000_s1069" type="#_x0000_t63" style="position:absolute;margin-left:588.75pt;margin-top:282.25pt;width:154.5pt;height: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" adj="6300,24300" fillcolor="#4472c4" strokecolor="#2f528f" strokeweight="1pt">
                <v:path arrowok="t"/>
                <v:textbox>
                  <w:txbxContent>
                    <w:p w14:paraId="5CE24712" w14:textId="77777777" w:rsidR="008206CA" w:rsidRPr="00663811" w:rsidRDefault="008206CA" w:rsidP="008206CA">
                      <w:pPr>
                        <w:jc w:val="center"/>
                        <w:rPr>
                          <w:rFonts w:ascii="Arial" w:hAnsi="Arial" w:cs="Arial"/>
                        </w:rPr>
                      </w:pPr>
                      <w:r w:rsidRPr="00663811">
                        <w:rPr>
                          <w:rFonts w:ascii="Arial" w:hAnsi="Arial" w:cs="Arial"/>
                        </w:rPr>
                        <w:t>Statutory Inspections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BB8E604" wp14:editId="69F8419D">
                <wp:simplePos x="0" y="0"/>
                <wp:positionH relativeFrom="column">
                  <wp:posOffset>6753225</wp:posOffset>
                </wp:positionH>
                <wp:positionV relativeFrom="paragraph">
                  <wp:posOffset>3727450</wp:posOffset>
                </wp:positionV>
                <wp:extent cx="428625" cy="133350"/>
                <wp:effectExtent l="0" t="0" r="9525" b="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F464EE" id="Straight Connector 7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75pt,293.5pt" to="565.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" strokecolor="#4a7ebb">
                <o:lock v:ext="edit" shapetype="f"/>
              </v:line>
            </w:pict>
          </mc:Fallback>
        </mc:AlternateContent>
      </w:r>
      <w:r>
        <w:rPr>
          <w:noProof/>
        </w:rPr>
        <mc:AlternateContent>
          <mc:Choice Requires="wps">
            <w:drawing>
              <wp:anchor distT="0" distB="0" distL="114300" distR="114300" simplePos="0" relativeHeight="251694080" behindDoc="0" locked="0" layoutInCell="1" allowOverlap="1" wp14:anchorId="7F5D2AE0" wp14:editId="199B65CD">
                <wp:simplePos x="0" y="0"/>
                <wp:positionH relativeFrom="column">
                  <wp:posOffset>6496050</wp:posOffset>
                </wp:positionH>
                <wp:positionV relativeFrom="paragraph">
                  <wp:posOffset>-34925</wp:posOffset>
                </wp:positionV>
                <wp:extent cx="2371725" cy="523875"/>
                <wp:effectExtent l="0" t="0" r="9525" b="95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523875"/>
                        </a:xfrm>
                        <a:prstGeom prst="rect">
                          <a:avLst/>
                        </a:prstGeom>
                        <a:solidFill>
                          <a:srgbClr val="4472C4"/>
                        </a:solidFill>
                        <a:ln w="12700" cap="flat" cmpd="sng" algn="ctr">
                          <a:solidFill>
                            <a:srgbClr val="4472C4">
                              <a:shade val="50000"/>
                            </a:srgbClr>
                          </a:solidFill>
                          <a:prstDash val="solid"/>
                          <a:miter lim="800000"/>
                        </a:ln>
                        <a:effectLst/>
                      </wps:spPr>
                      <wps:txbx>
                        <w:txbxContent>
                          <w:p w14:paraId="34EB66E9" w14:textId="77777777" w:rsidR="008206CA" w:rsidRPr="009110E4" w:rsidRDefault="008206CA" w:rsidP="008206CA">
                            <w:pPr>
                              <w:jc w:val="center"/>
                              <w:rPr>
                                <w:rFonts w:ascii="Arial" w:hAnsi="Arial" w:cs="Arial"/>
                                <w:b/>
                                <w:szCs w:val="28"/>
                              </w:rPr>
                            </w:pPr>
                            <w:r w:rsidRPr="009110E4">
                              <w:rPr>
                                <w:rFonts w:ascii="Arial" w:hAnsi="Arial" w:cs="Arial"/>
                                <w:b/>
                                <w:szCs w:val="28"/>
                              </w:rPr>
                              <w:t>External 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D2AE0" id="Rectangle 73" o:spid="_x0000_s1070" style="position:absolute;margin-left:511.5pt;margin-top:-2.75pt;width:186.75pt;height:4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" fillcolor="#4472c4" strokecolor="#2f528f" strokeweight="1pt">
                <v:path arrowok="t"/>
                <v:textbox>
                  <w:txbxContent>
                    <w:p w14:paraId="34EB66E9" w14:textId="77777777" w:rsidR="008206CA" w:rsidRPr="009110E4" w:rsidRDefault="008206CA" w:rsidP="008206CA">
                      <w:pPr>
                        <w:jc w:val="center"/>
                        <w:rPr>
                          <w:rFonts w:ascii="Arial" w:hAnsi="Arial" w:cs="Arial"/>
                          <w:b/>
                          <w:szCs w:val="28"/>
                        </w:rPr>
                      </w:pPr>
                      <w:r w:rsidRPr="009110E4">
                        <w:rPr>
                          <w:rFonts w:ascii="Arial" w:hAnsi="Arial" w:cs="Arial"/>
                          <w:b/>
                          <w:szCs w:val="28"/>
                        </w:rPr>
                        <w:t>External Assurance</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3442C44B" wp14:editId="6565456E">
                <wp:simplePos x="0" y="0"/>
                <wp:positionH relativeFrom="column">
                  <wp:posOffset>47625</wp:posOffset>
                </wp:positionH>
                <wp:positionV relativeFrom="paragraph">
                  <wp:posOffset>-101600</wp:posOffset>
                </wp:positionV>
                <wp:extent cx="2419350" cy="55245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552450"/>
                        </a:xfrm>
                        <a:prstGeom prst="rect">
                          <a:avLst/>
                        </a:prstGeom>
                        <a:solidFill>
                          <a:srgbClr val="4472C4"/>
                        </a:solidFill>
                        <a:ln w="12700" cap="flat" cmpd="sng" algn="ctr">
                          <a:solidFill>
                            <a:srgbClr val="4472C4">
                              <a:shade val="50000"/>
                            </a:srgbClr>
                          </a:solidFill>
                          <a:prstDash val="solid"/>
                          <a:miter lim="800000"/>
                        </a:ln>
                        <a:effectLst/>
                      </wps:spPr>
                      <wps:txbx>
                        <w:txbxContent>
                          <w:p w14:paraId="0100CFC3" w14:textId="77777777" w:rsidR="008206CA" w:rsidRPr="009110E4" w:rsidRDefault="008206CA" w:rsidP="008206CA">
                            <w:pPr>
                              <w:jc w:val="center"/>
                              <w:rPr>
                                <w:rFonts w:ascii="Arial" w:hAnsi="Arial" w:cs="Arial"/>
                                <w:b/>
                                <w:szCs w:val="28"/>
                              </w:rPr>
                            </w:pPr>
                            <w:r w:rsidRPr="009110E4">
                              <w:rPr>
                                <w:rFonts w:ascii="Arial" w:hAnsi="Arial" w:cs="Arial"/>
                                <w:b/>
                                <w:szCs w:val="28"/>
                              </w:rPr>
                              <w:t>Internal 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2C44B" id="Rectangle 72" o:spid="_x0000_s1071" style="position:absolute;margin-left:3.75pt;margin-top:-8pt;width:190.5pt;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" fillcolor="#4472c4" strokecolor="#2f528f" strokeweight="1pt">
                <v:path arrowok="t"/>
                <v:textbox>
                  <w:txbxContent>
                    <w:p w14:paraId="0100CFC3" w14:textId="77777777" w:rsidR="008206CA" w:rsidRPr="009110E4" w:rsidRDefault="008206CA" w:rsidP="008206CA">
                      <w:pPr>
                        <w:jc w:val="center"/>
                        <w:rPr>
                          <w:rFonts w:ascii="Arial" w:hAnsi="Arial" w:cs="Arial"/>
                          <w:b/>
                          <w:szCs w:val="28"/>
                        </w:rPr>
                      </w:pPr>
                      <w:r w:rsidRPr="009110E4">
                        <w:rPr>
                          <w:rFonts w:ascii="Arial" w:hAnsi="Arial" w:cs="Arial"/>
                          <w:b/>
                          <w:szCs w:val="28"/>
                        </w:rPr>
                        <w:t>Internal Assurance</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007140E6" wp14:editId="77D878A3">
                <wp:simplePos x="0" y="0"/>
                <wp:positionH relativeFrom="column">
                  <wp:posOffset>2171700</wp:posOffset>
                </wp:positionH>
                <wp:positionV relativeFrom="paragraph">
                  <wp:posOffset>1607820</wp:posOffset>
                </wp:positionV>
                <wp:extent cx="285750" cy="275590"/>
                <wp:effectExtent l="0" t="0" r="0" b="1016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0" cy="27559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1A7E65" id="Straight Connector 71"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26.6pt" to="193.5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" strokecolor="#4472c4" strokeweight=".5pt">
                <v:stroke joinstyle="miter"/>
                <o:lock v:ext="edit" shapetype="f"/>
              </v:line>
            </w:pict>
          </mc:Fallback>
        </mc:AlternateContent>
      </w:r>
      <w:r>
        <w:rPr>
          <w:noProof/>
        </w:rPr>
        <mc:AlternateContent>
          <mc:Choice Requires="wps">
            <w:drawing>
              <wp:anchor distT="0" distB="0" distL="114300" distR="114300" simplePos="0" relativeHeight="251678720" behindDoc="0" locked="0" layoutInCell="1" allowOverlap="1" wp14:anchorId="13D36E41" wp14:editId="72954FA6">
                <wp:simplePos x="0" y="0"/>
                <wp:positionH relativeFrom="margin">
                  <wp:posOffset>838200</wp:posOffset>
                </wp:positionH>
                <wp:positionV relativeFrom="paragraph">
                  <wp:posOffset>565785</wp:posOffset>
                </wp:positionV>
                <wp:extent cx="1638300" cy="1070610"/>
                <wp:effectExtent l="19050" t="19050" r="19050" b="148590"/>
                <wp:wrapNone/>
                <wp:docPr id="70" name="Speech Bubble: 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070610"/>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047E075D" w14:textId="77777777" w:rsidR="008206CA" w:rsidRPr="008206CA" w:rsidRDefault="008206CA" w:rsidP="008206CA">
                            <w:pPr>
                              <w:pStyle w:val="NoSpacing"/>
                              <w:jc w:val="center"/>
                              <w:rPr>
                                <w:rFonts w:ascii="Arial" w:hAnsi="Arial" w:cs="Arial"/>
                                <w:color w:val="FFFFFF"/>
                              </w:rPr>
                            </w:pPr>
                            <w:r w:rsidRPr="008206CA">
                              <w:rPr>
                                <w:rFonts w:ascii="Arial" w:hAnsi="Arial" w:cs="Arial"/>
                                <w:color w:val="FFFFFF"/>
                              </w:rPr>
                              <w:t>Council/</w:t>
                            </w:r>
                          </w:p>
                          <w:p w14:paraId="71ED2CDF" w14:textId="77777777" w:rsidR="008206CA" w:rsidRPr="008206CA" w:rsidRDefault="008206CA" w:rsidP="008206CA">
                            <w:pPr>
                              <w:pStyle w:val="NoSpacing"/>
                              <w:jc w:val="center"/>
                              <w:rPr>
                                <w:rFonts w:ascii="Arial" w:hAnsi="Arial" w:cs="Arial"/>
                                <w:color w:val="FFFFFF"/>
                              </w:rPr>
                            </w:pPr>
                            <w:r w:rsidRPr="008206CA">
                              <w:rPr>
                                <w:rFonts w:ascii="Arial" w:hAnsi="Arial" w:cs="Arial"/>
                                <w:color w:val="FFFFFF"/>
                              </w:rPr>
                              <w:t>Cabinet/</w:t>
                            </w:r>
                          </w:p>
                          <w:p w14:paraId="32DF6468" w14:textId="77777777" w:rsidR="008206CA" w:rsidRPr="008206CA" w:rsidRDefault="008206CA" w:rsidP="008206CA">
                            <w:pPr>
                              <w:pStyle w:val="NoSpacing"/>
                              <w:jc w:val="center"/>
                              <w:rPr>
                                <w:rFonts w:ascii="Arial" w:hAnsi="Arial" w:cs="Arial"/>
                                <w:color w:val="FFFFFF"/>
                              </w:rPr>
                            </w:pPr>
                            <w:r w:rsidRPr="008206CA">
                              <w:rPr>
                                <w:rFonts w:ascii="Arial" w:hAnsi="Arial" w:cs="Arial"/>
                                <w:color w:val="FFFFFF"/>
                              </w:rPr>
                              <w:t>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36E41" id="Speech Bubble: Oval 70" o:spid="_x0000_s1072" type="#_x0000_t63" style="position:absolute;margin-left:66pt;margin-top:44.55pt;width:129pt;height:84.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" adj="6300,24300" fillcolor="#4472c4" strokecolor="#2f528f" strokeweight="1pt">
                <v:path arrowok="t"/>
                <v:textbox>
                  <w:txbxContent>
                    <w:p w14:paraId="047E075D" w14:textId="77777777" w:rsidR="008206CA" w:rsidRPr="008206CA" w:rsidRDefault="008206CA" w:rsidP="008206CA">
                      <w:pPr>
                        <w:pStyle w:val="NoSpacing"/>
                        <w:jc w:val="center"/>
                        <w:rPr>
                          <w:rFonts w:ascii="Arial" w:hAnsi="Arial" w:cs="Arial"/>
                          <w:color w:val="FFFFFF"/>
                        </w:rPr>
                      </w:pPr>
                      <w:r w:rsidRPr="008206CA">
                        <w:rPr>
                          <w:rFonts w:ascii="Arial" w:hAnsi="Arial" w:cs="Arial"/>
                          <w:color w:val="FFFFFF"/>
                        </w:rPr>
                        <w:t>Council/</w:t>
                      </w:r>
                    </w:p>
                    <w:p w14:paraId="71ED2CDF" w14:textId="77777777" w:rsidR="008206CA" w:rsidRPr="008206CA" w:rsidRDefault="008206CA" w:rsidP="008206CA">
                      <w:pPr>
                        <w:pStyle w:val="NoSpacing"/>
                        <w:jc w:val="center"/>
                        <w:rPr>
                          <w:rFonts w:ascii="Arial" w:hAnsi="Arial" w:cs="Arial"/>
                          <w:color w:val="FFFFFF"/>
                        </w:rPr>
                      </w:pPr>
                      <w:r w:rsidRPr="008206CA">
                        <w:rPr>
                          <w:rFonts w:ascii="Arial" w:hAnsi="Arial" w:cs="Arial"/>
                          <w:color w:val="FFFFFF"/>
                        </w:rPr>
                        <w:t>Cabinet/</w:t>
                      </w:r>
                    </w:p>
                    <w:p w14:paraId="32DF6468" w14:textId="77777777" w:rsidR="008206CA" w:rsidRPr="008206CA" w:rsidRDefault="008206CA" w:rsidP="008206CA">
                      <w:pPr>
                        <w:pStyle w:val="NoSpacing"/>
                        <w:jc w:val="center"/>
                        <w:rPr>
                          <w:rFonts w:ascii="Arial" w:hAnsi="Arial" w:cs="Arial"/>
                          <w:color w:val="FFFFFF"/>
                        </w:rPr>
                      </w:pPr>
                      <w:r w:rsidRPr="008206CA">
                        <w:rPr>
                          <w:rFonts w:ascii="Arial" w:hAnsi="Arial" w:cs="Arial"/>
                          <w:color w:val="FFFFFF"/>
                        </w:rPr>
                        <w:t>Committee</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31397E05" wp14:editId="1FBB1E75">
                <wp:simplePos x="0" y="0"/>
                <wp:positionH relativeFrom="margin">
                  <wp:posOffset>6619875</wp:posOffset>
                </wp:positionH>
                <wp:positionV relativeFrom="paragraph">
                  <wp:posOffset>709295</wp:posOffset>
                </wp:positionV>
                <wp:extent cx="1720215" cy="899160"/>
                <wp:effectExtent l="19050" t="19050" r="13335" b="110490"/>
                <wp:wrapNone/>
                <wp:docPr id="69" name="Speech Bubble: 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215" cy="899160"/>
                        </a:xfrm>
                        <a:prstGeom prst="wedgeEllipseCallout">
                          <a:avLst/>
                        </a:prstGeom>
                        <a:solidFill>
                          <a:srgbClr val="4F81BD"/>
                        </a:solidFill>
                        <a:ln w="25400" cap="flat" cmpd="sng" algn="ctr">
                          <a:solidFill>
                            <a:srgbClr val="4F81BD">
                              <a:shade val="50000"/>
                            </a:srgbClr>
                          </a:solidFill>
                          <a:prstDash val="solid"/>
                        </a:ln>
                        <a:effectLst/>
                      </wps:spPr>
                      <wps:txbx>
                        <w:txbxContent>
                          <w:p w14:paraId="242A1F18" w14:textId="77777777" w:rsidR="008206CA" w:rsidRPr="008206CA" w:rsidRDefault="008206CA" w:rsidP="008206CA">
                            <w:pPr>
                              <w:jc w:val="center"/>
                              <w:rPr>
                                <w:rFonts w:ascii="Arial" w:hAnsi="Arial" w:cs="Arial"/>
                                <w:color w:val="FFFFFF"/>
                              </w:rPr>
                            </w:pPr>
                            <w:r w:rsidRPr="008206CA">
                              <w:rPr>
                                <w:rFonts w:ascii="Arial" w:hAnsi="Arial" w:cs="Arial"/>
                                <w:color w:val="FFFFFF"/>
                              </w:rPr>
                              <w:t>External audit</w:t>
                            </w:r>
                          </w:p>
                          <w:p w14:paraId="7EF7AD03" w14:textId="77777777" w:rsidR="008206CA" w:rsidRDefault="008206CA" w:rsidP="008206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97E05" id="Speech Bubble: Oval 69" o:spid="_x0000_s1073" type="#_x0000_t63" style="position:absolute;margin-left:521.25pt;margin-top:55.85pt;width:135.45pt;height:70.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" adj="6300,24300" fillcolor="#4f81bd" strokecolor="#385d8a" strokeweight="2pt">
                <v:path arrowok="t"/>
                <v:textbox>
                  <w:txbxContent>
                    <w:p w14:paraId="242A1F18" w14:textId="77777777" w:rsidR="008206CA" w:rsidRPr="008206CA" w:rsidRDefault="008206CA" w:rsidP="008206CA">
                      <w:pPr>
                        <w:jc w:val="center"/>
                        <w:rPr>
                          <w:rFonts w:ascii="Arial" w:hAnsi="Arial" w:cs="Arial"/>
                          <w:color w:val="FFFFFF"/>
                        </w:rPr>
                      </w:pPr>
                      <w:r w:rsidRPr="008206CA">
                        <w:rPr>
                          <w:rFonts w:ascii="Arial" w:hAnsi="Arial" w:cs="Arial"/>
                          <w:color w:val="FFFFFF"/>
                        </w:rPr>
                        <w:t>External audit</w:t>
                      </w:r>
                    </w:p>
                    <w:p w14:paraId="7EF7AD03" w14:textId="77777777" w:rsidR="008206CA" w:rsidRDefault="008206CA" w:rsidP="008206CA">
                      <w:pPr>
                        <w:jc w:val="center"/>
                      </w:pP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05A452F5" wp14:editId="0DB8CD51">
                <wp:simplePos x="0" y="0"/>
                <wp:positionH relativeFrom="column">
                  <wp:posOffset>6832600</wp:posOffset>
                </wp:positionH>
                <wp:positionV relativeFrom="paragraph">
                  <wp:posOffset>2736215</wp:posOffset>
                </wp:positionV>
                <wp:extent cx="247650" cy="289560"/>
                <wp:effectExtent l="0" t="1905" r="17145" b="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flipV="1">
                          <a:off x="0" y="0"/>
                          <a:ext cx="247650" cy="2895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BA2201" id="Straight Connector 68" o:spid="_x0000_s1026" style="position:absolute;rotation:-90;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pt,215.45pt" to="557.5pt,2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" strokecolor="#4a7ebb">
                <o:lock v:ext="edit" shapetype="f"/>
              </v:line>
            </w:pict>
          </mc:Fallback>
        </mc:AlternateContent>
      </w:r>
      <w:r>
        <w:rPr>
          <w:noProof/>
        </w:rPr>
        <mc:AlternateContent>
          <mc:Choice Requires="wps">
            <w:drawing>
              <wp:anchor distT="0" distB="0" distL="114300" distR="114300" simplePos="0" relativeHeight="251677696" behindDoc="0" locked="0" layoutInCell="1" allowOverlap="1" wp14:anchorId="0C0F47A1" wp14:editId="57DAFA37">
                <wp:simplePos x="0" y="0"/>
                <wp:positionH relativeFrom="margin">
                  <wp:align>center</wp:align>
                </wp:positionH>
                <wp:positionV relativeFrom="paragraph">
                  <wp:posOffset>1576070</wp:posOffset>
                </wp:positionV>
                <wp:extent cx="4543425" cy="2638425"/>
                <wp:effectExtent l="0" t="0" r="9525" b="952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2638425"/>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CB2859E" w14:textId="77777777" w:rsidR="008206CA" w:rsidRPr="008206CA" w:rsidRDefault="008206CA" w:rsidP="008206CA">
                            <w:pPr>
                              <w:jc w:val="center"/>
                              <w:rPr>
                                <w:rFonts w:ascii="Arial" w:hAnsi="Arial" w:cs="Arial"/>
                                <w:b/>
                                <w:color w:val="FFFFFF"/>
                                <w:szCs w:val="28"/>
                              </w:rPr>
                            </w:pPr>
                            <w:r w:rsidRPr="008206CA">
                              <w:rPr>
                                <w:rFonts w:ascii="Arial" w:hAnsi="Arial" w:cs="Arial"/>
                                <w:b/>
                                <w:color w:val="FFFFFF"/>
                                <w:szCs w:val="28"/>
                              </w:rPr>
                              <w:t>Annual Governance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F47A1" id="Oval 67" o:spid="_x0000_s1074" style="position:absolute;margin-left:0;margin-top:124.1pt;width:357.75pt;height:207.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" fillcolor="#4472c4" strokecolor="#2f528f" strokeweight="1pt">
                <v:stroke joinstyle="miter"/>
                <v:path arrowok="t"/>
                <v:textbox>
                  <w:txbxContent>
                    <w:p w14:paraId="0CB2859E" w14:textId="77777777" w:rsidR="008206CA" w:rsidRPr="008206CA" w:rsidRDefault="008206CA" w:rsidP="008206CA">
                      <w:pPr>
                        <w:jc w:val="center"/>
                        <w:rPr>
                          <w:rFonts w:ascii="Arial" w:hAnsi="Arial" w:cs="Arial"/>
                          <w:b/>
                          <w:color w:val="FFFFFF"/>
                          <w:szCs w:val="28"/>
                        </w:rPr>
                      </w:pPr>
                      <w:r w:rsidRPr="008206CA">
                        <w:rPr>
                          <w:rFonts w:ascii="Arial" w:hAnsi="Arial" w:cs="Arial"/>
                          <w:b/>
                          <w:color w:val="FFFFFF"/>
                          <w:szCs w:val="28"/>
                        </w:rPr>
                        <w:t>Annual Governance Statement</w:t>
                      </w:r>
                    </w:p>
                  </w:txbxContent>
                </v:textbox>
                <w10:wrap anchorx="margin"/>
              </v:oval>
            </w:pict>
          </mc:Fallback>
        </mc:AlternateContent>
      </w:r>
      <w:r>
        <w:rPr>
          <w:noProof/>
        </w:rPr>
        <mc:AlternateContent>
          <mc:Choice Requires="wps">
            <w:drawing>
              <wp:anchor distT="0" distB="0" distL="114300" distR="114300" simplePos="0" relativeHeight="251692032" behindDoc="0" locked="0" layoutInCell="1" allowOverlap="1" wp14:anchorId="413B9350" wp14:editId="7A89E355">
                <wp:simplePos x="0" y="0"/>
                <wp:positionH relativeFrom="margin">
                  <wp:posOffset>6184900</wp:posOffset>
                </wp:positionH>
                <wp:positionV relativeFrom="paragraph">
                  <wp:posOffset>1402715</wp:posOffset>
                </wp:positionV>
                <wp:extent cx="300990" cy="363855"/>
                <wp:effectExtent l="6667" t="0" r="10478" b="10477"/>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a:off x="0" y="0"/>
                          <a:ext cx="300990" cy="36385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C7DA62" id="Straight Connector 66" o:spid="_x0000_s1026" style="position:absolute;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7pt,110.45pt" to="510.7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" strokecolor="#4a7ebb">
                <o:lock v:ext="edit" shapetype="f"/>
                <w10:wrap anchorx="margin"/>
              </v:line>
            </w:pict>
          </mc:Fallback>
        </mc:AlternateContent>
      </w:r>
      <w:r>
        <w:rPr>
          <w:noProof/>
        </w:rPr>
        <mc:AlternateContent>
          <mc:Choice Requires="wps">
            <w:drawing>
              <wp:anchor distT="0" distB="0" distL="114300" distR="114300" simplePos="0" relativeHeight="251683840" behindDoc="0" locked="0" layoutInCell="1" allowOverlap="1" wp14:anchorId="258F3F84" wp14:editId="798EFC0C">
                <wp:simplePos x="0" y="0"/>
                <wp:positionH relativeFrom="column">
                  <wp:posOffset>-466725</wp:posOffset>
                </wp:positionH>
                <wp:positionV relativeFrom="paragraph">
                  <wp:posOffset>2576195</wp:posOffset>
                </wp:positionV>
                <wp:extent cx="1600200" cy="942975"/>
                <wp:effectExtent l="19050" t="19050" r="19050" b="142875"/>
                <wp:wrapNone/>
                <wp:docPr id="65" name="Speech Bubble: 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942975"/>
                        </a:xfrm>
                        <a:prstGeom prst="wedgeEllipseCallout">
                          <a:avLst/>
                        </a:prstGeom>
                        <a:solidFill>
                          <a:srgbClr val="4F81BD"/>
                        </a:solidFill>
                        <a:ln w="25400" cap="flat" cmpd="sng" algn="ctr">
                          <a:solidFill>
                            <a:srgbClr val="4F81BD">
                              <a:shade val="50000"/>
                            </a:srgbClr>
                          </a:solidFill>
                          <a:prstDash val="solid"/>
                        </a:ln>
                        <a:effectLst/>
                      </wps:spPr>
                      <wps:txbx>
                        <w:txbxContent>
                          <w:p w14:paraId="605F093F" w14:textId="77777777" w:rsidR="008206CA" w:rsidRPr="008206CA" w:rsidRDefault="008206CA" w:rsidP="008206CA">
                            <w:pPr>
                              <w:jc w:val="center"/>
                              <w:rPr>
                                <w:rFonts w:ascii="Arial" w:hAnsi="Arial" w:cs="Arial"/>
                                <w:color w:val="FFFFFF"/>
                              </w:rPr>
                            </w:pPr>
                            <w:r w:rsidRPr="008206CA">
                              <w:rPr>
                                <w:rFonts w:ascii="Arial" w:hAnsi="Arial" w:cs="Arial"/>
                                <w:color w:val="FFFFFF"/>
                              </w:rPr>
                              <w:t>Monitoring officer/S151 officer</w:t>
                            </w:r>
                          </w:p>
                          <w:p w14:paraId="38F2ACF3" w14:textId="77777777" w:rsidR="008206CA" w:rsidRDefault="008206CA" w:rsidP="008206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F3F84" id="Speech Bubble: Oval 65" o:spid="_x0000_s1075" type="#_x0000_t63" style="position:absolute;margin-left:-36.75pt;margin-top:202.85pt;width:126pt;height:7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" adj="6300,24300" fillcolor="#4f81bd" strokecolor="#385d8a" strokeweight="2pt">
                <v:path arrowok="t"/>
                <v:textbox>
                  <w:txbxContent>
                    <w:p w14:paraId="605F093F" w14:textId="77777777" w:rsidR="008206CA" w:rsidRPr="008206CA" w:rsidRDefault="008206CA" w:rsidP="008206CA">
                      <w:pPr>
                        <w:jc w:val="center"/>
                        <w:rPr>
                          <w:rFonts w:ascii="Arial" w:hAnsi="Arial" w:cs="Arial"/>
                          <w:color w:val="FFFFFF"/>
                        </w:rPr>
                      </w:pPr>
                      <w:r w:rsidRPr="008206CA">
                        <w:rPr>
                          <w:rFonts w:ascii="Arial" w:hAnsi="Arial" w:cs="Arial"/>
                          <w:color w:val="FFFFFF"/>
                        </w:rPr>
                        <w:t>Monitoring officer/S151 officer</w:t>
                      </w:r>
                    </w:p>
                    <w:p w14:paraId="38F2ACF3" w14:textId="77777777" w:rsidR="008206CA" w:rsidRDefault="008206CA" w:rsidP="008206CA">
                      <w:pPr>
                        <w:jc w:val="cente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38465DA" wp14:editId="0B1199E2">
                <wp:simplePos x="0" y="0"/>
                <wp:positionH relativeFrom="column">
                  <wp:posOffset>-142875</wp:posOffset>
                </wp:positionH>
                <wp:positionV relativeFrom="paragraph">
                  <wp:posOffset>1661795</wp:posOffset>
                </wp:positionV>
                <wp:extent cx="1466850" cy="628650"/>
                <wp:effectExtent l="19050" t="19050" r="19050" b="95250"/>
                <wp:wrapNone/>
                <wp:docPr id="64" name="Speech Bubble: 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28650"/>
                        </a:xfrm>
                        <a:prstGeom prst="wedgeEllipseCallout">
                          <a:avLst/>
                        </a:prstGeom>
                        <a:solidFill>
                          <a:srgbClr val="4F81BD"/>
                        </a:solidFill>
                        <a:ln w="25400" cap="flat" cmpd="sng" algn="ctr">
                          <a:solidFill>
                            <a:srgbClr val="4F81BD">
                              <a:shade val="50000"/>
                            </a:srgbClr>
                          </a:solidFill>
                          <a:prstDash val="solid"/>
                        </a:ln>
                        <a:effectLst/>
                      </wps:spPr>
                      <wps:txbx>
                        <w:txbxContent>
                          <w:p w14:paraId="7D6F0945" w14:textId="77777777" w:rsidR="008206CA" w:rsidRPr="008206CA" w:rsidRDefault="008206CA" w:rsidP="008206CA">
                            <w:pPr>
                              <w:jc w:val="center"/>
                              <w:rPr>
                                <w:rFonts w:ascii="Arial" w:hAnsi="Arial" w:cs="Arial"/>
                                <w:color w:val="FFFFFF"/>
                              </w:rPr>
                            </w:pPr>
                            <w:r w:rsidRPr="008206CA">
                              <w:rPr>
                                <w:rFonts w:ascii="Arial" w:hAnsi="Arial" w:cs="Arial"/>
                                <w:color w:val="FFFFFF"/>
                              </w:rPr>
                              <w:t>Internal Audit</w:t>
                            </w:r>
                          </w:p>
                          <w:p w14:paraId="27C38950" w14:textId="77777777" w:rsidR="008206CA" w:rsidRDefault="008206CA" w:rsidP="008206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65DA" id="Speech Bubble: Oval 64" o:spid="_x0000_s1076" type="#_x0000_t63" style="position:absolute;margin-left:-11.25pt;margin-top:130.85pt;width:115.5pt;height: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" adj="6300,24300" fillcolor="#4f81bd" strokecolor="#385d8a" strokeweight="2pt">
                <v:path arrowok="t"/>
                <v:textbox>
                  <w:txbxContent>
                    <w:p w14:paraId="7D6F0945" w14:textId="77777777" w:rsidR="008206CA" w:rsidRPr="008206CA" w:rsidRDefault="008206CA" w:rsidP="008206CA">
                      <w:pPr>
                        <w:jc w:val="center"/>
                        <w:rPr>
                          <w:rFonts w:ascii="Arial" w:hAnsi="Arial" w:cs="Arial"/>
                          <w:color w:val="FFFFFF"/>
                        </w:rPr>
                      </w:pPr>
                      <w:r w:rsidRPr="008206CA">
                        <w:rPr>
                          <w:rFonts w:ascii="Arial" w:hAnsi="Arial" w:cs="Arial"/>
                          <w:color w:val="FFFFFF"/>
                        </w:rPr>
                        <w:t>Internal Audit</w:t>
                      </w:r>
                    </w:p>
                    <w:p w14:paraId="27C38950" w14:textId="77777777" w:rsidR="008206CA" w:rsidRDefault="008206CA" w:rsidP="008206CA">
                      <w:pPr>
                        <w:jc w:val="cente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94406D5" wp14:editId="0BE3E234">
                <wp:simplePos x="0" y="0"/>
                <wp:positionH relativeFrom="column">
                  <wp:posOffset>7172325</wp:posOffset>
                </wp:positionH>
                <wp:positionV relativeFrom="paragraph">
                  <wp:posOffset>2195195</wp:posOffset>
                </wp:positionV>
                <wp:extent cx="2171700" cy="771525"/>
                <wp:effectExtent l="19050" t="19050" r="19050" b="123825"/>
                <wp:wrapNone/>
                <wp:docPr id="63" name="Speech Bubble: 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771525"/>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6DB34973" w14:textId="77777777" w:rsidR="008206CA" w:rsidRPr="00D5252B" w:rsidRDefault="008206CA" w:rsidP="008206CA">
                            <w:pPr>
                              <w:pStyle w:val="NoSpacing"/>
                              <w:jc w:val="center"/>
                              <w:rPr>
                                <w:rFonts w:ascii="Arial" w:hAnsi="Arial" w:cs="Arial"/>
                              </w:rPr>
                            </w:pPr>
                            <w:r w:rsidRPr="00D5252B">
                              <w:rPr>
                                <w:rFonts w:ascii="Arial" w:hAnsi="Arial" w:cs="Arial"/>
                              </w:rPr>
                              <w:t>External Regulators/</w:t>
                            </w:r>
                          </w:p>
                          <w:p w14:paraId="1215C16F" w14:textId="77777777" w:rsidR="008206CA" w:rsidRPr="00D5252B" w:rsidRDefault="008206CA" w:rsidP="008206CA">
                            <w:pPr>
                              <w:pStyle w:val="NoSpacing"/>
                              <w:jc w:val="center"/>
                              <w:rPr>
                                <w:rFonts w:ascii="Arial" w:hAnsi="Arial" w:cs="Arial"/>
                              </w:rPr>
                            </w:pPr>
                            <w:r w:rsidRPr="00D5252B">
                              <w:rPr>
                                <w:rFonts w:ascii="Arial" w:hAnsi="Arial" w:cs="Arial"/>
                              </w:rPr>
                              <w:t>Inspections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406D5" id="Speech Bubble: Oval 63" o:spid="_x0000_s1077" type="#_x0000_t63" style="position:absolute;margin-left:564.75pt;margin-top:172.85pt;width:171pt;height:6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" adj="6300,24300" fillcolor="#4472c4" strokecolor="#2f528f" strokeweight="1pt">
                <v:path arrowok="t"/>
                <v:textbox>
                  <w:txbxContent>
                    <w:p w14:paraId="6DB34973" w14:textId="77777777" w:rsidR="008206CA" w:rsidRPr="00D5252B" w:rsidRDefault="008206CA" w:rsidP="008206CA">
                      <w:pPr>
                        <w:pStyle w:val="NoSpacing"/>
                        <w:jc w:val="center"/>
                        <w:rPr>
                          <w:rFonts w:ascii="Arial" w:hAnsi="Arial" w:cs="Arial"/>
                        </w:rPr>
                      </w:pPr>
                      <w:r w:rsidRPr="00D5252B">
                        <w:rPr>
                          <w:rFonts w:ascii="Arial" w:hAnsi="Arial" w:cs="Arial"/>
                        </w:rPr>
                        <w:t>External Regulators/</w:t>
                      </w:r>
                    </w:p>
                    <w:p w14:paraId="1215C16F" w14:textId="77777777" w:rsidR="008206CA" w:rsidRPr="00D5252B" w:rsidRDefault="008206CA" w:rsidP="008206CA">
                      <w:pPr>
                        <w:pStyle w:val="NoSpacing"/>
                        <w:jc w:val="center"/>
                        <w:rPr>
                          <w:rFonts w:ascii="Arial" w:hAnsi="Arial" w:cs="Arial"/>
                        </w:rPr>
                      </w:pPr>
                      <w:r w:rsidRPr="00D5252B">
                        <w:rPr>
                          <w:rFonts w:ascii="Arial" w:hAnsi="Arial" w:cs="Arial"/>
                        </w:rPr>
                        <w:t>Inspections</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1C6DA6B" wp14:editId="52B03675">
                <wp:simplePos x="0" y="0"/>
                <wp:positionH relativeFrom="column">
                  <wp:posOffset>2887980</wp:posOffset>
                </wp:positionH>
                <wp:positionV relativeFrom="paragraph">
                  <wp:posOffset>4343400</wp:posOffset>
                </wp:positionV>
                <wp:extent cx="308610" cy="352425"/>
                <wp:effectExtent l="0" t="2858" r="12383" b="12382"/>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a:off x="0" y="0"/>
                          <a:ext cx="308610" cy="352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2A039B" id="Straight Connector 62" o:spid="_x0000_s1026" style="position:absolute;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4pt,342pt" to="251.7pt,3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" strokecolor="#4472c4" strokeweight=".5pt">
                <v:stroke joinstyle="miter"/>
                <o:lock v:ext="edit" shapetype="f"/>
              </v:line>
            </w:pict>
          </mc:Fallback>
        </mc:AlternateContent>
      </w:r>
      <w:r>
        <w:rPr>
          <w:noProof/>
        </w:rPr>
        <mc:AlternateContent>
          <mc:Choice Requires="wps">
            <w:drawing>
              <wp:anchor distT="0" distB="0" distL="114300" distR="114300" simplePos="0" relativeHeight="251679744" behindDoc="0" locked="0" layoutInCell="1" allowOverlap="1" wp14:anchorId="14B607D3" wp14:editId="508A8DA6">
                <wp:simplePos x="0" y="0"/>
                <wp:positionH relativeFrom="column">
                  <wp:posOffset>1676400</wp:posOffset>
                </wp:positionH>
                <wp:positionV relativeFrom="paragraph">
                  <wp:posOffset>4757420</wp:posOffset>
                </wp:positionV>
                <wp:extent cx="1400175" cy="933450"/>
                <wp:effectExtent l="19050" t="19050" r="28575" b="133350"/>
                <wp:wrapNone/>
                <wp:docPr id="61" name="Speech Bubble: 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933450"/>
                        </a:xfrm>
                        <a:prstGeom prst="wedgeEllipseCallout">
                          <a:avLst/>
                        </a:prstGeom>
                        <a:solidFill>
                          <a:srgbClr val="4F81BD"/>
                        </a:solidFill>
                        <a:ln w="25400" cap="flat" cmpd="sng" algn="ctr">
                          <a:solidFill>
                            <a:srgbClr val="4F81BD">
                              <a:shade val="50000"/>
                            </a:srgbClr>
                          </a:solidFill>
                          <a:prstDash val="solid"/>
                        </a:ln>
                        <a:effectLst/>
                      </wps:spPr>
                      <wps:txbx>
                        <w:txbxContent>
                          <w:p w14:paraId="1050BC2A" w14:textId="77777777" w:rsidR="008206CA" w:rsidRPr="008206CA" w:rsidRDefault="008206CA" w:rsidP="008206CA">
                            <w:pPr>
                              <w:pStyle w:val="NoSpacing"/>
                              <w:jc w:val="center"/>
                              <w:rPr>
                                <w:rFonts w:ascii="Arial" w:hAnsi="Arial" w:cs="Arial"/>
                                <w:color w:val="FFFFFF"/>
                              </w:rPr>
                            </w:pPr>
                            <w:r w:rsidRPr="008206CA">
                              <w:rPr>
                                <w:rFonts w:ascii="Arial" w:hAnsi="Arial" w:cs="Arial"/>
                                <w:color w:val="FFFFFF"/>
                              </w:rPr>
                              <w:t>Scrutiny</w:t>
                            </w:r>
                          </w:p>
                          <w:p w14:paraId="044F639D" w14:textId="77777777" w:rsidR="008206CA" w:rsidRDefault="008206CA" w:rsidP="008206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607D3" id="Speech Bubble: Oval 61" o:spid="_x0000_s1078" type="#_x0000_t63" style="position:absolute;margin-left:132pt;margin-top:374.6pt;width:110.25pt;height: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" adj="6300,24300" fillcolor="#4f81bd" strokecolor="#385d8a" strokeweight="2pt">
                <v:path arrowok="t"/>
                <v:textbox>
                  <w:txbxContent>
                    <w:p w14:paraId="1050BC2A" w14:textId="77777777" w:rsidR="008206CA" w:rsidRPr="008206CA" w:rsidRDefault="008206CA" w:rsidP="008206CA">
                      <w:pPr>
                        <w:pStyle w:val="NoSpacing"/>
                        <w:jc w:val="center"/>
                        <w:rPr>
                          <w:rFonts w:ascii="Arial" w:hAnsi="Arial" w:cs="Arial"/>
                          <w:color w:val="FFFFFF"/>
                        </w:rPr>
                      </w:pPr>
                      <w:r w:rsidRPr="008206CA">
                        <w:rPr>
                          <w:rFonts w:ascii="Arial" w:hAnsi="Arial" w:cs="Arial"/>
                          <w:color w:val="FFFFFF"/>
                        </w:rPr>
                        <w:t>Scrutiny</w:t>
                      </w:r>
                    </w:p>
                    <w:p w14:paraId="044F639D" w14:textId="77777777" w:rsidR="008206CA" w:rsidRDefault="008206CA" w:rsidP="008206CA">
                      <w:pPr>
                        <w:jc w:val="cente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656F209" wp14:editId="18373731">
                <wp:simplePos x="0" y="0"/>
                <wp:positionH relativeFrom="column">
                  <wp:posOffset>1504950</wp:posOffset>
                </wp:positionH>
                <wp:positionV relativeFrom="paragraph">
                  <wp:posOffset>2186305</wp:posOffset>
                </wp:positionV>
                <wp:extent cx="388620" cy="91440"/>
                <wp:effectExtent l="0" t="0" r="11430" b="381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620" cy="914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1F5891" id="Straight Connector 6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172.15pt" to="149.1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" strokecolor="#4a7ebb">
                <o:lock v:ext="edit" shapetype="f"/>
              </v:line>
            </w:pict>
          </mc:Fallback>
        </mc:AlternateContent>
      </w:r>
      <w:r>
        <w:rPr>
          <w:noProof/>
        </w:rPr>
        <mc:AlternateContent>
          <mc:Choice Requires="wps">
            <w:drawing>
              <wp:anchor distT="0" distB="0" distL="114300" distR="114300" simplePos="0" relativeHeight="251695104" behindDoc="0" locked="0" layoutInCell="1" allowOverlap="1" wp14:anchorId="70900893" wp14:editId="662F32D2">
                <wp:simplePos x="0" y="0"/>
                <wp:positionH relativeFrom="column">
                  <wp:posOffset>1942465</wp:posOffset>
                </wp:positionH>
                <wp:positionV relativeFrom="paragraph">
                  <wp:posOffset>4237990</wp:posOffset>
                </wp:positionV>
                <wp:extent cx="278765" cy="463550"/>
                <wp:effectExtent l="2858" t="0" r="9842" b="9843"/>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flipV="1">
                          <a:off x="0" y="0"/>
                          <a:ext cx="278765" cy="4635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DB2DC1" id="Straight Connector 59" o:spid="_x0000_s1026" style="position:absolute;rotation:-90;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95pt,333.7pt" to="174.9pt,3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" strokecolor="#4a7ebb">
                <o:lock v:ext="edit" shapetype="f"/>
              </v:line>
            </w:pict>
          </mc:Fallback>
        </mc:AlternateContent>
      </w:r>
      <w:r>
        <w:rPr>
          <w:noProof/>
        </w:rPr>
        <mc:AlternateContent>
          <mc:Choice Requires="wps">
            <w:drawing>
              <wp:anchor distT="0" distB="0" distL="114300" distR="114300" simplePos="0" relativeHeight="251689984" behindDoc="0" locked="0" layoutInCell="1" allowOverlap="1" wp14:anchorId="60A5F047" wp14:editId="021A60F6">
                <wp:simplePos x="0" y="0"/>
                <wp:positionH relativeFrom="column">
                  <wp:posOffset>1465580</wp:posOffset>
                </wp:positionH>
                <wp:positionV relativeFrom="paragraph">
                  <wp:posOffset>3560445</wp:posOffset>
                </wp:positionV>
                <wp:extent cx="278765" cy="463550"/>
                <wp:effectExtent l="2858" t="0" r="9842" b="9843"/>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flipV="1">
                          <a:off x="0" y="0"/>
                          <a:ext cx="278765" cy="4635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D719A4" id="Straight Connector 58" o:spid="_x0000_s1026" style="position:absolute;rotation:-90;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pt,280.35pt" to="137.35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" strokecolor="#4a7ebb">
                <o:lock v:ext="edit" shapetype="f"/>
              </v:line>
            </w:pict>
          </mc:Fallback>
        </mc:AlternateContent>
      </w:r>
      <w:r>
        <w:rPr>
          <w:noProof/>
        </w:rPr>
        <mc:AlternateContent>
          <mc:Choice Requires="wps">
            <w:drawing>
              <wp:anchor distT="0" distB="0" distL="114300" distR="114300" simplePos="0" relativeHeight="251681792" behindDoc="0" locked="0" layoutInCell="1" allowOverlap="1" wp14:anchorId="58FFBDD1" wp14:editId="7C195323">
                <wp:simplePos x="0" y="0"/>
                <wp:positionH relativeFrom="margin">
                  <wp:posOffset>-342900</wp:posOffset>
                </wp:positionH>
                <wp:positionV relativeFrom="paragraph">
                  <wp:posOffset>3823970</wp:posOffset>
                </wp:positionV>
                <wp:extent cx="1419225" cy="704850"/>
                <wp:effectExtent l="19050" t="19050" r="28575" b="95250"/>
                <wp:wrapNone/>
                <wp:docPr id="57" name="Speech Bubble: 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704850"/>
                        </a:xfrm>
                        <a:prstGeom prst="wedgeEllipseCallout">
                          <a:avLst/>
                        </a:prstGeom>
                        <a:solidFill>
                          <a:srgbClr val="4F81BD"/>
                        </a:solidFill>
                        <a:ln w="25400" cap="flat" cmpd="sng" algn="ctr">
                          <a:solidFill>
                            <a:srgbClr val="4F81BD">
                              <a:shade val="50000"/>
                            </a:srgbClr>
                          </a:solidFill>
                          <a:prstDash val="solid"/>
                        </a:ln>
                        <a:effectLst/>
                      </wps:spPr>
                      <wps:txbx>
                        <w:txbxContent>
                          <w:p w14:paraId="33D85A2F" w14:textId="77777777" w:rsidR="008206CA" w:rsidRPr="008206CA" w:rsidRDefault="008206CA" w:rsidP="008206CA">
                            <w:pPr>
                              <w:jc w:val="center"/>
                              <w:rPr>
                                <w:rFonts w:ascii="Arial" w:hAnsi="Arial" w:cs="Arial"/>
                                <w:color w:val="FFFFFF"/>
                              </w:rPr>
                            </w:pPr>
                            <w:r w:rsidRPr="008206CA">
                              <w:rPr>
                                <w:rFonts w:ascii="Arial" w:hAnsi="Arial" w:cs="Arial"/>
                                <w:color w:val="FFFFFF"/>
                              </w:rPr>
                              <w:t>CMT -SMAS</w:t>
                            </w:r>
                          </w:p>
                          <w:p w14:paraId="0E0894AB" w14:textId="77777777" w:rsidR="008206CA" w:rsidRDefault="008206CA" w:rsidP="008206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BDD1" id="Speech Bubble: Oval 57" o:spid="_x0000_s1079" type="#_x0000_t63" style="position:absolute;margin-left:-27pt;margin-top:301.1pt;width:111.75pt;height:5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" adj="6300,24300" fillcolor="#4f81bd" strokecolor="#385d8a" strokeweight="2pt">
                <v:path arrowok="t"/>
                <v:textbox>
                  <w:txbxContent>
                    <w:p w14:paraId="33D85A2F" w14:textId="77777777" w:rsidR="008206CA" w:rsidRPr="008206CA" w:rsidRDefault="008206CA" w:rsidP="008206CA">
                      <w:pPr>
                        <w:jc w:val="center"/>
                        <w:rPr>
                          <w:rFonts w:ascii="Arial" w:hAnsi="Arial" w:cs="Arial"/>
                          <w:color w:val="FFFFFF"/>
                        </w:rPr>
                      </w:pPr>
                      <w:r w:rsidRPr="008206CA">
                        <w:rPr>
                          <w:rFonts w:ascii="Arial" w:hAnsi="Arial" w:cs="Arial"/>
                          <w:color w:val="FFFFFF"/>
                        </w:rPr>
                        <w:t>CMT -SMAS</w:t>
                      </w:r>
                    </w:p>
                    <w:p w14:paraId="0E0894AB" w14:textId="77777777" w:rsidR="008206CA" w:rsidRDefault="008206CA" w:rsidP="008206CA">
                      <w:pPr>
                        <w:jc w:val="center"/>
                      </w:pP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621D596" wp14:editId="0906AF5C">
                <wp:simplePos x="0" y="0"/>
                <wp:positionH relativeFrom="column">
                  <wp:posOffset>1276350</wp:posOffset>
                </wp:positionH>
                <wp:positionV relativeFrom="paragraph">
                  <wp:posOffset>2814955</wp:posOffset>
                </wp:positionV>
                <wp:extent cx="441960" cy="106680"/>
                <wp:effectExtent l="0" t="0" r="15240" b="762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1960" cy="1066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D230B7" id="Straight Connector 5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221.65pt" to="135.3pt,2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" strokecolor="#4a7ebb">
                <o:lock v:ext="edit" shapetype="f"/>
              </v:line>
            </w:pict>
          </mc:Fallback>
        </mc:AlternateContent>
      </w:r>
    </w:p>
    <w:p w14:paraId="1967DD92" w14:textId="77777777" w:rsidR="008206CA" w:rsidRDefault="008206CA" w:rsidP="008206CA">
      <w:pPr>
        <w:rPr>
          <w:rFonts w:ascii="Arial" w:hAnsi="Arial"/>
          <w:b/>
          <w:sz w:val="24"/>
          <w:szCs w:val="24"/>
        </w:rPr>
      </w:pPr>
    </w:p>
    <w:p w14:paraId="40ABDE30" w14:textId="77777777" w:rsidR="008206CA" w:rsidRDefault="008206CA" w:rsidP="008206CA">
      <w:pPr>
        <w:rPr>
          <w:rFonts w:ascii="Arial" w:hAnsi="Arial"/>
          <w:b/>
          <w:sz w:val="24"/>
          <w:szCs w:val="24"/>
        </w:rPr>
      </w:pPr>
      <w:r>
        <w:rPr>
          <w:rFonts w:ascii="Arial" w:hAnsi="Arial"/>
          <w:b/>
          <w:sz w:val="24"/>
          <w:szCs w:val="24"/>
        </w:rPr>
        <w:t>4.</w:t>
      </w:r>
      <w:r>
        <w:rPr>
          <w:rFonts w:ascii="Arial" w:hAnsi="Arial"/>
          <w:b/>
          <w:sz w:val="24"/>
          <w:szCs w:val="24"/>
        </w:rPr>
        <w:tab/>
      </w:r>
      <w:r w:rsidRPr="00451349">
        <w:rPr>
          <w:rFonts w:ascii="Arial" w:hAnsi="Arial"/>
          <w:b/>
          <w:sz w:val="24"/>
          <w:szCs w:val="24"/>
        </w:rPr>
        <w:t>Review of Effectiveness</w:t>
      </w:r>
    </w:p>
    <w:p w14:paraId="1C77C177" w14:textId="77777777" w:rsidR="008206CA" w:rsidRPr="002F23DF" w:rsidRDefault="008206CA" w:rsidP="008206CA">
      <w:pPr>
        <w:rPr>
          <w:rFonts w:ascii="Arial" w:hAnsi="Arial"/>
          <w:vanish/>
          <w:sz w:val="24"/>
          <w:szCs w:val="24"/>
        </w:rPr>
      </w:pPr>
      <w:r w:rsidRPr="002F23DF">
        <w:rPr>
          <w:rFonts w:ascii="Arial" w:hAnsi="Arial"/>
          <w:sz w:val="24"/>
          <w:szCs w:val="24"/>
        </w:rPr>
        <w:t>4.1</w:t>
      </w:r>
      <w:r w:rsidRPr="002F23DF">
        <w:rPr>
          <w:rFonts w:ascii="Arial" w:hAnsi="Arial"/>
          <w:sz w:val="24"/>
          <w:szCs w:val="24"/>
        </w:rPr>
        <w:tab/>
      </w:r>
    </w:p>
    <w:p w14:paraId="3945A688" w14:textId="77777777" w:rsidR="008206CA" w:rsidRPr="002F23DF" w:rsidRDefault="008206CA" w:rsidP="008206CA">
      <w:pPr>
        <w:pStyle w:val="ListParagraph"/>
        <w:numPr>
          <w:ilvl w:val="0"/>
          <w:numId w:val="30"/>
        </w:numPr>
        <w:spacing w:before="0" w:after="0" w:line="240" w:lineRule="auto"/>
        <w:contextualSpacing w:val="0"/>
        <w:rPr>
          <w:vanish/>
          <w:sz w:val="24"/>
        </w:rPr>
      </w:pPr>
    </w:p>
    <w:p w14:paraId="40128101" w14:textId="77777777" w:rsidR="008206CA" w:rsidRDefault="008206CA" w:rsidP="008206CA">
      <w:pPr>
        <w:numPr>
          <w:ilvl w:val="1"/>
          <w:numId w:val="30"/>
        </w:numPr>
        <w:tabs>
          <w:tab w:val="clear" w:pos="720"/>
          <w:tab w:val="num" w:pos="1146"/>
        </w:tabs>
        <w:ind w:left="1146"/>
        <w:rPr>
          <w:rFonts w:ascii="Arial" w:hAnsi="Arial"/>
          <w:sz w:val="24"/>
          <w:szCs w:val="24"/>
        </w:rPr>
      </w:pPr>
      <w:r w:rsidRPr="002F23DF">
        <w:rPr>
          <w:rFonts w:ascii="Arial" w:hAnsi="Arial"/>
          <w:sz w:val="24"/>
          <w:szCs w:val="24"/>
        </w:rPr>
        <w:t>The City and County of Swansea annually reviews the effectiveness of its</w:t>
      </w:r>
      <w:r>
        <w:rPr>
          <w:rFonts w:ascii="Arial" w:hAnsi="Arial"/>
          <w:sz w:val="24"/>
          <w:szCs w:val="24"/>
        </w:rPr>
        <w:t xml:space="preserve"> </w:t>
      </w:r>
      <w:r>
        <w:rPr>
          <w:rFonts w:ascii="Arial" w:hAnsi="Arial"/>
          <w:sz w:val="24"/>
          <w:szCs w:val="24"/>
        </w:rPr>
        <w:tab/>
        <w:t xml:space="preserve">governance framework including the system of </w:t>
      </w:r>
      <w:r>
        <w:rPr>
          <w:rFonts w:ascii="Arial" w:hAnsi="Arial"/>
          <w:sz w:val="24"/>
          <w:szCs w:val="24"/>
        </w:rPr>
        <w:tab/>
        <w:t xml:space="preserve">internal control. </w:t>
      </w:r>
    </w:p>
    <w:p w14:paraId="20EBD5C9" w14:textId="77777777" w:rsidR="008206CA" w:rsidRDefault="008206CA" w:rsidP="008206CA">
      <w:pPr>
        <w:rPr>
          <w:rFonts w:ascii="Arial" w:hAnsi="Arial"/>
          <w:sz w:val="24"/>
          <w:szCs w:val="24"/>
        </w:rPr>
      </w:pPr>
    </w:p>
    <w:p w14:paraId="1275525E" w14:textId="77777777" w:rsidR="008206CA" w:rsidRPr="00AB072E" w:rsidRDefault="008206CA" w:rsidP="00DE37F4">
      <w:pPr>
        <w:numPr>
          <w:ilvl w:val="0"/>
          <w:numId w:val="127"/>
        </w:numPr>
        <w:rPr>
          <w:rFonts w:ascii="Arial" w:hAnsi="Arial"/>
          <w:sz w:val="24"/>
          <w:szCs w:val="24"/>
        </w:rPr>
      </w:pPr>
      <w:r w:rsidRPr="00AB072E">
        <w:rPr>
          <w:rFonts w:ascii="Arial" w:hAnsi="Arial"/>
          <w:sz w:val="24"/>
          <w:szCs w:val="24"/>
        </w:rPr>
        <w:t xml:space="preserve">Statements from Corporate Management Team (CMT), Statutory </w:t>
      </w:r>
      <w:r w:rsidR="00AB072E" w:rsidRPr="00AB072E">
        <w:rPr>
          <w:rFonts w:ascii="Arial" w:hAnsi="Arial"/>
          <w:sz w:val="24"/>
          <w:szCs w:val="24"/>
        </w:rPr>
        <w:t xml:space="preserve">  </w:t>
      </w:r>
      <w:r w:rsidRPr="00AB072E">
        <w:rPr>
          <w:rFonts w:ascii="Arial" w:hAnsi="Arial"/>
          <w:sz w:val="24"/>
          <w:szCs w:val="24"/>
        </w:rPr>
        <w:tab/>
        <w:t xml:space="preserve">      </w:t>
      </w:r>
      <w:r w:rsidR="00AB072E" w:rsidRPr="00AB072E">
        <w:rPr>
          <w:rFonts w:ascii="Arial" w:hAnsi="Arial"/>
          <w:sz w:val="24"/>
          <w:szCs w:val="24"/>
        </w:rPr>
        <w:t xml:space="preserve"> </w:t>
      </w:r>
      <w:r w:rsidRPr="00AB072E">
        <w:rPr>
          <w:rFonts w:ascii="Arial" w:hAnsi="Arial"/>
          <w:sz w:val="24"/>
          <w:szCs w:val="24"/>
        </w:rPr>
        <w:t xml:space="preserve">Officers, the Internal Audit Manager and the Audit </w:t>
      </w:r>
      <w:r w:rsidRPr="00AB072E">
        <w:rPr>
          <w:rFonts w:ascii="Arial" w:hAnsi="Arial"/>
          <w:sz w:val="24"/>
          <w:szCs w:val="24"/>
        </w:rPr>
        <w:tab/>
        <w:t>Committee.</w:t>
      </w:r>
    </w:p>
    <w:p w14:paraId="39E5AB87" w14:textId="77777777" w:rsidR="008206CA" w:rsidRDefault="008206CA" w:rsidP="008206CA">
      <w:pPr>
        <w:jc w:val="both"/>
        <w:rPr>
          <w:rFonts w:ascii="Arial" w:hAnsi="Arial"/>
          <w:sz w:val="24"/>
          <w:szCs w:val="24"/>
        </w:rPr>
      </w:pPr>
      <w:r>
        <w:rPr>
          <w:rFonts w:ascii="Arial" w:hAnsi="Arial"/>
          <w:sz w:val="24"/>
          <w:szCs w:val="24"/>
        </w:rPr>
        <w:tab/>
      </w:r>
      <w:r>
        <w:rPr>
          <w:rFonts w:ascii="Arial" w:hAnsi="Arial"/>
          <w:sz w:val="24"/>
          <w:szCs w:val="24"/>
        </w:rPr>
        <w:tab/>
        <w:t>(b) External organisations i.e. Audit Wales and regulators.</w:t>
      </w:r>
      <w:r>
        <w:rPr>
          <w:rFonts w:ascii="Arial" w:hAnsi="Arial"/>
          <w:sz w:val="24"/>
          <w:szCs w:val="24"/>
        </w:rPr>
        <w:tab/>
      </w:r>
    </w:p>
    <w:p w14:paraId="3AF2298B" w14:textId="77777777" w:rsidR="008206CA" w:rsidRDefault="008206CA" w:rsidP="008206CA">
      <w:pPr>
        <w:jc w:val="both"/>
        <w:rPr>
          <w:rFonts w:ascii="Arial" w:hAnsi="Arial"/>
          <w:sz w:val="24"/>
          <w:szCs w:val="24"/>
        </w:rPr>
      </w:pPr>
      <w:r>
        <w:rPr>
          <w:rFonts w:ascii="Arial" w:hAnsi="Arial"/>
          <w:sz w:val="24"/>
          <w:szCs w:val="24"/>
        </w:rPr>
        <w:tab/>
      </w:r>
      <w:r>
        <w:rPr>
          <w:rFonts w:ascii="Arial" w:hAnsi="Arial"/>
          <w:sz w:val="24"/>
          <w:szCs w:val="24"/>
        </w:rPr>
        <w:tab/>
        <w:t>(c) Core evidence mapped to Council, Cabinet and Committees.</w:t>
      </w:r>
    </w:p>
    <w:p w14:paraId="7730889E" w14:textId="77777777" w:rsidR="008206CA" w:rsidRDefault="008206CA" w:rsidP="008206CA">
      <w:pPr>
        <w:rPr>
          <w:rFonts w:ascii="Arial" w:hAnsi="Arial"/>
          <w:sz w:val="24"/>
          <w:szCs w:val="24"/>
        </w:rPr>
      </w:pPr>
    </w:p>
    <w:p w14:paraId="1BF60E69" w14:textId="77777777" w:rsidR="008206CA" w:rsidRPr="00AB072E" w:rsidRDefault="00AB072E" w:rsidP="00DE37F4">
      <w:pPr>
        <w:numPr>
          <w:ilvl w:val="1"/>
          <w:numId w:val="30"/>
        </w:numPr>
        <w:jc w:val="both"/>
        <w:rPr>
          <w:rFonts w:ascii="Arial" w:hAnsi="Arial"/>
          <w:sz w:val="24"/>
          <w:szCs w:val="24"/>
        </w:rPr>
      </w:pPr>
      <w:r w:rsidRPr="00AB072E">
        <w:rPr>
          <w:rFonts w:ascii="Arial" w:hAnsi="Arial"/>
          <w:sz w:val="24"/>
          <w:szCs w:val="24"/>
        </w:rPr>
        <w:t>T</w:t>
      </w:r>
      <w:r w:rsidR="008206CA" w:rsidRPr="00AB072E">
        <w:rPr>
          <w:rFonts w:ascii="Arial" w:hAnsi="Arial"/>
          <w:sz w:val="24"/>
          <w:szCs w:val="24"/>
        </w:rPr>
        <w:t xml:space="preserve">he following highlights the review of the governance framework in order to compile the Annual Governance Statement and sets out the assurance of CMT, officers and external organisations. </w:t>
      </w:r>
    </w:p>
    <w:p w14:paraId="4993931B" w14:textId="77777777" w:rsidR="008206CA" w:rsidRDefault="008206CA" w:rsidP="008206CA">
      <w:pPr>
        <w:ind w:left="426"/>
        <w:jc w:val="both"/>
        <w:rPr>
          <w:rFonts w:ascii="Arial" w:hAnsi="Arial"/>
          <w:sz w:val="24"/>
          <w:szCs w:val="24"/>
        </w:rPr>
      </w:pPr>
    </w:p>
    <w:p w14:paraId="3D7F5F28" w14:textId="77777777" w:rsidR="008206CA" w:rsidRPr="00875477" w:rsidRDefault="008206CA" w:rsidP="008206CA">
      <w:pPr>
        <w:rPr>
          <w:rFonts w:ascii="Arial" w:hAnsi="Arial"/>
          <w:b/>
          <w:sz w:val="24"/>
          <w:szCs w:val="24"/>
          <w:u w:val="single"/>
        </w:rPr>
      </w:pPr>
      <w:r w:rsidRPr="001511C7">
        <w:rPr>
          <w:rFonts w:ascii="Arial" w:hAnsi="Arial"/>
          <w:b/>
          <w:sz w:val="24"/>
          <w:szCs w:val="24"/>
          <w:u w:val="single"/>
        </w:rPr>
        <w:t>INTERNAL SOURCES OF ASSURANCE</w:t>
      </w:r>
    </w:p>
    <w:p w14:paraId="5A724E08" w14:textId="77777777" w:rsidR="008206CA" w:rsidRPr="00EA7DDC" w:rsidRDefault="008206CA" w:rsidP="008206CA">
      <w:pPr>
        <w:rPr>
          <w:rFonts w:ascii="Arial" w:hAnsi="Arial"/>
          <w:b/>
          <w:sz w:val="24"/>
          <w:szCs w:val="24"/>
        </w:rPr>
      </w:pPr>
    </w:p>
    <w:p w14:paraId="6E287433" w14:textId="77777777" w:rsidR="008206CA" w:rsidRDefault="008206CA" w:rsidP="008206CA">
      <w:pPr>
        <w:pStyle w:val="ListParagraph"/>
        <w:numPr>
          <w:ilvl w:val="0"/>
          <w:numId w:val="30"/>
        </w:numPr>
        <w:spacing w:before="0" w:after="0" w:line="240" w:lineRule="auto"/>
        <w:rPr>
          <w:b/>
          <w:sz w:val="24"/>
        </w:rPr>
      </w:pPr>
      <w:r w:rsidRPr="00EA7DDC">
        <w:rPr>
          <w:b/>
          <w:sz w:val="24"/>
        </w:rPr>
        <w:t>Corporate Management Team/SMAS</w:t>
      </w:r>
    </w:p>
    <w:p w14:paraId="20FECCEE" w14:textId="77777777" w:rsidR="008206CA" w:rsidRPr="00FC3BA1" w:rsidRDefault="008206CA" w:rsidP="008206CA">
      <w:pPr>
        <w:rPr>
          <w:rFonts w:ascii="Arial" w:hAnsi="Arial"/>
          <w:b/>
          <w:sz w:val="24"/>
          <w:szCs w:val="24"/>
        </w:rPr>
      </w:pPr>
    </w:p>
    <w:p w14:paraId="6A087870" w14:textId="77777777" w:rsidR="008206CA" w:rsidRPr="00C53CC3" w:rsidRDefault="008206CA" w:rsidP="00AB072E">
      <w:pPr>
        <w:pStyle w:val="ListParagraph"/>
        <w:numPr>
          <w:ilvl w:val="1"/>
          <w:numId w:val="30"/>
        </w:numPr>
        <w:spacing w:before="0" w:after="0" w:line="240" w:lineRule="auto"/>
        <w:ind w:left="709" w:hanging="709"/>
        <w:jc w:val="both"/>
        <w:rPr>
          <w:sz w:val="24"/>
        </w:rPr>
      </w:pPr>
      <w:r w:rsidRPr="00C53CC3">
        <w:rPr>
          <w:sz w:val="24"/>
        </w:rPr>
        <w:t xml:space="preserve">The </w:t>
      </w:r>
      <w:r w:rsidRPr="0071547F">
        <w:rPr>
          <w:sz w:val="24"/>
        </w:rPr>
        <w:t xml:space="preserve">Self-Assessment </w:t>
      </w:r>
      <w:r>
        <w:rPr>
          <w:sz w:val="24"/>
        </w:rPr>
        <w:t>&amp;</w:t>
      </w:r>
      <w:r w:rsidRPr="0071547F">
        <w:rPr>
          <w:sz w:val="24"/>
        </w:rPr>
        <w:t xml:space="preserve"> Management Assurance Statement </w:t>
      </w:r>
      <w:r w:rsidRPr="00C53CC3">
        <w:rPr>
          <w:sz w:val="24"/>
        </w:rPr>
        <w:t xml:space="preserve">(SMAS) form part of the governance </w:t>
      </w:r>
      <w:r>
        <w:rPr>
          <w:sz w:val="24"/>
        </w:rPr>
        <w:t>and performance self-</w:t>
      </w:r>
      <w:r w:rsidRPr="00C53CC3">
        <w:rPr>
          <w:sz w:val="24"/>
        </w:rPr>
        <w:t xml:space="preserve">assessment framework. </w:t>
      </w:r>
      <w:r>
        <w:rPr>
          <w:sz w:val="24"/>
        </w:rPr>
        <w:t>T</w:t>
      </w:r>
      <w:r w:rsidRPr="0071547F">
        <w:rPr>
          <w:sz w:val="24"/>
        </w:rPr>
        <w:t xml:space="preserve">he new performance self-assessment requirements introduced by Part 3 of the Local Government and Elections Act </w:t>
      </w:r>
      <w:r>
        <w:rPr>
          <w:sz w:val="24"/>
        </w:rPr>
        <w:t xml:space="preserve">2021 </w:t>
      </w:r>
      <w:r w:rsidRPr="0071547F">
        <w:rPr>
          <w:sz w:val="24"/>
        </w:rPr>
        <w:t xml:space="preserve">have been incorporated into the SMAS </w:t>
      </w:r>
      <w:r>
        <w:rPr>
          <w:sz w:val="24"/>
        </w:rPr>
        <w:t>during 2021/22</w:t>
      </w:r>
      <w:r w:rsidRPr="0071547F">
        <w:rPr>
          <w:sz w:val="24"/>
        </w:rPr>
        <w:t>. The information will be used to develop both the Annual Governance Statement and the Annual Self-Assessment Report as required by Part 3</w:t>
      </w:r>
      <w:r>
        <w:rPr>
          <w:sz w:val="24"/>
        </w:rPr>
        <w:t xml:space="preserve"> of the Local Government &amp; Elections Act. </w:t>
      </w:r>
      <w:r w:rsidRPr="00C53CC3">
        <w:rPr>
          <w:sz w:val="24"/>
        </w:rPr>
        <w:t>Through the SMAS each Director responds to 1</w:t>
      </w:r>
      <w:r>
        <w:rPr>
          <w:sz w:val="24"/>
        </w:rPr>
        <w:t>2</w:t>
      </w:r>
      <w:r w:rsidRPr="00C53CC3">
        <w:rPr>
          <w:sz w:val="24"/>
        </w:rPr>
        <w:t xml:space="preserve"> good governance </w:t>
      </w:r>
      <w:r>
        <w:rPr>
          <w:sz w:val="24"/>
        </w:rPr>
        <w:t xml:space="preserve">and performance </w:t>
      </w:r>
      <w:r w:rsidRPr="00C53CC3">
        <w:rPr>
          <w:sz w:val="24"/>
        </w:rPr>
        <w:t>statements covering:</w:t>
      </w:r>
    </w:p>
    <w:p w14:paraId="62014072" w14:textId="77777777" w:rsidR="008206CA" w:rsidRDefault="008206CA" w:rsidP="008206CA">
      <w:pPr>
        <w:rPr>
          <w:rFonts w:ascii="Arial" w:hAnsi="Arial"/>
          <w:sz w:val="24"/>
          <w:szCs w:val="24"/>
        </w:rPr>
      </w:pPr>
    </w:p>
    <w:p w14:paraId="6512347F" w14:textId="77777777" w:rsidR="008206CA" w:rsidRDefault="008206CA" w:rsidP="008206CA">
      <w:pPr>
        <w:pStyle w:val="ListParagraph"/>
        <w:numPr>
          <w:ilvl w:val="0"/>
          <w:numId w:val="67"/>
        </w:numPr>
        <w:spacing w:before="0" w:after="0" w:line="240" w:lineRule="auto"/>
        <w:rPr>
          <w:sz w:val="24"/>
        </w:rPr>
      </w:pPr>
      <w:r w:rsidRPr="0071547F">
        <w:rPr>
          <w:sz w:val="24"/>
        </w:rPr>
        <w:t>Vision, Strategy &amp; Performance</w:t>
      </w:r>
      <w:r>
        <w:rPr>
          <w:sz w:val="24"/>
        </w:rPr>
        <w:t>.</w:t>
      </w:r>
    </w:p>
    <w:p w14:paraId="0674D93C" w14:textId="77777777" w:rsidR="008206CA" w:rsidRDefault="008206CA" w:rsidP="008206CA">
      <w:pPr>
        <w:pStyle w:val="ListParagraph"/>
        <w:numPr>
          <w:ilvl w:val="0"/>
          <w:numId w:val="67"/>
        </w:numPr>
        <w:spacing w:before="0" w:after="0" w:line="240" w:lineRule="auto"/>
        <w:rPr>
          <w:sz w:val="24"/>
        </w:rPr>
      </w:pPr>
      <w:r w:rsidRPr="0071547F">
        <w:rPr>
          <w:sz w:val="24"/>
        </w:rPr>
        <w:t>Organisational Governance, Ethics and Values</w:t>
      </w:r>
      <w:r>
        <w:rPr>
          <w:sz w:val="24"/>
        </w:rPr>
        <w:t>.</w:t>
      </w:r>
      <w:r w:rsidRPr="0071547F" w:rsidDel="0071547F">
        <w:rPr>
          <w:sz w:val="24"/>
        </w:rPr>
        <w:t xml:space="preserve"> </w:t>
      </w:r>
    </w:p>
    <w:p w14:paraId="4BBE9841" w14:textId="77777777" w:rsidR="008206CA" w:rsidRDefault="008206CA" w:rsidP="008206CA">
      <w:pPr>
        <w:pStyle w:val="ListParagraph"/>
        <w:numPr>
          <w:ilvl w:val="0"/>
          <w:numId w:val="67"/>
        </w:numPr>
        <w:spacing w:before="0" w:after="0" w:line="240" w:lineRule="auto"/>
        <w:rPr>
          <w:sz w:val="24"/>
        </w:rPr>
      </w:pPr>
      <w:r w:rsidRPr="0071547F">
        <w:rPr>
          <w:sz w:val="24"/>
        </w:rPr>
        <w:t>Organisational Leadership</w:t>
      </w:r>
      <w:r>
        <w:rPr>
          <w:sz w:val="24"/>
        </w:rPr>
        <w:t xml:space="preserve">. </w:t>
      </w:r>
    </w:p>
    <w:p w14:paraId="69E3DE10" w14:textId="77777777" w:rsidR="008206CA" w:rsidRDefault="008206CA" w:rsidP="008206CA">
      <w:pPr>
        <w:pStyle w:val="ListParagraph"/>
        <w:numPr>
          <w:ilvl w:val="0"/>
          <w:numId w:val="67"/>
        </w:numPr>
        <w:spacing w:before="0" w:after="0" w:line="240" w:lineRule="auto"/>
        <w:rPr>
          <w:sz w:val="24"/>
        </w:rPr>
      </w:pPr>
      <w:r w:rsidRPr="0071547F">
        <w:rPr>
          <w:sz w:val="24"/>
        </w:rPr>
        <w:t>Customer &amp; Community Engagement and Involvement</w:t>
      </w:r>
      <w:r>
        <w:rPr>
          <w:sz w:val="24"/>
        </w:rPr>
        <w:t>.</w:t>
      </w:r>
    </w:p>
    <w:p w14:paraId="65CAED98" w14:textId="77777777" w:rsidR="008206CA" w:rsidRDefault="008206CA" w:rsidP="008206CA">
      <w:pPr>
        <w:pStyle w:val="ListParagraph"/>
        <w:numPr>
          <w:ilvl w:val="0"/>
          <w:numId w:val="67"/>
        </w:numPr>
        <w:spacing w:before="0" w:after="0" w:line="240" w:lineRule="auto"/>
        <w:rPr>
          <w:sz w:val="24"/>
        </w:rPr>
      </w:pPr>
      <w:r w:rsidRPr="001B5A05">
        <w:rPr>
          <w:sz w:val="24"/>
        </w:rPr>
        <w:t>Resources Planning &amp; Management</w:t>
      </w:r>
      <w:r>
        <w:rPr>
          <w:sz w:val="24"/>
        </w:rPr>
        <w:t xml:space="preserve">. </w:t>
      </w:r>
    </w:p>
    <w:p w14:paraId="3509BBA2" w14:textId="77777777" w:rsidR="008206CA" w:rsidRDefault="008206CA" w:rsidP="008206CA">
      <w:pPr>
        <w:pStyle w:val="ListParagraph"/>
        <w:numPr>
          <w:ilvl w:val="0"/>
          <w:numId w:val="67"/>
        </w:numPr>
        <w:spacing w:before="0" w:after="0" w:line="240" w:lineRule="auto"/>
        <w:rPr>
          <w:sz w:val="24"/>
        </w:rPr>
      </w:pPr>
      <w:r w:rsidRPr="001B5A05">
        <w:rPr>
          <w:sz w:val="24"/>
        </w:rPr>
        <w:t>Risk Management &amp; Business Continuity</w:t>
      </w:r>
      <w:r>
        <w:rPr>
          <w:sz w:val="24"/>
        </w:rPr>
        <w:t xml:space="preserve">. </w:t>
      </w:r>
    </w:p>
    <w:p w14:paraId="51700068" w14:textId="77777777" w:rsidR="008206CA" w:rsidRDefault="008206CA" w:rsidP="008206CA">
      <w:pPr>
        <w:pStyle w:val="ListParagraph"/>
        <w:numPr>
          <w:ilvl w:val="0"/>
          <w:numId w:val="67"/>
        </w:numPr>
        <w:spacing w:before="0" w:after="0" w:line="240" w:lineRule="auto"/>
        <w:rPr>
          <w:sz w:val="24"/>
        </w:rPr>
      </w:pPr>
      <w:r w:rsidRPr="001B5A05">
        <w:rPr>
          <w:sz w:val="24"/>
        </w:rPr>
        <w:t>Partnership / Collaboration Governance</w:t>
      </w:r>
      <w:r>
        <w:rPr>
          <w:sz w:val="24"/>
        </w:rPr>
        <w:t xml:space="preserve">. </w:t>
      </w:r>
    </w:p>
    <w:p w14:paraId="50CC655B" w14:textId="77777777" w:rsidR="008206CA" w:rsidRDefault="008206CA" w:rsidP="008206CA">
      <w:pPr>
        <w:pStyle w:val="ListParagraph"/>
        <w:numPr>
          <w:ilvl w:val="0"/>
          <w:numId w:val="67"/>
        </w:numPr>
        <w:spacing w:before="0" w:after="0" w:line="240" w:lineRule="auto"/>
        <w:rPr>
          <w:sz w:val="24"/>
        </w:rPr>
      </w:pPr>
      <w:r w:rsidRPr="001B5A05">
        <w:rPr>
          <w:sz w:val="24"/>
        </w:rPr>
        <w:t>Internal Control Environment</w:t>
      </w:r>
      <w:r>
        <w:rPr>
          <w:sz w:val="24"/>
        </w:rPr>
        <w:t xml:space="preserve">. </w:t>
      </w:r>
    </w:p>
    <w:p w14:paraId="4C592A27" w14:textId="77777777" w:rsidR="008206CA" w:rsidRDefault="008206CA" w:rsidP="008206CA">
      <w:pPr>
        <w:pStyle w:val="ListParagraph"/>
        <w:numPr>
          <w:ilvl w:val="0"/>
          <w:numId w:val="67"/>
        </w:numPr>
        <w:spacing w:before="0" w:after="0" w:line="240" w:lineRule="auto"/>
        <w:rPr>
          <w:sz w:val="24"/>
        </w:rPr>
      </w:pPr>
      <w:r w:rsidRPr="001B5A05">
        <w:rPr>
          <w:sz w:val="24"/>
        </w:rPr>
        <w:t>Compliance with Policies, Rules Legal and Regulatory Requirements</w:t>
      </w:r>
      <w:r>
        <w:rPr>
          <w:sz w:val="24"/>
        </w:rPr>
        <w:t>.</w:t>
      </w:r>
    </w:p>
    <w:p w14:paraId="13B2E8B2" w14:textId="77777777" w:rsidR="008206CA" w:rsidRDefault="008206CA" w:rsidP="008206CA">
      <w:pPr>
        <w:pStyle w:val="ListParagraph"/>
        <w:numPr>
          <w:ilvl w:val="0"/>
          <w:numId w:val="67"/>
        </w:numPr>
        <w:spacing w:before="0" w:after="0" w:line="240" w:lineRule="auto"/>
        <w:rPr>
          <w:sz w:val="24"/>
        </w:rPr>
      </w:pPr>
      <w:r w:rsidRPr="001B5A05">
        <w:rPr>
          <w:sz w:val="24"/>
        </w:rPr>
        <w:t>Fraud &amp; Financial Impropriety</w:t>
      </w:r>
      <w:r>
        <w:rPr>
          <w:sz w:val="24"/>
        </w:rPr>
        <w:t>.</w:t>
      </w:r>
    </w:p>
    <w:p w14:paraId="5195B5ED" w14:textId="77777777" w:rsidR="008206CA" w:rsidRDefault="008206CA" w:rsidP="008206CA">
      <w:pPr>
        <w:pStyle w:val="ListParagraph"/>
        <w:numPr>
          <w:ilvl w:val="0"/>
          <w:numId w:val="67"/>
        </w:numPr>
        <w:spacing w:before="0" w:after="0" w:line="240" w:lineRule="auto"/>
        <w:rPr>
          <w:sz w:val="24"/>
        </w:rPr>
      </w:pPr>
      <w:r w:rsidRPr="001B5A05">
        <w:rPr>
          <w:sz w:val="24"/>
        </w:rPr>
        <w:t>Programme and Project Assurance</w:t>
      </w:r>
      <w:r>
        <w:rPr>
          <w:sz w:val="24"/>
        </w:rPr>
        <w:t>.</w:t>
      </w:r>
    </w:p>
    <w:p w14:paraId="777126F3" w14:textId="77777777" w:rsidR="008206CA" w:rsidRDefault="008206CA" w:rsidP="008206CA">
      <w:pPr>
        <w:pStyle w:val="ListParagraph"/>
        <w:numPr>
          <w:ilvl w:val="0"/>
          <w:numId w:val="67"/>
        </w:numPr>
        <w:spacing w:before="0" w:after="0" w:line="240" w:lineRule="auto"/>
        <w:rPr>
          <w:sz w:val="24"/>
        </w:rPr>
      </w:pPr>
      <w:r w:rsidRPr="001B5A05">
        <w:rPr>
          <w:sz w:val="24"/>
        </w:rPr>
        <w:t>Innovation &amp; Change Management</w:t>
      </w:r>
      <w:r>
        <w:rPr>
          <w:sz w:val="24"/>
        </w:rPr>
        <w:t>.</w:t>
      </w:r>
    </w:p>
    <w:p w14:paraId="4AF04105" w14:textId="77777777" w:rsidR="008206CA" w:rsidRDefault="008206CA" w:rsidP="008206CA">
      <w:pPr>
        <w:rPr>
          <w:rFonts w:ascii="Arial" w:hAnsi="Arial"/>
          <w:sz w:val="24"/>
          <w:szCs w:val="24"/>
        </w:rPr>
      </w:pPr>
    </w:p>
    <w:p w14:paraId="7DFB49AF" w14:textId="77777777" w:rsidR="008206CA" w:rsidRDefault="008206CA" w:rsidP="00AB072E">
      <w:pPr>
        <w:pStyle w:val="ListParagraph"/>
        <w:numPr>
          <w:ilvl w:val="1"/>
          <w:numId w:val="30"/>
        </w:numPr>
        <w:spacing w:before="0" w:after="0" w:line="240" w:lineRule="auto"/>
        <w:ind w:left="709" w:hanging="709"/>
        <w:jc w:val="both"/>
        <w:rPr>
          <w:sz w:val="24"/>
        </w:rPr>
      </w:pPr>
      <w:r w:rsidRPr="00FC3BA1">
        <w:rPr>
          <w:sz w:val="24"/>
        </w:rPr>
        <w:t>The Directors a</w:t>
      </w:r>
      <w:r>
        <w:rPr>
          <w:sz w:val="24"/>
        </w:rPr>
        <w:t>ssess assurance using a 5 point</w:t>
      </w:r>
      <w:r w:rsidRPr="00FC3BA1">
        <w:rPr>
          <w:sz w:val="24"/>
        </w:rPr>
        <w:t xml:space="preserve"> maturity scale for their areas o</w:t>
      </w:r>
      <w:r>
        <w:rPr>
          <w:sz w:val="24"/>
        </w:rPr>
        <w:t>f responsibility ranging from “Not in place” to “E</w:t>
      </w:r>
      <w:r w:rsidRPr="00FC3BA1">
        <w:rPr>
          <w:sz w:val="24"/>
        </w:rPr>
        <w:t xml:space="preserve">mbedded”. Directors are expected to consult with their Heads of Service to support a directorate approach to each statement. </w:t>
      </w:r>
    </w:p>
    <w:p w14:paraId="2C46BBDB" w14:textId="77777777" w:rsidR="008206CA" w:rsidRPr="00FC3BA1" w:rsidRDefault="008206CA" w:rsidP="00AB072E">
      <w:pPr>
        <w:jc w:val="both"/>
        <w:rPr>
          <w:rFonts w:ascii="Arial" w:hAnsi="Arial"/>
          <w:sz w:val="24"/>
          <w:szCs w:val="24"/>
        </w:rPr>
      </w:pPr>
    </w:p>
    <w:p w14:paraId="30A18F03" w14:textId="77777777" w:rsidR="008206CA" w:rsidRDefault="008206CA" w:rsidP="00AB072E">
      <w:pPr>
        <w:pStyle w:val="ListParagraph"/>
        <w:numPr>
          <w:ilvl w:val="1"/>
          <w:numId w:val="30"/>
        </w:numPr>
        <w:tabs>
          <w:tab w:val="clear" w:pos="720"/>
        </w:tabs>
        <w:spacing w:before="0" w:after="0" w:line="240" w:lineRule="auto"/>
        <w:ind w:left="709" w:hanging="709"/>
        <w:jc w:val="both"/>
        <w:rPr>
          <w:sz w:val="24"/>
        </w:rPr>
      </w:pPr>
      <w:r>
        <w:rPr>
          <w:sz w:val="24"/>
        </w:rPr>
        <w:t>The four SMAS from the Directors of Corporate Services and Finance (combined), Social Services, Place and Education are challenged and reviewed at CMT.</w:t>
      </w:r>
    </w:p>
    <w:p w14:paraId="40F82062" w14:textId="77777777" w:rsidR="008206CA" w:rsidRPr="005A6581" w:rsidRDefault="008206CA" w:rsidP="00AB072E">
      <w:pPr>
        <w:ind w:left="709" w:hanging="709"/>
        <w:jc w:val="both"/>
        <w:rPr>
          <w:rFonts w:ascii="Arial" w:hAnsi="Arial"/>
          <w:sz w:val="24"/>
          <w:szCs w:val="24"/>
        </w:rPr>
      </w:pPr>
      <w:r>
        <w:rPr>
          <w:rFonts w:ascii="Arial" w:hAnsi="Arial"/>
          <w:sz w:val="24"/>
          <w:szCs w:val="24"/>
        </w:rPr>
        <w:t>5.4</w:t>
      </w:r>
      <w:r>
        <w:rPr>
          <w:rFonts w:ascii="Arial" w:hAnsi="Arial"/>
          <w:sz w:val="24"/>
          <w:szCs w:val="24"/>
        </w:rPr>
        <w:tab/>
      </w:r>
      <w:r w:rsidRPr="005A6581">
        <w:rPr>
          <w:rFonts w:ascii="Arial" w:hAnsi="Arial"/>
          <w:sz w:val="24"/>
          <w:szCs w:val="24"/>
        </w:rPr>
        <w:t>The assurance statements showed overall that there were no categories that were deemed as being “Not in place” or with “Limited Application”. A small number (</w:t>
      </w:r>
      <w:r>
        <w:rPr>
          <w:rFonts w:ascii="Arial" w:hAnsi="Arial"/>
          <w:sz w:val="24"/>
          <w:szCs w:val="24"/>
        </w:rPr>
        <w:t>13.8</w:t>
      </w:r>
      <w:r w:rsidRPr="005A6581">
        <w:rPr>
          <w:rFonts w:ascii="Arial" w:hAnsi="Arial"/>
          <w:sz w:val="24"/>
          <w:szCs w:val="24"/>
        </w:rPr>
        <w:t xml:space="preserve">%) of categories were regarded as showing “Mixed Application”. These categories </w:t>
      </w:r>
      <w:r>
        <w:rPr>
          <w:rFonts w:ascii="Arial" w:hAnsi="Arial"/>
          <w:sz w:val="24"/>
          <w:szCs w:val="24"/>
        </w:rPr>
        <w:t xml:space="preserve">with the </w:t>
      </w:r>
      <w:r>
        <w:rPr>
          <w:rFonts w:ascii="Arial" w:hAnsi="Arial"/>
          <w:sz w:val="24"/>
          <w:szCs w:val="24"/>
        </w:rPr>
        <w:lastRenderedPageBreak/>
        <w:t xml:space="preserve">most showing mixed application </w:t>
      </w:r>
      <w:r w:rsidRPr="005A6581">
        <w:rPr>
          <w:rFonts w:ascii="Arial" w:hAnsi="Arial"/>
          <w:sz w:val="24"/>
          <w:szCs w:val="24"/>
        </w:rPr>
        <w:t xml:space="preserve">were: </w:t>
      </w:r>
      <w:r w:rsidRPr="00E46F1B">
        <w:rPr>
          <w:rFonts w:ascii="Arial" w:hAnsi="Arial"/>
          <w:sz w:val="24"/>
          <w:szCs w:val="24"/>
        </w:rPr>
        <w:t>Resources Planning &amp; Management</w:t>
      </w:r>
      <w:r>
        <w:rPr>
          <w:rFonts w:ascii="Arial" w:hAnsi="Arial"/>
          <w:sz w:val="24"/>
          <w:szCs w:val="24"/>
        </w:rPr>
        <w:t xml:space="preserve"> (4) and </w:t>
      </w:r>
      <w:r w:rsidRPr="00E46F1B">
        <w:rPr>
          <w:rFonts w:ascii="Arial" w:hAnsi="Arial"/>
          <w:sz w:val="24"/>
          <w:szCs w:val="24"/>
        </w:rPr>
        <w:t>Vision, Strategy &amp; Performance</w:t>
      </w:r>
      <w:r>
        <w:rPr>
          <w:rFonts w:ascii="Arial" w:hAnsi="Arial"/>
          <w:sz w:val="24"/>
          <w:szCs w:val="24"/>
        </w:rPr>
        <w:t xml:space="preserve"> (3)</w:t>
      </w:r>
      <w:r w:rsidRPr="005A6581">
        <w:rPr>
          <w:rFonts w:ascii="Arial" w:hAnsi="Arial"/>
          <w:sz w:val="24"/>
          <w:szCs w:val="24"/>
        </w:rPr>
        <w:t xml:space="preserve">. </w:t>
      </w:r>
      <w:r>
        <w:rPr>
          <w:rFonts w:ascii="Arial" w:hAnsi="Arial"/>
          <w:sz w:val="24"/>
          <w:szCs w:val="24"/>
        </w:rPr>
        <w:t xml:space="preserve">These have </w:t>
      </w:r>
      <w:r w:rsidRPr="005A6581">
        <w:rPr>
          <w:rFonts w:ascii="Arial" w:hAnsi="Arial"/>
          <w:sz w:val="24"/>
          <w:szCs w:val="24"/>
        </w:rPr>
        <w:t>been capture</w:t>
      </w:r>
      <w:r>
        <w:rPr>
          <w:rFonts w:ascii="Arial" w:hAnsi="Arial"/>
          <w:sz w:val="24"/>
          <w:szCs w:val="24"/>
        </w:rPr>
        <w:t>d</w:t>
      </w:r>
      <w:r w:rsidRPr="005A6581">
        <w:rPr>
          <w:rFonts w:ascii="Arial" w:hAnsi="Arial"/>
          <w:sz w:val="24"/>
          <w:szCs w:val="24"/>
        </w:rPr>
        <w:t xml:space="preserve"> in the significant governance risks for 202</w:t>
      </w:r>
      <w:r>
        <w:rPr>
          <w:rFonts w:ascii="Arial" w:hAnsi="Arial"/>
          <w:sz w:val="24"/>
          <w:szCs w:val="24"/>
        </w:rPr>
        <w:t>2</w:t>
      </w:r>
      <w:r w:rsidRPr="005A6581">
        <w:rPr>
          <w:rFonts w:ascii="Arial" w:hAnsi="Arial"/>
          <w:sz w:val="24"/>
          <w:szCs w:val="24"/>
        </w:rPr>
        <w:t>/2</w:t>
      </w:r>
      <w:r>
        <w:rPr>
          <w:rFonts w:ascii="Arial" w:hAnsi="Arial"/>
          <w:sz w:val="24"/>
          <w:szCs w:val="24"/>
        </w:rPr>
        <w:t>3 where relevant</w:t>
      </w:r>
      <w:r w:rsidRPr="005A6581">
        <w:rPr>
          <w:rFonts w:ascii="Arial" w:hAnsi="Arial"/>
          <w:sz w:val="24"/>
          <w:szCs w:val="24"/>
        </w:rPr>
        <w:t>. However, 6</w:t>
      </w:r>
      <w:r>
        <w:rPr>
          <w:rFonts w:ascii="Arial" w:hAnsi="Arial"/>
          <w:sz w:val="24"/>
          <w:szCs w:val="24"/>
        </w:rPr>
        <w:t>4.2</w:t>
      </w:r>
      <w:r w:rsidRPr="005A6581">
        <w:rPr>
          <w:rFonts w:ascii="Arial" w:hAnsi="Arial"/>
          <w:sz w:val="24"/>
          <w:szCs w:val="24"/>
        </w:rPr>
        <w:t>% demonstrated “Strong Application” and 2</w:t>
      </w:r>
      <w:r>
        <w:rPr>
          <w:rFonts w:ascii="Arial" w:hAnsi="Arial"/>
          <w:sz w:val="24"/>
          <w:szCs w:val="24"/>
        </w:rPr>
        <w:t>0</w:t>
      </w:r>
      <w:r w:rsidRPr="005A6581">
        <w:rPr>
          <w:rFonts w:ascii="Arial" w:hAnsi="Arial"/>
          <w:sz w:val="24"/>
          <w:szCs w:val="24"/>
        </w:rPr>
        <w:t>% were described as “Embedded”.</w:t>
      </w:r>
      <w:r>
        <w:rPr>
          <w:rFonts w:ascii="Arial" w:hAnsi="Arial"/>
          <w:sz w:val="24"/>
          <w:szCs w:val="24"/>
        </w:rPr>
        <w:t xml:space="preserve"> A limited number of categories (1.9%) were left blank where a Director regarded them as non-applicable to their directorate, e.g. where a category was deemed a corporate or other directorate responsibility.</w:t>
      </w:r>
    </w:p>
    <w:p w14:paraId="09FF3595" w14:textId="77777777" w:rsidR="008206CA" w:rsidRPr="005A6581" w:rsidRDefault="008206CA" w:rsidP="008206CA">
      <w:pPr>
        <w:rPr>
          <w:rFonts w:ascii="Arial" w:hAnsi="Arial"/>
          <w:sz w:val="24"/>
          <w:szCs w:val="24"/>
        </w:rPr>
      </w:pPr>
    </w:p>
    <w:p w14:paraId="1EB750C6" w14:textId="77777777" w:rsidR="008206CA" w:rsidRPr="00B152B3" w:rsidRDefault="008206CA" w:rsidP="00AB072E">
      <w:pPr>
        <w:ind w:left="709" w:hanging="709"/>
        <w:jc w:val="both"/>
        <w:rPr>
          <w:rFonts w:ascii="Arial" w:hAnsi="Arial"/>
          <w:sz w:val="24"/>
          <w:szCs w:val="24"/>
        </w:rPr>
      </w:pPr>
      <w:r w:rsidRPr="000D3F16">
        <w:rPr>
          <w:rFonts w:ascii="Arial" w:hAnsi="Arial"/>
          <w:sz w:val="24"/>
          <w:szCs w:val="24"/>
        </w:rPr>
        <w:t>5.5</w:t>
      </w:r>
      <w:r w:rsidRPr="000D3F16">
        <w:rPr>
          <w:rFonts w:ascii="Arial" w:hAnsi="Arial"/>
          <w:sz w:val="24"/>
          <w:szCs w:val="24"/>
        </w:rPr>
        <w:tab/>
        <w:t xml:space="preserve">The Council established an Annual Governance Group for the purpose of </w:t>
      </w:r>
      <w:r w:rsidRPr="000D3F16">
        <w:rPr>
          <w:rFonts w:ascii="Arial" w:hAnsi="Arial"/>
          <w:sz w:val="24"/>
          <w:szCs w:val="24"/>
        </w:rPr>
        <w:tab/>
        <w:t xml:space="preserve">challenging the SMASs and assisting and overseeing the development of the </w:t>
      </w:r>
      <w:r w:rsidRPr="000D3F16">
        <w:rPr>
          <w:rFonts w:ascii="Arial" w:hAnsi="Arial"/>
          <w:sz w:val="24"/>
          <w:szCs w:val="24"/>
        </w:rPr>
        <w:tab/>
        <w:t xml:space="preserve">Annual Governance Statement. The Group is led by the Deputy Chief </w:t>
      </w:r>
      <w:r>
        <w:rPr>
          <w:rFonts w:ascii="Arial" w:hAnsi="Arial"/>
          <w:sz w:val="24"/>
          <w:szCs w:val="24"/>
        </w:rPr>
        <w:tab/>
      </w:r>
      <w:r w:rsidRPr="000D3F16">
        <w:rPr>
          <w:rFonts w:ascii="Arial" w:hAnsi="Arial"/>
          <w:sz w:val="24"/>
          <w:szCs w:val="24"/>
        </w:rPr>
        <w:t xml:space="preserve">Executive and members include the Council’s Section 151 Officer and </w:t>
      </w:r>
      <w:r>
        <w:rPr>
          <w:rFonts w:ascii="Arial" w:hAnsi="Arial"/>
          <w:sz w:val="24"/>
          <w:szCs w:val="24"/>
        </w:rPr>
        <w:tab/>
      </w:r>
      <w:r w:rsidRPr="000D3F16">
        <w:rPr>
          <w:rFonts w:ascii="Arial" w:hAnsi="Arial"/>
          <w:sz w:val="24"/>
          <w:szCs w:val="24"/>
        </w:rPr>
        <w:t xml:space="preserve">Monitoring Officer, as well as the Strategic Delivery &amp; Performance Manager </w:t>
      </w:r>
      <w:r w:rsidR="00AB072E">
        <w:rPr>
          <w:rFonts w:ascii="Arial" w:hAnsi="Arial"/>
          <w:sz w:val="24"/>
          <w:szCs w:val="24"/>
        </w:rPr>
        <w:t xml:space="preserve"> </w:t>
      </w:r>
      <w:r w:rsidRPr="000D3F16">
        <w:rPr>
          <w:rFonts w:ascii="Arial" w:hAnsi="Arial"/>
          <w:sz w:val="24"/>
          <w:szCs w:val="24"/>
        </w:rPr>
        <w:t xml:space="preserve">and a member of the </w:t>
      </w:r>
      <w:r>
        <w:rPr>
          <w:rFonts w:ascii="Arial" w:hAnsi="Arial"/>
          <w:sz w:val="24"/>
          <w:szCs w:val="24"/>
        </w:rPr>
        <w:t xml:space="preserve">Governance &amp; </w:t>
      </w:r>
      <w:r w:rsidRPr="000D3F16">
        <w:rPr>
          <w:rFonts w:ascii="Arial" w:hAnsi="Arial"/>
          <w:sz w:val="24"/>
          <w:szCs w:val="24"/>
        </w:rPr>
        <w:t xml:space="preserve">Audit Committee. </w:t>
      </w:r>
      <w:r>
        <w:rPr>
          <w:rFonts w:ascii="Arial" w:hAnsi="Arial"/>
          <w:sz w:val="24"/>
          <w:szCs w:val="24"/>
        </w:rPr>
        <w:t xml:space="preserve">The Chief Internal Auditor attends in an advisory capacity. </w:t>
      </w:r>
      <w:r w:rsidRPr="000D3F16">
        <w:rPr>
          <w:rFonts w:ascii="Arial" w:hAnsi="Arial"/>
          <w:sz w:val="24"/>
          <w:szCs w:val="24"/>
        </w:rPr>
        <w:t xml:space="preserve">The work of the Group in reviewing the SMASs and finalising the Annual Governance Statement and CMT in reviewing and approving the SMASs and Statement was disrupted by the </w:t>
      </w:r>
      <w:r>
        <w:rPr>
          <w:rFonts w:ascii="Arial" w:hAnsi="Arial"/>
          <w:sz w:val="24"/>
          <w:szCs w:val="24"/>
        </w:rPr>
        <w:t>COVID-19</w:t>
      </w:r>
      <w:r w:rsidRPr="000D3F16">
        <w:rPr>
          <w:rFonts w:ascii="Arial" w:hAnsi="Arial"/>
          <w:sz w:val="24"/>
          <w:szCs w:val="24"/>
        </w:rPr>
        <w:t xml:space="preserve"> situation</w:t>
      </w:r>
      <w:r>
        <w:rPr>
          <w:rFonts w:ascii="Arial" w:hAnsi="Arial"/>
          <w:sz w:val="24"/>
          <w:szCs w:val="24"/>
        </w:rPr>
        <w:t>; the Group met twice during 2021/22</w:t>
      </w:r>
      <w:r w:rsidRPr="000D3F16">
        <w:rPr>
          <w:rFonts w:ascii="Arial" w:hAnsi="Arial"/>
          <w:sz w:val="24"/>
          <w:szCs w:val="24"/>
        </w:rPr>
        <w:t xml:space="preserve">. CMT reviewed the </w:t>
      </w:r>
      <w:r>
        <w:rPr>
          <w:rFonts w:ascii="Arial" w:hAnsi="Arial"/>
          <w:sz w:val="24"/>
          <w:szCs w:val="24"/>
        </w:rPr>
        <w:tab/>
      </w:r>
      <w:r w:rsidRPr="000D3F16">
        <w:rPr>
          <w:rFonts w:ascii="Arial" w:hAnsi="Arial"/>
          <w:sz w:val="24"/>
          <w:szCs w:val="24"/>
        </w:rPr>
        <w:t xml:space="preserve">SMAS and draft Annual Governance Statement </w:t>
      </w:r>
      <w:r w:rsidRPr="003A7425">
        <w:rPr>
          <w:rFonts w:ascii="Arial" w:hAnsi="Arial"/>
          <w:sz w:val="24"/>
          <w:szCs w:val="24"/>
        </w:rPr>
        <w:t xml:space="preserve">on </w:t>
      </w:r>
      <w:r>
        <w:rPr>
          <w:rFonts w:ascii="Arial" w:hAnsi="Arial"/>
          <w:sz w:val="24"/>
          <w:szCs w:val="24"/>
        </w:rPr>
        <w:t>23</w:t>
      </w:r>
      <w:r w:rsidRPr="00943DD7">
        <w:rPr>
          <w:rFonts w:ascii="Arial" w:hAnsi="Arial"/>
          <w:sz w:val="24"/>
          <w:szCs w:val="24"/>
          <w:vertAlign w:val="superscript"/>
        </w:rPr>
        <w:t>rd</w:t>
      </w:r>
      <w:r>
        <w:rPr>
          <w:rFonts w:ascii="Arial" w:hAnsi="Arial"/>
          <w:sz w:val="24"/>
          <w:szCs w:val="24"/>
        </w:rPr>
        <w:t xml:space="preserve"> March 2022. </w:t>
      </w:r>
      <w:r w:rsidRPr="000D3F16">
        <w:rPr>
          <w:rFonts w:ascii="Arial" w:hAnsi="Arial"/>
          <w:sz w:val="24"/>
          <w:szCs w:val="24"/>
        </w:rPr>
        <w:t xml:space="preserve">The </w:t>
      </w:r>
      <w:r>
        <w:rPr>
          <w:rFonts w:ascii="Arial" w:hAnsi="Arial"/>
          <w:sz w:val="24"/>
          <w:szCs w:val="24"/>
        </w:rPr>
        <w:t>S</w:t>
      </w:r>
      <w:r w:rsidRPr="000D3F16">
        <w:rPr>
          <w:rFonts w:ascii="Arial" w:hAnsi="Arial"/>
          <w:sz w:val="24"/>
          <w:szCs w:val="24"/>
        </w:rPr>
        <w:t xml:space="preserve">ignificant </w:t>
      </w:r>
      <w:r>
        <w:rPr>
          <w:rFonts w:ascii="Arial" w:hAnsi="Arial"/>
          <w:sz w:val="24"/>
          <w:szCs w:val="24"/>
        </w:rPr>
        <w:t>Governance I</w:t>
      </w:r>
      <w:r w:rsidRPr="000D3F16">
        <w:rPr>
          <w:rFonts w:ascii="Arial" w:hAnsi="Arial"/>
          <w:sz w:val="24"/>
          <w:szCs w:val="24"/>
        </w:rPr>
        <w:t>ssues for 202</w:t>
      </w:r>
      <w:r>
        <w:rPr>
          <w:rFonts w:ascii="Arial" w:hAnsi="Arial"/>
          <w:sz w:val="24"/>
          <w:szCs w:val="24"/>
        </w:rPr>
        <w:t>2</w:t>
      </w:r>
      <w:r w:rsidRPr="000D3F16">
        <w:rPr>
          <w:rFonts w:ascii="Arial" w:hAnsi="Arial"/>
          <w:sz w:val="24"/>
          <w:szCs w:val="24"/>
        </w:rPr>
        <w:t>/2</w:t>
      </w:r>
      <w:r>
        <w:rPr>
          <w:rFonts w:ascii="Arial" w:hAnsi="Arial"/>
          <w:sz w:val="24"/>
          <w:szCs w:val="24"/>
        </w:rPr>
        <w:t>3</w:t>
      </w:r>
      <w:r w:rsidRPr="000D3F16">
        <w:rPr>
          <w:rFonts w:ascii="Arial" w:hAnsi="Arial"/>
          <w:sz w:val="24"/>
          <w:szCs w:val="24"/>
        </w:rPr>
        <w:t xml:space="preserve"> as identified by CMT are those set out below.</w:t>
      </w:r>
      <w:r>
        <w:rPr>
          <w:rFonts w:ascii="Arial" w:hAnsi="Arial"/>
          <w:sz w:val="24"/>
          <w:szCs w:val="24"/>
        </w:rPr>
        <w:t xml:space="preserve"> </w:t>
      </w:r>
    </w:p>
    <w:p w14:paraId="79A285E1" w14:textId="77777777" w:rsidR="008206CA" w:rsidRDefault="008206CA" w:rsidP="008206CA">
      <w:pPr>
        <w:rPr>
          <w:rFonts w:ascii="Arial" w:hAnsi="Arial"/>
          <w:b/>
          <w:sz w:val="24"/>
          <w:szCs w:val="24"/>
        </w:rPr>
      </w:pPr>
    </w:p>
    <w:p w14:paraId="6AF713A7" w14:textId="77777777" w:rsidR="008206CA" w:rsidRDefault="008206CA" w:rsidP="008206CA">
      <w:pPr>
        <w:rPr>
          <w:rFonts w:ascii="Arial" w:hAnsi="Arial"/>
          <w:sz w:val="24"/>
          <w:szCs w:val="24"/>
        </w:rPr>
      </w:pPr>
      <w:r>
        <w:rPr>
          <w:rFonts w:ascii="Arial" w:hAnsi="Arial"/>
          <w:b/>
          <w:sz w:val="24"/>
          <w:szCs w:val="24"/>
        </w:rPr>
        <w:t xml:space="preserve">6. </w:t>
      </w:r>
      <w:r>
        <w:rPr>
          <w:rFonts w:ascii="Arial" w:hAnsi="Arial"/>
          <w:b/>
          <w:sz w:val="24"/>
          <w:szCs w:val="24"/>
        </w:rPr>
        <w:tab/>
      </w:r>
      <w:r w:rsidRPr="00D9684A">
        <w:rPr>
          <w:rFonts w:ascii="Arial" w:hAnsi="Arial"/>
          <w:b/>
          <w:sz w:val="24"/>
          <w:szCs w:val="24"/>
        </w:rPr>
        <w:t>The Monitoring Officer</w:t>
      </w:r>
    </w:p>
    <w:p w14:paraId="23B9E4E2" w14:textId="77777777" w:rsidR="008206CA" w:rsidRDefault="008206CA" w:rsidP="008206CA">
      <w:pPr>
        <w:rPr>
          <w:rFonts w:ascii="Arial" w:hAnsi="Arial"/>
          <w:sz w:val="24"/>
          <w:szCs w:val="24"/>
        </w:rPr>
      </w:pPr>
    </w:p>
    <w:p w14:paraId="2D8E6547" w14:textId="77777777" w:rsidR="00AB072E" w:rsidRDefault="008206CA" w:rsidP="00AB072E">
      <w:pPr>
        <w:jc w:val="both"/>
        <w:rPr>
          <w:rFonts w:ascii="Arial" w:hAnsi="Arial"/>
          <w:sz w:val="24"/>
          <w:szCs w:val="24"/>
        </w:rPr>
      </w:pPr>
      <w:r>
        <w:rPr>
          <w:rFonts w:ascii="Arial" w:hAnsi="Arial"/>
          <w:sz w:val="24"/>
          <w:szCs w:val="24"/>
        </w:rPr>
        <w:t>6.1</w:t>
      </w:r>
      <w:r>
        <w:rPr>
          <w:rFonts w:ascii="Arial" w:hAnsi="Arial"/>
          <w:sz w:val="24"/>
          <w:szCs w:val="24"/>
        </w:rPr>
        <w:tab/>
      </w:r>
      <w:r w:rsidRPr="005650FD">
        <w:rPr>
          <w:rFonts w:ascii="Arial" w:hAnsi="Arial"/>
          <w:sz w:val="24"/>
          <w:szCs w:val="24"/>
        </w:rPr>
        <w:t xml:space="preserve">The Chief Legal Officer is the Monitoring Officer with a specific duty to ensure that </w:t>
      </w:r>
      <w:r w:rsidR="00AB072E">
        <w:rPr>
          <w:rFonts w:ascii="Arial" w:hAnsi="Arial"/>
          <w:sz w:val="24"/>
          <w:szCs w:val="24"/>
        </w:rPr>
        <w:t xml:space="preserve">the </w:t>
      </w:r>
    </w:p>
    <w:p w14:paraId="4AD030F4" w14:textId="77777777" w:rsidR="00AB072E" w:rsidRDefault="00AB072E" w:rsidP="00AB072E">
      <w:pPr>
        <w:jc w:val="both"/>
        <w:rPr>
          <w:rFonts w:ascii="Arial" w:hAnsi="Arial"/>
          <w:sz w:val="24"/>
          <w:szCs w:val="24"/>
        </w:rPr>
      </w:pPr>
      <w:r>
        <w:rPr>
          <w:rFonts w:ascii="Arial" w:hAnsi="Arial"/>
          <w:sz w:val="24"/>
          <w:szCs w:val="24"/>
        </w:rPr>
        <w:t xml:space="preserve">           </w:t>
      </w:r>
      <w:r w:rsidR="008206CA" w:rsidRPr="005650FD">
        <w:rPr>
          <w:rFonts w:ascii="Arial" w:hAnsi="Arial"/>
          <w:sz w:val="24"/>
          <w:szCs w:val="24"/>
        </w:rPr>
        <w:t xml:space="preserve">Council, Officers and Members maintain the highest ethical standards of conduct. The </w:t>
      </w:r>
      <w:r>
        <w:rPr>
          <w:rFonts w:ascii="Arial" w:hAnsi="Arial"/>
          <w:sz w:val="24"/>
          <w:szCs w:val="24"/>
        </w:rPr>
        <w:t xml:space="preserve"> </w:t>
      </w:r>
    </w:p>
    <w:p w14:paraId="2FF2EA84" w14:textId="77777777" w:rsidR="00AB072E" w:rsidRDefault="00AB072E" w:rsidP="00AB072E">
      <w:pPr>
        <w:jc w:val="both"/>
        <w:rPr>
          <w:rFonts w:ascii="Arial" w:hAnsi="Arial"/>
          <w:sz w:val="24"/>
          <w:szCs w:val="24"/>
        </w:rPr>
      </w:pPr>
      <w:r>
        <w:rPr>
          <w:rFonts w:ascii="Arial" w:hAnsi="Arial"/>
          <w:sz w:val="24"/>
          <w:szCs w:val="24"/>
        </w:rPr>
        <w:t xml:space="preserve">           s</w:t>
      </w:r>
      <w:r w:rsidR="008206CA" w:rsidRPr="005650FD">
        <w:rPr>
          <w:rFonts w:ascii="Arial" w:hAnsi="Arial"/>
          <w:sz w:val="24"/>
          <w:szCs w:val="24"/>
        </w:rPr>
        <w:t xml:space="preserve">tandards Committee has the responsibility for monitoring the ethical standards of </w:t>
      </w:r>
    </w:p>
    <w:p w14:paraId="151B96AF" w14:textId="77777777" w:rsidR="00AB072E" w:rsidRDefault="00AB072E" w:rsidP="00AB072E">
      <w:pPr>
        <w:jc w:val="both"/>
        <w:rPr>
          <w:rFonts w:ascii="Arial" w:hAnsi="Arial"/>
          <w:sz w:val="24"/>
          <w:szCs w:val="24"/>
        </w:rPr>
      </w:pPr>
      <w:r>
        <w:rPr>
          <w:rFonts w:ascii="Arial" w:hAnsi="Arial"/>
          <w:sz w:val="24"/>
          <w:szCs w:val="24"/>
        </w:rPr>
        <w:t xml:space="preserve">           </w:t>
      </w:r>
      <w:r w:rsidR="008206CA" w:rsidRPr="005650FD">
        <w:rPr>
          <w:rFonts w:ascii="Arial" w:hAnsi="Arial"/>
          <w:sz w:val="24"/>
          <w:szCs w:val="24"/>
        </w:rPr>
        <w:t xml:space="preserve">conduct and to deal with any breaches of the Code referred to the Committee by the </w:t>
      </w:r>
    </w:p>
    <w:p w14:paraId="5E706B0C" w14:textId="77777777" w:rsidR="008206CA" w:rsidRDefault="00AB072E" w:rsidP="00AB072E">
      <w:pPr>
        <w:jc w:val="both"/>
        <w:rPr>
          <w:rFonts w:ascii="Arial" w:hAnsi="Arial"/>
          <w:sz w:val="24"/>
          <w:szCs w:val="24"/>
        </w:rPr>
      </w:pPr>
      <w:r>
        <w:rPr>
          <w:rFonts w:ascii="Arial" w:hAnsi="Arial"/>
          <w:sz w:val="24"/>
          <w:szCs w:val="24"/>
        </w:rPr>
        <w:t xml:space="preserve">           </w:t>
      </w:r>
      <w:r w:rsidR="008206CA" w:rsidRPr="005650FD">
        <w:rPr>
          <w:rFonts w:ascii="Arial" w:hAnsi="Arial"/>
          <w:sz w:val="24"/>
          <w:szCs w:val="24"/>
        </w:rPr>
        <w:t xml:space="preserve">Public Service Ombudsman (PSOW). </w:t>
      </w:r>
    </w:p>
    <w:p w14:paraId="19C7A366" w14:textId="77777777" w:rsidR="008206CA" w:rsidRPr="005650FD" w:rsidRDefault="008206CA" w:rsidP="008206CA">
      <w:pPr>
        <w:rPr>
          <w:rFonts w:ascii="Arial" w:hAnsi="Arial"/>
          <w:sz w:val="24"/>
          <w:szCs w:val="24"/>
        </w:rPr>
      </w:pPr>
    </w:p>
    <w:p w14:paraId="1AD43315" w14:textId="77777777" w:rsidR="008206CA" w:rsidRPr="00447835" w:rsidRDefault="008206CA" w:rsidP="00AB072E">
      <w:pPr>
        <w:ind w:left="720" w:hanging="720"/>
        <w:jc w:val="both"/>
        <w:rPr>
          <w:rFonts w:ascii="Arial" w:hAnsi="Arial"/>
          <w:sz w:val="24"/>
          <w:szCs w:val="24"/>
        </w:rPr>
      </w:pPr>
      <w:r>
        <w:rPr>
          <w:rFonts w:ascii="Arial" w:hAnsi="Arial"/>
          <w:sz w:val="24"/>
          <w:szCs w:val="24"/>
        </w:rPr>
        <w:t>6.2</w:t>
      </w:r>
      <w:r>
        <w:rPr>
          <w:rFonts w:ascii="Arial" w:hAnsi="Arial"/>
          <w:sz w:val="24"/>
          <w:szCs w:val="24"/>
        </w:rPr>
        <w:tab/>
      </w:r>
      <w:r w:rsidRPr="00243904">
        <w:rPr>
          <w:rFonts w:ascii="Arial" w:hAnsi="Arial"/>
          <w:sz w:val="24"/>
          <w:szCs w:val="24"/>
        </w:rPr>
        <w:t xml:space="preserve">In 2021/22 the Standards Committee considered one referral from the PSOW which related to Mumbles Community Council. During 2021/2022 the Monitoring Officer was notified of 26 complaints relating to members conduct by the PSOW. The PSOW decided not to investigate 22 of those complaints.  3 complaints are being investigated and 1 complaint is outstanding.  In relation to complaints reported </w:t>
      </w:r>
      <w:r>
        <w:rPr>
          <w:rFonts w:ascii="Arial" w:hAnsi="Arial"/>
          <w:sz w:val="24"/>
          <w:szCs w:val="24"/>
        </w:rPr>
        <w:t xml:space="preserve">to the PSOW </w:t>
      </w:r>
      <w:r w:rsidRPr="00243904">
        <w:rPr>
          <w:rFonts w:ascii="Arial" w:hAnsi="Arial"/>
          <w:sz w:val="24"/>
          <w:szCs w:val="24"/>
        </w:rPr>
        <w:t>the Committee receive regular updates as to the status of complaints. Regular PSOW bulletins are circulated to all councillors as to Code of Conduct issues when issued</w:t>
      </w:r>
      <w:r w:rsidRPr="00447835">
        <w:rPr>
          <w:rFonts w:ascii="Arial" w:hAnsi="Arial"/>
          <w:sz w:val="24"/>
          <w:szCs w:val="24"/>
        </w:rPr>
        <w:t xml:space="preserve">. </w:t>
      </w:r>
    </w:p>
    <w:p w14:paraId="59B87ADA" w14:textId="77777777" w:rsidR="008206CA" w:rsidRPr="00447835" w:rsidRDefault="008206CA" w:rsidP="00AB072E">
      <w:pPr>
        <w:jc w:val="both"/>
        <w:rPr>
          <w:rFonts w:ascii="Arial" w:hAnsi="Arial"/>
          <w:sz w:val="24"/>
          <w:szCs w:val="24"/>
        </w:rPr>
      </w:pPr>
    </w:p>
    <w:p w14:paraId="154DEF50" w14:textId="77777777" w:rsidR="008206CA" w:rsidRPr="00C93C49" w:rsidRDefault="008206CA" w:rsidP="00AB072E">
      <w:pPr>
        <w:ind w:left="720" w:hanging="720"/>
        <w:jc w:val="both"/>
        <w:rPr>
          <w:rFonts w:ascii="Arial" w:hAnsi="Arial"/>
          <w:sz w:val="24"/>
          <w:szCs w:val="24"/>
        </w:rPr>
      </w:pPr>
      <w:r w:rsidRPr="00C93C49">
        <w:rPr>
          <w:rFonts w:ascii="Arial" w:hAnsi="Arial"/>
          <w:sz w:val="24"/>
          <w:szCs w:val="24"/>
        </w:rPr>
        <w:t>6.3</w:t>
      </w:r>
      <w:r w:rsidRPr="00C93C49">
        <w:rPr>
          <w:rFonts w:ascii="Arial" w:hAnsi="Arial"/>
          <w:sz w:val="24"/>
          <w:szCs w:val="24"/>
        </w:rPr>
        <w:tab/>
        <w:t xml:space="preserve">The Local Government and Election (Wales) Act 2021 brings in new duties for Standards Committees in Wales from May 2022. The Committee was provided with updates on 4 December 2020 and on 9 March 2022 the Committee considered changes to their Terms of Reference so as to comply with the legislation. </w:t>
      </w:r>
    </w:p>
    <w:p w14:paraId="69E29C0A" w14:textId="77777777" w:rsidR="008206CA" w:rsidRPr="00C93C49" w:rsidRDefault="008206CA" w:rsidP="00AB072E">
      <w:pPr>
        <w:jc w:val="both"/>
        <w:rPr>
          <w:rFonts w:ascii="Arial" w:hAnsi="Arial"/>
          <w:sz w:val="24"/>
          <w:szCs w:val="24"/>
        </w:rPr>
      </w:pPr>
    </w:p>
    <w:p w14:paraId="35890C84" w14:textId="77777777" w:rsidR="008206CA" w:rsidRPr="00C93C49" w:rsidRDefault="008206CA" w:rsidP="00AB072E">
      <w:pPr>
        <w:ind w:left="720" w:hanging="720"/>
        <w:jc w:val="both"/>
        <w:rPr>
          <w:rFonts w:ascii="Arial" w:hAnsi="Arial"/>
          <w:sz w:val="24"/>
          <w:szCs w:val="24"/>
        </w:rPr>
      </w:pPr>
      <w:r w:rsidRPr="00C93C49">
        <w:rPr>
          <w:rFonts w:ascii="Arial" w:hAnsi="Arial"/>
          <w:sz w:val="24"/>
          <w:szCs w:val="24"/>
        </w:rPr>
        <w:t>6.4</w:t>
      </w:r>
      <w:r w:rsidRPr="00C93C49">
        <w:rPr>
          <w:rFonts w:ascii="Arial" w:hAnsi="Arial"/>
          <w:sz w:val="24"/>
          <w:szCs w:val="24"/>
        </w:rPr>
        <w:tab/>
        <w:t xml:space="preserve">The Standards Committee Annual Report 2020/21 was presented to Council on 2 December 2021. The Report reflected the Committee’s view that generally the conduct of members was high with the Committee only having to consider one complaint against a community councillor. </w:t>
      </w:r>
    </w:p>
    <w:p w14:paraId="65B1F878" w14:textId="77777777" w:rsidR="008206CA" w:rsidRPr="00C93C49" w:rsidRDefault="008206CA" w:rsidP="00AB072E">
      <w:pPr>
        <w:jc w:val="both"/>
        <w:rPr>
          <w:rFonts w:ascii="Arial" w:hAnsi="Arial"/>
          <w:sz w:val="24"/>
          <w:szCs w:val="24"/>
        </w:rPr>
      </w:pPr>
    </w:p>
    <w:p w14:paraId="77960F99" w14:textId="77777777" w:rsidR="008206CA" w:rsidRPr="00C93C49" w:rsidRDefault="008206CA" w:rsidP="00AB072E">
      <w:pPr>
        <w:ind w:left="720" w:hanging="720"/>
        <w:jc w:val="both"/>
        <w:rPr>
          <w:rFonts w:ascii="Arial" w:hAnsi="Arial"/>
          <w:sz w:val="24"/>
          <w:szCs w:val="24"/>
        </w:rPr>
      </w:pPr>
      <w:r>
        <w:rPr>
          <w:rFonts w:ascii="Arial" w:hAnsi="Arial"/>
          <w:sz w:val="24"/>
          <w:szCs w:val="24"/>
        </w:rPr>
        <w:t>6.5</w:t>
      </w:r>
      <w:r w:rsidRPr="00C93C49">
        <w:rPr>
          <w:rFonts w:ascii="Arial" w:hAnsi="Arial"/>
          <w:sz w:val="24"/>
          <w:szCs w:val="24"/>
        </w:rPr>
        <w:t xml:space="preserve"> </w:t>
      </w:r>
      <w:r w:rsidRPr="00C93C49">
        <w:rPr>
          <w:rFonts w:ascii="Arial" w:hAnsi="Arial"/>
          <w:sz w:val="24"/>
          <w:szCs w:val="24"/>
        </w:rPr>
        <w:tab/>
        <w:t xml:space="preserve">In January and March 2022 the Standards Committee interviewed the Leader and all Leaders of the Opposition Groups. The discussion with group leaders focused on their new duties under the legislation and how they would meet that duty. The Monitoring </w:t>
      </w:r>
      <w:r w:rsidRPr="00C93C49">
        <w:rPr>
          <w:rFonts w:ascii="Arial" w:hAnsi="Arial"/>
          <w:sz w:val="24"/>
          <w:szCs w:val="24"/>
        </w:rPr>
        <w:lastRenderedPageBreak/>
        <w:t>Officer is therefore of the view that the Authority is in a good position to comply with the new legislative requirements.</w:t>
      </w:r>
    </w:p>
    <w:p w14:paraId="52E15206" w14:textId="77777777" w:rsidR="008206CA" w:rsidRPr="00C93C49" w:rsidRDefault="008206CA" w:rsidP="008206CA">
      <w:pPr>
        <w:rPr>
          <w:rFonts w:ascii="Arial" w:hAnsi="Arial"/>
          <w:sz w:val="24"/>
          <w:szCs w:val="24"/>
        </w:rPr>
      </w:pPr>
    </w:p>
    <w:p w14:paraId="29148A52" w14:textId="77777777" w:rsidR="00AB072E" w:rsidRDefault="008206CA" w:rsidP="00AB072E">
      <w:pPr>
        <w:jc w:val="both"/>
        <w:rPr>
          <w:rFonts w:ascii="Arial" w:hAnsi="Arial"/>
          <w:sz w:val="24"/>
          <w:szCs w:val="24"/>
        </w:rPr>
      </w:pPr>
      <w:r w:rsidRPr="00C93C49">
        <w:rPr>
          <w:rFonts w:ascii="Arial" w:hAnsi="Arial"/>
          <w:sz w:val="24"/>
          <w:szCs w:val="24"/>
        </w:rPr>
        <w:t>6.</w:t>
      </w:r>
      <w:r>
        <w:rPr>
          <w:rFonts w:ascii="Arial" w:hAnsi="Arial"/>
          <w:sz w:val="24"/>
          <w:szCs w:val="24"/>
        </w:rPr>
        <w:t>6</w:t>
      </w:r>
      <w:r w:rsidRPr="00C93C49">
        <w:rPr>
          <w:rFonts w:ascii="Arial" w:hAnsi="Arial"/>
          <w:sz w:val="24"/>
          <w:szCs w:val="24"/>
        </w:rPr>
        <w:tab/>
        <w:t>The Monitoring Officer has not had to issue any statutory Section 5 Local</w:t>
      </w:r>
      <w:r w:rsidR="00AB072E">
        <w:rPr>
          <w:rFonts w:ascii="Arial" w:hAnsi="Arial"/>
          <w:sz w:val="24"/>
          <w:szCs w:val="24"/>
        </w:rPr>
        <w:t xml:space="preserve"> </w:t>
      </w:r>
      <w:r w:rsidRPr="00C93C49">
        <w:rPr>
          <w:rFonts w:ascii="Arial" w:hAnsi="Arial"/>
          <w:sz w:val="24"/>
          <w:szCs w:val="24"/>
        </w:rPr>
        <w:t xml:space="preserve">Government </w:t>
      </w:r>
    </w:p>
    <w:p w14:paraId="140B32F9" w14:textId="77777777" w:rsidR="008206CA" w:rsidRPr="00C93C49" w:rsidRDefault="00AB072E" w:rsidP="00AB072E">
      <w:pPr>
        <w:jc w:val="both"/>
        <w:rPr>
          <w:rFonts w:ascii="Arial" w:hAnsi="Arial"/>
          <w:sz w:val="24"/>
          <w:szCs w:val="24"/>
        </w:rPr>
      </w:pPr>
      <w:r>
        <w:rPr>
          <w:rFonts w:ascii="Arial" w:hAnsi="Arial"/>
          <w:sz w:val="24"/>
          <w:szCs w:val="24"/>
        </w:rPr>
        <w:t xml:space="preserve">           </w:t>
      </w:r>
      <w:r w:rsidR="008206CA" w:rsidRPr="00C93C49">
        <w:rPr>
          <w:rFonts w:ascii="Arial" w:hAnsi="Arial"/>
          <w:sz w:val="24"/>
          <w:szCs w:val="24"/>
        </w:rPr>
        <w:t xml:space="preserve">and Housing Act 1989 reports during 2021/22. </w:t>
      </w:r>
    </w:p>
    <w:p w14:paraId="0CAF435E" w14:textId="77777777" w:rsidR="008206CA" w:rsidRPr="00C93C49" w:rsidRDefault="008206CA" w:rsidP="008206CA">
      <w:pPr>
        <w:rPr>
          <w:rFonts w:ascii="Arial" w:hAnsi="Arial"/>
          <w:sz w:val="24"/>
          <w:szCs w:val="24"/>
        </w:rPr>
      </w:pPr>
    </w:p>
    <w:p w14:paraId="3AB81682" w14:textId="77777777" w:rsidR="008206CA" w:rsidRDefault="008206CA" w:rsidP="00AB072E">
      <w:pPr>
        <w:ind w:left="720" w:hanging="720"/>
        <w:jc w:val="both"/>
        <w:rPr>
          <w:rFonts w:ascii="Arial" w:hAnsi="Arial"/>
          <w:sz w:val="24"/>
          <w:szCs w:val="24"/>
        </w:rPr>
      </w:pPr>
      <w:r w:rsidRPr="00C93C49">
        <w:rPr>
          <w:rFonts w:ascii="Arial" w:hAnsi="Arial"/>
          <w:sz w:val="24"/>
          <w:szCs w:val="24"/>
        </w:rPr>
        <w:t>6</w:t>
      </w:r>
      <w:r>
        <w:rPr>
          <w:rFonts w:ascii="Arial" w:hAnsi="Arial"/>
          <w:sz w:val="24"/>
          <w:szCs w:val="24"/>
        </w:rPr>
        <w:t>.7</w:t>
      </w:r>
      <w:r w:rsidRPr="00C93C49">
        <w:rPr>
          <w:rFonts w:ascii="Arial" w:hAnsi="Arial"/>
          <w:sz w:val="24"/>
          <w:szCs w:val="24"/>
        </w:rPr>
        <w:tab/>
        <w:t>Work on the Council Constitution has been progressed with amendments being made to the Land Transaction Procedure Rules, Article 12 – Officers and terms of reference of the Governance and Audit Committee. Further constitutional changes will be progressed during 2022/23.</w:t>
      </w:r>
      <w:r>
        <w:rPr>
          <w:rFonts w:ascii="Arial" w:hAnsi="Arial"/>
          <w:sz w:val="24"/>
          <w:szCs w:val="24"/>
        </w:rPr>
        <w:t xml:space="preserve"> </w:t>
      </w:r>
    </w:p>
    <w:p w14:paraId="43445D42" w14:textId="77777777" w:rsidR="008206CA" w:rsidRDefault="008206CA" w:rsidP="008206CA">
      <w:pPr>
        <w:pStyle w:val="ListParagraph"/>
        <w:spacing w:after="0" w:line="240" w:lineRule="auto"/>
        <w:ind w:left="709"/>
        <w:rPr>
          <w:sz w:val="24"/>
        </w:rPr>
      </w:pPr>
    </w:p>
    <w:p w14:paraId="30BA7343" w14:textId="77777777" w:rsidR="008206CA" w:rsidRPr="00A54BAC" w:rsidRDefault="008206CA" w:rsidP="008206CA">
      <w:pPr>
        <w:rPr>
          <w:rFonts w:ascii="Arial" w:hAnsi="Arial"/>
          <w:b/>
          <w:sz w:val="24"/>
          <w:szCs w:val="24"/>
        </w:rPr>
      </w:pPr>
      <w:r w:rsidRPr="000D3F16">
        <w:rPr>
          <w:rFonts w:ascii="Arial" w:hAnsi="Arial"/>
          <w:b/>
          <w:sz w:val="24"/>
          <w:szCs w:val="24"/>
        </w:rPr>
        <w:t xml:space="preserve">7. </w:t>
      </w:r>
      <w:r w:rsidRPr="000D3F16">
        <w:rPr>
          <w:rFonts w:ascii="Arial" w:hAnsi="Arial"/>
          <w:b/>
          <w:sz w:val="24"/>
          <w:szCs w:val="24"/>
        </w:rPr>
        <w:tab/>
        <w:t xml:space="preserve">The </w:t>
      </w:r>
      <w:r w:rsidRPr="00A54BAC">
        <w:rPr>
          <w:rFonts w:ascii="Arial" w:hAnsi="Arial"/>
          <w:b/>
          <w:sz w:val="24"/>
          <w:szCs w:val="24"/>
        </w:rPr>
        <w:t>S151 Officer</w:t>
      </w:r>
    </w:p>
    <w:p w14:paraId="7BE49359" w14:textId="77777777" w:rsidR="008206CA" w:rsidRPr="00A54BAC" w:rsidRDefault="008206CA" w:rsidP="008206CA">
      <w:pPr>
        <w:ind w:left="709"/>
        <w:rPr>
          <w:rFonts w:ascii="Arial" w:hAnsi="Arial"/>
          <w:sz w:val="24"/>
          <w:szCs w:val="24"/>
        </w:rPr>
      </w:pPr>
      <w:r w:rsidRPr="00A54BAC">
        <w:rPr>
          <w:rFonts w:ascii="Arial" w:hAnsi="Arial"/>
          <w:sz w:val="24"/>
          <w:szCs w:val="24"/>
        </w:rPr>
        <w:tab/>
      </w:r>
    </w:p>
    <w:p w14:paraId="0AF5BE83" w14:textId="77777777" w:rsidR="008206CA" w:rsidRPr="00861108" w:rsidRDefault="008206CA" w:rsidP="00AB072E">
      <w:pPr>
        <w:ind w:left="720" w:hanging="720"/>
        <w:jc w:val="both"/>
        <w:rPr>
          <w:rFonts w:ascii="Arial" w:hAnsi="Arial"/>
          <w:sz w:val="24"/>
          <w:szCs w:val="24"/>
        </w:rPr>
      </w:pPr>
      <w:r w:rsidRPr="00861108">
        <w:rPr>
          <w:rFonts w:ascii="Arial" w:hAnsi="Arial"/>
          <w:sz w:val="24"/>
          <w:szCs w:val="24"/>
        </w:rPr>
        <w:t>7.1</w:t>
      </w:r>
      <w:r w:rsidRPr="00861108">
        <w:rPr>
          <w:rFonts w:ascii="Arial" w:hAnsi="Arial"/>
          <w:sz w:val="24"/>
          <w:szCs w:val="24"/>
        </w:rPr>
        <w:tab/>
        <w:t xml:space="preserve">Quarterly </w:t>
      </w:r>
      <w:r w:rsidRPr="00861108">
        <w:rPr>
          <w:rFonts w:ascii="Arial" w:hAnsi="Arial"/>
          <w:b/>
          <w:sz w:val="24"/>
          <w:szCs w:val="24"/>
        </w:rPr>
        <w:t>Financial Monitoring Reports</w:t>
      </w:r>
      <w:r w:rsidRPr="00861108">
        <w:rPr>
          <w:rFonts w:ascii="Arial" w:hAnsi="Arial"/>
          <w:sz w:val="24"/>
          <w:szCs w:val="24"/>
        </w:rPr>
        <w:t xml:space="preserve"> were presented to Cabinet throughout 2021/22. The reports consistently identified some service revenue budget overspend</w:t>
      </w:r>
      <w:r>
        <w:rPr>
          <w:rFonts w:ascii="Arial" w:hAnsi="Arial"/>
          <w:sz w:val="24"/>
          <w:szCs w:val="24"/>
        </w:rPr>
        <w:t>s at year-</w:t>
      </w:r>
      <w:r w:rsidRPr="00861108">
        <w:rPr>
          <w:rFonts w:ascii="Arial" w:hAnsi="Arial"/>
          <w:sz w:val="24"/>
          <w:szCs w:val="24"/>
        </w:rPr>
        <w:t>end, driven exclusively by Covid spending, albeit reducing throughout the year and by third quarter down to a miniscule margin of variation, once adjusted for Covid, so that service underspend was as likely as overspend based on available information. Towards the</w:t>
      </w:r>
      <w:r>
        <w:rPr>
          <w:rFonts w:ascii="Arial" w:hAnsi="Arial"/>
          <w:sz w:val="24"/>
          <w:szCs w:val="24"/>
        </w:rPr>
        <w:t xml:space="preserve"> year-end the pace and scale of </w:t>
      </w:r>
      <w:r w:rsidRPr="00861108">
        <w:rPr>
          <w:rFonts w:ascii="Arial" w:hAnsi="Arial"/>
          <w:sz w:val="24"/>
          <w:szCs w:val="24"/>
        </w:rPr>
        <w:t>reimbursement of costs and lost tax and service income from Welsh Government became increasingly clear and as a result at several verbal updat</w:t>
      </w:r>
      <w:r>
        <w:rPr>
          <w:rFonts w:ascii="Arial" w:hAnsi="Arial"/>
          <w:sz w:val="24"/>
          <w:szCs w:val="24"/>
        </w:rPr>
        <w:t>es on third quarter position to C</w:t>
      </w:r>
      <w:r w:rsidRPr="00861108">
        <w:rPr>
          <w:rFonts w:ascii="Arial" w:hAnsi="Arial"/>
          <w:sz w:val="24"/>
          <w:szCs w:val="24"/>
        </w:rPr>
        <w:t xml:space="preserve">abinet, Council, </w:t>
      </w:r>
      <w:r>
        <w:rPr>
          <w:rFonts w:ascii="Arial" w:hAnsi="Arial"/>
          <w:sz w:val="24"/>
          <w:szCs w:val="24"/>
        </w:rPr>
        <w:t>Governance &amp; Audit Committee and S</w:t>
      </w:r>
      <w:r w:rsidRPr="00861108">
        <w:rPr>
          <w:rFonts w:ascii="Arial" w:hAnsi="Arial"/>
          <w:sz w:val="24"/>
          <w:szCs w:val="24"/>
        </w:rPr>
        <w:t xml:space="preserve">crutiny panels, the S151 Officer advised an overall significant outturn underspend was once again expected. </w:t>
      </w:r>
    </w:p>
    <w:p w14:paraId="109A60C3" w14:textId="77777777" w:rsidR="008206CA" w:rsidRPr="00861108" w:rsidRDefault="008206CA" w:rsidP="00AB072E">
      <w:pPr>
        <w:jc w:val="both"/>
        <w:rPr>
          <w:rFonts w:ascii="Arial" w:hAnsi="Arial"/>
          <w:sz w:val="24"/>
          <w:szCs w:val="24"/>
        </w:rPr>
      </w:pPr>
    </w:p>
    <w:p w14:paraId="0D7EE306" w14:textId="77777777" w:rsidR="008206CA" w:rsidRPr="00861108" w:rsidRDefault="008206CA" w:rsidP="00AB072E">
      <w:pPr>
        <w:ind w:left="720" w:hanging="720"/>
        <w:jc w:val="both"/>
        <w:rPr>
          <w:rFonts w:ascii="Arial" w:hAnsi="Arial"/>
          <w:sz w:val="24"/>
          <w:szCs w:val="24"/>
        </w:rPr>
      </w:pPr>
      <w:r w:rsidRPr="00861108">
        <w:rPr>
          <w:rFonts w:ascii="Arial" w:hAnsi="Arial"/>
          <w:sz w:val="24"/>
          <w:szCs w:val="24"/>
        </w:rPr>
        <w:t>7.1.1</w:t>
      </w:r>
      <w:r w:rsidRPr="00861108">
        <w:rPr>
          <w:rFonts w:ascii="Arial" w:hAnsi="Arial"/>
          <w:sz w:val="24"/>
          <w:szCs w:val="24"/>
        </w:rPr>
        <w:tab/>
        <w:t xml:space="preserve">Total service underspending has now been confirmed (at just over </w:t>
      </w:r>
      <w:r w:rsidRPr="009D2A23">
        <w:rPr>
          <w:rFonts w:ascii="Arial" w:hAnsi="Arial"/>
          <w:sz w:val="24"/>
          <w:szCs w:val="24"/>
        </w:rPr>
        <w:t>£20m</w:t>
      </w:r>
      <w:r w:rsidRPr="00861108">
        <w:rPr>
          <w:rFonts w:ascii="Arial" w:hAnsi="Arial"/>
          <w:sz w:val="24"/>
          <w:szCs w:val="24"/>
        </w:rPr>
        <w:t xml:space="preserve">) and is an extremely good outcome. On </w:t>
      </w:r>
      <w:r>
        <w:rPr>
          <w:rFonts w:ascii="Arial" w:hAnsi="Arial"/>
          <w:sz w:val="24"/>
          <w:szCs w:val="24"/>
        </w:rPr>
        <w:t xml:space="preserve">an </w:t>
      </w:r>
      <w:r w:rsidRPr="00861108">
        <w:rPr>
          <w:rFonts w:ascii="Arial" w:hAnsi="Arial"/>
          <w:sz w:val="24"/>
          <w:szCs w:val="24"/>
        </w:rPr>
        <w:t xml:space="preserve">even more positive note the equally fully planned substantial continued underspending on capital financing </w:t>
      </w:r>
      <w:r w:rsidRPr="009D2A23">
        <w:rPr>
          <w:rFonts w:ascii="Arial" w:hAnsi="Arial"/>
          <w:sz w:val="24"/>
          <w:szCs w:val="24"/>
        </w:rPr>
        <w:t>(£6.2m</w:t>
      </w:r>
      <w:r w:rsidRPr="00861108">
        <w:rPr>
          <w:rFonts w:ascii="Arial" w:hAnsi="Arial"/>
          <w:sz w:val="24"/>
          <w:szCs w:val="24"/>
        </w:rPr>
        <w:t xml:space="preserve">) and contingency, central inflation and other corporate items including additional Welsh Government Covid grants (also around </w:t>
      </w:r>
      <w:r w:rsidRPr="009D2A23">
        <w:rPr>
          <w:rFonts w:ascii="Arial" w:hAnsi="Arial"/>
          <w:sz w:val="24"/>
          <w:szCs w:val="24"/>
        </w:rPr>
        <w:t>£21m</w:t>
      </w:r>
      <w:r w:rsidRPr="00861108">
        <w:rPr>
          <w:rFonts w:ascii="Arial" w:hAnsi="Arial"/>
          <w:sz w:val="24"/>
          <w:szCs w:val="24"/>
        </w:rPr>
        <w:t xml:space="preserve">) has enabled sums to be added to the recovery reserve, the capital equalisation reserve, the general reserve and some to be carried forward once again on contingency which is a prudent way of planning for and addressing some of, the future certain increased costs of financing the ambitious mid-term capital programme and the uncertainty of </w:t>
      </w:r>
      <w:r>
        <w:rPr>
          <w:rFonts w:ascii="Arial" w:hAnsi="Arial"/>
          <w:sz w:val="24"/>
          <w:szCs w:val="24"/>
        </w:rPr>
        <w:t>COVID-19</w:t>
      </w:r>
      <w:r w:rsidRPr="00861108">
        <w:rPr>
          <w:rFonts w:ascii="Arial" w:hAnsi="Arial"/>
          <w:sz w:val="24"/>
          <w:szCs w:val="24"/>
        </w:rPr>
        <w:t>.</w:t>
      </w:r>
    </w:p>
    <w:p w14:paraId="57D809E9" w14:textId="77777777" w:rsidR="008206CA" w:rsidRPr="00861108" w:rsidRDefault="008206CA" w:rsidP="008206CA">
      <w:pPr>
        <w:rPr>
          <w:rFonts w:ascii="Arial" w:hAnsi="Arial"/>
          <w:sz w:val="24"/>
          <w:szCs w:val="24"/>
        </w:rPr>
      </w:pPr>
    </w:p>
    <w:p w14:paraId="16011A58" w14:textId="77777777" w:rsidR="008206CA" w:rsidRPr="00861108" w:rsidRDefault="008206CA" w:rsidP="00AB072E">
      <w:pPr>
        <w:ind w:left="720" w:hanging="720"/>
        <w:jc w:val="both"/>
        <w:rPr>
          <w:rFonts w:ascii="Arial" w:hAnsi="Arial"/>
          <w:sz w:val="24"/>
          <w:szCs w:val="24"/>
        </w:rPr>
      </w:pPr>
      <w:r w:rsidRPr="00861108">
        <w:rPr>
          <w:rFonts w:ascii="Arial" w:hAnsi="Arial"/>
          <w:sz w:val="24"/>
          <w:szCs w:val="24"/>
        </w:rPr>
        <w:t>7.2</w:t>
      </w:r>
      <w:r w:rsidRPr="00861108">
        <w:rPr>
          <w:rFonts w:ascii="Arial" w:hAnsi="Arial"/>
          <w:sz w:val="24"/>
          <w:szCs w:val="24"/>
        </w:rPr>
        <w:tab/>
        <w:t xml:space="preserve">A verbal </w:t>
      </w:r>
      <w:r w:rsidRPr="00861108">
        <w:rPr>
          <w:rFonts w:ascii="Arial" w:hAnsi="Arial"/>
          <w:b/>
          <w:sz w:val="24"/>
          <w:szCs w:val="24"/>
        </w:rPr>
        <w:t>Mid Term Budget Statement 2021/22</w:t>
      </w:r>
      <w:r w:rsidRPr="00861108">
        <w:rPr>
          <w:rFonts w:ascii="Arial" w:hAnsi="Arial"/>
          <w:sz w:val="24"/>
          <w:szCs w:val="24"/>
        </w:rPr>
        <w:t xml:space="preserve"> was presented to Council in November this year given the substantially delayed settlement due to Covid and th</w:t>
      </w:r>
      <w:r>
        <w:rPr>
          <w:rFonts w:ascii="Arial" w:hAnsi="Arial"/>
          <w:sz w:val="24"/>
          <w:szCs w:val="24"/>
        </w:rPr>
        <w:t>e Comprehensive Spending Review</w:t>
      </w:r>
      <w:r w:rsidRPr="00861108">
        <w:rPr>
          <w:rFonts w:ascii="Arial" w:hAnsi="Arial"/>
          <w:sz w:val="24"/>
          <w:szCs w:val="24"/>
        </w:rPr>
        <w:t xml:space="preserve">.  The written report on the </w:t>
      </w:r>
      <w:r w:rsidRPr="00861108">
        <w:rPr>
          <w:rFonts w:ascii="Arial" w:hAnsi="Arial"/>
          <w:b/>
          <w:sz w:val="24"/>
          <w:szCs w:val="24"/>
        </w:rPr>
        <w:t xml:space="preserve">Review of Reserves </w:t>
      </w:r>
      <w:r w:rsidRPr="00861108">
        <w:rPr>
          <w:rFonts w:ascii="Arial" w:hAnsi="Arial"/>
          <w:sz w:val="24"/>
          <w:szCs w:val="24"/>
        </w:rPr>
        <w:t xml:space="preserve">was presented to Council on </w:t>
      </w:r>
      <w:r>
        <w:rPr>
          <w:rFonts w:ascii="Arial" w:hAnsi="Arial"/>
          <w:sz w:val="24"/>
          <w:szCs w:val="24"/>
        </w:rPr>
        <w:t>0</w:t>
      </w:r>
      <w:r w:rsidRPr="00861108">
        <w:rPr>
          <w:rFonts w:ascii="Arial" w:hAnsi="Arial"/>
          <w:sz w:val="24"/>
          <w:szCs w:val="24"/>
        </w:rPr>
        <w:t>7/10/21</w:t>
      </w:r>
      <w:r>
        <w:rPr>
          <w:rFonts w:ascii="Arial" w:hAnsi="Arial"/>
          <w:sz w:val="24"/>
          <w:szCs w:val="24"/>
        </w:rPr>
        <w:t>,</w:t>
      </w:r>
      <w:r w:rsidRPr="00861108">
        <w:rPr>
          <w:rFonts w:ascii="Arial" w:hAnsi="Arial"/>
          <w:sz w:val="24"/>
          <w:szCs w:val="24"/>
        </w:rPr>
        <w:t xml:space="preserve"> which provided a strategic and focussed assessment of the current year’s financial performance and an update on strategic planning assumptions over the next 3 financial years. </w:t>
      </w:r>
    </w:p>
    <w:p w14:paraId="435C6E9F" w14:textId="77777777" w:rsidR="008206CA" w:rsidRPr="00861108" w:rsidRDefault="008206CA" w:rsidP="00AB072E">
      <w:pPr>
        <w:jc w:val="both"/>
        <w:rPr>
          <w:rFonts w:ascii="Arial" w:hAnsi="Arial"/>
          <w:sz w:val="24"/>
          <w:szCs w:val="24"/>
        </w:rPr>
      </w:pPr>
    </w:p>
    <w:p w14:paraId="4C0C9CA2" w14:textId="77777777" w:rsidR="008206CA" w:rsidRPr="00861108" w:rsidRDefault="008206CA" w:rsidP="00AB072E">
      <w:pPr>
        <w:ind w:left="720" w:hanging="720"/>
        <w:jc w:val="both"/>
        <w:rPr>
          <w:rFonts w:ascii="Arial" w:hAnsi="Arial"/>
          <w:sz w:val="24"/>
          <w:szCs w:val="24"/>
        </w:rPr>
      </w:pPr>
      <w:r w:rsidRPr="00861108">
        <w:rPr>
          <w:rFonts w:ascii="Arial" w:hAnsi="Arial"/>
          <w:sz w:val="24"/>
          <w:szCs w:val="24"/>
        </w:rPr>
        <w:t>7.2.1</w:t>
      </w:r>
      <w:r w:rsidRPr="00861108">
        <w:rPr>
          <w:rFonts w:ascii="Arial" w:hAnsi="Arial"/>
          <w:sz w:val="24"/>
          <w:szCs w:val="24"/>
        </w:rPr>
        <w:tab/>
        <w:t xml:space="preserve">The conclusion of the Statement was that the Council could potentially struggle to deliver within the overall resources identified to support the budget in 2022/23 and beyond unless the local government settlement was much enhanced and preferably multi-year (the quantum was duly confirmed much enhanced by March 2022 and pleasingly was a three year settlement albeit heavily front loaded </w:t>
      </w:r>
      <w:r>
        <w:rPr>
          <w:rFonts w:ascii="Arial" w:hAnsi="Arial"/>
          <w:sz w:val="24"/>
          <w:szCs w:val="24"/>
        </w:rPr>
        <w:t>then dropping off significantly</w:t>
      </w:r>
      <w:r w:rsidRPr="00861108">
        <w:rPr>
          <w:rFonts w:ascii="Arial" w:hAnsi="Arial"/>
          <w:sz w:val="24"/>
          <w:szCs w:val="24"/>
        </w:rPr>
        <w:t xml:space="preserve">). The likely projected outturn was dependent upon the ability of the Council to reduce and restrict ongoing expenditure across all areas, its ability to recover expenditure and lost income from Welsh Government and continued reliance on active capital financing strategies to </w:t>
      </w:r>
      <w:r w:rsidRPr="00861108">
        <w:rPr>
          <w:rFonts w:ascii="Arial" w:hAnsi="Arial"/>
          <w:sz w:val="24"/>
          <w:szCs w:val="24"/>
        </w:rPr>
        <w:lastRenderedPageBreak/>
        <w:t>maximise the short term savings to enable the capital equalisation reserve to be b</w:t>
      </w:r>
      <w:r>
        <w:rPr>
          <w:rFonts w:ascii="Arial" w:hAnsi="Arial"/>
          <w:sz w:val="24"/>
          <w:szCs w:val="24"/>
        </w:rPr>
        <w:t>olstered for the medium to long-</w:t>
      </w:r>
      <w:r w:rsidRPr="00861108">
        <w:rPr>
          <w:rFonts w:ascii="Arial" w:hAnsi="Arial"/>
          <w:sz w:val="24"/>
          <w:szCs w:val="24"/>
        </w:rPr>
        <w:t xml:space="preserve">term recognising the major future capital commitments already irrevocably made by Council decisions on the size of the capital programme and associated borrowing.  </w:t>
      </w:r>
    </w:p>
    <w:p w14:paraId="1AE1C8A6" w14:textId="77777777" w:rsidR="008206CA" w:rsidRPr="00861108" w:rsidRDefault="008206CA" w:rsidP="008206CA">
      <w:pPr>
        <w:rPr>
          <w:rFonts w:ascii="Arial" w:hAnsi="Arial"/>
          <w:sz w:val="24"/>
          <w:szCs w:val="24"/>
        </w:rPr>
      </w:pPr>
    </w:p>
    <w:p w14:paraId="62DB3AF4" w14:textId="77777777" w:rsidR="008206CA" w:rsidRPr="00861108" w:rsidRDefault="008206CA" w:rsidP="00AB072E">
      <w:pPr>
        <w:ind w:left="720" w:hanging="720"/>
        <w:jc w:val="both"/>
        <w:rPr>
          <w:rFonts w:ascii="Arial" w:hAnsi="Arial"/>
          <w:sz w:val="24"/>
          <w:szCs w:val="24"/>
        </w:rPr>
      </w:pPr>
      <w:r w:rsidRPr="00861108">
        <w:rPr>
          <w:rFonts w:ascii="Arial" w:hAnsi="Arial"/>
          <w:sz w:val="24"/>
          <w:szCs w:val="24"/>
        </w:rPr>
        <w:t>7.2.2</w:t>
      </w:r>
      <w:r w:rsidRPr="00861108">
        <w:rPr>
          <w:rFonts w:ascii="Arial" w:hAnsi="Arial"/>
          <w:sz w:val="24"/>
          <w:szCs w:val="24"/>
        </w:rPr>
        <w:tab/>
        <w:t xml:space="preserve">The Revenue and Capital Budgets were approved by Council on 03/03/22. They continued to set out an ongoing ambitious programme of approved capital spending plans and future capital spending plans (partly financed by the Swansea Bay City Deal but predominantly by unsupported borrowing now fully externalised at fixed rates for up to 50 years de-risking </w:t>
      </w:r>
      <w:r>
        <w:rPr>
          <w:rFonts w:ascii="Arial" w:hAnsi="Arial"/>
          <w:sz w:val="24"/>
          <w:szCs w:val="24"/>
        </w:rPr>
        <w:t>general fund exposure to future interest rate movements</w:t>
      </w:r>
      <w:r w:rsidRPr="00861108">
        <w:rPr>
          <w:rFonts w:ascii="Arial" w:hAnsi="Arial"/>
          <w:sz w:val="24"/>
          <w:szCs w:val="24"/>
        </w:rPr>
        <w:t xml:space="preserve">) which would require modest budget savings to be delivered to help facilitate that major capital investment and economic regeneration stimulus. These plans are likely to still be affected by ongoing ripple effects of </w:t>
      </w:r>
      <w:r>
        <w:rPr>
          <w:rFonts w:ascii="Arial" w:hAnsi="Arial"/>
          <w:sz w:val="24"/>
          <w:szCs w:val="24"/>
        </w:rPr>
        <w:t>COVID-19</w:t>
      </w:r>
      <w:r w:rsidRPr="00861108">
        <w:rPr>
          <w:rFonts w:ascii="Arial" w:hAnsi="Arial"/>
          <w:sz w:val="24"/>
          <w:szCs w:val="24"/>
        </w:rPr>
        <w:t xml:space="preserve">. It remains entirely unclear as to the scale of additional spending, the loss of income, and the funding arrangements for reimbursement in part, or in full, that the </w:t>
      </w:r>
      <w:r>
        <w:rPr>
          <w:rFonts w:ascii="Arial" w:hAnsi="Arial"/>
          <w:sz w:val="24"/>
          <w:szCs w:val="24"/>
        </w:rPr>
        <w:t>A</w:t>
      </w:r>
      <w:r w:rsidRPr="00861108">
        <w:rPr>
          <w:rFonts w:ascii="Arial" w:hAnsi="Arial"/>
          <w:sz w:val="24"/>
          <w:szCs w:val="24"/>
        </w:rPr>
        <w:t xml:space="preserve">uthority faces in responding both locally, with partners, and supporting the national strategic response to the </w:t>
      </w:r>
      <w:r>
        <w:rPr>
          <w:rFonts w:ascii="Arial" w:hAnsi="Arial"/>
          <w:sz w:val="24"/>
          <w:szCs w:val="24"/>
        </w:rPr>
        <w:t>COVID-19</w:t>
      </w:r>
      <w:r w:rsidRPr="00861108">
        <w:rPr>
          <w:rFonts w:ascii="Arial" w:hAnsi="Arial"/>
          <w:sz w:val="24"/>
          <w:szCs w:val="24"/>
        </w:rPr>
        <w:t xml:space="preserve"> pandemic during the first part of 2022-23. </w:t>
      </w:r>
    </w:p>
    <w:p w14:paraId="0F719AC1" w14:textId="77777777" w:rsidR="008206CA" w:rsidRPr="00861108" w:rsidRDefault="008206CA" w:rsidP="008206CA">
      <w:pPr>
        <w:rPr>
          <w:rFonts w:ascii="Arial" w:hAnsi="Arial"/>
          <w:sz w:val="24"/>
          <w:szCs w:val="24"/>
        </w:rPr>
      </w:pPr>
    </w:p>
    <w:p w14:paraId="144A981C" w14:textId="77777777" w:rsidR="00AB072E" w:rsidRDefault="008206CA" w:rsidP="00AB072E">
      <w:pPr>
        <w:jc w:val="both"/>
        <w:rPr>
          <w:rFonts w:ascii="Arial" w:hAnsi="Arial"/>
          <w:sz w:val="24"/>
          <w:szCs w:val="24"/>
        </w:rPr>
      </w:pPr>
      <w:r w:rsidRPr="00861108">
        <w:rPr>
          <w:rFonts w:ascii="Arial" w:hAnsi="Arial"/>
          <w:sz w:val="24"/>
          <w:szCs w:val="24"/>
        </w:rPr>
        <w:t>7.2.3</w:t>
      </w:r>
      <w:r w:rsidRPr="00861108">
        <w:rPr>
          <w:rFonts w:ascii="Arial" w:hAnsi="Arial"/>
          <w:sz w:val="24"/>
          <w:szCs w:val="24"/>
        </w:rPr>
        <w:tab/>
        <w:t xml:space="preserve">The impact will be very financially material on the 2021-22 accounts but the national lock </w:t>
      </w:r>
    </w:p>
    <w:p w14:paraId="0CBA3448" w14:textId="77777777" w:rsidR="00AB072E" w:rsidRDefault="00AB072E" w:rsidP="00AB072E">
      <w:pPr>
        <w:jc w:val="both"/>
        <w:rPr>
          <w:rFonts w:ascii="Arial" w:hAnsi="Arial"/>
          <w:sz w:val="24"/>
          <w:szCs w:val="24"/>
        </w:rPr>
      </w:pPr>
      <w:r>
        <w:rPr>
          <w:rFonts w:ascii="Arial" w:hAnsi="Arial"/>
          <w:sz w:val="24"/>
          <w:szCs w:val="24"/>
        </w:rPr>
        <w:t xml:space="preserve">           d</w:t>
      </w:r>
      <w:r w:rsidR="008206CA" w:rsidRPr="00861108">
        <w:rPr>
          <w:rFonts w:ascii="Arial" w:hAnsi="Arial"/>
          <w:sz w:val="24"/>
          <w:szCs w:val="24"/>
        </w:rPr>
        <w:t xml:space="preserve">own arrangements and the prioritisation of the response to </w:t>
      </w:r>
      <w:r w:rsidR="008206CA" w:rsidRPr="00861108">
        <w:rPr>
          <w:rFonts w:ascii="Arial" w:hAnsi="Arial"/>
          <w:sz w:val="24"/>
          <w:szCs w:val="24"/>
        </w:rPr>
        <w:tab/>
      </w:r>
      <w:r w:rsidR="008206CA">
        <w:rPr>
          <w:rFonts w:ascii="Arial" w:hAnsi="Arial"/>
          <w:sz w:val="24"/>
          <w:szCs w:val="24"/>
        </w:rPr>
        <w:t>COVID-19</w:t>
      </w:r>
      <w:r w:rsidR="008206CA" w:rsidRPr="00861108">
        <w:rPr>
          <w:rFonts w:ascii="Arial" w:hAnsi="Arial"/>
          <w:sz w:val="24"/>
          <w:szCs w:val="24"/>
        </w:rPr>
        <w:t xml:space="preserve"> may have </w:t>
      </w:r>
    </w:p>
    <w:p w14:paraId="5E7453EB" w14:textId="77777777" w:rsidR="00AB072E" w:rsidRDefault="00AB072E" w:rsidP="00AB072E">
      <w:pPr>
        <w:jc w:val="both"/>
        <w:rPr>
          <w:rFonts w:ascii="Arial" w:hAnsi="Arial"/>
          <w:sz w:val="24"/>
          <w:szCs w:val="24"/>
        </w:rPr>
      </w:pPr>
      <w:r>
        <w:rPr>
          <w:rFonts w:ascii="Arial" w:hAnsi="Arial"/>
          <w:sz w:val="24"/>
          <w:szCs w:val="24"/>
        </w:rPr>
        <w:t xml:space="preserve">           </w:t>
      </w:r>
      <w:r w:rsidR="008206CA" w:rsidRPr="00861108">
        <w:rPr>
          <w:rFonts w:ascii="Arial" w:hAnsi="Arial"/>
          <w:sz w:val="24"/>
          <w:szCs w:val="24"/>
        </w:rPr>
        <w:t xml:space="preserve">impaired our ability to fully prepare the accounts to our normally exceptionally high </w:t>
      </w:r>
    </w:p>
    <w:p w14:paraId="2FC44D31" w14:textId="77777777" w:rsidR="00AB072E" w:rsidRDefault="00AB072E" w:rsidP="00AB072E">
      <w:pPr>
        <w:jc w:val="both"/>
        <w:rPr>
          <w:rFonts w:ascii="Arial" w:hAnsi="Arial"/>
          <w:sz w:val="24"/>
          <w:szCs w:val="24"/>
        </w:rPr>
      </w:pPr>
      <w:r>
        <w:rPr>
          <w:rFonts w:ascii="Arial" w:hAnsi="Arial"/>
          <w:sz w:val="24"/>
          <w:szCs w:val="24"/>
        </w:rPr>
        <w:t xml:space="preserve">           </w:t>
      </w:r>
      <w:r w:rsidR="008206CA" w:rsidRPr="00861108">
        <w:rPr>
          <w:rFonts w:ascii="Arial" w:hAnsi="Arial"/>
          <w:sz w:val="24"/>
          <w:szCs w:val="24"/>
        </w:rPr>
        <w:t xml:space="preserve">standards in line with accounting standards. Any necessary deviation caused will be </w:t>
      </w:r>
    </w:p>
    <w:p w14:paraId="18D21D15" w14:textId="77777777" w:rsidR="008206CA" w:rsidRPr="00861108" w:rsidRDefault="00AB072E" w:rsidP="00AB072E">
      <w:pPr>
        <w:jc w:val="both"/>
        <w:rPr>
          <w:rFonts w:ascii="Arial" w:hAnsi="Arial"/>
          <w:sz w:val="24"/>
          <w:szCs w:val="24"/>
        </w:rPr>
      </w:pPr>
      <w:r>
        <w:rPr>
          <w:rFonts w:ascii="Arial" w:hAnsi="Arial"/>
          <w:sz w:val="24"/>
          <w:szCs w:val="24"/>
        </w:rPr>
        <w:t xml:space="preserve">           </w:t>
      </w:r>
      <w:r w:rsidR="008206CA" w:rsidRPr="00861108">
        <w:rPr>
          <w:rFonts w:ascii="Arial" w:hAnsi="Arial"/>
          <w:sz w:val="24"/>
          <w:szCs w:val="24"/>
        </w:rPr>
        <w:t>disclosed separately throughout these</w:t>
      </w:r>
      <w:r>
        <w:rPr>
          <w:rFonts w:ascii="Arial" w:hAnsi="Arial"/>
          <w:sz w:val="24"/>
          <w:szCs w:val="24"/>
        </w:rPr>
        <w:t xml:space="preserve"> </w:t>
      </w:r>
      <w:r w:rsidR="008206CA" w:rsidRPr="00861108">
        <w:rPr>
          <w:rFonts w:ascii="Arial" w:hAnsi="Arial"/>
          <w:sz w:val="24"/>
          <w:szCs w:val="24"/>
        </w:rPr>
        <w:t xml:space="preserve">accounts. </w:t>
      </w:r>
    </w:p>
    <w:p w14:paraId="4FB25EA8" w14:textId="77777777" w:rsidR="008206CA" w:rsidRPr="00861108" w:rsidRDefault="008206CA" w:rsidP="008206CA">
      <w:pPr>
        <w:rPr>
          <w:rFonts w:ascii="Arial" w:hAnsi="Arial"/>
          <w:sz w:val="24"/>
          <w:szCs w:val="24"/>
        </w:rPr>
      </w:pPr>
    </w:p>
    <w:p w14:paraId="08E63D6F" w14:textId="77777777" w:rsidR="00AB072E" w:rsidRDefault="008206CA" w:rsidP="00AB072E">
      <w:pPr>
        <w:jc w:val="both"/>
        <w:rPr>
          <w:rFonts w:ascii="Arial" w:hAnsi="Arial"/>
          <w:sz w:val="24"/>
          <w:szCs w:val="24"/>
        </w:rPr>
      </w:pPr>
      <w:r w:rsidRPr="00861108">
        <w:rPr>
          <w:rFonts w:ascii="Arial" w:hAnsi="Arial"/>
          <w:sz w:val="24"/>
          <w:szCs w:val="24"/>
        </w:rPr>
        <w:t>7.3</w:t>
      </w:r>
      <w:r w:rsidRPr="00861108">
        <w:rPr>
          <w:rFonts w:ascii="Arial" w:hAnsi="Arial"/>
          <w:sz w:val="24"/>
          <w:szCs w:val="24"/>
        </w:rPr>
        <w:tab/>
        <w:t xml:space="preserve">The </w:t>
      </w:r>
      <w:r w:rsidRPr="00861108">
        <w:rPr>
          <w:rFonts w:ascii="Arial" w:hAnsi="Arial"/>
          <w:b/>
          <w:sz w:val="24"/>
          <w:szCs w:val="24"/>
        </w:rPr>
        <w:t>Medium Term Financial Plan 2023/24 – 2025/26</w:t>
      </w:r>
      <w:r w:rsidRPr="00861108">
        <w:rPr>
          <w:rFonts w:ascii="Arial" w:hAnsi="Arial"/>
          <w:sz w:val="24"/>
          <w:szCs w:val="24"/>
        </w:rPr>
        <w:t xml:space="preserve"> was approved by Council on </w:t>
      </w:r>
    </w:p>
    <w:p w14:paraId="03CF7C1B" w14:textId="77777777" w:rsidR="00AB072E" w:rsidRDefault="00AB072E" w:rsidP="00AB072E">
      <w:pPr>
        <w:jc w:val="both"/>
        <w:rPr>
          <w:rFonts w:ascii="Arial" w:hAnsi="Arial"/>
          <w:sz w:val="24"/>
          <w:szCs w:val="24"/>
        </w:rPr>
      </w:pPr>
      <w:r>
        <w:rPr>
          <w:rFonts w:ascii="Arial" w:hAnsi="Arial"/>
          <w:sz w:val="24"/>
          <w:szCs w:val="24"/>
        </w:rPr>
        <w:t xml:space="preserve">           </w:t>
      </w:r>
      <w:r w:rsidR="008206CA" w:rsidRPr="00861108">
        <w:rPr>
          <w:rFonts w:ascii="Arial" w:hAnsi="Arial"/>
          <w:sz w:val="24"/>
          <w:szCs w:val="24"/>
        </w:rPr>
        <w:t xml:space="preserve">03/03/2022. The Plan outlined the range of options around funding </w:t>
      </w:r>
      <w:r w:rsidR="008206CA" w:rsidRPr="00861108">
        <w:rPr>
          <w:rFonts w:ascii="Arial" w:hAnsi="Arial"/>
          <w:sz w:val="24"/>
          <w:szCs w:val="24"/>
        </w:rPr>
        <w:tab/>
        <w:t xml:space="preserve">faced by the Council </w:t>
      </w:r>
    </w:p>
    <w:p w14:paraId="49D8D4CD" w14:textId="77777777" w:rsidR="00AB072E" w:rsidRDefault="00AB072E" w:rsidP="00AB072E">
      <w:pPr>
        <w:jc w:val="both"/>
        <w:rPr>
          <w:rFonts w:ascii="Arial" w:hAnsi="Arial"/>
          <w:sz w:val="24"/>
          <w:szCs w:val="24"/>
        </w:rPr>
      </w:pPr>
      <w:r>
        <w:rPr>
          <w:rFonts w:ascii="Arial" w:hAnsi="Arial"/>
          <w:sz w:val="24"/>
          <w:szCs w:val="24"/>
        </w:rPr>
        <w:t xml:space="preserve">           </w:t>
      </w:r>
      <w:r w:rsidR="008206CA" w:rsidRPr="00861108">
        <w:rPr>
          <w:rFonts w:ascii="Arial" w:hAnsi="Arial"/>
          <w:sz w:val="24"/>
          <w:szCs w:val="24"/>
        </w:rPr>
        <w:t xml:space="preserve">over the period, the key reliance on the scale and value of future local government </w:t>
      </w:r>
    </w:p>
    <w:p w14:paraId="1E6890C5" w14:textId="77777777" w:rsidR="00AB072E" w:rsidRDefault="00AB072E" w:rsidP="00AB072E">
      <w:pPr>
        <w:jc w:val="both"/>
        <w:rPr>
          <w:rFonts w:ascii="Arial" w:hAnsi="Arial"/>
          <w:sz w:val="24"/>
          <w:szCs w:val="24"/>
        </w:rPr>
      </w:pPr>
      <w:r>
        <w:rPr>
          <w:rFonts w:ascii="Arial" w:hAnsi="Arial"/>
          <w:sz w:val="24"/>
          <w:szCs w:val="24"/>
        </w:rPr>
        <w:t xml:space="preserve">           f</w:t>
      </w:r>
      <w:r w:rsidR="008206CA" w:rsidRPr="00861108">
        <w:rPr>
          <w:rFonts w:ascii="Arial" w:hAnsi="Arial"/>
          <w:sz w:val="24"/>
          <w:szCs w:val="24"/>
        </w:rPr>
        <w:t xml:space="preserve">inance settlements and the strategy to be adopted to address the various scenarios as </w:t>
      </w:r>
    </w:p>
    <w:p w14:paraId="2C86964E" w14:textId="77777777" w:rsidR="008206CA" w:rsidRPr="00861108" w:rsidRDefault="00AB072E" w:rsidP="00AB072E">
      <w:pPr>
        <w:jc w:val="both"/>
        <w:rPr>
          <w:rFonts w:ascii="Arial" w:hAnsi="Arial"/>
          <w:sz w:val="24"/>
          <w:szCs w:val="24"/>
        </w:rPr>
      </w:pPr>
      <w:r>
        <w:rPr>
          <w:rFonts w:ascii="Arial" w:hAnsi="Arial"/>
          <w:sz w:val="24"/>
          <w:szCs w:val="24"/>
        </w:rPr>
        <w:t xml:space="preserve">           </w:t>
      </w:r>
      <w:r w:rsidR="008206CA" w:rsidRPr="00861108">
        <w:rPr>
          <w:rFonts w:ascii="Arial" w:hAnsi="Arial"/>
          <w:sz w:val="24"/>
          <w:szCs w:val="24"/>
        </w:rPr>
        <w:t xml:space="preserve">well as the inherent risks to the success </w:t>
      </w:r>
      <w:r w:rsidR="008206CA" w:rsidRPr="00861108">
        <w:rPr>
          <w:rFonts w:ascii="Arial" w:hAnsi="Arial"/>
          <w:sz w:val="24"/>
          <w:szCs w:val="24"/>
        </w:rPr>
        <w:tab/>
        <w:t xml:space="preserve">of the adopted strategy. </w:t>
      </w:r>
    </w:p>
    <w:p w14:paraId="424105C7" w14:textId="77777777" w:rsidR="008206CA" w:rsidRPr="00861108" w:rsidRDefault="008206CA" w:rsidP="008206CA">
      <w:pPr>
        <w:rPr>
          <w:rFonts w:ascii="Arial" w:hAnsi="Arial"/>
          <w:sz w:val="24"/>
          <w:szCs w:val="24"/>
        </w:rPr>
      </w:pPr>
    </w:p>
    <w:p w14:paraId="53877C28" w14:textId="77777777" w:rsidR="008206CA" w:rsidRPr="00861108" w:rsidRDefault="008206CA" w:rsidP="00AB072E">
      <w:pPr>
        <w:ind w:left="720" w:hanging="720"/>
        <w:jc w:val="both"/>
        <w:rPr>
          <w:rFonts w:ascii="Arial" w:hAnsi="Arial"/>
          <w:sz w:val="24"/>
          <w:szCs w:val="24"/>
        </w:rPr>
      </w:pPr>
      <w:r w:rsidRPr="00861108">
        <w:rPr>
          <w:rFonts w:ascii="Arial" w:hAnsi="Arial"/>
          <w:sz w:val="24"/>
          <w:szCs w:val="24"/>
        </w:rPr>
        <w:t>7.3.1</w:t>
      </w:r>
      <w:r w:rsidRPr="00861108">
        <w:rPr>
          <w:rFonts w:ascii="Arial" w:hAnsi="Arial"/>
          <w:sz w:val="24"/>
          <w:szCs w:val="24"/>
        </w:rPr>
        <w:tab/>
        <w:t xml:space="preserve">All spending and funding assumptions were set before the ongoing economic scale of the repayment of costs incurred during </w:t>
      </w:r>
      <w:r>
        <w:rPr>
          <w:rFonts w:ascii="Arial" w:hAnsi="Arial"/>
          <w:sz w:val="24"/>
          <w:szCs w:val="24"/>
        </w:rPr>
        <w:t>COVID-19</w:t>
      </w:r>
      <w:r w:rsidRPr="00861108">
        <w:rPr>
          <w:rFonts w:ascii="Arial" w:hAnsi="Arial"/>
          <w:sz w:val="24"/>
          <w:szCs w:val="24"/>
        </w:rPr>
        <w:t xml:space="preserve"> pandemic was fully apparent, exacerbated by the late nature of the UK and Welsh government budget setting processes. Whilst the Authority will consider future spending plans in line with projected funding announcements there is no indication at present that any of the assets of the Authority may be impaired as a result of a need to close facilities and reduce the level of service provision.</w:t>
      </w:r>
    </w:p>
    <w:p w14:paraId="0FB2F4B5" w14:textId="77777777" w:rsidR="008206CA" w:rsidRPr="00861108" w:rsidRDefault="008206CA" w:rsidP="008206CA">
      <w:pPr>
        <w:rPr>
          <w:rFonts w:ascii="Arial" w:hAnsi="Arial"/>
          <w:sz w:val="24"/>
          <w:szCs w:val="24"/>
        </w:rPr>
      </w:pPr>
    </w:p>
    <w:p w14:paraId="5F6285FD" w14:textId="77777777" w:rsidR="00AB072E" w:rsidRDefault="008206CA" w:rsidP="008206CA">
      <w:pPr>
        <w:rPr>
          <w:rFonts w:ascii="Arial" w:hAnsi="Arial"/>
          <w:sz w:val="24"/>
          <w:szCs w:val="24"/>
        </w:rPr>
      </w:pPr>
      <w:r w:rsidRPr="00861108">
        <w:rPr>
          <w:rFonts w:ascii="Arial" w:hAnsi="Arial"/>
          <w:sz w:val="24"/>
          <w:szCs w:val="24"/>
        </w:rPr>
        <w:t>7.4</w:t>
      </w:r>
      <w:r w:rsidRPr="00861108">
        <w:rPr>
          <w:rFonts w:ascii="Arial" w:hAnsi="Arial"/>
          <w:sz w:val="24"/>
          <w:szCs w:val="24"/>
        </w:rPr>
        <w:tab/>
        <w:t xml:space="preserve">Each Corporate Director held monthly </w:t>
      </w:r>
      <w:r w:rsidRPr="00861108">
        <w:rPr>
          <w:rFonts w:ascii="Arial" w:hAnsi="Arial"/>
          <w:b/>
          <w:sz w:val="24"/>
          <w:szCs w:val="24"/>
        </w:rPr>
        <w:t>Performance and Financial Monitoring</w:t>
      </w:r>
      <w:r w:rsidRPr="00861108">
        <w:rPr>
          <w:rFonts w:ascii="Arial" w:hAnsi="Arial"/>
          <w:sz w:val="24"/>
          <w:szCs w:val="24"/>
        </w:rPr>
        <w:t xml:space="preserve"> meetings </w:t>
      </w:r>
    </w:p>
    <w:p w14:paraId="61BB2AA0" w14:textId="77777777" w:rsidR="00AB072E" w:rsidRDefault="00AB072E" w:rsidP="008206CA">
      <w:pPr>
        <w:rPr>
          <w:rFonts w:ascii="Arial" w:hAnsi="Arial"/>
          <w:sz w:val="24"/>
          <w:szCs w:val="24"/>
        </w:rPr>
      </w:pPr>
      <w:r>
        <w:rPr>
          <w:rFonts w:ascii="Arial" w:hAnsi="Arial"/>
          <w:sz w:val="24"/>
          <w:szCs w:val="24"/>
        </w:rPr>
        <w:t xml:space="preserve">           </w:t>
      </w:r>
      <w:r w:rsidR="008206CA" w:rsidRPr="00861108">
        <w:rPr>
          <w:rFonts w:ascii="Arial" w:hAnsi="Arial"/>
          <w:sz w:val="24"/>
          <w:szCs w:val="24"/>
        </w:rPr>
        <w:t xml:space="preserve">where Chief Officers and Heads of Service reported on progress in terms of continuous </w:t>
      </w:r>
      <w:r>
        <w:rPr>
          <w:rFonts w:ascii="Arial" w:hAnsi="Arial"/>
          <w:sz w:val="24"/>
          <w:szCs w:val="24"/>
        </w:rPr>
        <w:t xml:space="preserve"> </w:t>
      </w:r>
    </w:p>
    <w:p w14:paraId="645F35A8" w14:textId="77777777" w:rsidR="008206CA" w:rsidRPr="005675A0" w:rsidRDefault="00AB072E" w:rsidP="008206CA">
      <w:pPr>
        <w:rPr>
          <w:rFonts w:ascii="Arial" w:hAnsi="Arial"/>
          <w:sz w:val="24"/>
          <w:szCs w:val="24"/>
        </w:rPr>
      </w:pPr>
      <w:r>
        <w:rPr>
          <w:rFonts w:ascii="Arial" w:hAnsi="Arial"/>
          <w:sz w:val="24"/>
          <w:szCs w:val="24"/>
        </w:rPr>
        <w:t xml:space="preserve">           i</w:t>
      </w:r>
      <w:r w:rsidR="008206CA" w:rsidRPr="00861108">
        <w:rPr>
          <w:rFonts w:ascii="Arial" w:hAnsi="Arial"/>
          <w:sz w:val="24"/>
          <w:szCs w:val="24"/>
        </w:rPr>
        <w:t>mprovement and budgets.</w:t>
      </w:r>
      <w:r w:rsidR="008206CA" w:rsidRPr="005675A0">
        <w:rPr>
          <w:rFonts w:ascii="Arial" w:hAnsi="Arial"/>
          <w:sz w:val="24"/>
          <w:szCs w:val="24"/>
        </w:rPr>
        <w:t xml:space="preserve"> </w:t>
      </w:r>
    </w:p>
    <w:p w14:paraId="339A5FB3" w14:textId="77777777" w:rsidR="008206CA" w:rsidRDefault="008206CA" w:rsidP="008206CA">
      <w:pPr>
        <w:rPr>
          <w:rFonts w:ascii="Arial" w:hAnsi="Arial"/>
          <w:sz w:val="24"/>
          <w:szCs w:val="24"/>
        </w:rPr>
      </w:pPr>
    </w:p>
    <w:p w14:paraId="44561E8F" w14:textId="77777777" w:rsidR="008206CA" w:rsidRPr="001C1133" w:rsidRDefault="008206CA" w:rsidP="00AB072E">
      <w:pPr>
        <w:ind w:left="720" w:hanging="720"/>
        <w:jc w:val="both"/>
        <w:rPr>
          <w:rFonts w:ascii="Arial" w:hAnsi="Arial"/>
          <w:sz w:val="24"/>
          <w:szCs w:val="24"/>
        </w:rPr>
      </w:pPr>
      <w:r w:rsidRPr="00D25959">
        <w:rPr>
          <w:rFonts w:ascii="Arial" w:hAnsi="Arial"/>
          <w:sz w:val="24"/>
          <w:szCs w:val="24"/>
        </w:rPr>
        <w:t>7.5</w:t>
      </w:r>
      <w:r w:rsidRPr="00D25959">
        <w:rPr>
          <w:rFonts w:ascii="Arial" w:hAnsi="Arial"/>
          <w:sz w:val="24"/>
          <w:szCs w:val="24"/>
        </w:rPr>
        <w:tab/>
      </w:r>
      <w:r w:rsidRPr="00D25959">
        <w:rPr>
          <w:rFonts w:ascii="Arial" w:hAnsi="Arial"/>
          <w:b/>
          <w:sz w:val="24"/>
          <w:szCs w:val="24"/>
        </w:rPr>
        <w:t>Audit Wales Annual Audit Summary 2021</w:t>
      </w:r>
      <w:r w:rsidRPr="00D25959">
        <w:rPr>
          <w:rFonts w:ascii="Arial" w:hAnsi="Arial"/>
          <w:sz w:val="24"/>
          <w:szCs w:val="24"/>
        </w:rPr>
        <w:t xml:space="preserve">. Audit Wales noted that their opinion on the financial statements was qualified. This was because the Council misclassified historical cost depreciation between its revaluation reserve and its capital adjustment account resulting in both being potentially materially misstated; the Council is undertaking further analysis to assess and correct the level of potential error. During 2020-21, Audit Wales examined the financial sustainability of each council in Wales. They concluded that the Council is well placed to maintain its financial sustainability and plans to strengthen some </w:t>
      </w:r>
      <w:r w:rsidRPr="00D25959">
        <w:rPr>
          <w:rFonts w:ascii="Arial" w:hAnsi="Arial"/>
          <w:sz w:val="24"/>
          <w:szCs w:val="24"/>
        </w:rPr>
        <w:lastRenderedPageBreak/>
        <w:t>aspects of its financial management. The Auditor General certified that the Council had met its remaining Local Government (Wales) Measure 2009 duties concerning continuous improvement for the financial year 2020-21, as saved by an order made under the Local Government and Elections (Wales) Act 2021.</w:t>
      </w:r>
    </w:p>
    <w:p w14:paraId="36DF2732" w14:textId="77777777" w:rsidR="008206CA" w:rsidRDefault="008206CA" w:rsidP="00AB072E">
      <w:pPr>
        <w:jc w:val="both"/>
        <w:rPr>
          <w:rFonts w:ascii="Arial" w:hAnsi="Arial"/>
          <w:sz w:val="24"/>
          <w:szCs w:val="24"/>
        </w:rPr>
      </w:pPr>
      <w:r w:rsidRPr="005675A0">
        <w:rPr>
          <w:rFonts w:ascii="Arial" w:hAnsi="Arial"/>
          <w:sz w:val="24"/>
          <w:szCs w:val="24"/>
        </w:rPr>
        <w:t xml:space="preserve"> </w:t>
      </w:r>
    </w:p>
    <w:p w14:paraId="29EF7B70" w14:textId="77777777" w:rsidR="00AB072E" w:rsidRDefault="008206CA" w:rsidP="00AB072E">
      <w:pPr>
        <w:jc w:val="both"/>
        <w:rPr>
          <w:rFonts w:ascii="Arial" w:hAnsi="Arial"/>
          <w:sz w:val="24"/>
          <w:szCs w:val="24"/>
        </w:rPr>
      </w:pPr>
      <w:r>
        <w:rPr>
          <w:rFonts w:ascii="Arial" w:hAnsi="Arial"/>
          <w:sz w:val="24"/>
          <w:szCs w:val="24"/>
        </w:rPr>
        <w:t>7.5.1</w:t>
      </w:r>
      <w:r>
        <w:rPr>
          <w:rFonts w:ascii="Arial" w:hAnsi="Arial"/>
          <w:sz w:val="24"/>
          <w:szCs w:val="24"/>
        </w:rPr>
        <w:tab/>
      </w:r>
      <w:r w:rsidRPr="005675A0">
        <w:rPr>
          <w:rFonts w:ascii="Arial" w:hAnsi="Arial"/>
          <w:sz w:val="24"/>
          <w:szCs w:val="24"/>
        </w:rPr>
        <w:t xml:space="preserve">The Council is the Administering Authority for the City and County of Swansea </w:t>
      </w:r>
      <w:r>
        <w:rPr>
          <w:rFonts w:ascii="Arial" w:hAnsi="Arial"/>
          <w:sz w:val="24"/>
          <w:szCs w:val="24"/>
        </w:rPr>
        <w:tab/>
      </w:r>
      <w:r w:rsidRPr="005675A0">
        <w:rPr>
          <w:rFonts w:ascii="Arial" w:hAnsi="Arial"/>
          <w:sz w:val="24"/>
          <w:szCs w:val="24"/>
        </w:rPr>
        <w:t xml:space="preserve">Pension Fund (the Pension Fund) and Swansea Bay Port Health Authority </w:t>
      </w:r>
      <w:r>
        <w:rPr>
          <w:rFonts w:ascii="Arial" w:hAnsi="Arial"/>
          <w:sz w:val="24"/>
          <w:szCs w:val="24"/>
        </w:rPr>
        <w:tab/>
      </w:r>
      <w:r w:rsidRPr="005675A0">
        <w:rPr>
          <w:rFonts w:ascii="Arial" w:hAnsi="Arial"/>
          <w:sz w:val="24"/>
          <w:szCs w:val="24"/>
        </w:rPr>
        <w:t xml:space="preserve">(SBPHA). The governance arrangements detailed in this Annual Governance </w:t>
      </w:r>
      <w:r>
        <w:rPr>
          <w:rFonts w:ascii="Arial" w:hAnsi="Arial"/>
          <w:sz w:val="24"/>
          <w:szCs w:val="24"/>
        </w:rPr>
        <w:tab/>
      </w:r>
      <w:r w:rsidRPr="005675A0">
        <w:rPr>
          <w:rFonts w:ascii="Arial" w:hAnsi="Arial"/>
          <w:sz w:val="24"/>
          <w:szCs w:val="24"/>
        </w:rPr>
        <w:t xml:space="preserve">Statement apply equally to the Council’s responsibilities to the Pension Fund and </w:t>
      </w:r>
    </w:p>
    <w:p w14:paraId="635F3C18" w14:textId="77777777" w:rsidR="008206CA" w:rsidRPr="005675A0" w:rsidRDefault="00AB072E" w:rsidP="00AB072E">
      <w:pPr>
        <w:jc w:val="both"/>
        <w:rPr>
          <w:rFonts w:ascii="Arial" w:hAnsi="Arial"/>
          <w:sz w:val="24"/>
          <w:szCs w:val="24"/>
        </w:rPr>
      </w:pPr>
      <w:r>
        <w:rPr>
          <w:rFonts w:ascii="Arial" w:hAnsi="Arial"/>
          <w:sz w:val="24"/>
          <w:szCs w:val="24"/>
        </w:rPr>
        <w:t xml:space="preserve">           </w:t>
      </w:r>
      <w:r w:rsidR="008206CA" w:rsidRPr="005675A0">
        <w:rPr>
          <w:rFonts w:ascii="Arial" w:hAnsi="Arial"/>
          <w:sz w:val="24"/>
          <w:szCs w:val="24"/>
        </w:rPr>
        <w:t>SBPHA. There are further specific requirements for the Pension Fund which are:</w:t>
      </w:r>
    </w:p>
    <w:p w14:paraId="57915EB3" w14:textId="77777777" w:rsidR="008206CA" w:rsidRPr="00EA1FA5" w:rsidRDefault="008206CA" w:rsidP="00AB072E">
      <w:pPr>
        <w:pStyle w:val="ListParagraph"/>
        <w:ind w:left="709"/>
        <w:jc w:val="both"/>
        <w:rPr>
          <w:sz w:val="24"/>
        </w:rPr>
      </w:pPr>
    </w:p>
    <w:p w14:paraId="7EEAEE23" w14:textId="77777777" w:rsidR="008206CA" w:rsidRPr="00B76408" w:rsidRDefault="008206CA" w:rsidP="008206CA">
      <w:pPr>
        <w:pStyle w:val="ListParagraph"/>
        <w:numPr>
          <w:ilvl w:val="1"/>
          <w:numId w:val="86"/>
        </w:numPr>
        <w:autoSpaceDE w:val="0"/>
        <w:autoSpaceDN w:val="0"/>
        <w:spacing w:before="0" w:after="0" w:line="240" w:lineRule="auto"/>
        <w:contextualSpacing w:val="0"/>
        <w:jc w:val="both"/>
        <w:rPr>
          <w:rFonts w:cs="Arial"/>
          <w:color w:val="000000"/>
          <w:sz w:val="24"/>
        </w:rPr>
      </w:pPr>
      <w:r w:rsidRPr="00B76408">
        <w:rPr>
          <w:rFonts w:cs="Arial"/>
          <w:color w:val="000000"/>
          <w:sz w:val="24"/>
        </w:rPr>
        <w:t>Investment Strategy Statement.</w:t>
      </w:r>
    </w:p>
    <w:p w14:paraId="15BEB140" w14:textId="77777777" w:rsidR="008206CA" w:rsidRPr="00B76408" w:rsidRDefault="008206CA" w:rsidP="008206CA">
      <w:pPr>
        <w:pStyle w:val="ListParagraph"/>
        <w:numPr>
          <w:ilvl w:val="1"/>
          <w:numId w:val="86"/>
        </w:numPr>
        <w:autoSpaceDE w:val="0"/>
        <w:autoSpaceDN w:val="0"/>
        <w:spacing w:before="0" w:after="0" w:line="240" w:lineRule="auto"/>
        <w:contextualSpacing w:val="0"/>
        <w:jc w:val="both"/>
        <w:rPr>
          <w:rFonts w:cs="Arial"/>
          <w:color w:val="000000"/>
          <w:sz w:val="24"/>
        </w:rPr>
      </w:pPr>
      <w:r w:rsidRPr="00B76408">
        <w:rPr>
          <w:rFonts w:cs="Arial"/>
          <w:color w:val="000000"/>
          <w:sz w:val="24"/>
        </w:rPr>
        <w:t>Internal Dispute Resolution Process.</w:t>
      </w:r>
    </w:p>
    <w:p w14:paraId="4FA29387" w14:textId="77777777" w:rsidR="008206CA" w:rsidRPr="00B76408" w:rsidRDefault="008206CA" w:rsidP="008206CA">
      <w:pPr>
        <w:pStyle w:val="ListParagraph"/>
        <w:numPr>
          <w:ilvl w:val="1"/>
          <w:numId w:val="86"/>
        </w:numPr>
        <w:autoSpaceDE w:val="0"/>
        <w:autoSpaceDN w:val="0"/>
        <w:spacing w:before="0" w:after="0" w:line="240" w:lineRule="auto"/>
        <w:contextualSpacing w:val="0"/>
        <w:jc w:val="both"/>
        <w:rPr>
          <w:rFonts w:cs="Arial"/>
          <w:color w:val="000000"/>
          <w:sz w:val="24"/>
        </w:rPr>
      </w:pPr>
      <w:r w:rsidRPr="00B76408">
        <w:rPr>
          <w:rFonts w:cs="Arial"/>
          <w:color w:val="000000"/>
          <w:sz w:val="24"/>
        </w:rPr>
        <w:t>Funding Strategy Statement.</w:t>
      </w:r>
    </w:p>
    <w:p w14:paraId="2B02937C" w14:textId="77777777" w:rsidR="008206CA" w:rsidRPr="00B76408" w:rsidRDefault="008206CA" w:rsidP="008206CA">
      <w:pPr>
        <w:pStyle w:val="ListParagraph"/>
        <w:numPr>
          <w:ilvl w:val="1"/>
          <w:numId w:val="86"/>
        </w:numPr>
        <w:autoSpaceDE w:val="0"/>
        <w:autoSpaceDN w:val="0"/>
        <w:spacing w:before="0" w:after="0" w:line="240" w:lineRule="auto"/>
        <w:contextualSpacing w:val="0"/>
        <w:jc w:val="both"/>
        <w:rPr>
          <w:rFonts w:cs="Arial"/>
          <w:color w:val="000000"/>
          <w:sz w:val="24"/>
        </w:rPr>
      </w:pPr>
      <w:r w:rsidRPr="00B76408">
        <w:rPr>
          <w:rFonts w:cs="Arial"/>
          <w:color w:val="000000"/>
          <w:sz w:val="24"/>
        </w:rPr>
        <w:t>Administration Strategy Statement.</w:t>
      </w:r>
    </w:p>
    <w:p w14:paraId="1CE0D60A" w14:textId="77777777" w:rsidR="008206CA" w:rsidRPr="00B76408" w:rsidRDefault="008206CA" w:rsidP="008206CA">
      <w:pPr>
        <w:pStyle w:val="ListParagraph"/>
        <w:numPr>
          <w:ilvl w:val="1"/>
          <w:numId w:val="86"/>
        </w:numPr>
        <w:autoSpaceDE w:val="0"/>
        <w:autoSpaceDN w:val="0"/>
        <w:spacing w:before="0" w:after="0" w:line="240" w:lineRule="auto"/>
        <w:contextualSpacing w:val="0"/>
        <w:jc w:val="both"/>
        <w:rPr>
          <w:rFonts w:cs="Arial"/>
          <w:color w:val="000000"/>
          <w:sz w:val="24"/>
        </w:rPr>
      </w:pPr>
      <w:r w:rsidRPr="00B76408">
        <w:rPr>
          <w:rFonts w:cs="Arial"/>
          <w:color w:val="000000"/>
          <w:sz w:val="24"/>
        </w:rPr>
        <w:t>A full actuarial valuation to be carried out every third year.</w:t>
      </w:r>
    </w:p>
    <w:p w14:paraId="787FF6E0" w14:textId="77777777" w:rsidR="008206CA" w:rsidRDefault="008206CA" w:rsidP="008206CA">
      <w:pPr>
        <w:pStyle w:val="ListParagraph"/>
        <w:numPr>
          <w:ilvl w:val="1"/>
          <w:numId w:val="86"/>
        </w:numPr>
        <w:autoSpaceDE w:val="0"/>
        <w:autoSpaceDN w:val="0"/>
        <w:spacing w:before="0" w:after="0" w:line="240" w:lineRule="auto"/>
        <w:contextualSpacing w:val="0"/>
        <w:jc w:val="both"/>
        <w:rPr>
          <w:sz w:val="24"/>
        </w:rPr>
      </w:pPr>
      <w:r w:rsidRPr="00B76408">
        <w:rPr>
          <w:rFonts w:cs="Arial"/>
          <w:color w:val="000000"/>
          <w:sz w:val="24"/>
        </w:rPr>
        <w:t>Communications Strategy Statement</w:t>
      </w:r>
      <w:r w:rsidRPr="00EA1FA5">
        <w:rPr>
          <w:sz w:val="24"/>
        </w:rPr>
        <w:t>.</w:t>
      </w:r>
    </w:p>
    <w:p w14:paraId="602EE6E2" w14:textId="77777777" w:rsidR="008206CA" w:rsidRPr="00EA1FA5" w:rsidRDefault="008206CA" w:rsidP="008206CA">
      <w:pPr>
        <w:pStyle w:val="ListParagraph"/>
        <w:autoSpaceDE w:val="0"/>
        <w:autoSpaceDN w:val="0"/>
        <w:spacing w:after="0" w:line="240" w:lineRule="auto"/>
        <w:ind w:left="1440"/>
        <w:contextualSpacing w:val="0"/>
        <w:jc w:val="both"/>
        <w:rPr>
          <w:sz w:val="24"/>
        </w:rPr>
      </w:pPr>
    </w:p>
    <w:p w14:paraId="025C6185" w14:textId="77777777" w:rsidR="008206CA" w:rsidRPr="006741D4" w:rsidRDefault="008206CA" w:rsidP="008206CA">
      <w:pPr>
        <w:rPr>
          <w:rFonts w:ascii="Arial" w:hAnsi="Arial" w:cs="Arial"/>
          <w:b/>
          <w:color w:val="FF0000"/>
          <w:sz w:val="24"/>
          <w:szCs w:val="24"/>
          <w:lang w:eastAsia="en-GB"/>
        </w:rPr>
      </w:pPr>
      <w:r>
        <w:rPr>
          <w:rFonts w:ascii="Arial" w:hAnsi="Arial" w:cs="Arial"/>
          <w:b/>
          <w:sz w:val="24"/>
          <w:szCs w:val="24"/>
          <w:lang w:eastAsia="en-GB"/>
        </w:rPr>
        <w:t>8</w:t>
      </w:r>
      <w:r w:rsidRPr="003F7C31">
        <w:rPr>
          <w:rFonts w:ascii="Arial" w:hAnsi="Arial" w:cs="Arial"/>
          <w:b/>
          <w:sz w:val="24"/>
          <w:szCs w:val="24"/>
          <w:lang w:eastAsia="en-GB"/>
        </w:rPr>
        <w:t>.</w:t>
      </w:r>
      <w:r w:rsidRPr="003F7C31">
        <w:rPr>
          <w:rFonts w:ascii="Arial" w:hAnsi="Arial" w:cs="Arial"/>
          <w:b/>
          <w:sz w:val="24"/>
          <w:szCs w:val="24"/>
          <w:lang w:eastAsia="en-GB"/>
        </w:rPr>
        <w:tab/>
        <w:t>Chief Auditors Opinion</w:t>
      </w:r>
      <w:r>
        <w:rPr>
          <w:rFonts w:ascii="Arial" w:hAnsi="Arial" w:cs="Arial"/>
          <w:b/>
          <w:sz w:val="24"/>
          <w:szCs w:val="24"/>
          <w:lang w:eastAsia="en-GB"/>
        </w:rPr>
        <w:t xml:space="preserve"> </w:t>
      </w:r>
    </w:p>
    <w:p w14:paraId="2D15D0A2" w14:textId="77777777" w:rsidR="008206CA" w:rsidRDefault="008206CA" w:rsidP="008206CA">
      <w:pPr>
        <w:rPr>
          <w:rFonts w:ascii="Arial" w:hAnsi="Arial" w:cs="Arial"/>
          <w:b/>
          <w:sz w:val="24"/>
          <w:szCs w:val="24"/>
          <w:lang w:eastAsia="en-GB"/>
        </w:rPr>
      </w:pPr>
    </w:p>
    <w:p w14:paraId="38F19BDD" w14:textId="77777777" w:rsidR="008206CA" w:rsidRPr="00E067BF" w:rsidRDefault="008206CA" w:rsidP="00AB072E">
      <w:pPr>
        <w:tabs>
          <w:tab w:val="left" w:pos="709"/>
          <w:tab w:val="left" w:pos="1560"/>
          <w:tab w:val="left" w:pos="1843"/>
          <w:tab w:val="right" w:pos="9781"/>
        </w:tabs>
        <w:ind w:left="709" w:hanging="709"/>
        <w:jc w:val="both"/>
        <w:rPr>
          <w:rFonts w:ascii="Arial" w:hAnsi="Arial" w:cs="Arial"/>
          <w:sz w:val="24"/>
          <w:szCs w:val="24"/>
          <w:lang w:eastAsia="en-GB"/>
        </w:rPr>
      </w:pPr>
      <w:r>
        <w:rPr>
          <w:rFonts w:ascii="Arial" w:hAnsi="Arial" w:cs="Arial"/>
          <w:sz w:val="24"/>
          <w:szCs w:val="24"/>
          <w:lang w:eastAsia="en-GB"/>
        </w:rPr>
        <w:t>8</w:t>
      </w:r>
      <w:r w:rsidRPr="00E067BF">
        <w:rPr>
          <w:rFonts w:ascii="Arial" w:hAnsi="Arial" w:cs="Arial"/>
          <w:sz w:val="24"/>
          <w:szCs w:val="24"/>
          <w:lang w:eastAsia="en-GB"/>
        </w:rPr>
        <w:t xml:space="preserve">.1 </w:t>
      </w:r>
      <w:r w:rsidRPr="00E067BF">
        <w:rPr>
          <w:rFonts w:ascii="Arial" w:hAnsi="Arial" w:cs="Arial"/>
          <w:sz w:val="24"/>
          <w:szCs w:val="24"/>
          <w:lang w:eastAsia="en-GB"/>
        </w:rPr>
        <w:tab/>
        <w:t>The system of internal control is designed to help the Council manage and control the risks which could affect the achievement of the Council’s objectives. However it is not possible to eliminate all risks completely.</w:t>
      </w:r>
    </w:p>
    <w:p w14:paraId="27F542EE" w14:textId="77777777" w:rsidR="008206CA" w:rsidRPr="00E067BF" w:rsidRDefault="008206CA" w:rsidP="00AB072E">
      <w:pPr>
        <w:tabs>
          <w:tab w:val="left" w:pos="1134"/>
          <w:tab w:val="left" w:pos="1560"/>
          <w:tab w:val="left" w:pos="1843"/>
          <w:tab w:val="right" w:pos="9781"/>
        </w:tabs>
        <w:ind w:left="1134" w:hanging="1134"/>
        <w:jc w:val="both"/>
        <w:rPr>
          <w:rFonts w:ascii="Arial" w:hAnsi="Arial" w:cs="Arial"/>
          <w:sz w:val="24"/>
          <w:szCs w:val="24"/>
          <w:lang w:eastAsia="en-GB"/>
        </w:rPr>
      </w:pPr>
    </w:p>
    <w:p w14:paraId="07156F8B" w14:textId="77777777" w:rsidR="008206CA" w:rsidRPr="00E067BF" w:rsidRDefault="008206CA" w:rsidP="00AB072E">
      <w:pPr>
        <w:tabs>
          <w:tab w:val="left" w:pos="709"/>
          <w:tab w:val="left" w:pos="1560"/>
          <w:tab w:val="left" w:pos="1843"/>
          <w:tab w:val="right" w:pos="9781"/>
        </w:tabs>
        <w:ind w:left="709" w:hanging="709"/>
        <w:jc w:val="both"/>
        <w:rPr>
          <w:rFonts w:ascii="Arial" w:hAnsi="Arial" w:cs="Arial"/>
          <w:sz w:val="24"/>
          <w:szCs w:val="24"/>
          <w:lang w:eastAsia="en-GB"/>
        </w:rPr>
      </w:pPr>
      <w:r>
        <w:rPr>
          <w:rFonts w:ascii="Arial" w:hAnsi="Arial" w:cs="Arial"/>
          <w:sz w:val="24"/>
          <w:szCs w:val="24"/>
          <w:lang w:eastAsia="en-GB"/>
        </w:rPr>
        <w:t>8</w:t>
      </w:r>
      <w:r w:rsidRPr="00E067BF">
        <w:rPr>
          <w:rFonts w:ascii="Arial" w:hAnsi="Arial" w:cs="Arial"/>
          <w:sz w:val="24"/>
          <w:szCs w:val="24"/>
          <w:lang w:eastAsia="en-GB"/>
        </w:rPr>
        <w:t xml:space="preserve">.2 </w:t>
      </w:r>
      <w:r w:rsidRPr="00E067BF">
        <w:rPr>
          <w:rFonts w:ascii="Arial" w:hAnsi="Arial" w:cs="Arial"/>
          <w:sz w:val="24"/>
          <w:szCs w:val="24"/>
          <w:lang w:eastAsia="en-GB"/>
        </w:rPr>
        <w:tab/>
        <w:t>This means that Internal Audit can only provide ‘reasonable’ assurance that the systems of internal control within the areas of the Council reviewed are operating adequately and effectively.</w:t>
      </w:r>
    </w:p>
    <w:p w14:paraId="5C64DB1F" w14:textId="77777777" w:rsidR="008206CA" w:rsidRPr="00E067BF" w:rsidRDefault="008206CA" w:rsidP="00AB072E">
      <w:pPr>
        <w:tabs>
          <w:tab w:val="left" w:pos="1134"/>
          <w:tab w:val="left" w:pos="1560"/>
          <w:tab w:val="left" w:pos="1843"/>
          <w:tab w:val="right" w:pos="9781"/>
        </w:tabs>
        <w:jc w:val="both"/>
        <w:rPr>
          <w:rFonts w:ascii="Arial" w:hAnsi="Arial" w:cs="Arial"/>
          <w:sz w:val="24"/>
          <w:szCs w:val="24"/>
          <w:lang w:eastAsia="en-GB"/>
        </w:rPr>
      </w:pPr>
    </w:p>
    <w:p w14:paraId="243713DF" w14:textId="77777777" w:rsidR="008206CA" w:rsidRPr="00E067BF" w:rsidRDefault="008206CA" w:rsidP="00AB072E">
      <w:pPr>
        <w:pStyle w:val="ListParagraph"/>
        <w:numPr>
          <w:ilvl w:val="1"/>
          <w:numId w:val="119"/>
        </w:numPr>
        <w:tabs>
          <w:tab w:val="left" w:pos="709"/>
          <w:tab w:val="left" w:pos="1560"/>
          <w:tab w:val="left" w:pos="1843"/>
          <w:tab w:val="right" w:pos="9781"/>
        </w:tabs>
        <w:spacing w:before="0" w:after="0" w:line="240" w:lineRule="auto"/>
        <w:ind w:left="709" w:hanging="709"/>
        <w:jc w:val="both"/>
        <w:rPr>
          <w:rFonts w:cs="Arial"/>
          <w:sz w:val="24"/>
        </w:rPr>
      </w:pPr>
      <w:r w:rsidRPr="00E067BF">
        <w:rPr>
          <w:rFonts w:cs="Arial"/>
          <w:sz w:val="24"/>
        </w:rPr>
        <w:t xml:space="preserve">The table below provides a summary of the assurance levels across the audits completed in 2021/22: </w:t>
      </w:r>
    </w:p>
    <w:p w14:paraId="70022328" w14:textId="77777777" w:rsidR="008206CA" w:rsidRPr="00E067BF" w:rsidRDefault="008206CA" w:rsidP="00AB072E">
      <w:pPr>
        <w:tabs>
          <w:tab w:val="left" w:pos="709"/>
          <w:tab w:val="left" w:pos="1560"/>
          <w:tab w:val="left" w:pos="1843"/>
          <w:tab w:val="right" w:pos="9781"/>
        </w:tabs>
        <w:jc w:val="both"/>
        <w:rPr>
          <w:rFonts w:ascii="Arial" w:hAnsi="Arial" w:cs="Arial"/>
          <w:sz w:val="24"/>
          <w:szCs w:val="24"/>
          <w:lang w:eastAsia="en-GB"/>
        </w:rPr>
      </w:pPr>
    </w:p>
    <w:tbl>
      <w:tblPr>
        <w:tblW w:w="7796" w:type="dxa"/>
        <w:tblInd w:w="817" w:type="dxa"/>
        <w:tblLook w:val="04A0" w:firstRow="1" w:lastRow="0" w:firstColumn="1" w:lastColumn="0" w:noHBand="0" w:noVBand="1"/>
      </w:tblPr>
      <w:tblGrid>
        <w:gridCol w:w="3827"/>
        <w:gridCol w:w="1418"/>
        <w:gridCol w:w="2551"/>
      </w:tblGrid>
      <w:tr w:rsidR="008206CA" w:rsidRPr="00E067BF" w14:paraId="63A6F1DE" w14:textId="77777777" w:rsidTr="00DE37F4">
        <w:trPr>
          <w:trHeight w:val="315"/>
        </w:trPr>
        <w:tc>
          <w:tcPr>
            <w:tcW w:w="7796" w:type="dxa"/>
            <w:gridSpan w:val="3"/>
            <w:tcBorders>
              <w:top w:val="single" w:sz="8" w:space="0" w:color="auto"/>
              <w:left w:val="single" w:sz="8" w:space="0" w:color="auto"/>
              <w:bottom w:val="nil"/>
              <w:right w:val="single" w:sz="8" w:space="0" w:color="000000"/>
            </w:tcBorders>
            <w:shd w:val="clear" w:color="000000" w:fill="D9D9D9"/>
            <w:vAlign w:val="bottom"/>
            <w:hideMark/>
          </w:tcPr>
          <w:p w14:paraId="1D0BAADF" w14:textId="77777777" w:rsidR="008206CA" w:rsidRPr="00E067BF" w:rsidRDefault="008206CA" w:rsidP="00DE37F4">
            <w:pPr>
              <w:jc w:val="center"/>
              <w:rPr>
                <w:rFonts w:ascii="Arial" w:hAnsi="Arial" w:cs="Arial"/>
                <w:b/>
                <w:bCs/>
                <w:sz w:val="24"/>
                <w:szCs w:val="24"/>
                <w:lang w:eastAsia="en-GB"/>
              </w:rPr>
            </w:pPr>
            <w:r w:rsidRPr="00E067BF">
              <w:rPr>
                <w:rFonts w:ascii="Arial" w:hAnsi="Arial" w:cs="Arial"/>
                <w:b/>
                <w:bCs/>
                <w:sz w:val="24"/>
                <w:szCs w:val="24"/>
                <w:lang w:eastAsia="en-GB"/>
              </w:rPr>
              <w:t xml:space="preserve">2021/22 Audit Ratings Summary </w:t>
            </w:r>
          </w:p>
        </w:tc>
      </w:tr>
      <w:tr w:rsidR="008206CA" w:rsidRPr="00E067BF" w14:paraId="0800F516" w14:textId="77777777" w:rsidTr="00DE37F4">
        <w:trPr>
          <w:trHeight w:val="300"/>
        </w:trPr>
        <w:tc>
          <w:tcPr>
            <w:tcW w:w="3827" w:type="dxa"/>
            <w:tcBorders>
              <w:top w:val="single" w:sz="8" w:space="0" w:color="auto"/>
              <w:left w:val="single" w:sz="8" w:space="0" w:color="auto"/>
              <w:bottom w:val="single" w:sz="4" w:space="0" w:color="auto"/>
              <w:right w:val="nil"/>
            </w:tcBorders>
            <w:shd w:val="clear" w:color="auto" w:fill="auto"/>
            <w:vAlign w:val="bottom"/>
            <w:hideMark/>
          </w:tcPr>
          <w:p w14:paraId="1699CF15"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 xml:space="preserve">Total Number of Audits Finalised </w:t>
            </w:r>
          </w:p>
        </w:tc>
        <w:tc>
          <w:tcPr>
            <w:tcW w:w="3969" w:type="dxa"/>
            <w:gridSpan w:val="2"/>
            <w:tcBorders>
              <w:top w:val="single" w:sz="8" w:space="0" w:color="auto"/>
              <w:left w:val="single" w:sz="8" w:space="0" w:color="auto"/>
              <w:bottom w:val="single" w:sz="4" w:space="0" w:color="auto"/>
              <w:right w:val="single" w:sz="8" w:space="0" w:color="auto"/>
            </w:tcBorders>
            <w:shd w:val="clear" w:color="auto" w:fill="auto"/>
            <w:vAlign w:val="bottom"/>
            <w:hideMark/>
          </w:tcPr>
          <w:p w14:paraId="25AA0EA7"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90</w:t>
            </w:r>
          </w:p>
        </w:tc>
      </w:tr>
      <w:tr w:rsidR="008206CA" w:rsidRPr="00E067BF" w14:paraId="4F9BE0D2" w14:textId="77777777" w:rsidTr="00DE37F4">
        <w:trPr>
          <w:trHeight w:val="300"/>
        </w:trPr>
        <w:tc>
          <w:tcPr>
            <w:tcW w:w="3827" w:type="dxa"/>
            <w:tcBorders>
              <w:top w:val="nil"/>
              <w:left w:val="single" w:sz="8" w:space="0" w:color="auto"/>
              <w:bottom w:val="single" w:sz="4" w:space="0" w:color="auto"/>
              <w:right w:val="nil"/>
            </w:tcBorders>
            <w:shd w:val="clear" w:color="auto" w:fill="D9D9D9"/>
            <w:vAlign w:val="bottom"/>
          </w:tcPr>
          <w:p w14:paraId="27C70D5B" w14:textId="77777777" w:rsidR="008206CA" w:rsidRPr="00E067BF" w:rsidRDefault="008206CA" w:rsidP="00DE37F4">
            <w:pPr>
              <w:jc w:val="center"/>
              <w:rPr>
                <w:rFonts w:ascii="Arial" w:hAnsi="Arial" w:cs="Arial"/>
                <w:b/>
                <w:sz w:val="24"/>
                <w:szCs w:val="24"/>
                <w:lang w:eastAsia="en-GB"/>
              </w:rPr>
            </w:pPr>
            <w:r w:rsidRPr="00E067BF">
              <w:rPr>
                <w:rFonts w:ascii="Arial" w:hAnsi="Arial" w:cs="Arial"/>
                <w:b/>
                <w:sz w:val="24"/>
                <w:szCs w:val="24"/>
                <w:lang w:eastAsia="en-GB"/>
              </w:rPr>
              <w:t xml:space="preserve">Assurance Rating </w:t>
            </w:r>
          </w:p>
        </w:tc>
        <w:tc>
          <w:tcPr>
            <w:tcW w:w="1418" w:type="dxa"/>
            <w:tcBorders>
              <w:top w:val="nil"/>
              <w:left w:val="single" w:sz="8" w:space="0" w:color="auto"/>
              <w:bottom w:val="single" w:sz="4" w:space="0" w:color="auto"/>
              <w:right w:val="single" w:sz="8" w:space="0" w:color="auto"/>
            </w:tcBorders>
            <w:shd w:val="clear" w:color="auto" w:fill="D9D9D9"/>
            <w:vAlign w:val="bottom"/>
          </w:tcPr>
          <w:p w14:paraId="1A583706" w14:textId="77777777" w:rsidR="008206CA" w:rsidRPr="00E067BF" w:rsidRDefault="008206CA" w:rsidP="00DE37F4">
            <w:pPr>
              <w:jc w:val="center"/>
              <w:rPr>
                <w:rFonts w:ascii="Arial" w:hAnsi="Arial" w:cs="Arial"/>
                <w:b/>
                <w:sz w:val="24"/>
                <w:szCs w:val="24"/>
                <w:lang w:eastAsia="en-GB"/>
              </w:rPr>
            </w:pPr>
            <w:r w:rsidRPr="00E067BF">
              <w:rPr>
                <w:rFonts w:ascii="Arial" w:hAnsi="Arial" w:cs="Arial"/>
                <w:b/>
                <w:sz w:val="24"/>
                <w:szCs w:val="24"/>
                <w:lang w:eastAsia="en-GB"/>
              </w:rPr>
              <w:t xml:space="preserve">Number </w:t>
            </w:r>
          </w:p>
        </w:tc>
        <w:tc>
          <w:tcPr>
            <w:tcW w:w="2551" w:type="dxa"/>
            <w:tcBorders>
              <w:top w:val="nil"/>
              <w:left w:val="nil"/>
              <w:bottom w:val="single" w:sz="4" w:space="0" w:color="auto"/>
              <w:right w:val="single" w:sz="8" w:space="0" w:color="auto"/>
            </w:tcBorders>
            <w:shd w:val="clear" w:color="auto" w:fill="D9D9D9"/>
            <w:noWrap/>
            <w:vAlign w:val="bottom"/>
          </w:tcPr>
          <w:p w14:paraId="4543A849" w14:textId="77777777" w:rsidR="008206CA" w:rsidRPr="00E067BF" w:rsidRDefault="008206CA" w:rsidP="00DE37F4">
            <w:pPr>
              <w:jc w:val="center"/>
              <w:rPr>
                <w:rFonts w:ascii="Arial" w:hAnsi="Arial" w:cs="Arial"/>
                <w:b/>
                <w:sz w:val="24"/>
                <w:szCs w:val="24"/>
                <w:lang w:eastAsia="en-GB"/>
              </w:rPr>
            </w:pPr>
            <w:r w:rsidRPr="00E067BF">
              <w:rPr>
                <w:rFonts w:ascii="Arial" w:hAnsi="Arial" w:cs="Arial"/>
                <w:b/>
                <w:sz w:val="24"/>
                <w:szCs w:val="24"/>
                <w:lang w:eastAsia="en-GB"/>
              </w:rPr>
              <w:t xml:space="preserve">% </w:t>
            </w:r>
          </w:p>
        </w:tc>
      </w:tr>
      <w:tr w:rsidR="008206CA" w:rsidRPr="00E067BF" w14:paraId="68F06E05" w14:textId="77777777" w:rsidTr="00DE37F4">
        <w:trPr>
          <w:trHeight w:val="300"/>
        </w:trPr>
        <w:tc>
          <w:tcPr>
            <w:tcW w:w="3827" w:type="dxa"/>
            <w:tcBorders>
              <w:top w:val="nil"/>
              <w:left w:val="single" w:sz="8" w:space="0" w:color="auto"/>
              <w:bottom w:val="single" w:sz="4" w:space="0" w:color="auto"/>
              <w:right w:val="nil"/>
            </w:tcBorders>
            <w:shd w:val="clear" w:color="auto" w:fill="auto"/>
            <w:vAlign w:val="bottom"/>
            <w:hideMark/>
          </w:tcPr>
          <w:p w14:paraId="2A0CAC23"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 xml:space="preserve">High Assurance </w:t>
            </w:r>
          </w:p>
        </w:tc>
        <w:tc>
          <w:tcPr>
            <w:tcW w:w="1418" w:type="dxa"/>
            <w:tcBorders>
              <w:top w:val="nil"/>
              <w:left w:val="single" w:sz="8" w:space="0" w:color="auto"/>
              <w:bottom w:val="single" w:sz="4" w:space="0" w:color="auto"/>
              <w:right w:val="single" w:sz="8" w:space="0" w:color="auto"/>
            </w:tcBorders>
            <w:shd w:val="clear" w:color="auto" w:fill="auto"/>
            <w:vAlign w:val="bottom"/>
            <w:hideMark/>
          </w:tcPr>
          <w:p w14:paraId="43347802"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38</w:t>
            </w:r>
          </w:p>
        </w:tc>
        <w:tc>
          <w:tcPr>
            <w:tcW w:w="2551" w:type="dxa"/>
            <w:tcBorders>
              <w:top w:val="nil"/>
              <w:left w:val="nil"/>
              <w:bottom w:val="single" w:sz="4" w:space="0" w:color="auto"/>
              <w:right w:val="single" w:sz="8" w:space="0" w:color="auto"/>
            </w:tcBorders>
            <w:shd w:val="clear" w:color="auto" w:fill="auto"/>
            <w:noWrap/>
            <w:vAlign w:val="bottom"/>
            <w:hideMark/>
          </w:tcPr>
          <w:p w14:paraId="4EECAE88"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42</w:t>
            </w:r>
          </w:p>
        </w:tc>
      </w:tr>
      <w:tr w:rsidR="008206CA" w:rsidRPr="00E067BF" w14:paraId="1C8CEF58" w14:textId="77777777" w:rsidTr="00DE37F4">
        <w:trPr>
          <w:trHeight w:val="300"/>
        </w:trPr>
        <w:tc>
          <w:tcPr>
            <w:tcW w:w="3827" w:type="dxa"/>
            <w:tcBorders>
              <w:top w:val="nil"/>
              <w:left w:val="single" w:sz="8" w:space="0" w:color="auto"/>
              <w:bottom w:val="single" w:sz="4" w:space="0" w:color="auto"/>
              <w:right w:val="nil"/>
            </w:tcBorders>
            <w:shd w:val="clear" w:color="auto" w:fill="auto"/>
            <w:vAlign w:val="bottom"/>
            <w:hideMark/>
          </w:tcPr>
          <w:p w14:paraId="6AB9B51E"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 xml:space="preserve">Substantial Assurance </w:t>
            </w:r>
          </w:p>
        </w:tc>
        <w:tc>
          <w:tcPr>
            <w:tcW w:w="1418" w:type="dxa"/>
            <w:tcBorders>
              <w:top w:val="nil"/>
              <w:left w:val="single" w:sz="8" w:space="0" w:color="auto"/>
              <w:bottom w:val="single" w:sz="4" w:space="0" w:color="auto"/>
              <w:right w:val="single" w:sz="8" w:space="0" w:color="auto"/>
            </w:tcBorders>
            <w:shd w:val="clear" w:color="auto" w:fill="auto"/>
            <w:vAlign w:val="bottom"/>
            <w:hideMark/>
          </w:tcPr>
          <w:p w14:paraId="7166310A"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48</w:t>
            </w:r>
          </w:p>
        </w:tc>
        <w:tc>
          <w:tcPr>
            <w:tcW w:w="2551" w:type="dxa"/>
            <w:tcBorders>
              <w:top w:val="nil"/>
              <w:left w:val="nil"/>
              <w:bottom w:val="single" w:sz="4" w:space="0" w:color="auto"/>
              <w:right w:val="single" w:sz="8" w:space="0" w:color="auto"/>
            </w:tcBorders>
            <w:shd w:val="clear" w:color="auto" w:fill="auto"/>
            <w:noWrap/>
            <w:vAlign w:val="bottom"/>
            <w:hideMark/>
          </w:tcPr>
          <w:p w14:paraId="7874311C"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53</w:t>
            </w:r>
          </w:p>
        </w:tc>
      </w:tr>
      <w:tr w:rsidR="008206CA" w:rsidRPr="00E067BF" w14:paraId="3F08B350" w14:textId="77777777" w:rsidTr="00DE37F4">
        <w:trPr>
          <w:trHeight w:val="300"/>
        </w:trPr>
        <w:tc>
          <w:tcPr>
            <w:tcW w:w="3827" w:type="dxa"/>
            <w:tcBorders>
              <w:top w:val="nil"/>
              <w:left w:val="single" w:sz="8" w:space="0" w:color="auto"/>
              <w:bottom w:val="single" w:sz="4" w:space="0" w:color="auto"/>
              <w:right w:val="nil"/>
            </w:tcBorders>
            <w:shd w:val="clear" w:color="auto" w:fill="auto"/>
            <w:vAlign w:val="bottom"/>
            <w:hideMark/>
          </w:tcPr>
          <w:p w14:paraId="65C6B34C"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Moderate Assurance</w:t>
            </w:r>
          </w:p>
        </w:tc>
        <w:tc>
          <w:tcPr>
            <w:tcW w:w="1418" w:type="dxa"/>
            <w:tcBorders>
              <w:top w:val="nil"/>
              <w:left w:val="single" w:sz="8" w:space="0" w:color="auto"/>
              <w:bottom w:val="single" w:sz="4" w:space="0" w:color="auto"/>
              <w:right w:val="single" w:sz="8" w:space="0" w:color="auto"/>
            </w:tcBorders>
            <w:shd w:val="clear" w:color="auto" w:fill="auto"/>
            <w:vAlign w:val="bottom"/>
            <w:hideMark/>
          </w:tcPr>
          <w:p w14:paraId="12D94A85"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4</w:t>
            </w:r>
          </w:p>
        </w:tc>
        <w:tc>
          <w:tcPr>
            <w:tcW w:w="2551" w:type="dxa"/>
            <w:tcBorders>
              <w:top w:val="nil"/>
              <w:left w:val="nil"/>
              <w:bottom w:val="single" w:sz="4" w:space="0" w:color="auto"/>
              <w:right w:val="single" w:sz="8" w:space="0" w:color="auto"/>
            </w:tcBorders>
            <w:shd w:val="clear" w:color="auto" w:fill="auto"/>
            <w:noWrap/>
            <w:vAlign w:val="bottom"/>
            <w:hideMark/>
          </w:tcPr>
          <w:p w14:paraId="350C96FA"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5</w:t>
            </w:r>
          </w:p>
        </w:tc>
      </w:tr>
      <w:tr w:rsidR="008206CA" w:rsidRPr="00E067BF" w14:paraId="2FF7F3FD" w14:textId="77777777" w:rsidTr="00DE37F4">
        <w:trPr>
          <w:trHeight w:val="315"/>
        </w:trPr>
        <w:tc>
          <w:tcPr>
            <w:tcW w:w="3827" w:type="dxa"/>
            <w:tcBorders>
              <w:top w:val="nil"/>
              <w:left w:val="single" w:sz="8" w:space="0" w:color="auto"/>
              <w:bottom w:val="single" w:sz="8" w:space="0" w:color="auto"/>
              <w:right w:val="nil"/>
            </w:tcBorders>
            <w:shd w:val="clear" w:color="auto" w:fill="auto"/>
            <w:vAlign w:val="bottom"/>
            <w:hideMark/>
          </w:tcPr>
          <w:p w14:paraId="4BD3CA45"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Limited Assurance</w:t>
            </w:r>
          </w:p>
        </w:tc>
        <w:tc>
          <w:tcPr>
            <w:tcW w:w="1418" w:type="dxa"/>
            <w:tcBorders>
              <w:top w:val="nil"/>
              <w:left w:val="single" w:sz="8" w:space="0" w:color="auto"/>
              <w:bottom w:val="single" w:sz="8" w:space="0" w:color="auto"/>
              <w:right w:val="single" w:sz="8" w:space="0" w:color="auto"/>
            </w:tcBorders>
            <w:shd w:val="clear" w:color="auto" w:fill="auto"/>
            <w:vAlign w:val="bottom"/>
            <w:hideMark/>
          </w:tcPr>
          <w:p w14:paraId="17039A7A"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0</w:t>
            </w:r>
          </w:p>
        </w:tc>
        <w:tc>
          <w:tcPr>
            <w:tcW w:w="2551" w:type="dxa"/>
            <w:tcBorders>
              <w:top w:val="nil"/>
              <w:left w:val="nil"/>
              <w:bottom w:val="single" w:sz="8" w:space="0" w:color="auto"/>
              <w:right w:val="single" w:sz="8" w:space="0" w:color="auto"/>
            </w:tcBorders>
            <w:shd w:val="clear" w:color="auto" w:fill="auto"/>
            <w:noWrap/>
            <w:vAlign w:val="bottom"/>
            <w:hideMark/>
          </w:tcPr>
          <w:p w14:paraId="0049F2E5" w14:textId="77777777" w:rsidR="008206CA" w:rsidRPr="00E067BF" w:rsidRDefault="008206CA" w:rsidP="00DE37F4">
            <w:pPr>
              <w:jc w:val="center"/>
              <w:rPr>
                <w:rFonts w:ascii="Arial" w:hAnsi="Arial" w:cs="Arial"/>
                <w:sz w:val="24"/>
                <w:szCs w:val="24"/>
                <w:lang w:eastAsia="en-GB"/>
              </w:rPr>
            </w:pPr>
            <w:r w:rsidRPr="00E067BF">
              <w:rPr>
                <w:rFonts w:ascii="Arial" w:hAnsi="Arial" w:cs="Arial"/>
                <w:sz w:val="24"/>
                <w:szCs w:val="24"/>
                <w:lang w:eastAsia="en-GB"/>
              </w:rPr>
              <w:t>0</w:t>
            </w:r>
          </w:p>
        </w:tc>
      </w:tr>
    </w:tbl>
    <w:p w14:paraId="5657FE9C" w14:textId="77777777" w:rsidR="008206CA" w:rsidRPr="00E067BF" w:rsidRDefault="008206CA" w:rsidP="008206CA">
      <w:pPr>
        <w:ind w:left="720" w:hanging="720"/>
        <w:jc w:val="both"/>
        <w:rPr>
          <w:rFonts w:ascii="Arial" w:hAnsi="Arial"/>
          <w:sz w:val="24"/>
          <w:lang w:eastAsia="en-GB"/>
        </w:rPr>
      </w:pPr>
    </w:p>
    <w:p w14:paraId="08CF9CC3" w14:textId="77777777" w:rsidR="008206CA" w:rsidRPr="00E067BF" w:rsidRDefault="008206CA" w:rsidP="00AB072E">
      <w:pPr>
        <w:pStyle w:val="ListParagraph"/>
        <w:numPr>
          <w:ilvl w:val="1"/>
          <w:numId w:val="119"/>
        </w:numPr>
        <w:spacing w:before="0" w:after="0" w:line="240" w:lineRule="auto"/>
        <w:ind w:left="709" w:hanging="709"/>
        <w:jc w:val="both"/>
        <w:rPr>
          <w:sz w:val="24"/>
          <w:szCs w:val="20"/>
        </w:rPr>
      </w:pPr>
      <w:r w:rsidRPr="00E067BF">
        <w:rPr>
          <w:sz w:val="24"/>
          <w:szCs w:val="20"/>
        </w:rPr>
        <w:t xml:space="preserve">As can be seen in the table above, the outcome of 86 (95%) of the 90 audits completed was positive with the audits receiving either a high or substantial level of assurance. </w:t>
      </w:r>
    </w:p>
    <w:p w14:paraId="1FBDA282" w14:textId="77777777" w:rsidR="008206CA" w:rsidRPr="00E067BF" w:rsidRDefault="008206CA" w:rsidP="00AB072E">
      <w:pPr>
        <w:ind w:left="709"/>
        <w:jc w:val="both"/>
        <w:rPr>
          <w:rFonts w:ascii="Arial" w:hAnsi="Arial"/>
          <w:sz w:val="24"/>
          <w:lang w:eastAsia="en-GB"/>
        </w:rPr>
      </w:pPr>
    </w:p>
    <w:p w14:paraId="49101B82" w14:textId="77777777" w:rsidR="008206CA" w:rsidRPr="00E067BF" w:rsidRDefault="008206CA" w:rsidP="00AB072E">
      <w:pPr>
        <w:numPr>
          <w:ilvl w:val="1"/>
          <w:numId w:val="119"/>
        </w:numPr>
        <w:ind w:left="709" w:hanging="709"/>
        <w:jc w:val="both"/>
        <w:rPr>
          <w:rFonts w:ascii="Arial" w:hAnsi="Arial"/>
          <w:sz w:val="24"/>
          <w:lang w:eastAsia="en-GB"/>
        </w:rPr>
      </w:pPr>
      <w:r w:rsidRPr="00E067BF">
        <w:rPr>
          <w:rFonts w:ascii="Arial" w:hAnsi="Arial"/>
          <w:sz w:val="24"/>
          <w:lang w:eastAsia="en-GB"/>
        </w:rPr>
        <w:t xml:space="preserve">As has been reported to the Governance &amp; Audit Committee throughout the year, four audits received a moderate level of assurance in the year. As has been the case for the past three years, the fundamental Accounts Receivable audit was one of the audits that received a moderate assurance level in 2021/22. </w:t>
      </w:r>
    </w:p>
    <w:p w14:paraId="09FC329B" w14:textId="77777777" w:rsidR="008206CA" w:rsidRPr="00E067BF" w:rsidRDefault="008206CA" w:rsidP="00AB072E">
      <w:pPr>
        <w:ind w:left="720" w:hanging="720"/>
        <w:jc w:val="both"/>
        <w:rPr>
          <w:rFonts w:ascii="Arial" w:hAnsi="Arial"/>
          <w:sz w:val="24"/>
          <w:lang w:eastAsia="en-GB"/>
        </w:rPr>
      </w:pPr>
    </w:p>
    <w:p w14:paraId="2B2E18C3"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lastRenderedPageBreak/>
        <w:t>8.6</w:t>
      </w:r>
      <w:r w:rsidRPr="00E067BF">
        <w:rPr>
          <w:rFonts w:ascii="Arial" w:hAnsi="Arial"/>
          <w:sz w:val="24"/>
          <w:lang w:eastAsia="en-GB"/>
        </w:rPr>
        <w:tab/>
        <w:t xml:space="preserve">In total there are 14 audits which are classed as fundamental audits. The fundamental audits are the core systems that are considered to be so significant to the achievement of the Council’s objectives that they are audited ether annually or bi-annually. Following the audits completed in 2021/22, 10 of the 14 fundamental audits have a high level of assurance. Three have a substantial level of assurance (Accounts Payable, Business Rates and Employee Services) and one has a moderate level of assurance (Accounts Receivable). </w:t>
      </w:r>
    </w:p>
    <w:p w14:paraId="2278AA03" w14:textId="77777777" w:rsidR="008206CA" w:rsidRPr="00E067BF" w:rsidRDefault="008206CA" w:rsidP="00AB072E">
      <w:pPr>
        <w:ind w:left="720" w:hanging="720"/>
        <w:jc w:val="both"/>
        <w:rPr>
          <w:rFonts w:ascii="Arial" w:hAnsi="Arial"/>
          <w:sz w:val="24"/>
          <w:lang w:eastAsia="en-GB"/>
        </w:rPr>
      </w:pPr>
    </w:p>
    <w:p w14:paraId="0A1EFF46" w14:textId="77777777" w:rsidR="008206CA" w:rsidRPr="00E067BF" w:rsidRDefault="008206CA" w:rsidP="00AB072E">
      <w:pPr>
        <w:pStyle w:val="ListParagraph"/>
        <w:numPr>
          <w:ilvl w:val="1"/>
          <w:numId w:val="120"/>
        </w:numPr>
        <w:spacing w:before="0" w:after="0" w:line="240" w:lineRule="auto"/>
        <w:ind w:left="709" w:hanging="709"/>
        <w:jc w:val="both"/>
        <w:rPr>
          <w:sz w:val="24"/>
          <w:szCs w:val="20"/>
        </w:rPr>
      </w:pPr>
      <w:r w:rsidRPr="00E067BF">
        <w:rPr>
          <w:sz w:val="24"/>
          <w:szCs w:val="20"/>
        </w:rPr>
        <w:t xml:space="preserve">Prior to the audit in 2019/20, the Business Rates audit had received a consistent high assurance level and had therefore been subject to an audit every two years. However, as a result of the findings of the audit undertaken in 2019/20, a substantial level of assurance was awarded and as a result this audit is completed on an annual basis. </w:t>
      </w:r>
    </w:p>
    <w:p w14:paraId="6233CD29" w14:textId="77777777" w:rsidR="008206CA" w:rsidRPr="00E067BF" w:rsidRDefault="008206CA" w:rsidP="00AB072E">
      <w:pPr>
        <w:ind w:left="360"/>
        <w:jc w:val="both"/>
        <w:rPr>
          <w:rFonts w:ascii="Arial" w:hAnsi="Arial"/>
          <w:sz w:val="24"/>
          <w:lang w:eastAsia="en-GB"/>
        </w:rPr>
      </w:pPr>
    </w:p>
    <w:p w14:paraId="78528897" w14:textId="77777777" w:rsidR="008206CA" w:rsidRPr="00E067BF" w:rsidRDefault="008206CA" w:rsidP="00AB072E">
      <w:pPr>
        <w:numPr>
          <w:ilvl w:val="1"/>
          <w:numId w:val="120"/>
        </w:numPr>
        <w:ind w:left="709" w:hanging="709"/>
        <w:jc w:val="both"/>
        <w:rPr>
          <w:rFonts w:ascii="Arial" w:hAnsi="Arial"/>
          <w:sz w:val="24"/>
          <w:lang w:eastAsia="en-GB"/>
        </w:rPr>
      </w:pPr>
      <w:r w:rsidRPr="00E067BF">
        <w:rPr>
          <w:rFonts w:ascii="Arial" w:hAnsi="Arial"/>
          <w:sz w:val="24"/>
          <w:lang w:eastAsia="en-GB"/>
        </w:rPr>
        <w:tab/>
        <w:t xml:space="preserve">The Governance &amp; Audit Committee was made aware that we were unable to complete the review of Business Rates in 2020/21 due to the fact that the department had to swiftly adapt to facilitate the roll out of the various Covid-19 support schemes, and as such the Business Rates Section did not have the capacity to accommodate an audit. Additional work was completed by the Audit Team during this period to provide assurance over the reactive work that has been undertaken by the Business Rates Team in facilitating the Council’s continued response to the Covid-19 pandemic. However, Internal Audit was able to complete the review of Business Rates in 2021/22 with a substantial level of assurance being awarded. </w:t>
      </w:r>
    </w:p>
    <w:p w14:paraId="114EFBE0" w14:textId="77777777" w:rsidR="008206CA" w:rsidRPr="00E067BF" w:rsidRDefault="008206CA" w:rsidP="00AB072E">
      <w:pPr>
        <w:ind w:left="720" w:hanging="720"/>
        <w:jc w:val="both"/>
        <w:rPr>
          <w:rFonts w:ascii="Arial" w:hAnsi="Arial"/>
          <w:sz w:val="24"/>
          <w:lang w:eastAsia="en-GB"/>
        </w:rPr>
      </w:pPr>
    </w:p>
    <w:p w14:paraId="1E216CF6"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8.9</w:t>
      </w:r>
      <w:r w:rsidRPr="00E067BF">
        <w:rPr>
          <w:rFonts w:ascii="Arial" w:hAnsi="Arial"/>
          <w:sz w:val="24"/>
          <w:lang w:eastAsia="en-GB"/>
        </w:rPr>
        <w:tab/>
        <w:t xml:space="preserve">The Accounts Payable audit also received a substantial assurance level in 2021/22, as was also the case in the past three financial years.  As a result, this will continue to be audited on an annual basis. </w:t>
      </w:r>
    </w:p>
    <w:p w14:paraId="035DCFC5" w14:textId="77777777" w:rsidR="008206CA" w:rsidRPr="00E067BF" w:rsidRDefault="008206CA" w:rsidP="00AB072E">
      <w:pPr>
        <w:ind w:left="720" w:hanging="720"/>
        <w:jc w:val="both"/>
        <w:rPr>
          <w:rFonts w:ascii="Arial" w:hAnsi="Arial"/>
          <w:sz w:val="24"/>
          <w:lang w:eastAsia="en-GB"/>
        </w:rPr>
      </w:pPr>
    </w:p>
    <w:p w14:paraId="40F86719"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8.10</w:t>
      </w:r>
      <w:r w:rsidRPr="00E067BF">
        <w:rPr>
          <w:rFonts w:ascii="Arial" w:hAnsi="Arial"/>
          <w:sz w:val="24"/>
          <w:lang w:eastAsia="en-GB"/>
        </w:rPr>
        <w:tab/>
        <w:t xml:space="preserve">The Accounts Receivable audit received a moderate assurance level in 2021/22, as has also been the case in the previous three financial years. The Governance &amp; Audit Committee has received a number of updates from the relevant managers within the department in relation to the work that is ongoing to address the issues that have been identified. The Committee will continue to receive updates on this during 2022/23 as required. </w:t>
      </w:r>
    </w:p>
    <w:p w14:paraId="1497FC35" w14:textId="77777777" w:rsidR="008206CA" w:rsidRPr="00E067BF" w:rsidRDefault="008206CA" w:rsidP="00AB072E">
      <w:pPr>
        <w:ind w:left="720" w:hanging="720"/>
        <w:jc w:val="both"/>
        <w:rPr>
          <w:rFonts w:ascii="Arial" w:hAnsi="Arial"/>
          <w:sz w:val="24"/>
          <w:lang w:eastAsia="en-GB"/>
        </w:rPr>
      </w:pPr>
    </w:p>
    <w:p w14:paraId="25B333BB"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8.11</w:t>
      </w:r>
      <w:r w:rsidRPr="00E067BF">
        <w:rPr>
          <w:rFonts w:ascii="Arial" w:hAnsi="Arial"/>
          <w:sz w:val="24"/>
          <w:lang w:eastAsia="en-GB"/>
        </w:rPr>
        <w:tab/>
        <w:t xml:space="preserve">It is disappointing that the Accounts Receivable audit received a fourth moderate assurance rating in 2021/22. As detailed in updates provided to the Governance &amp; Audit Committee from the client department, the reasons for the weaknesses identified in this area are primarily in relation to reduced staff resources. As noted in previous annual reports, continuity and maintenance of core grip with changing, and more often diminishing, resources was a recognised clear challenge across the Council and this continues to be the case. </w:t>
      </w:r>
    </w:p>
    <w:p w14:paraId="66D4426E" w14:textId="77777777" w:rsidR="008206CA" w:rsidRPr="00E067BF" w:rsidRDefault="008206CA" w:rsidP="00AB072E">
      <w:pPr>
        <w:ind w:left="720" w:hanging="720"/>
        <w:jc w:val="both"/>
        <w:rPr>
          <w:rFonts w:ascii="Arial" w:hAnsi="Arial"/>
          <w:sz w:val="24"/>
          <w:lang w:eastAsia="en-GB"/>
        </w:rPr>
      </w:pPr>
    </w:p>
    <w:p w14:paraId="78056A52" w14:textId="77777777" w:rsidR="008206CA" w:rsidRPr="00E067BF" w:rsidRDefault="008206CA" w:rsidP="00AB072E">
      <w:pPr>
        <w:ind w:left="720" w:hanging="720"/>
        <w:jc w:val="both"/>
        <w:rPr>
          <w:rFonts w:ascii="Arial" w:hAnsi="Arial"/>
          <w:color w:val="FF0000"/>
          <w:sz w:val="24"/>
          <w:lang w:eastAsia="en-GB"/>
        </w:rPr>
      </w:pPr>
      <w:r>
        <w:rPr>
          <w:rFonts w:ascii="Arial" w:hAnsi="Arial"/>
          <w:sz w:val="24"/>
          <w:lang w:eastAsia="en-GB"/>
        </w:rPr>
        <w:t>8.12</w:t>
      </w:r>
      <w:r w:rsidRPr="00E067BF">
        <w:rPr>
          <w:rFonts w:ascii="Arial" w:hAnsi="Arial"/>
          <w:sz w:val="24"/>
          <w:lang w:eastAsia="en-GB"/>
        </w:rPr>
        <w:t xml:space="preserve"> </w:t>
      </w:r>
      <w:r w:rsidRPr="00E067BF">
        <w:rPr>
          <w:rFonts w:ascii="Arial" w:hAnsi="Arial"/>
          <w:sz w:val="24"/>
          <w:lang w:eastAsia="en-GB"/>
        </w:rPr>
        <w:tab/>
        <w:t>Despite this, as stated previously it should be noted that of the 14 fundamental system audits, 10 have a high assurance level and three have a substantial assurance level. In addition, the results of the work undertaken in 2021/22 shows that as at the 31</w:t>
      </w:r>
      <w:r w:rsidRPr="00E067BF">
        <w:rPr>
          <w:rFonts w:ascii="Arial" w:hAnsi="Arial"/>
          <w:sz w:val="24"/>
          <w:vertAlign w:val="superscript"/>
          <w:lang w:eastAsia="en-GB"/>
        </w:rPr>
        <w:t>st</w:t>
      </w:r>
      <w:r w:rsidRPr="00E067BF">
        <w:rPr>
          <w:rFonts w:ascii="Arial" w:hAnsi="Arial"/>
          <w:sz w:val="24"/>
          <w:lang w:eastAsia="en-GB"/>
        </w:rPr>
        <w:t xml:space="preserve"> March 2022, 95% of all of the audits completed in year have either a high or substantial assurance level. This provides reasonable assurance that across the Council the systems of internal control are operating effectively.</w:t>
      </w:r>
      <w:r w:rsidRPr="00E067BF">
        <w:rPr>
          <w:rFonts w:ascii="Arial" w:hAnsi="Arial"/>
          <w:color w:val="FF0000"/>
          <w:sz w:val="24"/>
          <w:lang w:eastAsia="en-GB"/>
        </w:rPr>
        <w:t xml:space="preserve"> </w:t>
      </w:r>
    </w:p>
    <w:p w14:paraId="02CCCF5E" w14:textId="77777777" w:rsidR="008206CA" w:rsidRPr="00E067BF" w:rsidRDefault="008206CA" w:rsidP="00AB072E">
      <w:pPr>
        <w:ind w:left="720" w:hanging="720"/>
        <w:jc w:val="both"/>
        <w:rPr>
          <w:rFonts w:ascii="Arial" w:hAnsi="Arial"/>
          <w:color w:val="FF0000"/>
          <w:sz w:val="24"/>
          <w:lang w:eastAsia="en-GB"/>
        </w:rPr>
      </w:pPr>
    </w:p>
    <w:p w14:paraId="063BFB21"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lastRenderedPageBreak/>
        <w:t>8</w:t>
      </w:r>
      <w:r w:rsidRPr="00E067BF">
        <w:rPr>
          <w:rFonts w:ascii="Arial" w:hAnsi="Arial"/>
          <w:sz w:val="24"/>
          <w:lang w:eastAsia="en-GB"/>
        </w:rPr>
        <w:t>.</w:t>
      </w:r>
      <w:r>
        <w:rPr>
          <w:rFonts w:ascii="Arial" w:hAnsi="Arial"/>
          <w:sz w:val="24"/>
          <w:lang w:eastAsia="en-GB"/>
        </w:rPr>
        <w:t>13</w:t>
      </w:r>
      <w:r w:rsidRPr="00E067BF">
        <w:rPr>
          <w:rFonts w:ascii="Arial" w:hAnsi="Arial"/>
          <w:sz w:val="24"/>
          <w:lang w:eastAsia="en-GB"/>
        </w:rPr>
        <w:tab/>
        <w:t xml:space="preserve">The Internal Audit Team has continued to operate in a very challenging environment throughout 2021/22. As a result of continued challenges also being faced by client departments caused by the ongoing pandemic, a small number of audits on the 2021/22 audit plan had to be deferred to 2022/23. However, we have successfully completed a significant number of audit activities on the 2021/22 plan with 94 audit activities (72%) issued as final or completed and 2 audits (2%) issued as draft, with an additional 11 audits (8%) in progress at year end. As a result, 82% of the audit activities on the 2021/22 audit plan had either been completed or were in progress at year end. This is a positive result given the circumstances faced by the Team. It is also pleasing to note the overall positive outcomes of the work that has been completed in year as highlighted above. </w:t>
      </w:r>
    </w:p>
    <w:p w14:paraId="461DDA63" w14:textId="77777777" w:rsidR="008206CA" w:rsidRPr="00E067BF" w:rsidRDefault="008206CA" w:rsidP="00AB072E">
      <w:pPr>
        <w:ind w:left="720" w:hanging="720"/>
        <w:jc w:val="both"/>
        <w:rPr>
          <w:rFonts w:ascii="Arial" w:hAnsi="Arial"/>
          <w:sz w:val="24"/>
          <w:lang w:eastAsia="en-GB"/>
        </w:rPr>
      </w:pPr>
    </w:p>
    <w:p w14:paraId="024FD7AF"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 xml:space="preserve">  8.14</w:t>
      </w:r>
      <w:r w:rsidRPr="00E067BF">
        <w:rPr>
          <w:rFonts w:ascii="Arial" w:hAnsi="Arial"/>
          <w:sz w:val="24"/>
          <w:lang w:eastAsia="en-GB"/>
        </w:rPr>
        <w:tab/>
        <w:t xml:space="preserve">A review was also undertaken in March 2022 to establish whether those charged with governance within the Council had undertaken a detailed review of their financial management arrangements. The review was undertaken to determine whether the standards, as defined by the Financial Management Code (FM Code) introduced by the Chartered Institute of Public Finance &amp; Accountancy (CIPFA) were being met. The FM Code is designed to support good practice in financial management and assist Local Authorities in demonstrating their financial sustainability. The FM Code is based on a series of principles supported by specific standards. The requirement to be fully compliant with the FM Code came into effect from the 1 April 2021. </w:t>
      </w:r>
    </w:p>
    <w:p w14:paraId="4C1202F4" w14:textId="77777777" w:rsidR="008206CA" w:rsidRPr="00E067BF" w:rsidRDefault="008206CA" w:rsidP="00AB072E">
      <w:pPr>
        <w:jc w:val="both"/>
        <w:rPr>
          <w:rFonts w:ascii="Arial" w:hAnsi="Arial"/>
          <w:sz w:val="24"/>
          <w:lang w:eastAsia="en-GB"/>
        </w:rPr>
      </w:pPr>
    </w:p>
    <w:p w14:paraId="6A083530" w14:textId="77777777" w:rsidR="008206CA" w:rsidRPr="00E067BF" w:rsidRDefault="008206CA" w:rsidP="00AB072E">
      <w:pPr>
        <w:ind w:left="709" w:hanging="709"/>
        <w:jc w:val="both"/>
        <w:rPr>
          <w:rFonts w:ascii="Arial" w:hAnsi="Arial"/>
          <w:sz w:val="24"/>
          <w:lang w:eastAsia="en-GB"/>
        </w:rPr>
      </w:pPr>
      <w:r>
        <w:rPr>
          <w:rFonts w:ascii="Arial" w:hAnsi="Arial"/>
          <w:sz w:val="24"/>
          <w:lang w:eastAsia="en-GB"/>
        </w:rPr>
        <w:t>8.15</w:t>
      </w:r>
      <w:r w:rsidRPr="00E067BF">
        <w:rPr>
          <w:rFonts w:ascii="Arial" w:hAnsi="Arial"/>
          <w:sz w:val="24"/>
          <w:lang w:eastAsia="en-GB"/>
        </w:rPr>
        <w:tab/>
        <w:t>Our review confirmed that the Director of Finance &amp; Section 151 Officer had completed a number of self-assessment exercises to benchmark Swansea Council’s processes and practices against the FM Code Standards using a RAG Rating approach throughout 2021/22 which have been presented to Corporate Management Team.  The RAG rating approach evaluated the Council’s level of compliance with each element of the Financial Management Standards as follows:</w:t>
      </w:r>
    </w:p>
    <w:p w14:paraId="57ED6E85" w14:textId="77777777" w:rsidR="008206CA" w:rsidRPr="00E067BF" w:rsidRDefault="008206CA" w:rsidP="008206CA">
      <w:pPr>
        <w:ind w:left="709"/>
        <w:rPr>
          <w:rFonts w:ascii="Arial" w:hAnsi="Arial"/>
          <w:sz w:val="24"/>
          <w:lang w:eastAsia="en-GB"/>
        </w:rPr>
      </w:pPr>
      <w:r w:rsidRPr="00E067BF">
        <w:rPr>
          <w:rFonts w:ascii="Arial" w:hAnsi="Arial"/>
          <w:sz w:val="24"/>
          <w:lang w:eastAsia="en-GB"/>
        </w:rPr>
        <w:t>Rag Rating:</w:t>
      </w:r>
    </w:p>
    <w:p w14:paraId="4AB5B65D" w14:textId="77777777" w:rsidR="008206CA" w:rsidRPr="00E067BF" w:rsidRDefault="008206CA" w:rsidP="008206CA">
      <w:pPr>
        <w:numPr>
          <w:ilvl w:val="0"/>
          <w:numId w:val="117"/>
        </w:numPr>
        <w:spacing w:after="100" w:afterAutospacing="1"/>
        <w:ind w:left="1134" w:hanging="283"/>
        <w:rPr>
          <w:rFonts w:ascii="Arial" w:hAnsi="Arial"/>
          <w:sz w:val="24"/>
          <w:lang w:eastAsia="en-GB"/>
        </w:rPr>
      </w:pPr>
      <w:r w:rsidRPr="00E067BF">
        <w:rPr>
          <w:rFonts w:ascii="Arial" w:hAnsi="Arial"/>
          <w:sz w:val="24"/>
          <w:lang w:eastAsia="en-GB"/>
        </w:rPr>
        <w:t xml:space="preserve">Green - Compliance is being demonstrated. </w:t>
      </w:r>
    </w:p>
    <w:p w14:paraId="3821E3A7" w14:textId="77777777" w:rsidR="008206CA" w:rsidRPr="00E067BF" w:rsidRDefault="008206CA" w:rsidP="008206CA">
      <w:pPr>
        <w:numPr>
          <w:ilvl w:val="0"/>
          <w:numId w:val="117"/>
        </w:numPr>
        <w:spacing w:after="100" w:afterAutospacing="1"/>
        <w:ind w:left="1135" w:hanging="284"/>
        <w:rPr>
          <w:rFonts w:ascii="Arial" w:hAnsi="Arial"/>
          <w:sz w:val="24"/>
          <w:lang w:eastAsia="en-GB"/>
        </w:rPr>
      </w:pPr>
      <w:r w:rsidRPr="00E067BF">
        <w:rPr>
          <w:rFonts w:ascii="Arial" w:hAnsi="Arial"/>
          <w:sz w:val="24"/>
          <w:lang w:eastAsia="en-GB"/>
        </w:rPr>
        <w:t xml:space="preserve">Amber - Minor to moderate improvements are required to demonstrate   full compliance. </w:t>
      </w:r>
    </w:p>
    <w:p w14:paraId="07275DA8" w14:textId="77777777" w:rsidR="008206CA" w:rsidRPr="00E067BF" w:rsidRDefault="008206CA" w:rsidP="008206CA">
      <w:pPr>
        <w:numPr>
          <w:ilvl w:val="0"/>
          <w:numId w:val="117"/>
        </w:numPr>
        <w:ind w:left="1135" w:hanging="284"/>
        <w:rPr>
          <w:rFonts w:ascii="Arial" w:hAnsi="Arial"/>
          <w:sz w:val="24"/>
          <w:lang w:eastAsia="en-GB"/>
        </w:rPr>
      </w:pPr>
      <w:r w:rsidRPr="00E067BF">
        <w:rPr>
          <w:rFonts w:ascii="Arial" w:hAnsi="Arial"/>
          <w:sz w:val="24"/>
          <w:lang w:eastAsia="en-GB"/>
        </w:rPr>
        <w:t xml:space="preserve">Red - Moderate to significant improvements are required to demonstrate full compliance. </w:t>
      </w:r>
    </w:p>
    <w:p w14:paraId="0C409D4C" w14:textId="77777777" w:rsidR="008206CA" w:rsidRPr="00E067BF" w:rsidRDefault="008206CA" w:rsidP="008206CA">
      <w:pPr>
        <w:ind w:left="720" w:hanging="720"/>
        <w:rPr>
          <w:rFonts w:ascii="Arial" w:hAnsi="Arial"/>
          <w:sz w:val="24"/>
          <w:lang w:eastAsia="en-GB"/>
        </w:rPr>
      </w:pPr>
    </w:p>
    <w:p w14:paraId="25DF26FB"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8.16</w:t>
      </w:r>
      <w:r w:rsidRPr="00E067BF">
        <w:rPr>
          <w:rFonts w:ascii="Arial" w:hAnsi="Arial"/>
          <w:sz w:val="24"/>
          <w:lang w:eastAsia="en-GB"/>
        </w:rPr>
        <w:tab/>
        <w:t>The latest high-level self-assessment review completed in February 2022 concluded that of the 17 Standards, the Council could demonstrate full compliance with 13 standards (assessed as green) with minor to moderate improvements required to demonstrate full compliance with the remaining 4 standards (assessed as amber).</w:t>
      </w:r>
    </w:p>
    <w:p w14:paraId="7CE731C3" w14:textId="77777777" w:rsidR="008206CA" w:rsidRPr="00E067BF" w:rsidRDefault="008206CA" w:rsidP="00AB072E">
      <w:pPr>
        <w:ind w:left="720" w:hanging="720"/>
        <w:jc w:val="both"/>
        <w:rPr>
          <w:rFonts w:ascii="Arial" w:hAnsi="Arial"/>
          <w:sz w:val="24"/>
          <w:lang w:eastAsia="en-GB"/>
        </w:rPr>
      </w:pPr>
    </w:p>
    <w:p w14:paraId="4C6D0A16"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8.17</w:t>
      </w:r>
      <w:r w:rsidRPr="00E067BF">
        <w:rPr>
          <w:rFonts w:ascii="Arial" w:hAnsi="Arial"/>
          <w:sz w:val="24"/>
          <w:lang w:eastAsia="en-GB"/>
        </w:rPr>
        <w:tab/>
        <w:t xml:space="preserve">Changes that have been made throughout the year in order to improve the level of compliance with the Standards have been clearly documented as part of the self-assessment process. In addition, the self-assessment includes a comprehensive list of evidence to substantiate and support the Director of Finance &amp; Section 151 Officer’s assessment of compliance. </w:t>
      </w:r>
    </w:p>
    <w:p w14:paraId="0E28DEC3" w14:textId="77777777" w:rsidR="008206CA" w:rsidRPr="00E067BF" w:rsidRDefault="008206CA" w:rsidP="00AB072E">
      <w:pPr>
        <w:jc w:val="both"/>
        <w:rPr>
          <w:rFonts w:ascii="Arial" w:hAnsi="Arial"/>
          <w:sz w:val="24"/>
          <w:lang w:eastAsia="en-GB"/>
        </w:rPr>
      </w:pPr>
    </w:p>
    <w:p w14:paraId="50F6A07A"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8.18</w:t>
      </w:r>
      <w:r w:rsidRPr="00E067BF">
        <w:rPr>
          <w:rFonts w:ascii="Arial" w:hAnsi="Arial"/>
          <w:sz w:val="24"/>
          <w:lang w:eastAsia="en-GB"/>
        </w:rPr>
        <w:tab/>
        <w:t xml:space="preserve">To conclude, the self-assessment review completed by the Director of Finance &amp; Section 151 Officer demonstrates that the Council is broadly compliant with the FM Code, with </w:t>
      </w:r>
      <w:r w:rsidRPr="00E067BF">
        <w:rPr>
          <w:rFonts w:ascii="Arial" w:hAnsi="Arial"/>
          <w:sz w:val="24"/>
          <w:lang w:eastAsia="en-GB"/>
        </w:rPr>
        <w:lastRenderedPageBreak/>
        <w:t xml:space="preserve">only minor to moderate improvements being required to demonstrate full compliance with 4 of the 17 Standards.  </w:t>
      </w:r>
    </w:p>
    <w:p w14:paraId="207746A8" w14:textId="77777777" w:rsidR="008206CA" w:rsidRPr="00E067BF" w:rsidRDefault="008206CA" w:rsidP="00AB072E">
      <w:pPr>
        <w:jc w:val="both"/>
        <w:rPr>
          <w:rFonts w:ascii="Arial" w:hAnsi="Arial"/>
          <w:sz w:val="24"/>
          <w:lang w:eastAsia="en-GB"/>
        </w:rPr>
      </w:pPr>
    </w:p>
    <w:p w14:paraId="1ADE68CF"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8.19</w:t>
      </w:r>
      <w:r w:rsidRPr="00E067BF">
        <w:rPr>
          <w:rFonts w:ascii="Arial" w:hAnsi="Arial"/>
          <w:sz w:val="24"/>
          <w:lang w:eastAsia="en-GB"/>
        </w:rPr>
        <w:t xml:space="preserve"> </w:t>
      </w:r>
      <w:r w:rsidRPr="00E067BF">
        <w:rPr>
          <w:rFonts w:ascii="Arial" w:hAnsi="Arial"/>
          <w:sz w:val="24"/>
          <w:lang w:eastAsia="en-GB"/>
        </w:rPr>
        <w:tab/>
        <w:t xml:space="preserve">Throughout the year, a significant amount of effort has continued to be directed at further strengthening the systems of risk management across the Council. The Governance and Audit Committee has received regular update reports from the Strategic Delivery and Performance Manager outlining the status of key risks from the Corporate Risk Register. The Corporate Management Team and Risk Owners have also reviewed the risk register entries regularly throughout the year to ensure the register is up to date. The new Risk Management System has also been further embedded in the year which has improved the monitoring and control of risks. </w:t>
      </w:r>
    </w:p>
    <w:p w14:paraId="61679581" w14:textId="77777777" w:rsidR="008206CA" w:rsidRPr="00E067BF" w:rsidRDefault="008206CA" w:rsidP="00AB072E">
      <w:pPr>
        <w:ind w:left="720" w:hanging="720"/>
        <w:jc w:val="both"/>
        <w:rPr>
          <w:rFonts w:ascii="Arial" w:hAnsi="Arial"/>
          <w:sz w:val="24"/>
          <w:lang w:eastAsia="en-GB"/>
        </w:rPr>
      </w:pPr>
    </w:p>
    <w:p w14:paraId="5DDF5A91"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8.20</w:t>
      </w:r>
      <w:r w:rsidRPr="00E067BF">
        <w:rPr>
          <w:rFonts w:ascii="Arial" w:hAnsi="Arial"/>
          <w:sz w:val="24"/>
          <w:lang w:eastAsia="en-GB"/>
        </w:rPr>
        <w:tab/>
        <w:t xml:space="preserve">As per the Terms of Reference, the Governance and Audit Committee must be satisfied that they have sufficient information in order to gain assurance over the risk management controls across the Council. Prior to the introduction of the new Risk Management System, the Committee highlighted concerns over the amount of information that was available to Members to allow them to discharge this responsibility. These concerns were also echoed by the Council’s External Auditors. The introduction of the new Risk Management System has facilitated greater scrutiny of the risk management arrangements in place by the Governance and Audit Committee and detailed reports from the new system have been presented to the Committee throughout the year. </w:t>
      </w:r>
    </w:p>
    <w:p w14:paraId="5CA24B4F" w14:textId="77777777" w:rsidR="008206CA" w:rsidRPr="00E067BF" w:rsidRDefault="008206CA" w:rsidP="00AB072E">
      <w:pPr>
        <w:ind w:left="720" w:hanging="720"/>
        <w:jc w:val="both"/>
        <w:rPr>
          <w:rFonts w:ascii="Arial" w:hAnsi="Arial"/>
          <w:sz w:val="24"/>
          <w:lang w:eastAsia="en-GB"/>
        </w:rPr>
      </w:pPr>
    </w:p>
    <w:p w14:paraId="592FFF59"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8.21</w:t>
      </w:r>
      <w:r w:rsidRPr="00E067BF">
        <w:rPr>
          <w:rFonts w:ascii="Arial" w:hAnsi="Arial"/>
          <w:sz w:val="24"/>
          <w:lang w:eastAsia="en-GB"/>
        </w:rPr>
        <w:tab/>
        <w:t xml:space="preserve">A number of concerns were raised previously by both the Chief Auditor and the Governance and Audit Committee in relation to the documentation of the mitigating control measures recorded in the Risk Register for a number of Corporate Risks. </w:t>
      </w:r>
    </w:p>
    <w:p w14:paraId="2163D785" w14:textId="77777777" w:rsidR="008206CA" w:rsidRPr="00E067BF" w:rsidRDefault="008206CA" w:rsidP="00AB072E">
      <w:pPr>
        <w:ind w:left="720" w:hanging="720"/>
        <w:jc w:val="both"/>
        <w:rPr>
          <w:rFonts w:ascii="Arial" w:hAnsi="Arial"/>
          <w:color w:val="FF0000"/>
          <w:sz w:val="24"/>
          <w:lang w:eastAsia="en-GB"/>
        </w:rPr>
      </w:pPr>
    </w:p>
    <w:p w14:paraId="0E4FC929"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8.22</w:t>
      </w:r>
      <w:r w:rsidRPr="00E067BF">
        <w:rPr>
          <w:rFonts w:ascii="Arial" w:hAnsi="Arial"/>
          <w:sz w:val="24"/>
          <w:lang w:eastAsia="en-GB"/>
        </w:rPr>
        <w:tab/>
        <w:t xml:space="preserve">As part of the migration from the old Risk Registers to the new Risk Management System, Risk Owners were asked to review and update the risks and associated mitigating controls under their management. Following a review of the mitigating controls in 2020/21, it was noted that in some instances the control measures documented on the new system could not be considered to be ‘control measures’ as such. As a result, it was not possible to place reliance on the documented mitigating controls for some of the corporate risks on the Risk Management System. This is not to say that mitigating controls were not in place, but the way they had been documented meant that we were unable to place reliance on some of the ‘controls’ as they were recorded. As a result, last year’s Annual Governance Statement and Chief Internal Auditor’s Opinion noted that this area required attention and improvement in 2021/22. </w:t>
      </w:r>
    </w:p>
    <w:p w14:paraId="25E4D415" w14:textId="77777777" w:rsidR="008206CA" w:rsidRPr="00E067BF" w:rsidRDefault="008206CA" w:rsidP="00AB072E">
      <w:pPr>
        <w:ind w:left="720" w:hanging="720"/>
        <w:jc w:val="both"/>
        <w:rPr>
          <w:rFonts w:ascii="Arial" w:hAnsi="Arial"/>
          <w:sz w:val="24"/>
          <w:lang w:eastAsia="en-GB"/>
        </w:rPr>
      </w:pPr>
    </w:p>
    <w:p w14:paraId="56A8E738"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8.23</w:t>
      </w:r>
      <w:r w:rsidRPr="00E067BF">
        <w:rPr>
          <w:rFonts w:ascii="Arial" w:hAnsi="Arial"/>
          <w:sz w:val="24"/>
          <w:lang w:eastAsia="en-GB"/>
        </w:rPr>
        <w:tab/>
        <w:t xml:space="preserve">It is pleasing to note that a significant amount of work has taken place throughout 2021/22 in order to ensure that the corporate risks remain relevant and up to date. In addition, as evidenced by the most recent Risk Update Report from the Strategic Delivery &amp; Performance Manager, the quality of the documentation of the associated control measures has greatly improved.     </w:t>
      </w:r>
    </w:p>
    <w:p w14:paraId="28BB3506" w14:textId="77777777" w:rsidR="008206CA" w:rsidRPr="00E067BF" w:rsidRDefault="008206CA" w:rsidP="00AB072E">
      <w:pPr>
        <w:ind w:left="720" w:hanging="720"/>
        <w:jc w:val="both"/>
        <w:rPr>
          <w:rFonts w:ascii="Arial" w:hAnsi="Arial"/>
          <w:sz w:val="24"/>
          <w:lang w:eastAsia="en-GB"/>
        </w:rPr>
      </w:pPr>
    </w:p>
    <w:p w14:paraId="30EDED50"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8.24</w:t>
      </w:r>
      <w:r w:rsidRPr="00E067BF">
        <w:rPr>
          <w:rFonts w:ascii="Arial" w:hAnsi="Arial"/>
          <w:sz w:val="24"/>
          <w:lang w:eastAsia="en-GB"/>
        </w:rPr>
        <w:tab/>
        <w:t xml:space="preserve">The Covid-19 Pandemic has continued to have a significant impact on the Council and most ‘business as usual’ operations. The meetings of the Governance Group, tasked with overarching responsibility for ensuring existing corporate governance arrangements are effective, resumed in 2021/22 in the lead up to the year end and in preparation for the production of the Annual Governance Statement. </w:t>
      </w:r>
    </w:p>
    <w:p w14:paraId="32B5F081" w14:textId="77777777" w:rsidR="008206CA" w:rsidRPr="00E067BF" w:rsidRDefault="008206CA" w:rsidP="008206CA">
      <w:pPr>
        <w:ind w:left="720" w:hanging="720"/>
        <w:rPr>
          <w:rFonts w:ascii="Arial" w:hAnsi="Arial"/>
          <w:color w:val="FF0000"/>
          <w:sz w:val="24"/>
          <w:lang w:eastAsia="en-GB"/>
        </w:rPr>
      </w:pPr>
    </w:p>
    <w:p w14:paraId="08D8418F"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8.25</w:t>
      </w:r>
      <w:r w:rsidRPr="00E067BF">
        <w:rPr>
          <w:rFonts w:ascii="Arial" w:hAnsi="Arial"/>
          <w:sz w:val="24"/>
          <w:lang w:eastAsia="en-GB"/>
        </w:rPr>
        <w:tab/>
        <w:t xml:space="preserve">In response to the unexpected and unpredictable impact of the pandemic, a number of emergency protocols were introduced in 2020/21 to ensure governance and overall corporate grip remained strong and effective during such unprecedented times. This included the formation of an Executive Control Group (ECG) in early March 2020. </w:t>
      </w:r>
    </w:p>
    <w:p w14:paraId="6B57C35E" w14:textId="77777777" w:rsidR="008206CA" w:rsidRPr="00E067BF" w:rsidRDefault="008206CA" w:rsidP="00AB072E">
      <w:pPr>
        <w:jc w:val="both"/>
        <w:rPr>
          <w:rFonts w:ascii="Arial" w:hAnsi="Arial"/>
          <w:sz w:val="24"/>
          <w:lang w:eastAsia="en-GB"/>
        </w:rPr>
      </w:pPr>
    </w:p>
    <w:p w14:paraId="20EEE4BC"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8.26</w:t>
      </w:r>
      <w:r w:rsidRPr="00E067BF">
        <w:rPr>
          <w:rFonts w:ascii="Arial" w:hAnsi="Arial"/>
          <w:sz w:val="24"/>
          <w:lang w:eastAsia="en-GB"/>
        </w:rPr>
        <w:tab/>
        <w:t>Those attending the ECG included the Leader, Deputy Leaders, Chief Executive, S151 Officer, Monitoring Officer, Director of Place, Head of Communications &amp; Marketing, Corporate Health Safety &amp; Wellbeing Manager and Temporary CCoS/NPT/SBUHB Liaison Officer. We were advised that attendance at meetings varied due to the fluid situation facing the Council and due to daily meetings taking place, including on weekends.  The Sit Rep group was a wider group of members and senior officers.</w:t>
      </w:r>
    </w:p>
    <w:p w14:paraId="07C9D63E" w14:textId="77777777" w:rsidR="008206CA" w:rsidRPr="00E067BF" w:rsidRDefault="008206CA" w:rsidP="00AB072E">
      <w:pPr>
        <w:jc w:val="both"/>
        <w:rPr>
          <w:rFonts w:ascii="Arial" w:hAnsi="Arial"/>
          <w:sz w:val="24"/>
          <w:lang w:eastAsia="en-GB"/>
        </w:rPr>
      </w:pPr>
    </w:p>
    <w:p w14:paraId="652CC91C"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8.27</w:t>
      </w:r>
      <w:r w:rsidRPr="00E067BF">
        <w:rPr>
          <w:rFonts w:ascii="Arial" w:hAnsi="Arial"/>
          <w:sz w:val="24"/>
          <w:lang w:eastAsia="en-GB"/>
        </w:rPr>
        <w:tab/>
        <w:t>The ECG ceased to be a decision-making forum when Cabinet and Council meetings resumed in June 2020, but it continued to exist as a forum for information and communication throughout 2021/22.</w:t>
      </w:r>
    </w:p>
    <w:p w14:paraId="022C270B" w14:textId="77777777" w:rsidR="008206CA" w:rsidRPr="00E067BF" w:rsidRDefault="008206CA" w:rsidP="00AB072E">
      <w:pPr>
        <w:ind w:left="720" w:hanging="720"/>
        <w:jc w:val="both"/>
        <w:rPr>
          <w:rFonts w:ascii="Arial" w:hAnsi="Arial"/>
          <w:color w:val="FF0000"/>
          <w:sz w:val="24"/>
          <w:lang w:eastAsia="en-GB"/>
        </w:rPr>
      </w:pPr>
    </w:p>
    <w:p w14:paraId="72E28BBD"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8.28</w:t>
      </w:r>
      <w:r w:rsidRPr="00E067BF">
        <w:rPr>
          <w:rFonts w:ascii="Arial" w:hAnsi="Arial"/>
          <w:sz w:val="24"/>
          <w:lang w:eastAsia="en-GB"/>
        </w:rPr>
        <w:tab/>
        <w:t xml:space="preserve">The work undertaken by the Internal Audit Team in the year did not uncover any significant concerns in relation to governance and overall management control across the areas of the council that were subject to internal audit review. Despite the ongoing period of upheaval and change, Officers have continued to adapt speedily and effectively to the emergency response to the pandemic with no obvious signs of deterioration in control or corporate grip across the areas subject to audit in the period. </w:t>
      </w:r>
    </w:p>
    <w:p w14:paraId="7817BB15" w14:textId="77777777" w:rsidR="008206CA" w:rsidRPr="00E067BF" w:rsidRDefault="008206CA" w:rsidP="00AB072E">
      <w:pPr>
        <w:ind w:left="720" w:hanging="720"/>
        <w:jc w:val="both"/>
        <w:rPr>
          <w:rFonts w:ascii="Arial" w:hAnsi="Arial"/>
          <w:sz w:val="24"/>
          <w:lang w:eastAsia="en-GB"/>
        </w:rPr>
      </w:pPr>
    </w:p>
    <w:p w14:paraId="41711B46"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8.29</w:t>
      </w:r>
      <w:r w:rsidRPr="00E067BF">
        <w:rPr>
          <w:rFonts w:ascii="Arial" w:hAnsi="Arial"/>
          <w:sz w:val="24"/>
          <w:lang w:eastAsia="en-GB"/>
        </w:rPr>
        <w:tab/>
        <w:t xml:space="preserve">In conclusion, Statutory Governance Chief Officers and CMT have succeeded in continuing to maintain appropriate corporate grip and have ensured adequate recording and reporting mechanisms have been maintained throughout the crisis. </w:t>
      </w:r>
    </w:p>
    <w:p w14:paraId="2B303601" w14:textId="77777777" w:rsidR="008206CA" w:rsidRPr="00E067BF" w:rsidRDefault="008206CA" w:rsidP="00AB072E">
      <w:pPr>
        <w:ind w:left="720" w:hanging="720"/>
        <w:jc w:val="both"/>
        <w:rPr>
          <w:rFonts w:ascii="Arial" w:hAnsi="Arial"/>
          <w:color w:val="FF0000"/>
          <w:sz w:val="24"/>
          <w:lang w:eastAsia="en-GB"/>
        </w:rPr>
      </w:pPr>
      <w:r w:rsidRPr="00E067BF">
        <w:rPr>
          <w:rFonts w:ascii="Arial" w:hAnsi="Arial"/>
          <w:color w:val="FF0000"/>
          <w:sz w:val="24"/>
          <w:lang w:eastAsia="en-GB"/>
        </w:rPr>
        <w:t xml:space="preserve">  </w:t>
      </w:r>
    </w:p>
    <w:p w14:paraId="73949B94"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8.30</w:t>
      </w:r>
      <w:r w:rsidRPr="00E067BF">
        <w:rPr>
          <w:rFonts w:ascii="Arial" w:hAnsi="Arial"/>
          <w:sz w:val="24"/>
          <w:lang w:eastAsia="en-GB"/>
        </w:rPr>
        <w:tab/>
        <w:t>At the time of writing this opinion, it is unclear as to the scale of additional spending, including rapidly rising inflation, or ongoing losses of income that the Council faces in dealing with the pandemic both locally, with partners, and supporting the national strategic response to the residual immediate public health crisis and now rapidly growing economic and wider health effects of Covid-19 and the ongoing crisis in Ukraine going into 2022/23. The Director of Finance &amp; Section 151 Officer has advised that his view is that there is adequate assurance of sufficient and necessary recovery and reimbursement in relation to 2021/22 already in place, pending the formal final outturn and statement of accounts certification. However, it should be noted that there are currently no meaningful sums announced available to bid against nationally for 2022/23 by UK or Welsh Governments. In March 2022, the Leader of the Council set out the Council’s intention to expand the locally funded Covid-19 Economic Recovery Fund with the target sum of a further £20m-25m. This in part may mitigate the known certainty of significantly reduced Government funding cash increases in future years. This may also assist with dealing with some, but not all, of the immediate inflationary effects, which means future real terms reductions look inevitable. However, this is pending formal certification of the final outturn and statement of accounts by the Section 151 Officer and Council.</w:t>
      </w:r>
    </w:p>
    <w:p w14:paraId="27216717" w14:textId="77777777" w:rsidR="008206CA" w:rsidRPr="00E067BF" w:rsidRDefault="008206CA" w:rsidP="00AB072E">
      <w:pPr>
        <w:jc w:val="both"/>
        <w:rPr>
          <w:rFonts w:ascii="Arial" w:hAnsi="Arial"/>
          <w:color w:val="FF0000"/>
          <w:sz w:val="24"/>
          <w:lang w:eastAsia="en-GB"/>
        </w:rPr>
      </w:pPr>
    </w:p>
    <w:p w14:paraId="477CAD9B"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8.31</w:t>
      </w:r>
      <w:r w:rsidRPr="00E067BF">
        <w:rPr>
          <w:rFonts w:ascii="Arial" w:hAnsi="Arial"/>
          <w:sz w:val="24"/>
          <w:lang w:eastAsia="en-GB"/>
        </w:rPr>
        <w:tab/>
        <w:t xml:space="preserve">Given the audit plan completion rates noted previously, and the fact that Internal Audit has completed all of the planned fundamental audits and the majority of the cross cutting </w:t>
      </w:r>
      <w:r w:rsidRPr="00E067BF">
        <w:rPr>
          <w:rFonts w:ascii="Arial" w:hAnsi="Arial"/>
          <w:sz w:val="24"/>
          <w:lang w:eastAsia="en-GB"/>
        </w:rPr>
        <w:lastRenderedPageBreak/>
        <w:t xml:space="preserve">audits by year end, the Chief Auditor feels that no impairment to the Chief Auditor’s opinion on internal control is required. Assurance can be provided across a range of Council services as a result of the audits completed and other assurance work undertaken in the year. </w:t>
      </w:r>
    </w:p>
    <w:p w14:paraId="151CDB64" w14:textId="77777777" w:rsidR="008206CA" w:rsidRPr="00E067BF" w:rsidRDefault="008206CA" w:rsidP="00AB072E">
      <w:pPr>
        <w:ind w:left="720" w:hanging="720"/>
        <w:jc w:val="both"/>
        <w:rPr>
          <w:rFonts w:ascii="Arial" w:hAnsi="Arial"/>
          <w:color w:val="FF0000"/>
          <w:sz w:val="24"/>
          <w:lang w:eastAsia="en-GB"/>
        </w:rPr>
      </w:pPr>
    </w:p>
    <w:p w14:paraId="0F195B21" w14:textId="77777777" w:rsidR="008206CA" w:rsidRPr="00E067BF" w:rsidRDefault="008206CA" w:rsidP="00AB072E">
      <w:pPr>
        <w:ind w:left="720" w:hanging="720"/>
        <w:jc w:val="both"/>
        <w:rPr>
          <w:rFonts w:ascii="Arial" w:hAnsi="Arial"/>
          <w:sz w:val="24"/>
          <w:lang w:eastAsia="en-GB"/>
        </w:rPr>
      </w:pPr>
      <w:r>
        <w:rPr>
          <w:rFonts w:ascii="Arial" w:hAnsi="Arial"/>
          <w:sz w:val="24"/>
          <w:lang w:eastAsia="en-GB"/>
        </w:rPr>
        <w:t>8.32</w:t>
      </w:r>
      <w:r w:rsidRPr="00E067BF">
        <w:rPr>
          <w:rFonts w:ascii="Arial" w:hAnsi="Arial"/>
          <w:sz w:val="24"/>
          <w:lang w:eastAsia="en-GB"/>
        </w:rPr>
        <w:tab/>
        <w:t xml:space="preserve">In addition, for the reasons set out previously, the Chief Auditor is of the opinion that governance arrangements across the Council have proven to continue to be robust and resilient throughout the continuing period of challenge and change that the Council has faced over the past year. It should also be noted that the Senior Management Assurance Statements have been enhanced during the year to incorporate the new provisions of Part 6 of the Local Government and Elections (Wales) Act in relation to performance self-assessment. The Council has continued to adapt speedily and effectively to the challenges brought about as a result of the pandemic, with core services continuing to operate effectively throughout. </w:t>
      </w:r>
    </w:p>
    <w:p w14:paraId="5AC9C59F" w14:textId="77777777" w:rsidR="008206CA" w:rsidRPr="00E067BF" w:rsidRDefault="008206CA" w:rsidP="00AB072E">
      <w:pPr>
        <w:ind w:right="-1"/>
        <w:jc w:val="both"/>
        <w:rPr>
          <w:rFonts w:ascii="Arial" w:hAnsi="Arial" w:cs="Arial"/>
          <w:color w:val="FF0000"/>
          <w:sz w:val="24"/>
          <w:szCs w:val="24"/>
          <w:lang w:eastAsia="en-GB"/>
        </w:rPr>
      </w:pPr>
    </w:p>
    <w:p w14:paraId="09AF4D4A" w14:textId="77777777" w:rsidR="008206CA" w:rsidRPr="00E067BF" w:rsidRDefault="008206CA" w:rsidP="00AB072E">
      <w:pPr>
        <w:ind w:left="720" w:right="-1" w:hanging="720"/>
        <w:jc w:val="both"/>
        <w:rPr>
          <w:rFonts w:ascii="Arial" w:hAnsi="Arial" w:cs="Arial"/>
          <w:sz w:val="24"/>
          <w:szCs w:val="24"/>
          <w:lang w:eastAsia="en-GB"/>
        </w:rPr>
      </w:pPr>
      <w:r>
        <w:rPr>
          <w:rFonts w:ascii="Arial" w:hAnsi="Arial" w:cs="Arial"/>
          <w:sz w:val="24"/>
          <w:szCs w:val="24"/>
          <w:lang w:eastAsia="en-GB"/>
        </w:rPr>
        <w:t>8.33</w:t>
      </w:r>
      <w:r w:rsidRPr="00E067BF">
        <w:rPr>
          <w:rFonts w:ascii="Arial" w:hAnsi="Arial" w:cs="Arial"/>
          <w:sz w:val="24"/>
          <w:szCs w:val="24"/>
          <w:lang w:eastAsia="en-GB"/>
        </w:rPr>
        <w:tab/>
        <w:t>Given the previous points made in relation to internal control, governance and risk management the Chief Auditor is of the opinion that there is no need to issue any limitation of scope on the aspects of governance and internal control. In addition, as a result of a significant amount of work undertaken in year to further enhance and embed risk management controls across the Council, and to strengthen the documentation of risks and control measures on the Corporate Risk Register, the Chief Auditor believes that there is no longer a need to declare a limitation of scope in relation to risk management. However, improvements should continue to be made in this area throughout 2022/23 to further embed and strengthen the Council’s risk management controls across all of the Directorate and Service Level Risk Registers.</w:t>
      </w:r>
    </w:p>
    <w:p w14:paraId="2534D245" w14:textId="77777777" w:rsidR="008206CA" w:rsidRPr="00E067BF" w:rsidRDefault="008206CA" w:rsidP="00AB072E">
      <w:pPr>
        <w:ind w:left="720" w:right="-1" w:hanging="720"/>
        <w:jc w:val="both"/>
        <w:rPr>
          <w:rFonts w:ascii="Arial" w:hAnsi="Arial" w:cs="Arial"/>
          <w:sz w:val="24"/>
          <w:szCs w:val="24"/>
          <w:lang w:eastAsia="en-GB"/>
        </w:rPr>
      </w:pPr>
    </w:p>
    <w:p w14:paraId="7673785B" w14:textId="77777777" w:rsidR="008206CA" w:rsidRPr="00E067BF" w:rsidRDefault="008206CA" w:rsidP="00AB072E">
      <w:pPr>
        <w:ind w:left="720" w:right="-1" w:hanging="720"/>
        <w:jc w:val="both"/>
        <w:rPr>
          <w:rFonts w:ascii="Arial" w:hAnsi="Arial" w:cs="Arial"/>
          <w:sz w:val="24"/>
          <w:szCs w:val="24"/>
          <w:lang w:eastAsia="en-GB"/>
        </w:rPr>
      </w:pPr>
      <w:r>
        <w:rPr>
          <w:rFonts w:ascii="Arial" w:hAnsi="Arial" w:cs="Arial"/>
          <w:sz w:val="24"/>
          <w:szCs w:val="24"/>
          <w:lang w:eastAsia="en-GB"/>
        </w:rPr>
        <w:t>8.34</w:t>
      </w:r>
      <w:r w:rsidRPr="00E067BF">
        <w:rPr>
          <w:rFonts w:ascii="Arial" w:hAnsi="Arial" w:cs="Arial"/>
          <w:sz w:val="24"/>
          <w:szCs w:val="24"/>
          <w:lang w:eastAsia="en-GB"/>
        </w:rPr>
        <w:tab/>
        <w:t xml:space="preserve">The Governance and Audit Committee and the Chief Auditor have also raised concerns throughout the year </w:t>
      </w:r>
      <w:r w:rsidRPr="00E067BF">
        <w:rPr>
          <w:rFonts w:ascii="Arial" w:eastAsia="Arial" w:hAnsi="Arial" w:cs="Arial"/>
          <w:sz w:val="24"/>
          <w:lang w:eastAsia="en-GB"/>
        </w:rPr>
        <w:t xml:space="preserve">around the absence of a Workforce Strategy. In February 2022 the Strategic HR&amp;OD Manager confirmed that a proposed Workforce Strategy has been developed for the financial year April 2022/23, with the Strategy due to be launched in March 2022. It should also be noted that Internal Audit were unable to complete the audit of the ‘Transformation’ element of the Achieving Better Together programme that had been planned for completion in 2021/22. As a result, these areas will be reviewed as part of the 2022/23 work programme. </w:t>
      </w:r>
    </w:p>
    <w:p w14:paraId="46DD2C5A" w14:textId="77777777" w:rsidR="008206CA" w:rsidRPr="00E067BF" w:rsidRDefault="008206CA" w:rsidP="008206CA">
      <w:pPr>
        <w:ind w:left="720" w:right="-1" w:hanging="720"/>
        <w:jc w:val="both"/>
        <w:rPr>
          <w:rFonts w:ascii="Arial" w:hAnsi="Arial" w:cs="Arial"/>
          <w:sz w:val="24"/>
          <w:szCs w:val="24"/>
          <w:lang w:eastAsia="en-GB"/>
        </w:rPr>
      </w:pPr>
    </w:p>
    <w:p w14:paraId="2DFB44C0" w14:textId="346DED87" w:rsidR="008206CA" w:rsidRPr="00E067BF" w:rsidRDefault="00516E75" w:rsidP="008206CA">
      <w:pPr>
        <w:ind w:left="720" w:hanging="720"/>
        <w:jc w:val="both"/>
        <w:rPr>
          <w:rFonts w:ascii="Arial" w:hAnsi="Arial"/>
          <w:sz w:val="24"/>
          <w:lang w:eastAsia="en-GB"/>
        </w:rPr>
      </w:pPr>
      <w:r>
        <w:rPr>
          <w:noProof/>
        </w:rPr>
        <mc:AlternateContent>
          <mc:Choice Requires="wps">
            <w:drawing>
              <wp:anchor distT="0" distB="0" distL="114300" distR="114300" simplePos="0" relativeHeight="251699200" behindDoc="1" locked="0" layoutInCell="1" allowOverlap="1" wp14:anchorId="3B0BD374" wp14:editId="7E16314A">
                <wp:simplePos x="0" y="0"/>
                <wp:positionH relativeFrom="column">
                  <wp:posOffset>342900</wp:posOffset>
                </wp:positionH>
                <wp:positionV relativeFrom="paragraph">
                  <wp:posOffset>80645</wp:posOffset>
                </wp:positionV>
                <wp:extent cx="6223000" cy="1847850"/>
                <wp:effectExtent l="0" t="0" r="6350" b="0"/>
                <wp:wrapNone/>
                <wp:docPr id="55" name="Rectangle: Rounded Corner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1847850"/>
                        </a:xfrm>
                        <a:prstGeom prst="roundRect">
                          <a:avLst>
                            <a:gd name="adj" fmla="val 16667"/>
                          </a:avLst>
                        </a:prstGeom>
                        <a:solidFill>
                          <a:srgbClr val="D8D8D8"/>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44F894" id="Rectangle: Rounded Corners 55" o:spid="_x0000_s1026" style="position:absolute;margin-left:27pt;margin-top:6.35pt;width:490pt;height:14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" fillcolor="#d8d8d8" strokeweight="1pt"/>
            </w:pict>
          </mc:Fallback>
        </mc:AlternateContent>
      </w:r>
    </w:p>
    <w:p w14:paraId="1B893B3D" w14:textId="77777777" w:rsidR="008206CA" w:rsidRPr="00E067BF" w:rsidRDefault="008206CA" w:rsidP="008206CA">
      <w:pPr>
        <w:ind w:left="2552" w:hanging="2563"/>
        <w:jc w:val="both"/>
        <w:rPr>
          <w:rFonts w:ascii="Arial" w:hAnsi="Arial"/>
          <w:b/>
          <w:color w:val="C00000"/>
          <w:sz w:val="32"/>
          <w:szCs w:val="32"/>
          <w:lang w:eastAsia="en-GB"/>
        </w:rPr>
      </w:pPr>
      <w:r>
        <w:rPr>
          <w:rFonts w:ascii="Arial" w:hAnsi="Arial"/>
          <w:sz w:val="24"/>
          <w:lang w:eastAsia="en-GB"/>
        </w:rPr>
        <w:t>8.35</w:t>
      </w:r>
      <w:r w:rsidRPr="00E067BF">
        <w:rPr>
          <w:rFonts w:ascii="Arial" w:hAnsi="Arial"/>
          <w:sz w:val="24"/>
          <w:lang w:eastAsia="en-GB"/>
        </w:rPr>
        <w:tab/>
      </w:r>
      <w:r w:rsidRPr="00E067BF">
        <w:rPr>
          <w:rFonts w:ascii="Arial" w:hAnsi="Arial"/>
          <w:b/>
          <w:color w:val="C00000"/>
          <w:sz w:val="24"/>
          <w:szCs w:val="24"/>
          <w:lang w:eastAsia="en-GB"/>
        </w:rPr>
        <w:t xml:space="preserve">Chief Auditors Opinion for 2021/22 </w:t>
      </w:r>
      <w:r w:rsidRPr="00E067BF">
        <w:rPr>
          <w:rFonts w:ascii="Arial" w:hAnsi="Arial"/>
          <w:b/>
          <w:color w:val="C00000"/>
          <w:sz w:val="32"/>
          <w:szCs w:val="32"/>
          <w:lang w:eastAsia="en-GB"/>
        </w:rPr>
        <w:t xml:space="preserve"> </w:t>
      </w:r>
    </w:p>
    <w:p w14:paraId="7AB2638E" w14:textId="77777777" w:rsidR="008206CA" w:rsidRPr="00E067BF" w:rsidRDefault="008206CA" w:rsidP="008206CA">
      <w:pPr>
        <w:ind w:left="2552" w:hanging="2563"/>
        <w:jc w:val="both"/>
        <w:rPr>
          <w:rFonts w:ascii="Arial" w:hAnsi="Arial"/>
          <w:b/>
          <w:color w:val="C00000"/>
          <w:sz w:val="32"/>
          <w:szCs w:val="32"/>
          <w:lang w:eastAsia="en-GB"/>
        </w:rPr>
      </w:pPr>
    </w:p>
    <w:p w14:paraId="28A23AF8" w14:textId="77777777" w:rsidR="008206CA" w:rsidRPr="00E067BF" w:rsidRDefault="008206CA" w:rsidP="008206CA">
      <w:pPr>
        <w:ind w:left="720" w:right="237" w:hanging="720"/>
        <w:jc w:val="both"/>
        <w:rPr>
          <w:rFonts w:ascii="Arial" w:hAnsi="Arial"/>
          <w:b/>
          <w:i/>
          <w:sz w:val="24"/>
          <w:lang w:eastAsia="en-GB"/>
        </w:rPr>
      </w:pPr>
      <w:r w:rsidRPr="00E067BF">
        <w:rPr>
          <w:rFonts w:ascii="Arial" w:hAnsi="Arial"/>
          <w:sz w:val="24"/>
          <w:lang w:eastAsia="en-GB"/>
        </w:rPr>
        <w:tab/>
      </w:r>
      <w:r w:rsidRPr="00E067BF">
        <w:rPr>
          <w:rFonts w:ascii="Arial" w:hAnsi="Arial"/>
          <w:b/>
          <w:i/>
          <w:sz w:val="24"/>
          <w:lang w:eastAsia="en-GB"/>
        </w:rPr>
        <w:t>Based on the programme of audit work undertaken in 2021/22, the Chief Auditor’s opinion on the overall adequacy and effectiveness of the Council’s framework of governance, risk management and internal control is effective with no significant weaknesses identified in 2021/22 which would have a material impact on the Council’s financial affairs or the achievement of its objectives.</w:t>
      </w:r>
    </w:p>
    <w:p w14:paraId="72BD03A6" w14:textId="77777777" w:rsidR="008206CA" w:rsidRPr="00E067BF" w:rsidRDefault="008206CA" w:rsidP="008206CA">
      <w:pPr>
        <w:ind w:left="720" w:hanging="720"/>
        <w:jc w:val="both"/>
        <w:rPr>
          <w:rFonts w:ascii="Arial" w:hAnsi="Arial"/>
          <w:b/>
          <w:i/>
          <w:sz w:val="24"/>
          <w:lang w:eastAsia="en-GB"/>
        </w:rPr>
      </w:pPr>
    </w:p>
    <w:p w14:paraId="5841E30D" w14:textId="77777777" w:rsidR="008206CA" w:rsidRPr="00E067BF" w:rsidRDefault="008206CA" w:rsidP="008206CA">
      <w:pPr>
        <w:ind w:left="720" w:hanging="720"/>
        <w:jc w:val="both"/>
        <w:rPr>
          <w:rFonts w:ascii="Arial" w:hAnsi="Arial"/>
          <w:b/>
          <w:i/>
          <w:sz w:val="24"/>
          <w:lang w:eastAsia="en-GB"/>
        </w:rPr>
      </w:pPr>
      <w:r w:rsidRPr="00E067BF">
        <w:rPr>
          <w:rFonts w:ascii="Arial" w:hAnsi="Arial"/>
          <w:b/>
          <w:i/>
          <w:sz w:val="24"/>
          <w:lang w:eastAsia="en-GB"/>
        </w:rPr>
        <w:tab/>
        <w:t xml:space="preserve"> </w:t>
      </w:r>
    </w:p>
    <w:p w14:paraId="72B04B5A" w14:textId="77777777" w:rsidR="008206CA" w:rsidRDefault="008206CA" w:rsidP="008206CA">
      <w:pPr>
        <w:jc w:val="both"/>
        <w:rPr>
          <w:rFonts w:ascii="Arial" w:hAnsi="Arial"/>
          <w:b/>
          <w:i/>
          <w:sz w:val="24"/>
          <w:lang w:eastAsia="en-GB"/>
        </w:rPr>
      </w:pPr>
    </w:p>
    <w:p w14:paraId="7047AF88" w14:textId="77777777" w:rsidR="00AB072E" w:rsidRDefault="00AB072E" w:rsidP="008206CA">
      <w:pPr>
        <w:rPr>
          <w:rFonts w:ascii="Arial" w:hAnsi="Arial"/>
          <w:sz w:val="24"/>
          <w:szCs w:val="24"/>
        </w:rPr>
      </w:pPr>
    </w:p>
    <w:p w14:paraId="0925EDB8" w14:textId="77777777" w:rsidR="00AB072E" w:rsidRDefault="00AB072E" w:rsidP="008206CA">
      <w:pPr>
        <w:rPr>
          <w:rFonts w:ascii="Arial" w:hAnsi="Arial"/>
          <w:sz w:val="24"/>
          <w:szCs w:val="24"/>
        </w:rPr>
      </w:pPr>
    </w:p>
    <w:p w14:paraId="0F1D6252" w14:textId="77777777" w:rsidR="00AB072E" w:rsidRDefault="00AB072E" w:rsidP="008206CA">
      <w:pPr>
        <w:rPr>
          <w:rFonts w:ascii="Arial" w:hAnsi="Arial"/>
          <w:sz w:val="24"/>
          <w:szCs w:val="24"/>
        </w:rPr>
      </w:pPr>
    </w:p>
    <w:p w14:paraId="75519949" w14:textId="77777777" w:rsidR="008206CA" w:rsidRPr="00F2479D" w:rsidRDefault="008206CA" w:rsidP="008206CA">
      <w:pPr>
        <w:rPr>
          <w:rFonts w:ascii="Arial" w:hAnsi="Arial"/>
          <w:sz w:val="24"/>
          <w:szCs w:val="24"/>
        </w:rPr>
      </w:pPr>
      <w:r w:rsidRPr="000A4946">
        <w:rPr>
          <w:rFonts w:ascii="Arial" w:hAnsi="Arial"/>
          <w:sz w:val="24"/>
          <w:szCs w:val="24"/>
        </w:rPr>
        <w:lastRenderedPageBreak/>
        <w:t xml:space="preserve">9. </w:t>
      </w:r>
      <w:r w:rsidRPr="000A4946">
        <w:rPr>
          <w:rFonts w:ascii="Arial" w:hAnsi="Arial"/>
          <w:sz w:val="24"/>
          <w:szCs w:val="24"/>
        </w:rPr>
        <w:tab/>
      </w:r>
      <w:r w:rsidRPr="00EE702A">
        <w:rPr>
          <w:rFonts w:ascii="Arial" w:hAnsi="Arial"/>
          <w:b/>
          <w:sz w:val="24"/>
          <w:szCs w:val="24"/>
        </w:rPr>
        <w:t xml:space="preserve">The </w:t>
      </w:r>
      <w:r>
        <w:rPr>
          <w:rFonts w:ascii="Arial" w:hAnsi="Arial"/>
          <w:b/>
          <w:sz w:val="24"/>
          <w:szCs w:val="24"/>
        </w:rPr>
        <w:t xml:space="preserve">Governance &amp; </w:t>
      </w:r>
      <w:r w:rsidRPr="00F2479D">
        <w:rPr>
          <w:rFonts w:ascii="Arial" w:hAnsi="Arial"/>
          <w:b/>
          <w:sz w:val="24"/>
          <w:szCs w:val="24"/>
        </w:rPr>
        <w:t>Audit Committee</w:t>
      </w:r>
    </w:p>
    <w:p w14:paraId="567279E2" w14:textId="77777777" w:rsidR="008206CA" w:rsidRDefault="008206CA" w:rsidP="008206CA">
      <w:pPr>
        <w:rPr>
          <w:rFonts w:ascii="Arial" w:hAnsi="Arial"/>
          <w:sz w:val="24"/>
          <w:szCs w:val="24"/>
        </w:rPr>
      </w:pPr>
      <w:r w:rsidRPr="00F2479D">
        <w:rPr>
          <w:rFonts w:ascii="Arial" w:hAnsi="Arial"/>
          <w:sz w:val="24"/>
          <w:szCs w:val="24"/>
        </w:rPr>
        <w:tab/>
      </w:r>
    </w:p>
    <w:p w14:paraId="00BAB064" w14:textId="77777777" w:rsidR="008206CA" w:rsidRPr="00C169A4" w:rsidRDefault="008206CA" w:rsidP="00E9344C">
      <w:pPr>
        <w:spacing w:after="9"/>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w:t>
      </w:r>
      <w:r w:rsidRPr="00C169A4">
        <w:rPr>
          <w:rFonts w:ascii="Arial" w:eastAsia="Arial" w:hAnsi="Arial" w:cs="Arial"/>
          <w:color w:val="000000"/>
          <w:sz w:val="24"/>
          <w:lang w:eastAsia="en-GB"/>
        </w:rPr>
        <w:t xml:space="preserve">.1 </w:t>
      </w:r>
      <w:r>
        <w:rPr>
          <w:rFonts w:ascii="Arial" w:eastAsia="Arial" w:hAnsi="Arial" w:cs="Arial"/>
          <w:color w:val="000000"/>
          <w:sz w:val="24"/>
          <w:lang w:eastAsia="en-GB"/>
        </w:rPr>
        <w:tab/>
      </w:r>
      <w:r w:rsidRPr="00C169A4">
        <w:rPr>
          <w:rFonts w:ascii="Arial" w:eastAsia="Arial" w:hAnsi="Arial" w:cs="Arial"/>
          <w:color w:val="000000"/>
          <w:sz w:val="24"/>
          <w:lang w:eastAsia="en-GB"/>
        </w:rPr>
        <w:t>The Council has continued to face significant challenges during 2021/22 with the ongoing impact of the COVID virus. Once again the Chair pays tribute to all staff and officers of the Council in dealing admirably with the challenges brought about by the COVID pandemic. Throughout this year officers of the Council as well as the Council Partners' were fully committed to meeting their responsibilities. The Chair also acknowledges that the</w:t>
      </w:r>
    </w:p>
    <w:p w14:paraId="150DA547" w14:textId="77777777" w:rsidR="008206CA" w:rsidRPr="00C169A4" w:rsidRDefault="008206CA" w:rsidP="00E9344C">
      <w:pPr>
        <w:spacing w:after="291"/>
        <w:ind w:left="705" w:right="313"/>
        <w:jc w:val="both"/>
        <w:rPr>
          <w:rFonts w:ascii="Arial" w:eastAsia="Arial" w:hAnsi="Arial" w:cs="Arial"/>
          <w:color w:val="000000"/>
          <w:sz w:val="24"/>
          <w:lang w:eastAsia="en-GB"/>
        </w:rPr>
      </w:pPr>
      <w:r w:rsidRPr="00C169A4">
        <w:rPr>
          <w:rFonts w:ascii="Arial" w:eastAsia="Arial" w:hAnsi="Arial" w:cs="Arial"/>
          <w:color w:val="000000"/>
          <w:sz w:val="24"/>
          <w:lang w:eastAsia="en-GB"/>
        </w:rPr>
        <w:t>Council continued its efforts to maintain continuity of governance.</w:t>
      </w:r>
    </w:p>
    <w:p w14:paraId="478A4A11"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9.2</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t>Noted below is</w:t>
      </w:r>
      <w:r w:rsidRPr="00C169A4">
        <w:rPr>
          <w:rFonts w:ascii="Arial" w:eastAsia="Arial" w:hAnsi="Arial" w:cs="Arial"/>
          <w:color w:val="000000"/>
          <w:sz w:val="24"/>
          <w:lang w:eastAsia="en-GB"/>
        </w:rPr>
        <w:t xml:space="preserve"> an overview of the Governance &amp; Audit Committee’s work in the municipal year 2021/22. On 9th June 2021 the Governance &amp; Audit Committee considered the election of Chair for 2021/22 Municipal Year where it was resolved that Paula O’Connor be elected Chair. At the meeting on 13th July 2021 Councillor P R Hood-Williams was elected Vice-Chair for the 2021/22 Municipal Year. In addition, at the September 2021 meeting the Committee considered the requirements of the Local Government and Election (Wales) Act that states that the Governance &amp; Audit Committee shall consist of one third Lay Members. The Committee was asked to consider its new size and implication that one third would be Lay Members. The recommendation made by Members to the full Council was to opt for 15 members consisting of 10 Councillors and 5 Lay Members. The Council approved this and in March 2022 progress was made in recruiting for three Lay Members.</w:t>
      </w:r>
    </w:p>
    <w:p w14:paraId="1F485923" w14:textId="77777777" w:rsidR="008206CA" w:rsidRPr="00C169A4" w:rsidRDefault="008206CA" w:rsidP="00E9344C">
      <w:pPr>
        <w:spacing w:after="291"/>
        <w:ind w:left="705" w:right="313" w:hanging="705"/>
        <w:jc w:val="both"/>
        <w:rPr>
          <w:rFonts w:ascii="Arial" w:eastAsia="Arial" w:hAnsi="Arial" w:cs="Arial"/>
          <w:color w:val="000000"/>
          <w:sz w:val="24"/>
          <w:lang w:eastAsia="en-GB"/>
        </w:rPr>
      </w:pPr>
      <w:r>
        <w:rPr>
          <w:rFonts w:ascii="Arial" w:eastAsia="Arial" w:hAnsi="Arial" w:cs="Arial"/>
          <w:color w:val="000000"/>
          <w:sz w:val="24"/>
          <w:lang w:eastAsia="en-GB"/>
        </w:rPr>
        <w:t xml:space="preserve">9.3 </w:t>
      </w:r>
      <w:r>
        <w:rPr>
          <w:rFonts w:ascii="Arial" w:eastAsia="Arial" w:hAnsi="Arial" w:cs="Arial"/>
          <w:color w:val="000000"/>
          <w:sz w:val="24"/>
          <w:lang w:eastAsia="en-GB"/>
        </w:rPr>
        <w:tab/>
      </w:r>
      <w:r w:rsidRPr="00C169A4">
        <w:rPr>
          <w:rFonts w:ascii="Arial" w:eastAsia="Arial" w:hAnsi="Arial" w:cs="Arial"/>
          <w:color w:val="000000"/>
          <w:sz w:val="24"/>
          <w:lang w:eastAsia="en-GB"/>
        </w:rPr>
        <w:t>As a result of the Act the Governance &amp; Audit Committee Terms of Reference was amended to reflect the new membership plus the additional roles of the Committee. The new Act requires careful coordination between the Governance &amp; Audit Committee and the Scrutiny Committee as both embark on the new co-ordinated responsibilities. It is a benefit at this time that the Scrutiny Committee Chair is also a Member of the Governance &amp; Audit Committee. The Chair has also ensured that the Work Programme of the Scrutiny Committee is appended to every meeting of the Governance &amp; Audit Committee. With regard to the Governance &amp; Audit Committee’s responsibility to review the annual Self-Assessment Report and also the Panel Performance Assessment Report the Chair has liaised with the Chair of Performance Committee who has agreed to attend the Governance &amp; Audit Committee when these reports are presented.</w:t>
      </w:r>
    </w:p>
    <w:p w14:paraId="3590658A"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9.4</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 xml:space="preserve">The Committee’s terms of reference forms </w:t>
      </w:r>
      <w:r>
        <w:rPr>
          <w:rFonts w:ascii="Arial" w:eastAsia="Arial" w:hAnsi="Arial" w:cs="Arial"/>
          <w:color w:val="000000"/>
          <w:sz w:val="24"/>
          <w:lang w:eastAsia="en-GB"/>
        </w:rPr>
        <w:t>part of each A</w:t>
      </w:r>
      <w:r w:rsidRPr="00C169A4">
        <w:rPr>
          <w:rFonts w:ascii="Arial" w:eastAsia="Arial" w:hAnsi="Arial" w:cs="Arial"/>
          <w:color w:val="000000"/>
          <w:sz w:val="24"/>
          <w:lang w:eastAsia="en-GB"/>
        </w:rPr>
        <w:t xml:space="preserve">genda as an aide to ensure that Members are sighted of the Committee's effectiveness in satisfying it‘s role. The Chair has continually reviewed Committee Agenda’s in consultation with Democratic Services to ensure they meet the requirements of the Terms of Reference. In </w:t>
      </w:r>
      <w:r>
        <w:rPr>
          <w:rFonts w:ascii="Arial" w:eastAsia="Arial" w:hAnsi="Arial" w:cs="Arial"/>
          <w:color w:val="000000"/>
          <w:sz w:val="24"/>
          <w:lang w:eastAsia="en-GB"/>
        </w:rPr>
        <w:t xml:space="preserve">addition, the Chair has liaised </w:t>
      </w:r>
      <w:r w:rsidRPr="00C169A4">
        <w:rPr>
          <w:rFonts w:ascii="Arial" w:eastAsia="Arial" w:hAnsi="Arial" w:cs="Arial"/>
          <w:color w:val="000000"/>
          <w:sz w:val="24"/>
          <w:lang w:eastAsia="en-GB"/>
        </w:rPr>
        <w:t xml:space="preserve">with the Deputy Chief Executive to establish a formal Training Programme for Members to include the new areas of responsibility plus a clear understanding of the roles of </w:t>
      </w:r>
      <w:r>
        <w:rPr>
          <w:rFonts w:ascii="Arial" w:eastAsia="Arial" w:hAnsi="Arial" w:cs="Arial"/>
          <w:color w:val="000000"/>
          <w:sz w:val="24"/>
          <w:lang w:eastAsia="en-GB"/>
        </w:rPr>
        <w:t xml:space="preserve">Scrutiny </w:t>
      </w:r>
      <w:r w:rsidRPr="00C169A4">
        <w:rPr>
          <w:rFonts w:ascii="Arial" w:eastAsia="Arial" w:hAnsi="Arial" w:cs="Arial"/>
          <w:color w:val="000000"/>
          <w:sz w:val="24"/>
          <w:lang w:eastAsia="en-GB"/>
        </w:rPr>
        <w:t>Committees that also consider these subject matters.</w:t>
      </w:r>
    </w:p>
    <w:p w14:paraId="7F942018"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9.5</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The Chair also notes tha</w:t>
      </w:r>
      <w:r>
        <w:rPr>
          <w:rFonts w:ascii="Arial" w:eastAsia="Arial" w:hAnsi="Arial" w:cs="Arial"/>
          <w:color w:val="000000"/>
          <w:sz w:val="24"/>
          <w:lang w:eastAsia="en-GB"/>
        </w:rPr>
        <w:t>t Part 5 of the Local Government</w:t>
      </w:r>
      <w:r w:rsidRPr="00C169A4">
        <w:rPr>
          <w:rFonts w:ascii="Arial" w:eastAsia="Arial" w:hAnsi="Arial" w:cs="Arial"/>
          <w:color w:val="000000"/>
          <w:sz w:val="24"/>
          <w:lang w:eastAsia="en-GB"/>
        </w:rPr>
        <w:t xml:space="preserve"> and Elections (Wales) Act 2021 provided for the establishment through regulations of Corporate Joint Committees (CJC). This resulted in the establishment of the South West Wales Corporate Joint Committee. At the September 2021 Governance &amp; Audit Committee </w:t>
      </w:r>
      <w:r w:rsidRPr="00C169A4">
        <w:rPr>
          <w:rFonts w:ascii="Arial" w:eastAsia="Arial" w:hAnsi="Arial" w:cs="Arial"/>
          <w:color w:val="000000"/>
          <w:sz w:val="24"/>
          <w:lang w:eastAsia="en-GB"/>
        </w:rPr>
        <w:lastRenderedPageBreak/>
        <w:t>further insight was given to Members as to the current status and progress of the CJC and then in December 2021 the Governance &amp; Audit Committee were informed of progress and next steps being taken in establishing a formal governance framework. The status and progress of the work of the CJC will be brought back to the Governance &amp; Audit Committee during the early part of 2022 where consideration will be given to any further changes to Terms of Reference of the Governance &amp; Audit Committee.</w:t>
      </w:r>
    </w:p>
    <w:p w14:paraId="70A02510"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9.6</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The Chair would highlight that changes were taking place with the Management Structure in February 2021 and these changes remained under consideration and consultation during 2021/22. The Governance &amp; Audit Committee have continued to express concern around the absence of the Workforce Strategy and the challenges placed on resource throughout 2021/22. In February 2022 the Strategic HR&amp;OD Manager confirmed that a proposed Workforce Strategy has been developed for the financial year April 2022-2025. It was also confirmed that the Strategy took into consideration the Council’s Corporate Plan “Delivery a Successful and Sustainable Swansea” as well as the provisions of the Well-Being of Future Generations (Wales) Act 2015. Subject to any final changes the Strategy was to be launched in March 2022.</w:t>
      </w:r>
    </w:p>
    <w:p w14:paraId="4ABAC9D4"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9.7</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The Chair also highlights that the Committee has previously reported on the shortfall in assurances being received around the Council’s Risk Management arrangements. However, the Chair has ensured that the Service Directors have attended the Governance &amp; Audit Committee during the year to provide assurance to the Committee that individual functions are exercised effectively, there is economic, efficient and effective use of resources and effective governance.</w:t>
      </w:r>
    </w:p>
    <w:p w14:paraId="7ADD9CF5"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9.8</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The development and roll out of the new electronic risk management system continued into early 2021 and the Chair would note that improvement had been made in the reporting format of the Risk Register. However, during the majority of 2021 the content of the Risk report still required improvement. A Risk Report was presented to the Committee in September 2021, November 2021 and February 2022. The Chair also notes that additional Training had been undertaken along with Video Training access and towards the end of 2021/22 some improvement was recognised in the February 2022 report.</w:t>
      </w:r>
    </w:p>
    <w:p w14:paraId="22DB6621"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9.9</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The new Act has placed responsibility on the Governance &amp; Audit Committee to review the Council’s draft response to the Panel Performance Assessment report, any Audit Wales recommendations arising from Council’s performance as well as the Council’s draft annual Self-Assessment report. The Governance &amp; Audit Committee Work Programme has been updated to reflect the presentation of these reports in 2022.</w:t>
      </w:r>
    </w:p>
    <w:p w14:paraId="55E9D508" w14:textId="77777777" w:rsidR="008206CA"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9.10</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The Annual Complaints report was presented to the Governance &amp; Audit Committee in December 2021. The Committee welcomed the report but noted that it was important not to overlap the work of Scrutiny Committee. The Chair of Scrutiny Committee confirmed that the Complaints report was due to be considered by Scrutiny in March 2022.</w:t>
      </w:r>
    </w:p>
    <w:p w14:paraId="069E73F8"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lastRenderedPageBreak/>
        <w:t>9.11</w:t>
      </w:r>
      <w:r w:rsidRPr="00C169A4">
        <w:rPr>
          <w:rFonts w:ascii="Arial" w:eastAsia="Arial" w:hAnsi="Arial" w:cs="Arial"/>
          <w:color w:val="000000"/>
          <w:sz w:val="24"/>
          <w:lang w:eastAsia="en-GB"/>
        </w:rPr>
        <w:tab/>
        <w:t>The Committee has reviewed the work programme at each meeting, taking account of risk and priorities and in particular pandemic issues and Internal Audit Moderate Assurance reports issued.</w:t>
      </w:r>
    </w:p>
    <w:p w14:paraId="07D39F54"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9.12</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The Chair attended a further meeting of the All Wales Audit Committee Chairs network in September 2021 where there was opportunity to network, share ideas and problem solve with peers performing similar roles. The event was dedicated to understanding Governance and Audit Committee 'performance' responsibilities resulting from the Local Governments Elections (Wales) Act 2021, to support us to discharge our new responsibilities effectively. Presentations were given by the Welsh Local Government Association and also the Public Service Ombudsman for Wales. An interactive section was also facilitated by Audit Wales to consolidate some of the learning from the Act.</w:t>
      </w:r>
    </w:p>
    <w:p w14:paraId="5C940FC3"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9.13</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 xml:space="preserve">The </w:t>
      </w:r>
      <w:r>
        <w:rPr>
          <w:rFonts w:ascii="Arial" w:eastAsia="Arial" w:hAnsi="Arial" w:cs="Arial"/>
          <w:color w:val="000000"/>
          <w:sz w:val="24"/>
          <w:lang w:eastAsia="en-GB"/>
        </w:rPr>
        <w:t xml:space="preserve">Governance &amp; </w:t>
      </w:r>
      <w:r w:rsidRPr="00C169A4">
        <w:rPr>
          <w:rFonts w:ascii="Arial" w:eastAsia="Arial" w:hAnsi="Arial" w:cs="Arial"/>
          <w:color w:val="000000"/>
          <w:sz w:val="24"/>
          <w:lang w:eastAsia="en-GB"/>
        </w:rPr>
        <w:t>Audit Committee terms of reference states that the Committee “oversees internal audit and external audit, helping to ensure efficient and effective assurance arrangements are in place.</w:t>
      </w:r>
    </w:p>
    <w:p w14:paraId="372D9929"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9.14</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 xml:space="preserve">The Committee received the 2021/22 Internal Audit Plan and Charter on 20th April 2021 and has received reports regularly during the year from the Chief Internal Auditor. The Chair has expressed her gratitude to the Chief Auditor in progressing with the plan alongside the pressures of the pandemic and also for responding to a request to enhance the detail in the reports to provide further understanding of the work undertaken and the risks identified. During 2021/22 the Chief Auditor reported a number of Moderate Assurance audit reports that resulted in those responsible attending </w:t>
      </w:r>
      <w:r>
        <w:rPr>
          <w:rFonts w:ascii="Arial" w:eastAsia="Arial" w:hAnsi="Arial" w:cs="Arial"/>
          <w:color w:val="000000"/>
          <w:sz w:val="24"/>
          <w:lang w:eastAsia="en-GB"/>
        </w:rPr>
        <w:t xml:space="preserve">Governance &amp; </w:t>
      </w:r>
      <w:r w:rsidRPr="00C169A4">
        <w:rPr>
          <w:rFonts w:ascii="Arial" w:eastAsia="Arial" w:hAnsi="Arial" w:cs="Arial"/>
          <w:color w:val="000000"/>
          <w:sz w:val="24"/>
          <w:lang w:eastAsia="en-GB"/>
        </w:rPr>
        <w:t xml:space="preserve">Audit Committee to give assurance that appropriate action was being taken where significant weaknesses in control were identified. During the year the Chief Internal Auditor updated the </w:t>
      </w:r>
      <w:r>
        <w:rPr>
          <w:rFonts w:ascii="Arial" w:eastAsia="Arial" w:hAnsi="Arial" w:cs="Arial"/>
          <w:color w:val="000000"/>
          <w:sz w:val="24"/>
          <w:lang w:eastAsia="en-GB"/>
        </w:rPr>
        <w:t xml:space="preserve">Governance &amp; </w:t>
      </w:r>
      <w:r w:rsidRPr="00C169A4">
        <w:rPr>
          <w:rFonts w:ascii="Arial" w:eastAsia="Arial" w:hAnsi="Arial" w:cs="Arial"/>
          <w:color w:val="000000"/>
          <w:sz w:val="24"/>
          <w:lang w:eastAsia="en-GB"/>
        </w:rPr>
        <w:t xml:space="preserve">Audit Committee of those audit assignments that had to be deferred as a result of the pandemic impacts.  The final Chief Internal Auditor opinion is due to be presented to the </w:t>
      </w:r>
      <w:r>
        <w:rPr>
          <w:rFonts w:ascii="Arial" w:eastAsia="Arial" w:hAnsi="Arial" w:cs="Arial"/>
          <w:color w:val="000000"/>
          <w:sz w:val="24"/>
          <w:lang w:eastAsia="en-GB"/>
        </w:rPr>
        <w:t xml:space="preserve">Governance &amp; </w:t>
      </w:r>
      <w:r w:rsidRPr="00C169A4">
        <w:rPr>
          <w:rFonts w:ascii="Arial" w:eastAsia="Arial" w:hAnsi="Arial" w:cs="Arial"/>
          <w:color w:val="000000"/>
          <w:sz w:val="24"/>
          <w:lang w:eastAsia="en-GB"/>
        </w:rPr>
        <w:t xml:space="preserve">Audit Committee in </w:t>
      </w:r>
      <w:r>
        <w:rPr>
          <w:rFonts w:ascii="Arial" w:eastAsia="Arial" w:hAnsi="Arial" w:cs="Arial"/>
          <w:sz w:val="24"/>
          <w:lang w:eastAsia="en-GB"/>
        </w:rPr>
        <w:t>May 2022</w:t>
      </w:r>
      <w:r w:rsidRPr="00591CC7">
        <w:rPr>
          <w:rFonts w:ascii="Arial" w:eastAsia="Arial" w:hAnsi="Arial" w:cs="Arial"/>
          <w:sz w:val="24"/>
          <w:lang w:eastAsia="en-GB"/>
        </w:rPr>
        <w:t>.</w:t>
      </w:r>
    </w:p>
    <w:p w14:paraId="6B599441"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9.15</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In March 2021 the Chief Internal Auditor presented the Draft Internal Audit Plan for 2021/22 and methodology applied. The Chair commented that the Committee was able to support approval of the Plan to Council with the caveat that assurances had been obtained from the Chief Internal Auditor that the Plan was risk based and complied with the Public Sector Internal Audit Standards. The Committee would seek to gain further understanding of the scope of the reviews during 2021/22.</w:t>
      </w:r>
    </w:p>
    <w:p w14:paraId="66998410"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9.16</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Audit Wales presented their 2021 Audit Plan to the Governance &amp; Audit Committee on 20th April 2021, and has provided the Committee with regular updates to their work. The most recent update to Quarter 31 December 2021 presented on 8th March 2022. In 2017/18 and continuing to date the Chair suggested that consideration be given to developing a tracker to give focus to improved completion of external audit recommendations. This work is yet to be completed but the Chair acknowledges the attempts being made to develop an electronic system to track action against recommendations but in the interim the Scrutiny Committee has the opportunity to challenge non implementation of recommendations as well as the Governance &amp; Audit Committee.</w:t>
      </w:r>
    </w:p>
    <w:p w14:paraId="2A6C3CCB" w14:textId="77777777" w:rsidR="008206CA" w:rsidRPr="00C169A4" w:rsidRDefault="008206CA" w:rsidP="00E9344C">
      <w:pPr>
        <w:spacing w:after="9"/>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lastRenderedPageBreak/>
        <w:t>9.17</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The Chair has met during the period with the Deputy Chief Executive, S151 Officer, Monitoring Officer, Chief Internal Auditor and Audit Wales. When necessary during the year the Chair has been in communication with the</w:t>
      </w:r>
    </w:p>
    <w:p w14:paraId="15650F91" w14:textId="77777777" w:rsidR="008206CA" w:rsidRPr="00C169A4" w:rsidRDefault="008206CA" w:rsidP="00E9344C">
      <w:pPr>
        <w:spacing w:after="291"/>
        <w:ind w:left="705" w:right="313"/>
        <w:jc w:val="both"/>
        <w:rPr>
          <w:rFonts w:ascii="Arial" w:eastAsia="Arial" w:hAnsi="Arial" w:cs="Arial"/>
          <w:color w:val="000000"/>
          <w:sz w:val="24"/>
          <w:lang w:eastAsia="en-GB"/>
        </w:rPr>
      </w:pPr>
      <w:r w:rsidRPr="00C169A4">
        <w:rPr>
          <w:rFonts w:ascii="Arial" w:eastAsia="Arial" w:hAnsi="Arial" w:cs="Arial"/>
          <w:color w:val="000000"/>
          <w:sz w:val="24"/>
          <w:lang w:eastAsia="en-GB"/>
        </w:rPr>
        <w:t>Chief Executive.</w:t>
      </w:r>
    </w:p>
    <w:p w14:paraId="6112DCA7"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9.18</w:t>
      </w:r>
      <w:r w:rsidRPr="00C169A4">
        <w:rPr>
          <w:rFonts w:ascii="Arial" w:eastAsia="Arial" w:hAnsi="Arial" w:cs="Arial"/>
          <w:color w:val="000000"/>
          <w:sz w:val="24"/>
          <w:lang w:eastAsia="en-GB"/>
        </w:rPr>
        <w:t xml:space="preserve"> </w:t>
      </w:r>
      <w:r>
        <w:rPr>
          <w:rFonts w:ascii="Arial" w:eastAsia="Arial" w:hAnsi="Arial" w:cs="Arial"/>
          <w:color w:val="000000"/>
          <w:sz w:val="24"/>
          <w:lang w:eastAsia="en-GB"/>
        </w:rPr>
        <w:tab/>
      </w:r>
      <w:r w:rsidRPr="00C169A4">
        <w:rPr>
          <w:rFonts w:ascii="Arial" w:eastAsia="Arial" w:hAnsi="Arial" w:cs="Arial"/>
          <w:color w:val="000000"/>
          <w:sz w:val="24"/>
          <w:lang w:eastAsia="en-GB"/>
        </w:rPr>
        <w:t>On 20th April 2021 the Committee received the 2021/22 Fraud Function Annual Plan. The 2020/21 Anti-Fraud Annual Report was received at the meeting in July 2021.</w:t>
      </w:r>
    </w:p>
    <w:p w14:paraId="2BA7EE9A" w14:textId="77777777" w:rsidR="008206CA" w:rsidRPr="00EC7691" w:rsidRDefault="008206CA" w:rsidP="00E9344C">
      <w:pPr>
        <w:spacing w:after="291"/>
        <w:ind w:left="720" w:right="313" w:hanging="720"/>
        <w:jc w:val="both"/>
        <w:rPr>
          <w:rFonts w:ascii="Arial" w:eastAsia="Arial" w:hAnsi="Arial" w:cs="Arial"/>
          <w:sz w:val="24"/>
          <w:lang w:eastAsia="en-GB"/>
        </w:rPr>
      </w:pPr>
      <w:r>
        <w:rPr>
          <w:rFonts w:ascii="Arial" w:eastAsia="Arial" w:hAnsi="Arial" w:cs="Arial"/>
          <w:color w:val="000000"/>
          <w:sz w:val="24"/>
          <w:lang w:eastAsia="en-GB"/>
        </w:rPr>
        <w:t>9.19</w:t>
      </w:r>
      <w:r>
        <w:rPr>
          <w:rFonts w:ascii="Arial" w:eastAsia="Arial" w:hAnsi="Arial" w:cs="Arial"/>
          <w:color w:val="000000"/>
          <w:sz w:val="24"/>
          <w:lang w:eastAsia="en-GB"/>
        </w:rPr>
        <w:tab/>
      </w:r>
      <w:r w:rsidRPr="00C169A4">
        <w:rPr>
          <w:rFonts w:ascii="Arial" w:eastAsia="Arial" w:hAnsi="Arial" w:cs="Arial"/>
          <w:color w:val="000000"/>
          <w:sz w:val="24"/>
          <w:lang w:eastAsia="en-GB"/>
        </w:rPr>
        <w:t xml:space="preserve">An additional report was presented to provide the Governance &amp; Audit Committee with an update against progress being made against recommendations in the Audit Wales report Raising our Game - Tackling Fraud in Wales in March 2021 with an update on progress in November 2021. The Committee noted that some further work was required to address </w:t>
      </w:r>
      <w:r w:rsidRPr="00EC7691">
        <w:rPr>
          <w:rFonts w:ascii="Arial" w:eastAsia="Arial" w:hAnsi="Arial" w:cs="Arial"/>
          <w:sz w:val="24"/>
          <w:lang w:eastAsia="en-GB"/>
        </w:rPr>
        <w:t xml:space="preserve">all those recommendations. </w:t>
      </w:r>
    </w:p>
    <w:p w14:paraId="64794E0E" w14:textId="77777777" w:rsidR="008206CA" w:rsidRPr="00631059" w:rsidRDefault="008206CA" w:rsidP="00E9344C">
      <w:pPr>
        <w:spacing w:after="308"/>
        <w:ind w:left="705" w:right="302" w:hanging="705"/>
        <w:jc w:val="both"/>
        <w:rPr>
          <w:rFonts w:ascii="Arial" w:eastAsia="Arial" w:hAnsi="Arial" w:cs="Arial"/>
          <w:sz w:val="24"/>
          <w:lang w:eastAsia="en-GB"/>
        </w:rPr>
      </w:pPr>
      <w:r>
        <w:rPr>
          <w:rFonts w:ascii="Arial" w:eastAsia="Arial" w:hAnsi="Arial" w:cs="Arial"/>
          <w:sz w:val="24"/>
          <w:lang w:eastAsia="en-GB"/>
        </w:rPr>
        <w:t>9.20</w:t>
      </w:r>
      <w:r w:rsidRPr="00EC7691">
        <w:rPr>
          <w:rFonts w:ascii="Arial" w:eastAsia="Arial" w:hAnsi="Arial" w:cs="Arial"/>
          <w:sz w:val="24"/>
          <w:lang w:eastAsia="en-GB"/>
        </w:rPr>
        <w:t xml:space="preserve"> </w:t>
      </w:r>
      <w:r w:rsidRPr="00EC7691">
        <w:rPr>
          <w:rFonts w:ascii="Arial" w:eastAsia="Arial" w:hAnsi="Arial" w:cs="Arial"/>
          <w:sz w:val="24"/>
          <w:lang w:eastAsia="en-GB"/>
        </w:rPr>
        <w:tab/>
        <w:t xml:space="preserve">Cllr Lesley Walton is the </w:t>
      </w:r>
      <w:r>
        <w:rPr>
          <w:rFonts w:ascii="Arial" w:eastAsia="Arial" w:hAnsi="Arial" w:cs="Arial"/>
          <w:sz w:val="24"/>
          <w:lang w:eastAsia="en-GB"/>
        </w:rPr>
        <w:t xml:space="preserve">Governance &amp; </w:t>
      </w:r>
      <w:r w:rsidRPr="00EC7691">
        <w:rPr>
          <w:rFonts w:ascii="Arial" w:eastAsia="Arial" w:hAnsi="Arial" w:cs="Arial"/>
          <w:sz w:val="24"/>
          <w:lang w:eastAsia="en-GB"/>
        </w:rPr>
        <w:t xml:space="preserve">Audit Committee Representative on the Council’s Governance Group. The Governance Group was established to review the production of the AGS during the year. </w:t>
      </w:r>
      <w:r w:rsidRPr="00631059">
        <w:rPr>
          <w:rFonts w:ascii="Arial" w:eastAsia="Arial" w:hAnsi="Arial" w:cs="Arial"/>
          <w:sz w:val="24"/>
          <w:lang w:eastAsia="en-GB"/>
        </w:rPr>
        <w:t>The Group met in March 2022 to discuss the draft AGS for 2021/22.</w:t>
      </w:r>
    </w:p>
    <w:p w14:paraId="1CB44D33" w14:textId="77777777" w:rsidR="008206CA" w:rsidRPr="00C169A4" w:rsidRDefault="008206CA" w:rsidP="00E9344C">
      <w:pPr>
        <w:spacing w:after="308"/>
        <w:ind w:left="705" w:right="302" w:hanging="705"/>
        <w:jc w:val="both"/>
        <w:rPr>
          <w:rFonts w:ascii="Arial" w:eastAsia="Arial" w:hAnsi="Arial" w:cs="Arial"/>
          <w:color w:val="000000"/>
          <w:sz w:val="24"/>
          <w:lang w:eastAsia="en-GB"/>
        </w:rPr>
      </w:pPr>
      <w:r>
        <w:rPr>
          <w:rFonts w:ascii="Arial" w:eastAsia="Arial" w:hAnsi="Arial" w:cs="Arial"/>
          <w:color w:val="000000"/>
          <w:sz w:val="24"/>
          <w:lang w:eastAsia="en-GB"/>
        </w:rPr>
        <w:t>9.21</w:t>
      </w:r>
      <w:r>
        <w:rPr>
          <w:rFonts w:ascii="Arial" w:eastAsia="Arial" w:hAnsi="Arial" w:cs="Arial"/>
          <w:color w:val="000000"/>
          <w:sz w:val="24"/>
          <w:lang w:eastAsia="en-GB"/>
        </w:rPr>
        <w:tab/>
      </w:r>
      <w:r w:rsidRPr="00C169A4">
        <w:rPr>
          <w:rFonts w:ascii="Arial" w:eastAsia="Arial" w:hAnsi="Arial" w:cs="Arial"/>
          <w:color w:val="000000"/>
          <w:sz w:val="24"/>
          <w:lang w:eastAsia="en-GB"/>
        </w:rPr>
        <w:t>The Chair attended the Scrutiny Pan</w:t>
      </w:r>
      <w:r>
        <w:rPr>
          <w:rFonts w:ascii="Arial" w:eastAsia="Arial" w:hAnsi="Arial" w:cs="Arial"/>
          <w:color w:val="000000"/>
          <w:sz w:val="24"/>
          <w:lang w:eastAsia="en-GB"/>
        </w:rPr>
        <w:t>el Conference 12th October 2021.</w:t>
      </w:r>
      <w:r w:rsidRPr="00A42AF7">
        <w:rPr>
          <w:rFonts w:ascii="Arial" w:eastAsia="Arial" w:hAnsi="Arial" w:cs="Arial"/>
          <w:color w:val="000000"/>
          <w:sz w:val="24"/>
          <w:lang w:eastAsia="en-GB"/>
        </w:rPr>
        <w:tab/>
      </w:r>
      <w:r w:rsidRPr="00C169A4">
        <w:rPr>
          <w:rFonts w:ascii="Arial" w:eastAsia="Arial" w:hAnsi="Arial" w:cs="Arial"/>
          <w:color w:val="000000"/>
          <w:sz w:val="24"/>
          <w:lang w:eastAsia="en-GB"/>
        </w:rPr>
        <w:t>The</w:t>
      </w:r>
      <w:r w:rsidRPr="00C169A4">
        <w:rPr>
          <w:rFonts w:ascii="Arial" w:eastAsia="Arial" w:hAnsi="Arial" w:cs="Arial"/>
          <w:color w:val="000000"/>
          <w:sz w:val="24"/>
          <w:lang w:eastAsia="en-GB"/>
        </w:rPr>
        <w:tab/>
        <w:t>Governance</w:t>
      </w:r>
      <w:r w:rsidRPr="00C169A4">
        <w:rPr>
          <w:rFonts w:ascii="Arial" w:eastAsia="Arial" w:hAnsi="Arial" w:cs="Arial"/>
          <w:color w:val="000000"/>
          <w:sz w:val="24"/>
          <w:lang w:eastAsia="en-GB"/>
        </w:rPr>
        <w:tab/>
        <w:t>&amp;</w:t>
      </w:r>
      <w:r w:rsidRPr="00C169A4">
        <w:rPr>
          <w:rFonts w:ascii="Arial" w:eastAsia="Arial" w:hAnsi="Arial" w:cs="Arial"/>
          <w:color w:val="000000"/>
          <w:sz w:val="24"/>
          <w:lang w:eastAsia="en-GB"/>
        </w:rPr>
        <w:tab/>
        <w:t>Audit</w:t>
      </w:r>
      <w:r w:rsidRPr="00C169A4">
        <w:rPr>
          <w:rFonts w:ascii="Arial" w:eastAsia="Arial" w:hAnsi="Arial" w:cs="Arial"/>
          <w:color w:val="000000"/>
          <w:sz w:val="24"/>
          <w:lang w:eastAsia="en-GB"/>
        </w:rPr>
        <w:tab/>
        <w:t>Committee</w:t>
      </w:r>
      <w:r w:rsidRPr="00C169A4">
        <w:rPr>
          <w:rFonts w:ascii="Arial" w:eastAsia="Arial" w:hAnsi="Arial" w:cs="Arial"/>
          <w:color w:val="000000"/>
          <w:sz w:val="24"/>
          <w:lang w:eastAsia="en-GB"/>
        </w:rPr>
        <w:tab/>
        <w:t>also</w:t>
      </w:r>
      <w:r w:rsidRPr="00C169A4">
        <w:rPr>
          <w:rFonts w:ascii="Arial" w:eastAsia="Arial" w:hAnsi="Arial" w:cs="Arial"/>
          <w:color w:val="000000"/>
          <w:sz w:val="24"/>
          <w:lang w:eastAsia="en-GB"/>
        </w:rPr>
        <w:tab/>
        <w:t>received</w:t>
      </w:r>
      <w:r w:rsidRPr="00C169A4">
        <w:rPr>
          <w:rFonts w:ascii="Arial" w:eastAsia="Arial" w:hAnsi="Arial" w:cs="Arial"/>
          <w:color w:val="000000"/>
          <w:sz w:val="24"/>
          <w:lang w:eastAsia="en-GB"/>
        </w:rPr>
        <w:tab/>
        <w:t>the</w:t>
      </w:r>
      <w:r w:rsidRPr="00C169A4">
        <w:rPr>
          <w:rFonts w:ascii="Arial" w:eastAsia="Arial" w:hAnsi="Arial" w:cs="Arial"/>
          <w:color w:val="000000"/>
          <w:sz w:val="24"/>
          <w:lang w:eastAsia="en-GB"/>
        </w:rPr>
        <w:tab/>
        <w:t>Scrutiny</w:t>
      </w:r>
      <w:r>
        <w:rPr>
          <w:rFonts w:ascii="Arial" w:eastAsia="Arial" w:hAnsi="Arial" w:cs="Arial"/>
          <w:color w:val="000000"/>
          <w:sz w:val="24"/>
          <w:lang w:eastAsia="en-GB"/>
        </w:rPr>
        <w:t xml:space="preserve"> </w:t>
      </w:r>
      <w:r w:rsidRPr="00C169A4">
        <w:rPr>
          <w:rFonts w:ascii="Arial" w:eastAsia="Arial" w:hAnsi="Arial" w:cs="Arial"/>
          <w:color w:val="000000"/>
          <w:sz w:val="24"/>
          <w:lang w:eastAsia="en-GB"/>
        </w:rPr>
        <w:t>Committee’s Annual Report and Work Programme.</w:t>
      </w:r>
    </w:p>
    <w:p w14:paraId="4C025666" w14:textId="77777777" w:rsidR="008206CA" w:rsidRPr="00C169A4" w:rsidRDefault="008206CA" w:rsidP="00E9344C">
      <w:pPr>
        <w:spacing w:after="291"/>
        <w:ind w:left="700" w:right="313" w:hanging="715"/>
        <w:jc w:val="both"/>
        <w:rPr>
          <w:rFonts w:ascii="Arial" w:eastAsia="Arial" w:hAnsi="Arial" w:cs="Arial"/>
          <w:color w:val="000000"/>
          <w:sz w:val="24"/>
          <w:lang w:eastAsia="en-GB"/>
        </w:rPr>
      </w:pPr>
      <w:r>
        <w:rPr>
          <w:rFonts w:ascii="Arial" w:eastAsia="Arial" w:hAnsi="Arial" w:cs="Arial"/>
          <w:color w:val="000000"/>
          <w:sz w:val="24"/>
          <w:lang w:eastAsia="en-GB"/>
        </w:rPr>
        <w:t>9.22</w:t>
      </w:r>
      <w:r>
        <w:rPr>
          <w:rFonts w:ascii="Arial" w:eastAsia="Arial" w:hAnsi="Arial" w:cs="Arial"/>
          <w:color w:val="000000"/>
          <w:sz w:val="24"/>
          <w:lang w:eastAsia="en-GB"/>
        </w:rPr>
        <w:tab/>
      </w:r>
      <w:r w:rsidRPr="00C169A4">
        <w:rPr>
          <w:rFonts w:ascii="Arial" w:eastAsia="Arial" w:hAnsi="Arial" w:cs="Arial"/>
          <w:color w:val="000000"/>
          <w:sz w:val="24"/>
          <w:lang w:eastAsia="en-GB"/>
        </w:rPr>
        <w:t>Looking ahead to 2022/23 the Governance &amp; Audit Committee’s membership and responsibilities will need to have careful consideration and support. The Deputy Chief Executive has confirmed that following the May 2022 local elections it will be his intention to enact the Training Programme to support the work of the Committee in all new areas of responsibility. Also, this programme will reflect the needs of all new Councillor and Lay Members.</w:t>
      </w:r>
    </w:p>
    <w:p w14:paraId="10B95BBA" w14:textId="77777777" w:rsidR="008206CA" w:rsidRDefault="008206CA" w:rsidP="00E9344C">
      <w:pPr>
        <w:ind w:left="709" w:hanging="709"/>
        <w:jc w:val="both"/>
        <w:rPr>
          <w:rFonts w:ascii="Arial" w:eastAsia="Arial" w:hAnsi="Arial" w:cs="Arial"/>
          <w:sz w:val="24"/>
          <w:szCs w:val="24"/>
        </w:rPr>
      </w:pPr>
      <w:r>
        <w:rPr>
          <w:rFonts w:ascii="Arial" w:eastAsia="Arial" w:hAnsi="Arial" w:cs="Arial"/>
          <w:color w:val="000000"/>
          <w:sz w:val="24"/>
          <w:lang w:eastAsia="en-GB"/>
        </w:rPr>
        <w:t>9.23</w:t>
      </w:r>
      <w:r>
        <w:rPr>
          <w:rFonts w:ascii="Arial" w:eastAsia="Arial" w:hAnsi="Arial" w:cs="Arial"/>
          <w:color w:val="000000"/>
          <w:sz w:val="24"/>
          <w:lang w:eastAsia="en-GB"/>
        </w:rPr>
        <w:tab/>
      </w:r>
      <w:r w:rsidRPr="00C169A4">
        <w:rPr>
          <w:rFonts w:ascii="Arial" w:eastAsia="Arial" w:hAnsi="Arial" w:cs="Arial"/>
          <w:color w:val="000000"/>
          <w:sz w:val="24"/>
          <w:lang w:eastAsia="en-GB"/>
        </w:rPr>
        <w:t>The Committee’s concerns expressed during the 2021/22 Municipal year will be appropriately reflected in the Annual Governance Statement and will include the absence of the Workforce Strategy, the further improvements to embedding the risk management arrangements and enhanced reporting and the Moderate or Limited Assurance Internal Audit reports where audit recommendations remain outstanding.</w:t>
      </w:r>
    </w:p>
    <w:p w14:paraId="3200ABCA" w14:textId="77777777" w:rsidR="008206CA" w:rsidRDefault="008206CA" w:rsidP="008206CA">
      <w:pPr>
        <w:rPr>
          <w:rFonts w:ascii="Arial" w:hAnsi="Arial"/>
          <w:b/>
          <w:sz w:val="24"/>
          <w:szCs w:val="24"/>
          <w:u w:val="single"/>
        </w:rPr>
      </w:pPr>
    </w:p>
    <w:p w14:paraId="5ECB2738" w14:textId="77777777" w:rsidR="008206CA" w:rsidRDefault="008206CA" w:rsidP="00E9344C">
      <w:pPr>
        <w:jc w:val="both"/>
        <w:rPr>
          <w:rFonts w:ascii="Arial" w:hAnsi="Arial"/>
          <w:b/>
          <w:sz w:val="24"/>
          <w:szCs w:val="24"/>
          <w:u w:val="single"/>
        </w:rPr>
      </w:pPr>
      <w:r w:rsidRPr="000A4946">
        <w:rPr>
          <w:rFonts w:ascii="Arial" w:hAnsi="Arial"/>
          <w:b/>
          <w:sz w:val="24"/>
          <w:szCs w:val="24"/>
          <w:u w:val="single"/>
        </w:rPr>
        <w:t>EXTERNAL SOURCES OF ASSURANCE</w:t>
      </w:r>
    </w:p>
    <w:p w14:paraId="32AC6A15" w14:textId="77777777" w:rsidR="008206CA" w:rsidRDefault="008206CA" w:rsidP="00E9344C">
      <w:pPr>
        <w:jc w:val="both"/>
        <w:rPr>
          <w:rFonts w:ascii="Arial" w:hAnsi="Arial"/>
          <w:b/>
          <w:sz w:val="24"/>
          <w:szCs w:val="24"/>
          <w:u w:val="single"/>
        </w:rPr>
      </w:pPr>
    </w:p>
    <w:p w14:paraId="1B6E8032" w14:textId="77777777" w:rsidR="008206CA" w:rsidRDefault="008206CA" w:rsidP="00E9344C">
      <w:pPr>
        <w:tabs>
          <w:tab w:val="left" w:pos="709"/>
        </w:tabs>
        <w:jc w:val="both"/>
        <w:rPr>
          <w:rFonts w:ascii="Arial" w:hAnsi="Arial"/>
          <w:b/>
          <w:sz w:val="24"/>
          <w:szCs w:val="24"/>
          <w:u w:val="single"/>
        </w:rPr>
      </w:pPr>
      <w:r w:rsidRPr="000A4946">
        <w:rPr>
          <w:rFonts w:ascii="Arial" w:hAnsi="Arial"/>
          <w:sz w:val="24"/>
          <w:szCs w:val="24"/>
        </w:rPr>
        <w:t>10.</w:t>
      </w:r>
      <w:r w:rsidRPr="000A4946">
        <w:rPr>
          <w:rFonts w:ascii="Arial" w:hAnsi="Arial"/>
          <w:sz w:val="24"/>
          <w:szCs w:val="24"/>
        </w:rPr>
        <w:tab/>
      </w:r>
      <w:r w:rsidRPr="000A4946">
        <w:rPr>
          <w:rFonts w:ascii="Arial" w:hAnsi="Arial"/>
          <w:b/>
          <w:sz w:val="24"/>
          <w:szCs w:val="24"/>
        </w:rPr>
        <w:t>External Auditors</w:t>
      </w:r>
    </w:p>
    <w:p w14:paraId="7938CC76" w14:textId="77777777" w:rsidR="008206CA" w:rsidRDefault="008206CA" w:rsidP="00E9344C">
      <w:pPr>
        <w:jc w:val="both"/>
        <w:rPr>
          <w:rFonts w:ascii="Arial" w:hAnsi="Arial"/>
          <w:b/>
          <w:sz w:val="24"/>
          <w:szCs w:val="24"/>
          <w:u w:val="single"/>
        </w:rPr>
      </w:pPr>
    </w:p>
    <w:p w14:paraId="1308C3F4" w14:textId="77777777" w:rsidR="008206CA" w:rsidRPr="00D25959" w:rsidRDefault="008206CA" w:rsidP="00E9344C">
      <w:pPr>
        <w:tabs>
          <w:tab w:val="left" w:pos="709"/>
        </w:tabs>
        <w:ind w:left="708" w:hanging="708"/>
        <w:jc w:val="both"/>
        <w:rPr>
          <w:rFonts w:ascii="Arial" w:hAnsi="Arial"/>
          <w:sz w:val="24"/>
          <w:szCs w:val="24"/>
        </w:rPr>
      </w:pPr>
      <w:r w:rsidRPr="00D25959">
        <w:rPr>
          <w:rFonts w:ascii="Arial" w:hAnsi="Arial"/>
          <w:sz w:val="24"/>
          <w:szCs w:val="24"/>
        </w:rPr>
        <w:t>10.1</w:t>
      </w:r>
      <w:r w:rsidRPr="00D25959">
        <w:rPr>
          <w:rFonts w:ascii="Arial" w:hAnsi="Arial"/>
          <w:sz w:val="24"/>
          <w:szCs w:val="24"/>
        </w:rPr>
        <w:tab/>
        <w:t>In response to the COVID-19 pandemic, Audit Wales changed the approach and focus of their performance audit work in local government and other bodies. Audit Wales undertook a project to support public sector efforts by sharing learning through the pandemic. The project aims to help prompt some thinking, and practise exchange. During 2020-21, Audit Wales reviewed the arrangements that each council in Wales was putting in place to support recovery planning. Audit Wales undertook this work on an ongoing basis, providing real-time and ongoing feedback where appropriate.</w:t>
      </w:r>
    </w:p>
    <w:p w14:paraId="52522F7F" w14:textId="77777777" w:rsidR="008206CA" w:rsidRPr="00D25959" w:rsidRDefault="008206CA" w:rsidP="00E9344C">
      <w:pPr>
        <w:tabs>
          <w:tab w:val="left" w:pos="709"/>
        </w:tabs>
        <w:jc w:val="both"/>
        <w:rPr>
          <w:rFonts w:ascii="Arial" w:hAnsi="Arial"/>
          <w:sz w:val="24"/>
          <w:szCs w:val="24"/>
        </w:rPr>
      </w:pPr>
    </w:p>
    <w:p w14:paraId="35F4FC65" w14:textId="77777777" w:rsidR="008206CA" w:rsidRPr="00B76408" w:rsidRDefault="008206CA" w:rsidP="00E9344C">
      <w:pPr>
        <w:tabs>
          <w:tab w:val="left" w:pos="709"/>
        </w:tabs>
        <w:ind w:left="708" w:hanging="708"/>
        <w:jc w:val="both"/>
        <w:rPr>
          <w:rFonts w:ascii="Arial" w:hAnsi="Arial" w:cs="Arial"/>
          <w:sz w:val="24"/>
          <w:szCs w:val="24"/>
        </w:rPr>
      </w:pPr>
      <w:r w:rsidRPr="00D25959">
        <w:rPr>
          <w:rFonts w:ascii="Arial" w:hAnsi="Arial"/>
          <w:sz w:val="24"/>
          <w:szCs w:val="24"/>
        </w:rPr>
        <w:lastRenderedPageBreak/>
        <w:t>10.2</w:t>
      </w:r>
      <w:r w:rsidRPr="00D25959">
        <w:rPr>
          <w:rFonts w:ascii="Arial" w:hAnsi="Arial"/>
          <w:sz w:val="24"/>
          <w:szCs w:val="24"/>
        </w:rPr>
        <w:tab/>
        <w:t>Audit Wales’ Annual Audit Summary 2020 noted that during 2020-21, Audit Wales examined the financial sustainability of each council in Wales. Audit Wales concluded that the Council is well placed to maintain its financial sustainability and plans to strengthen some aspects of its financial management</w:t>
      </w:r>
      <w:r w:rsidRPr="00D25959">
        <w:rPr>
          <w:rFonts w:ascii="Arial" w:hAnsi="Arial" w:cs="Arial"/>
          <w:sz w:val="24"/>
          <w:szCs w:val="24"/>
        </w:rPr>
        <w:t>. Audit Wales were satisfied the Council had met its legal duties for improvement planning and reporting and is likely to meet the requirements of the Local Government Measure (2009) concerning continuous improvement.</w:t>
      </w:r>
      <w:r w:rsidRPr="00956392">
        <w:rPr>
          <w:rFonts w:ascii="Arial" w:hAnsi="Arial" w:cs="Arial"/>
          <w:sz w:val="24"/>
          <w:szCs w:val="24"/>
        </w:rPr>
        <w:t xml:space="preserve"> </w:t>
      </w:r>
    </w:p>
    <w:p w14:paraId="12837FB1" w14:textId="77777777" w:rsidR="008206CA" w:rsidRPr="00160F31" w:rsidRDefault="008206CA" w:rsidP="00E9344C">
      <w:pPr>
        <w:ind w:left="709"/>
        <w:jc w:val="both"/>
        <w:rPr>
          <w:rFonts w:ascii="Arial" w:hAnsi="Arial"/>
          <w:i/>
          <w:sz w:val="24"/>
          <w:szCs w:val="24"/>
        </w:rPr>
      </w:pPr>
    </w:p>
    <w:p w14:paraId="59C66A56" w14:textId="77777777" w:rsidR="008206CA" w:rsidRPr="00160F31" w:rsidRDefault="008206CA" w:rsidP="00E9344C">
      <w:pPr>
        <w:ind w:left="720" w:hanging="720"/>
        <w:jc w:val="both"/>
        <w:rPr>
          <w:rFonts w:ascii="Arial" w:hAnsi="Arial"/>
          <w:i/>
          <w:sz w:val="24"/>
          <w:szCs w:val="24"/>
        </w:rPr>
      </w:pPr>
      <w:r>
        <w:rPr>
          <w:rFonts w:ascii="Arial" w:hAnsi="Arial"/>
          <w:sz w:val="24"/>
          <w:szCs w:val="24"/>
        </w:rPr>
        <w:t>10.3</w:t>
      </w:r>
      <w:r>
        <w:rPr>
          <w:rFonts w:ascii="Arial" w:hAnsi="Arial"/>
          <w:sz w:val="24"/>
          <w:szCs w:val="24"/>
        </w:rPr>
        <w:tab/>
      </w:r>
      <w:r w:rsidRPr="00354DD8">
        <w:rPr>
          <w:rFonts w:ascii="Arial" w:hAnsi="Arial"/>
          <w:sz w:val="24"/>
          <w:szCs w:val="24"/>
        </w:rPr>
        <w:t xml:space="preserve">Audit Wales on behalf of the Auditor General for Wales presented the </w:t>
      </w:r>
      <w:r w:rsidRPr="00354DD8">
        <w:rPr>
          <w:rFonts w:ascii="Arial" w:hAnsi="Arial"/>
          <w:b/>
          <w:bCs/>
          <w:sz w:val="24"/>
          <w:szCs w:val="24"/>
        </w:rPr>
        <w:t xml:space="preserve">Audit of Financial Statements Report 2020/21 </w:t>
      </w:r>
      <w:r w:rsidRPr="00354DD8">
        <w:rPr>
          <w:rFonts w:ascii="Arial" w:hAnsi="Arial"/>
          <w:sz w:val="24"/>
          <w:szCs w:val="24"/>
        </w:rPr>
        <w:t xml:space="preserve">to </w:t>
      </w:r>
      <w:r>
        <w:rPr>
          <w:rFonts w:ascii="Arial" w:hAnsi="Arial"/>
          <w:sz w:val="24"/>
          <w:szCs w:val="24"/>
        </w:rPr>
        <w:t xml:space="preserve">Governance &amp; </w:t>
      </w:r>
      <w:r w:rsidRPr="00354DD8">
        <w:rPr>
          <w:rFonts w:ascii="Arial" w:hAnsi="Arial"/>
          <w:sz w:val="24"/>
          <w:szCs w:val="24"/>
        </w:rPr>
        <w:t>Audit Committee on 24/08/21 and to Council on 02/09/20. The report highlighted any significant issues to those charged with governance that needed to be considered prior to the approval of the financial statements. The Auditor General issued a qualified audit report on narrow but material technical matte</w:t>
      </w:r>
      <w:r>
        <w:rPr>
          <w:rFonts w:ascii="Arial" w:hAnsi="Arial"/>
          <w:sz w:val="24"/>
          <w:szCs w:val="24"/>
        </w:rPr>
        <w:t xml:space="preserve">rs for the financial statements; the </w:t>
      </w:r>
      <w:r w:rsidRPr="00602C29">
        <w:rPr>
          <w:rFonts w:ascii="Arial" w:hAnsi="Arial"/>
          <w:sz w:val="24"/>
          <w:szCs w:val="24"/>
        </w:rPr>
        <w:t>Director of Finance has alread</w:t>
      </w:r>
      <w:r>
        <w:rPr>
          <w:rFonts w:ascii="Arial" w:hAnsi="Arial"/>
          <w:sz w:val="24"/>
          <w:szCs w:val="24"/>
        </w:rPr>
        <w:t>y started looking to address this</w:t>
      </w:r>
      <w:r w:rsidRPr="00602C29">
        <w:rPr>
          <w:rFonts w:ascii="Arial" w:hAnsi="Arial"/>
          <w:sz w:val="24"/>
          <w:szCs w:val="24"/>
        </w:rPr>
        <w:t xml:space="preserve"> issue working alongside Audit Wales</w:t>
      </w:r>
      <w:r>
        <w:rPr>
          <w:rFonts w:ascii="Arial" w:hAnsi="Arial"/>
          <w:sz w:val="24"/>
          <w:szCs w:val="24"/>
        </w:rPr>
        <w:t>. T</w:t>
      </w:r>
      <w:r w:rsidRPr="00354DD8">
        <w:rPr>
          <w:rFonts w:ascii="Arial" w:hAnsi="Arial"/>
          <w:sz w:val="24"/>
          <w:szCs w:val="24"/>
        </w:rPr>
        <w:t>he report concluded that the financial statements for the City &amp; County of Swansea and the City and County of Swansea Pension Fund, (which was presented separately to the Pension Fund Committee on the 17/11/21), gave a true and fair view of the financial position of the Council and had been properly prepared</w:t>
      </w:r>
      <w:r w:rsidRPr="00160F31">
        <w:rPr>
          <w:rFonts w:ascii="Arial" w:hAnsi="Arial"/>
          <w:sz w:val="24"/>
          <w:szCs w:val="24"/>
        </w:rPr>
        <w:t>.</w:t>
      </w:r>
    </w:p>
    <w:p w14:paraId="2BEA588F" w14:textId="77777777" w:rsidR="008206CA" w:rsidRDefault="008206CA" w:rsidP="00E9344C">
      <w:pPr>
        <w:ind w:left="709"/>
        <w:jc w:val="both"/>
        <w:rPr>
          <w:rFonts w:ascii="Arial" w:hAnsi="Arial"/>
          <w:sz w:val="24"/>
          <w:szCs w:val="24"/>
        </w:rPr>
      </w:pPr>
    </w:p>
    <w:p w14:paraId="58542E54" w14:textId="77777777" w:rsidR="008206CA" w:rsidRDefault="008206CA" w:rsidP="00E9344C">
      <w:pPr>
        <w:tabs>
          <w:tab w:val="left" w:pos="709"/>
        </w:tabs>
        <w:jc w:val="both"/>
        <w:rPr>
          <w:rFonts w:ascii="Arial" w:hAnsi="Arial"/>
          <w:sz w:val="24"/>
          <w:szCs w:val="24"/>
        </w:rPr>
      </w:pPr>
      <w:r>
        <w:rPr>
          <w:rFonts w:ascii="Arial" w:hAnsi="Arial"/>
          <w:sz w:val="24"/>
          <w:szCs w:val="24"/>
        </w:rPr>
        <w:t xml:space="preserve">11. </w:t>
      </w:r>
      <w:r>
        <w:rPr>
          <w:rFonts w:ascii="Arial" w:hAnsi="Arial"/>
          <w:sz w:val="24"/>
          <w:szCs w:val="24"/>
        </w:rPr>
        <w:tab/>
      </w:r>
      <w:r w:rsidRPr="00160F31">
        <w:rPr>
          <w:rFonts w:ascii="Arial" w:hAnsi="Arial"/>
          <w:b/>
          <w:sz w:val="24"/>
          <w:szCs w:val="24"/>
        </w:rPr>
        <w:t>Statutory external inspections/regulators</w:t>
      </w:r>
    </w:p>
    <w:p w14:paraId="30823830" w14:textId="77777777" w:rsidR="008206CA" w:rsidRDefault="008206CA" w:rsidP="00E9344C">
      <w:pPr>
        <w:ind w:left="709" w:firstLine="360"/>
        <w:jc w:val="both"/>
        <w:rPr>
          <w:rFonts w:ascii="Arial" w:hAnsi="Arial"/>
          <w:sz w:val="24"/>
          <w:szCs w:val="24"/>
        </w:rPr>
      </w:pPr>
    </w:p>
    <w:p w14:paraId="0EB263F4" w14:textId="77777777" w:rsidR="008206CA" w:rsidRPr="00105481" w:rsidRDefault="008206CA" w:rsidP="00E9344C">
      <w:pPr>
        <w:tabs>
          <w:tab w:val="left" w:pos="709"/>
        </w:tabs>
        <w:ind w:left="708" w:hanging="708"/>
        <w:jc w:val="both"/>
        <w:rPr>
          <w:rFonts w:ascii="Arial" w:hAnsi="Arial"/>
          <w:sz w:val="24"/>
          <w:szCs w:val="24"/>
        </w:rPr>
      </w:pPr>
      <w:r>
        <w:rPr>
          <w:rFonts w:ascii="Arial" w:hAnsi="Arial"/>
          <w:sz w:val="24"/>
          <w:szCs w:val="24"/>
        </w:rPr>
        <w:t>11.1</w:t>
      </w:r>
      <w:r>
        <w:rPr>
          <w:rFonts w:ascii="Arial" w:hAnsi="Arial"/>
          <w:sz w:val="24"/>
          <w:szCs w:val="24"/>
        </w:rPr>
        <w:tab/>
      </w:r>
      <w:r w:rsidRPr="00D06B53">
        <w:rPr>
          <w:rFonts w:ascii="Arial" w:hAnsi="Arial"/>
          <w:sz w:val="24"/>
          <w:szCs w:val="24"/>
        </w:rPr>
        <w:t>CiW carried out an Assurance visit in June 2021. Estyn recently provided feedback to the Council, and more recently a Risk Assessment Workshop was delivered by CiW, Estyn and Audit Wales to CMT and Leadership Team</w:t>
      </w:r>
      <w:r w:rsidRPr="00105481">
        <w:rPr>
          <w:rFonts w:ascii="Arial" w:hAnsi="Arial"/>
          <w:sz w:val="24"/>
          <w:szCs w:val="24"/>
        </w:rPr>
        <w:t xml:space="preserve">. </w:t>
      </w:r>
    </w:p>
    <w:p w14:paraId="6CB14B4C" w14:textId="77777777" w:rsidR="008206CA" w:rsidRPr="00105481" w:rsidRDefault="008206CA" w:rsidP="00E9344C">
      <w:pPr>
        <w:tabs>
          <w:tab w:val="left" w:pos="709"/>
        </w:tabs>
        <w:jc w:val="both"/>
        <w:rPr>
          <w:rFonts w:ascii="Arial" w:hAnsi="Arial"/>
          <w:sz w:val="24"/>
          <w:szCs w:val="24"/>
        </w:rPr>
      </w:pPr>
    </w:p>
    <w:p w14:paraId="68A2A3A2" w14:textId="77777777" w:rsidR="008206CA" w:rsidRDefault="008206CA" w:rsidP="00E9344C">
      <w:pPr>
        <w:tabs>
          <w:tab w:val="left" w:pos="709"/>
        </w:tabs>
        <w:ind w:left="708" w:hanging="708"/>
        <w:jc w:val="both"/>
        <w:rPr>
          <w:rFonts w:ascii="Arial" w:hAnsi="Arial"/>
          <w:sz w:val="24"/>
          <w:szCs w:val="24"/>
        </w:rPr>
      </w:pPr>
      <w:r>
        <w:rPr>
          <w:rFonts w:ascii="Arial" w:hAnsi="Arial"/>
          <w:sz w:val="24"/>
          <w:szCs w:val="24"/>
        </w:rPr>
        <w:t>11.2</w:t>
      </w:r>
      <w:r>
        <w:rPr>
          <w:rFonts w:ascii="Arial" w:hAnsi="Arial"/>
          <w:sz w:val="24"/>
          <w:szCs w:val="24"/>
        </w:rPr>
        <w:tab/>
        <w:t>Both CiW and Estyn recently provided feedback to the Council on 23</w:t>
      </w:r>
      <w:r w:rsidRPr="000441F3">
        <w:rPr>
          <w:rFonts w:ascii="Arial" w:hAnsi="Arial"/>
          <w:sz w:val="24"/>
          <w:szCs w:val="24"/>
          <w:vertAlign w:val="superscript"/>
        </w:rPr>
        <w:t>rd</w:t>
      </w:r>
      <w:r>
        <w:rPr>
          <w:rFonts w:ascii="Arial" w:hAnsi="Arial"/>
          <w:sz w:val="24"/>
          <w:szCs w:val="24"/>
        </w:rPr>
        <w:t xml:space="preserve"> February 2022 at an Assurance and Risk Assessment Workshop delivered alongside Audit Wales to CMT and Leadership Team</w:t>
      </w:r>
      <w:r w:rsidRPr="00105481">
        <w:rPr>
          <w:rFonts w:ascii="Arial" w:hAnsi="Arial"/>
          <w:sz w:val="24"/>
          <w:szCs w:val="24"/>
        </w:rPr>
        <w:t>.</w:t>
      </w:r>
    </w:p>
    <w:p w14:paraId="426C75F6" w14:textId="77777777" w:rsidR="008206CA" w:rsidRDefault="008206CA" w:rsidP="00E9344C">
      <w:pPr>
        <w:tabs>
          <w:tab w:val="left" w:pos="709"/>
        </w:tabs>
        <w:ind w:left="708" w:hanging="708"/>
        <w:jc w:val="both"/>
        <w:rPr>
          <w:rFonts w:ascii="Arial" w:hAnsi="Arial"/>
          <w:sz w:val="24"/>
          <w:szCs w:val="24"/>
        </w:rPr>
      </w:pPr>
    </w:p>
    <w:p w14:paraId="55F63EB9" w14:textId="77777777" w:rsidR="008206CA" w:rsidRDefault="008206CA" w:rsidP="00E9344C">
      <w:pPr>
        <w:tabs>
          <w:tab w:val="left" w:pos="709"/>
        </w:tabs>
        <w:ind w:left="708" w:hanging="708"/>
        <w:jc w:val="both"/>
        <w:rPr>
          <w:rFonts w:ascii="Arial" w:hAnsi="Arial"/>
          <w:sz w:val="24"/>
          <w:szCs w:val="24"/>
        </w:rPr>
      </w:pPr>
      <w:r>
        <w:rPr>
          <w:rFonts w:ascii="Arial" w:hAnsi="Arial"/>
          <w:sz w:val="24"/>
          <w:szCs w:val="24"/>
        </w:rPr>
        <w:t>11.3</w:t>
      </w:r>
      <w:r>
        <w:rPr>
          <w:rFonts w:ascii="Arial" w:hAnsi="Arial"/>
          <w:sz w:val="24"/>
          <w:szCs w:val="24"/>
        </w:rPr>
        <w:tab/>
        <w:t>Estyn noted i</w:t>
      </w:r>
      <w:r w:rsidRPr="00D11A43">
        <w:rPr>
          <w:rFonts w:ascii="Arial" w:hAnsi="Arial"/>
          <w:sz w:val="24"/>
          <w:szCs w:val="24"/>
        </w:rPr>
        <w:t>n general, most inspection outcomes have been strong in bot</w:t>
      </w:r>
      <w:r>
        <w:rPr>
          <w:rFonts w:ascii="Arial" w:hAnsi="Arial"/>
          <w:sz w:val="24"/>
          <w:szCs w:val="24"/>
        </w:rPr>
        <w:t>h primary and secondary schools. The Council’s</w:t>
      </w:r>
      <w:r w:rsidRPr="00D11A43">
        <w:rPr>
          <w:rFonts w:ascii="Arial" w:hAnsi="Arial"/>
          <w:sz w:val="24"/>
          <w:szCs w:val="24"/>
          <w:lang w:val="en-US"/>
        </w:rPr>
        <w:t xml:space="preserve"> Education </w:t>
      </w:r>
      <w:r>
        <w:rPr>
          <w:rFonts w:ascii="Arial" w:hAnsi="Arial"/>
          <w:sz w:val="24"/>
          <w:szCs w:val="24"/>
          <w:lang w:val="en-US"/>
        </w:rPr>
        <w:t>directorate</w:t>
      </w:r>
      <w:r w:rsidRPr="00D11A43">
        <w:rPr>
          <w:rFonts w:ascii="Arial" w:hAnsi="Arial"/>
          <w:sz w:val="24"/>
          <w:szCs w:val="24"/>
          <w:lang w:val="en-US"/>
        </w:rPr>
        <w:t xml:space="preserve"> responded well to the challenges during the </w:t>
      </w:r>
      <w:r>
        <w:rPr>
          <w:rFonts w:ascii="Arial" w:hAnsi="Arial"/>
          <w:sz w:val="24"/>
          <w:szCs w:val="24"/>
          <w:lang w:val="en-US"/>
        </w:rPr>
        <w:t>COVID-19</w:t>
      </w:r>
      <w:r w:rsidRPr="00D11A43">
        <w:rPr>
          <w:rFonts w:ascii="Arial" w:hAnsi="Arial"/>
          <w:sz w:val="24"/>
          <w:szCs w:val="24"/>
          <w:lang w:val="en-US"/>
        </w:rPr>
        <w:t xml:space="preserve"> pandemic and supported schools and PRUs effectively</w:t>
      </w:r>
      <w:r>
        <w:rPr>
          <w:rFonts w:ascii="Arial" w:hAnsi="Arial"/>
          <w:sz w:val="24"/>
          <w:szCs w:val="24"/>
          <w:lang w:val="en-US"/>
        </w:rPr>
        <w:t xml:space="preserve">. </w:t>
      </w:r>
      <w:r w:rsidRPr="00D11A43">
        <w:rPr>
          <w:rFonts w:ascii="Arial" w:hAnsi="Arial"/>
          <w:sz w:val="24"/>
          <w:szCs w:val="24"/>
        </w:rPr>
        <w:t>Officers consider the current issues in education appropriately</w:t>
      </w:r>
      <w:r>
        <w:rPr>
          <w:rFonts w:ascii="Arial" w:hAnsi="Arial"/>
          <w:sz w:val="24"/>
          <w:szCs w:val="24"/>
        </w:rPr>
        <w:t>,</w:t>
      </w:r>
      <w:r w:rsidRPr="00D11A43">
        <w:rPr>
          <w:rFonts w:ascii="Arial" w:hAnsi="Arial"/>
          <w:sz w:val="24"/>
          <w:szCs w:val="24"/>
        </w:rPr>
        <w:t xml:space="preserve"> including the new curriculum and ALN reform, and ide</w:t>
      </w:r>
      <w:r>
        <w:rPr>
          <w:rFonts w:ascii="Arial" w:hAnsi="Arial"/>
          <w:sz w:val="24"/>
          <w:szCs w:val="24"/>
        </w:rPr>
        <w:t xml:space="preserve">ntify current needs well, such as the </w:t>
      </w:r>
      <w:r w:rsidRPr="00D11A43">
        <w:rPr>
          <w:rFonts w:ascii="Arial" w:hAnsi="Arial"/>
          <w:sz w:val="24"/>
          <w:szCs w:val="24"/>
        </w:rPr>
        <w:t>recent upward trend in exclusion rates</w:t>
      </w:r>
      <w:r>
        <w:rPr>
          <w:rFonts w:ascii="Arial" w:hAnsi="Arial"/>
          <w:sz w:val="24"/>
          <w:szCs w:val="24"/>
        </w:rPr>
        <w:t xml:space="preserve">. The </w:t>
      </w:r>
      <w:r w:rsidRPr="00D11A43">
        <w:rPr>
          <w:rFonts w:ascii="Arial" w:hAnsi="Arial"/>
          <w:sz w:val="24"/>
          <w:szCs w:val="24"/>
        </w:rPr>
        <w:t>Director of Education has developed a good understanding of the needs of th</w:t>
      </w:r>
      <w:r>
        <w:rPr>
          <w:rFonts w:ascii="Arial" w:hAnsi="Arial"/>
          <w:sz w:val="24"/>
          <w:szCs w:val="24"/>
        </w:rPr>
        <w:t xml:space="preserve">e local Authority and schools and </w:t>
      </w:r>
      <w:r w:rsidRPr="00D11A43">
        <w:rPr>
          <w:rFonts w:ascii="Arial" w:hAnsi="Arial"/>
          <w:sz w:val="24"/>
          <w:szCs w:val="24"/>
        </w:rPr>
        <w:t>know schools well</w:t>
      </w:r>
      <w:r>
        <w:rPr>
          <w:rFonts w:ascii="Arial" w:hAnsi="Arial"/>
          <w:sz w:val="24"/>
          <w:szCs w:val="24"/>
        </w:rPr>
        <w:t xml:space="preserve">; an </w:t>
      </w:r>
      <w:r w:rsidRPr="00D11A43">
        <w:rPr>
          <w:rFonts w:ascii="Arial" w:hAnsi="Arial"/>
          <w:sz w:val="24"/>
          <w:szCs w:val="24"/>
          <w:lang w:val="en-US"/>
        </w:rPr>
        <w:t xml:space="preserve">experienced Council member </w:t>
      </w:r>
      <w:r>
        <w:rPr>
          <w:rFonts w:ascii="Arial" w:hAnsi="Arial"/>
          <w:sz w:val="24"/>
          <w:szCs w:val="24"/>
          <w:lang w:val="en-US"/>
        </w:rPr>
        <w:t xml:space="preserve">is </w:t>
      </w:r>
      <w:r w:rsidRPr="00D11A43">
        <w:rPr>
          <w:rFonts w:ascii="Arial" w:hAnsi="Arial"/>
          <w:sz w:val="24"/>
          <w:szCs w:val="24"/>
          <w:lang w:val="en-US"/>
        </w:rPr>
        <w:t>appointed as portfolio ho</w:t>
      </w:r>
      <w:r>
        <w:rPr>
          <w:rFonts w:ascii="Arial" w:hAnsi="Arial"/>
          <w:sz w:val="24"/>
          <w:szCs w:val="24"/>
          <w:lang w:val="en-US"/>
        </w:rPr>
        <w:t xml:space="preserve">lder. </w:t>
      </w:r>
      <w:r w:rsidRPr="00D11A43">
        <w:rPr>
          <w:rFonts w:ascii="Arial" w:hAnsi="Arial"/>
          <w:sz w:val="24"/>
          <w:szCs w:val="24"/>
        </w:rPr>
        <w:t xml:space="preserve">Good support to schools </w:t>
      </w:r>
      <w:r>
        <w:rPr>
          <w:rFonts w:ascii="Arial" w:hAnsi="Arial"/>
          <w:sz w:val="24"/>
          <w:szCs w:val="24"/>
        </w:rPr>
        <w:t xml:space="preserve">is provided </w:t>
      </w:r>
      <w:r w:rsidRPr="00D11A43">
        <w:rPr>
          <w:rFonts w:ascii="Arial" w:hAnsi="Arial"/>
          <w:sz w:val="24"/>
          <w:szCs w:val="24"/>
        </w:rPr>
        <w:t>in follow-up</w:t>
      </w:r>
      <w:r>
        <w:rPr>
          <w:rFonts w:ascii="Arial" w:hAnsi="Arial"/>
          <w:sz w:val="24"/>
          <w:szCs w:val="24"/>
        </w:rPr>
        <w:t>.</w:t>
      </w:r>
    </w:p>
    <w:p w14:paraId="62D12FAC" w14:textId="77777777" w:rsidR="008206CA" w:rsidRDefault="008206CA" w:rsidP="00E9344C">
      <w:pPr>
        <w:tabs>
          <w:tab w:val="left" w:pos="709"/>
        </w:tabs>
        <w:ind w:left="708" w:hanging="708"/>
        <w:jc w:val="both"/>
        <w:rPr>
          <w:rFonts w:ascii="Arial" w:hAnsi="Arial"/>
          <w:sz w:val="24"/>
          <w:szCs w:val="24"/>
        </w:rPr>
      </w:pPr>
    </w:p>
    <w:p w14:paraId="0E1ECBFA" w14:textId="77777777" w:rsidR="008206CA" w:rsidRDefault="008206CA" w:rsidP="00E9344C">
      <w:pPr>
        <w:tabs>
          <w:tab w:val="left" w:pos="709"/>
          <w:tab w:val="num" w:pos="1440"/>
        </w:tabs>
        <w:ind w:left="708" w:hanging="708"/>
        <w:jc w:val="both"/>
        <w:rPr>
          <w:rFonts w:ascii="Arial" w:hAnsi="Arial"/>
          <w:sz w:val="24"/>
          <w:szCs w:val="24"/>
        </w:rPr>
      </w:pPr>
      <w:r>
        <w:rPr>
          <w:rFonts w:ascii="Arial" w:hAnsi="Arial"/>
          <w:sz w:val="24"/>
          <w:szCs w:val="24"/>
        </w:rPr>
        <w:t>11.4</w:t>
      </w:r>
      <w:r>
        <w:rPr>
          <w:rFonts w:ascii="Arial" w:hAnsi="Arial"/>
          <w:sz w:val="24"/>
          <w:szCs w:val="24"/>
        </w:rPr>
        <w:tab/>
      </w:r>
      <w:r w:rsidRPr="00D11A43">
        <w:rPr>
          <w:rFonts w:ascii="Arial" w:hAnsi="Arial"/>
          <w:sz w:val="24"/>
          <w:szCs w:val="24"/>
        </w:rPr>
        <w:t xml:space="preserve">The </w:t>
      </w:r>
      <w:r>
        <w:rPr>
          <w:rFonts w:ascii="Arial" w:hAnsi="Arial"/>
          <w:sz w:val="24"/>
          <w:szCs w:val="24"/>
        </w:rPr>
        <w:t>Council has</w:t>
      </w:r>
      <w:r w:rsidRPr="00D11A43">
        <w:rPr>
          <w:rFonts w:ascii="Arial" w:hAnsi="Arial"/>
          <w:sz w:val="24"/>
          <w:szCs w:val="24"/>
        </w:rPr>
        <w:t xml:space="preserve"> undertaken a review of its ALN provision – </w:t>
      </w:r>
      <w:r>
        <w:rPr>
          <w:rFonts w:ascii="Arial" w:hAnsi="Arial"/>
          <w:sz w:val="24"/>
          <w:szCs w:val="24"/>
        </w:rPr>
        <w:t xml:space="preserve">but it is </w:t>
      </w:r>
      <w:r w:rsidRPr="00D11A43">
        <w:rPr>
          <w:rFonts w:ascii="Arial" w:hAnsi="Arial"/>
          <w:sz w:val="24"/>
          <w:szCs w:val="24"/>
        </w:rPr>
        <w:t>too soon to measure the impact of this on implementation of ALNET Act an</w:t>
      </w:r>
      <w:r>
        <w:rPr>
          <w:rFonts w:ascii="Arial" w:hAnsi="Arial"/>
          <w:sz w:val="24"/>
          <w:szCs w:val="24"/>
        </w:rPr>
        <w:t xml:space="preserve">d provision in schools and PRUs. There has been a </w:t>
      </w:r>
      <w:r w:rsidRPr="00D11A43">
        <w:rPr>
          <w:rFonts w:ascii="Arial" w:hAnsi="Arial"/>
          <w:sz w:val="24"/>
          <w:szCs w:val="24"/>
        </w:rPr>
        <w:t>2</w:t>
      </w:r>
      <w:r w:rsidRPr="00D11A43">
        <w:rPr>
          <w:rFonts w:ascii="Arial" w:hAnsi="Arial"/>
          <w:sz w:val="24"/>
          <w:szCs w:val="24"/>
          <w:vertAlign w:val="superscript"/>
        </w:rPr>
        <w:t>nd</w:t>
      </w:r>
      <w:r w:rsidRPr="00D11A43">
        <w:rPr>
          <w:rFonts w:ascii="Arial" w:hAnsi="Arial"/>
          <w:sz w:val="24"/>
          <w:szCs w:val="24"/>
        </w:rPr>
        <w:t xml:space="preserve"> tier structure review underway with three Head of service posts </w:t>
      </w:r>
      <w:r>
        <w:rPr>
          <w:rFonts w:ascii="Arial" w:hAnsi="Arial"/>
          <w:sz w:val="24"/>
          <w:szCs w:val="24"/>
        </w:rPr>
        <w:t>and the Council is</w:t>
      </w:r>
      <w:r w:rsidRPr="00D11A43">
        <w:rPr>
          <w:rFonts w:ascii="Arial" w:hAnsi="Arial"/>
          <w:sz w:val="24"/>
          <w:szCs w:val="24"/>
        </w:rPr>
        <w:t xml:space="preserve"> now in a new regional partnership with two other </w:t>
      </w:r>
      <w:r>
        <w:rPr>
          <w:rFonts w:ascii="Arial" w:hAnsi="Arial"/>
          <w:sz w:val="24"/>
          <w:szCs w:val="24"/>
        </w:rPr>
        <w:t>local authorities. S</w:t>
      </w:r>
      <w:r w:rsidRPr="00D11A43">
        <w:rPr>
          <w:rFonts w:ascii="Arial" w:hAnsi="Arial"/>
          <w:sz w:val="24"/>
          <w:szCs w:val="24"/>
        </w:rPr>
        <w:t xml:space="preserve">chool reserves continue to be high especially </w:t>
      </w:r>
      <w:r>
        <w:rPr>
          <w:rFonts w:ascii="Arial" w:hAnsi="Arial"/>
          <w:sz w:val="24"/>
          <w:szCs w:val="24"/>
        </w:rPr>
        <w:t xml:space="preserve">in </w:t>
      </w:r>
      <w:r w:rsidRPr="00D11A43">
        <w:rPr>
          <w:rFonts w:ascii="Arial" w:hAnsi="Arial"/>
          <w:sz w:val="24"/>
          <w:szCs w:val="24"/>
        </w:rPr>
        <w:t>secondary schools</w:t>
      </w:r>
      <w:r>
        <w:rPr>
          <w:rFonts w:ascii="Arial" w:hAnsi="Arial"/>
          <w:sz w:val="24"/>
          <w:szCs w:val="24"/>
        </w:rPr>
        <w:t>. The needs of learners met by the 10 year Welsh in Education Strategic Plan will need to be kept under review.</w:t>
      </w:r>
      <w:r w:rsidRPr="00D11A43">
        <w:rPr>
          <w:rFonts w:ascii="Arial" w:hAnsi="Arial"/>
          <w:sz w:val="24"/>
          <w:szCs w:val="24"/>
        </w:rPr>
        <w:t xml:space="preserve">  </w:t>
      </w:r>
    </w:p>
    <w:p w14:paraId="4E83FE47" w14:textId="77777777" w:rsidR="008206CA" w:rsidRDefault="008206CA" w:rsidP="00E9344C">
      <w:pPr>
        <w:tabs>
          <w:tab w:val="left" w:pos="709"/>
          <w:tab w:val="num" w:pos="1440"/>
        </w:tabs>
        <w:ind w:left="708" w:hanging="708"/>
        <w:jc w:val="both"/>
        <w:rPr>
          <w:rFonts w:ascii="Arial" w:hAnsi="Arial"/>
          <w:sz w:val="24"/>
          <w:szCs w:val="24"/>
        </w:rPr>
      </w:pPr>
    </w:p>
    <w:p w14:paraId="38BEB612" w14:textId="77777777" w:rsidR="008206CA" w:rsidRDefault="008206CA" w:rsidP="00E9344C">
      <w:pPr>
        <w:tabs>
          <w:tab w:val="left" w:pos="709"/>
          <w:tab w:val="num" w:pos="1440"/>
        </w:tabs>
        <w:ind w:left="708" w:hanging="708"/>
        <w:jc w:val="both"/>
        <w:rPr>
          <w:rFonts w:ascii="Arial" w:hAnsi="Arial"/>
          <w:sz w:val="24"/>
          <w:szCs w:val="24"/>
        </w:rPr>
      </w:pPr>
      <w:r>
        <w:rPr>
          <w:rFonts w:ascii="Arial" w:hAnsi="Arial"/>
          <w:sz w:val="24"/>
          <w:szCs w:val="24"/>
        </w:rPr>
        <w:t>11.5</w:t>
      </w:r>
      <w:r w:rsidRPr="00D06B53">
        <w:rPr>
          <w:rFonts w:ascii="Arial" w:hAnsi="Arial"/>
          <w:sz w:val="24"/>
          <w:szCs w:val="24"/>
        </w:rPr>
        <w:t xml:space="preserve">   CiW sought Authority-wide assurance review on how well local authority social services continue to help and support adults and children with a focus on safety and well-being. Also feedback was structured around their key lines of enquiry - the four principles of the </w:t>
      </w:r>
      <w:r w:rsidRPr="00D06B53">
        <w:rPr>
          <w:rFonts w:ascii="Arial" w:hAnsi="Arial"/>
          <w:sz w:val="24"/>
          <w:szCs w:val="24"/>
        </w:rPr>
        <w:lastRenderedPageBreak/>
        <w:t>Social Services and Wellbeing (Wales) Act 2014: People - Voice and Control, Prevention, Well-Being, Partnerships and Integration. In their letter CiW notes that at the beginning of the pandemic, Swansea Council was able to build on its established agile working systems, developing proactive regional approaches to support front-line services and recovery planning, with specific examples in Adults and Child and Family Services.</w:t>
      </w:r>
      <w:r>
        <w:rPr>
          <w:rFonts w:ascii="Arial" w:hAnsi="Arial"/>
          <w:sz w:val="24"/>
          <w:szCs w:val="24"/>
        </w:rPr>
        <w:t xml:space="preserve"> </w:t>
      </w:r>
      <w:r w:rsidRPr="00D06B53">
        <w:rPr>
          <w:rFonts w:ascii="Arial" w:hAnsi="Arial"/>
          <w:sz w:val="24"/>
          <w:szCs w:val="24"/>
        </w:rPr>
        <w:t>More specific feedback and areas of improvement were noted in the four key areas:</w:t>
      </w:r>
    </w:p>
    <w:p w14:paraId="075BA6EF" w14:textId="77777777" w:rsidR="008206CA" w:rsidRPr="00D06B53" w:rsidRDefault="008206CA" w:rsidP="008206CA">
      <w:pPr>
        <w:tabs>
          <w:tab w:val="left" w:pos="709"/>
          <w:tab w:val="num" w:pos="1440"/>
        </w:tabs>
        <w:ind w:left="708" w:hanging="708"/>
        <w:rPr>
          <w:rFonts w:ascii="Arial" w:hAnsi="Arial"/>
          <w:sz w:val="24"/>
          <w:szCs w:val="24"/>
        </w:rPr>
      </w:pPr>
    </w:p>
    <w:p w14:paraId="621FE2DB" w14:textId="77777777" w:rsidR="008206CA" w:rsidRPr="00D06B53" w:rsidRDefault="008206CA" w:rsidP="00E9344C">
      <w:pPr>
        <w:pStyle w:val="ListParagraph"/>
        <w:numPr>
          <w:ilvl w:val="0"/>
          <w:numId w:val="115"/>
        </w:numPr>
        <w:tabs>
          <w:tab w:val="left" w:pos="709"/>
          <w:tab w:val="num" w:pos="1440"/>
        </w:tabs>
        <w:spacing w:before="0" w:after="0" w:line="240" w:lineRule="auto"/>
        <w:jc w:val="both"/>
        <w:rPr>
          <w:sz w:val="24"/>
        </w:rPr>
      </w:pPr>
      <w:r w:rsidRPr="00D06B53">
        <w:rPr>
          <w:b/>
          <w:bCs/>
          <w:sz w:val="24"/>
        </w:rPr>
        <w:t>People - voice and control</w:t>
      </w:r>
      <w:r w:rsidRPr="00D06B53">
        <w:rPr>
          <w:sz w:val="24"/>
        </w:rPr>
        <w:t xml:space="preserve"> – whilst there are good examples of practice to build on in Swansea, people’s and child’s voices need to be strengthened in assessments and care planning, and to follow up on improving the carers experience in accessing support.</w:t>
      </w:r>
    </w:p>
    <w:p w14:paraId="7C4EE90F" w14:textId="77777777" w:rsidR="008206CA" w:rsidRPr="00D06B53" w:rsidRDefault="008206CA" w:rsidP="00E9344C">
      <w:pPr>
        <w:pStyle w:val="ListParagraph"/>
        <w:numPr>
          <w:ilvl w:val="0"/>
          <w:numId w:val="115"/>
        </w:numPr>
        <w:tabs>
          <w:tab w:val="left" w:pos="709"/>
          <w:tab w:val="num" w:pos="1440"/>
        </w:tabs>
        <w:spacing w:before="0" w:after="0" w:line="240" w:lineRule="auto"/>
        <w:jc w:val="both"/>
        <w:rPr>
          <w:sz w:val="24"/>
        </w:rPr>
      </w:pPr>
      <w:r w:rsidRPr="00D06B53">
        <w:rPr>
          <w:b/>
          <w:bCs/>
          <w:sz w:val="24"/>
        </w:rPr>
        <w:t>Prevention-</w:t>
      </w:r>
      <w:r w:rsidRPr="00D06B53">
        <w:rPr>
          <w:sz w:val="24"/>
        </w:rPr>
        <w:t xml:space="preserve"> Swansea Council’s approach to prevention is co-developed and delivered by a wide range of partners, including third-se</w:t>
      </w:r>
      <w:r>
        <w:rPr>
          <w:sz w:val="24"/>
        </w:rPr>
        <w:t>ctor organisations within multi-</w:t>
      </w:r>
      <w:r w:rsidRPr="00D06B53">
        <w:rPr>
          <w:sz w:val="24"/>
        </w:rPr>
        <w:t>agency hubs through Tackling Poverty initiatives, Discharge to Assess/Re-able, and Local Area Coordination. Delays and waiting times in some areas such as availability of domiciliary care and common access point lessened th</w:t>
      </w:r>
      <w:r>
        <w:rPr>
          <w:sz w:val="24"/>
        </w:rPr>
        <w:t xml:space="preserve">e impact of early intervention </w:t>
      </w:r>
      <w:r w:rsidRPr="00D06B53">
        <w:rPr>
          <w:sz w:val="24"/>
        </w:rPr>
        <w:t>and support to parents and carers. Swansea Council is actively exploring means of incorporating best practice into longer-term service provision</w:t>
      </w:r>
    </w:p>
    <w:p w14:paraId="7A4FEE2A" w14:textId="77777777" w:rsidR="008206CA" w:rsidRPr="00D06B53" w:rsidRDefault="008206CA" w:rsidP="00E9344C">
      <w:pPr>
        <w:pStyle w:val="ListParagraph"/>
        <w:numPr>
          <w:ilvl w:val="0"/>
          <w:numId w:val="115"/>
        </w:numPr>
        <w:tabs>
          <w:tab w:val="left" w:pos="709"/>
          <w:tab w:val="num" w:pos="1440"/>
        </w:tabs>
        <w:spacing w:before="0" w:after="0" w:line="240" w:lineRule="auto"/>
        <w:jc w:val="both"/>
        <w:rPr>
          <w:sz w:val="24"/>
        </w:rPr>
      </w:pPr>
      <w:r w:rsidRPr="00D06B53">
        <w:rPr>
          <w:b/>
          <w:bCs/>
          <w:sz w:val="24"/>
        </w:rPr>
        <w:t>Partnerships and Integration</w:t>
      </w:r>
      <w:r w:rsidRPr="00D06B53">
        <w:rPr>
          <w:sz w:val="24"/>
        </w:rPr>
        <w:t xml:space="preserve"> – CiW commented that partnerships had been strengthened within Swansea Council during the pandemic, for example working more closely with education in relation to vulnerable children, and on how flexibility shown with providers and in adapting services helped meet demand.  Although there has been positive impact on reducing the number of children looked after. Locally and nationally, a lack of specialist placements for those with more complex needs was commented on.  They also noted how good working relationships between professional are helping to produce better outcomes, though closer partnership working with police and health services could be achieved and that more resource at a strategic level may be needed to drive change.</w:t>
      </w:r>
    </w:p>
    <w:p w14:paraId="6770BC10" w14:textId="77777777" w:rsidR="008206CA" w:rsidRPr="00D06B53" w:rsidRDefault="008206CA" w:rsidP="00E9344C">
      <w:pPr>
        <w:pStyle w:val="ListParagraph"/>
        <w:numPr>
          <w:ilvl w:val="0"/>
          <w:numId w:val="115"/>
        </w:numPr>
        <w:tabs>
          <w:tab w:val="left" w:pos="709"/>
          <w:tab w:val="num" w:pos="1440"/>
        </w:tabs>
        <w:spacing w:before="0" w:after="0" w:line="240" w:lineRule="auto"/>
        <w:jc w:val="both"/>
        <w:rPr>
          <w:sz w:val="24"/>
        </w:rPr>
      </w:pPr>
      <w:r w:rsidRPr="00D06B53">
        <w:rPr>
          <w:b/>
          <w:bCs/>
          <w:sz w:val="24"/>
        </w:rPr>
        <w:t>Well-being</w:t>
      </w:r>
      <w:r w:rsidRPr="00D06B53">
        <w:rPr>
          <w:sz w:val="24"/>
        </w:rPr>
        <w:t>- whilst staff felt appropriately supported throughout the pandemic staff, they have continued to work under significant pressure in a number of teams, and with the added challenges in recruitment and retention to key posts. CiW were positive about the initial changes in adult safeguarding, with the new team demonstrating a good analysis of risk, balancing between risk management and individual well-being. CiW are keen to follow these changes in safeguarding adults, and in applying quality assurance frameworks in services to adults, children and families, once they are fully embedded.</w:t>
      </w:r>
    </w:p>
    <w:p w14:paraId="6AEBA6EC" w14:textId="77777777" w:rsidR="008206CA" w:rsidRDefault="008206CA" w:rsidP="00E9344C">
      <w:pPr>
        <w:tabs>
          <w:tab w:val="left" w:pos="709"/>
          <w:tab w:val="num" w:pos="1440"/>
        </w:tabs>
        <w:jc w:val="both"/>
        <w:rPr>
          <w:rFonts w:ascii="Arial" w:hAnsi="Arial"/>
          <w:b/>
          <w:sz w:val="24"/>
          <w:szCs w:val="24"/>
          <w:u w:val="single"/>
        </w:rPr>
      </w:pPr>
    </w:p>
    <w:p w14:paraId="6D6FA843" w14:textId="77777777" w:rsidR="008206CA" w:rsidRPr="00875477" w:rsidRDefault="008206CA" w:rsidP="008206CA">
      <w:pPr>
        <w:rPr>
          <w:rFonts w:ascii="Arial" w:hAnsi="Arial"/>
          <w:b/>
          <w:color w:val="FF0000"/>
          <w:sz w:val="24"/>
          <w:szCs w:val="24"/>
          <w:u w:val="single"/>
        </w:rPr>
      </w:pPr>
      <w:r w:rsidRPr="00875477">
        <w:rPr>
          <w:rFonts w:ascii="Arial" w:hAnsi="Arial"/>
          <w:b/>
          <w:sz w:val="24"/>
          <w:szCs w:val="24"/>
          <w:u w:val="single"/>
        </w:rPr>
        <w:t xml:space="preserve">CORE EVIDENCE </w:t>
      </w:r>
    </w:p>
    <w:p w14:paraId="6F970E58" w14:textId="77777777" w:rsidR="008206CA" w:rsidRPr="00875477" w:rsidRDefault="008206CA" w:rsidP="008206CA">
      <w:pPr>
        <w:ind w:left="426"/>
        <w:rPr>
          <w:rFonts w:ascii="Arial" w:hAnsi="Arial"/>
          <w:b/>
          <w:sz w:val="24"/>
          <w:szCs w:val="24"/>
          <w:u w:val="single"/>
        </w:rPr>
      </w:pPr>
    </w:p>
    <w:p w14:paraId="110E377D" w14:textId="77777777" w:rsidR="008206CA" w:rsidRDefault="008206CA" w:rsidP="008206CA">
      <w:pPr>
        <w:rPr>
          <w:rFonts w:ascii="Arial" w:hAnsi="Arial"/>
          <w:b/>
          <w:sz w:val="24"/>
          <w:szCs w:val="24"/>
        </w:rPr>
      </w:pPr>
      <w:r>
        <w:rPr>
          <w:rFonts w:ascii="Arial" w:hAnsi="Arial"/>
          <w:b/>
          <w:sz w:val="24"/>
          <w:szCs w:val="24"/>
        </w:rPr>
        <w:t>12.      Council &amp; Cabinet</w:t>
      </w:r>
    </w:p>
    <w:p w14:paraId="69737114" w14:textId="77777777" w:rsidR="008206CA" w:rsidRDefault="008206CA" w:rsidP="008206CA">
      <w:pPr>
        <w:rPr>
          <w:rFonts w:ascii="Arial" w:hAnsi="Arial"/>
          <w:b/>
          <w:sz w:val="24"/>
          <w:szCs w:val="24"/>
        </w:rPr>
      </w:pPr>
    </w:p>
    <w:p w14:paraId="0CC5EEBA" w14:textId="77777777" w:rsidR="00E9344C" w:rsidRDefault="008206CA" w:rsidP="00E9344C">
      <w:pPr>
        <w:tabs>
          <w:tab w:val="left" w:pos="709"/>
        </w:tabs>
        <w:jc w:val="both"/>
        <w:rPr>
          <w:rFonts w:ascii="Arial" w:hAnsi="Arial"/>
          <w:sz w:val="24"/>
          <w:szCs w:val="24"/>
        </w:rPr>
      </w:pPr>
      <w:r>
        <w:rPr>
          <w:rFonts w:ascii="Arial" w:hAnsi="Arial"/>
          <w:sz w:val="24"/>
          <w:szCs w:val="24"/>
        </w:rPr>
        <w:t>12.1</w:t>
      </w:r>
      <w:r>
        <w:rPr>
          <w:rFonts w:ascii="Arial" w:hAnsi="Arial"/>
          <w:sz w:val="24"/>
          <w:szCs w:val="24"/>
        </w:rPr>
        <w:tab/>
      </w:r>
      <w:r w:rsidRPr="00451349">
        <w:rPr>
          <w:rFonts w:ascii="Arial" w:hAnsi="Arial"/>
          <w:sz w:val="24"/>
          <w:szCs w:val="24"/>
        </w:rPr>
        <w:t xml:space="preserve">The following provide assurance based on reports covering </w:t>
      </w:r>
      <w:r>
        <w:rPr>
          <w:rFonts w:ascii="Arial" w:hAnsi="Arial"/>
          <w:sz w:val="24"/>
          <w:szCs w:val="24"/>
        </w:rPr>
        <w:t xml:space="preserve">2021/22. In some instances </w:t>
      </w:r>
    </w:p>
    <w:p w14:paraId="2063FC9C" w14:textId="77777777" w:rsidR="00E9344C" w:rsidRDefault="00E9344C" w:rsidP="00E9344C">
      <w:pPr>
        <w:tabs>
          <w:tab w:val="left" w:pos="709"/>
        </w:tabs>
        <w:jc w:val="both"/>
        <w:rPr>
          <w:rFonts w:ascii="Arial" w:hAnsi="Arial"/>
          <w:sz w:val="24"/>
          <w:szCs w:val="24"/>
        </w:rPr>
      </w:pPr>
      <w:r>
        <w:rPr>
          <w:rFonts w:ascii="Arial" w:hAnsi="Arial"/>
          <w:sz w:val="24"/>
          <w:szCs w:val="24"/>
        </w:rPr>
        <w:t xml:space="preserve">           </w:t>
      </w:r>
      <w:r w:rsidR="008206CA">
        <w:rPr>
          <w:rFonts w:ascii="Arial" w:hAnsi="Arial"/>
          <w:sz w:val="24"/>
          <w:szCs w:val="24"/>
        </w:rPr>
        <w:t xml:space="preserve">reports from 2020/21 are reflected in the Annual Governance Statement as the reports </w:t>
      </w:r>
    </w:p>
    <w:p w14:paraId="36DEB880" w14:textId="77777777" w:rsidR="008206CA" w:rsidRDefault="00E9344C" w:rsidP="00E9344C">
      <w:pPr>
        <w:tabs>
          <w:tab w:val="left" w:pos="709"/>
        </w:tabs>
        <w:jc w:val="both"/>
        <w:rPr>
          <w:rFonts w:ascii="Arial" w:hAnsi="Arial"/>
          <w:sz w:val="24"/>
          <w:szCs w:val="24"/>
        </w:rPr>
      </w:pPr>
      <w:r>
        <w:rPr>
          <w:rFonts w:ascii="Arial" w:hAnsi="Arial"/>
          <w:sz w:val="24"/>
          <w:szCs w:val="24"/>
        </w:rPr>
        <w:t xml:space="preserve">           </w:t>
      </w:r>
      <w:r w:rsidR="008206CA">
        <w:rPr>
          <w:rFonts w:ascii="Arial" w:hAnsi="Arial"/>
          <w:sz w:val="24"/>
          <w:szCs w:val="24"/>
        </w:rPr>
        <w:t>for 2021/22 are not yet available.</w:t>
      </w:r>
    </w:p>
    <w:p w14:paraId="1958D973" w14:textId="77777777" w:rsidR="008206CA" w:rsidRPr="00451349" w:rsidRDefault="008206CA" w:rsidP="00E9344C">
      <w:pPr>
        <w:tabs>
          <w:tab w:val="left" w:pos="709"/>
        </w:tabs>
        <w:jc w:val="both"/>
        <w:rPr>
          <w:rFonts w:ascii="Arial" w:hAnsi="Arial"/>
          <w:color w:val="FF0000"/>
          <w:sz w:val="24"/>
          <w:szCs w:val="24"/>
        </w:rPr>
      </w:pPr>
    </w:p>
    <w:p w14:paraId="009AC72E" w14:textId="77777777" w:rsidR="008206CA" w:rsidRPr="00423FBB" w:rsidRDefault="008206CA" w:rsidP="00E9344C">
      <w:pPr>
        <w:ind w:left="720" w:hanging="720"/>
        <w:jc w:val="both"/>
        <w:rPr>
          <w:rFonts w:ascii="Arial" w:hAnsi="Arial"/>
          <w:i/>
          <w:sz w:val="24"/>
          <w:szCs w:val="24"/>
        </w:rPr>
      </w:pPr>
      <w:r>
        <w:rPr>
          <w:rFonts w:ascii="Arial" w:hAnsi="Arial"/>
          <w:sz w:val="24"/>
          <w:szCs w:val="24"/>
        </w:rPr>
        <w:t>12.2</w:t>
      </w:r>
      <w:r>
        <w:rPr>
          <w:rFonts w:ascii="Arial" w:hAnsi="Arial"/>
          <w:sz w:val="24"/>
          <w:szCs w:val="24"/>
        </w:rPr>
        <w:tab/>
        <w:t xml:space="preserve">Council adopted a revised Corporate Plan 2017/22 </w:t>
      </w:r>
      <w:r w:rsidRPr="00423FBB">
        <w:rPr>
          <w:rFonts w:ascii="Arial" w:hAnsi="Arial"/>
          <w:i/>
          <w:sz w:val="24"/>
          <w:szCs w:val="24"/>
        </w:rPr>
        <w:t>Delivering a Successful and Sustainable Swansea</w:t>
      </w:r>
      <w:r>
        <w:rPr>
          <w:rFonts w:ascii="Arial" w:hAnsi="Arial"/>
          <w:i/>
          <w:sz w:val="24"/>
          <w:szCs w:val="24"/>
        </w:rPr>
        <w:t xml:space="preserve"> </w:t>
      </w:r>
      <w:r>
        <w:rPr>
          <w:rFonts w:ascii="Arial" w:hAnsi="Arial"/>
          <w:sz w:val="24"/>
          <w:szCs w:val="24"/>
        </w:rPr>
        <w:t>on 25 October 2018. The Corporate Plan for 2017/22 was refreshed and approved at Cabinet on 19</w:t>
      </w:r>
      <w:r w:rsidRPr="0069106F">
        <w:rPr>
          <w:rFonts w:ascii="Arial" w:hAnsi="Arial"/>
          <w:sz w:val="24"/>
          <w:szCs w:val="24"/>
          <w:vertAlign w:val="superscript"/>
        </w:rPr>
        <w:t>th</w:t>
      </w:r>
      <w:r>
        <w:rPr>
          <w:rFonts w:ascii="Arial" w:hAnsi="Arial"/>
          <w:sz w:val="24"/>
          <w:szCs w:val="24"/>
        </w:rPr>
        <w:t xml:space="preserve"> March 2019 and was refreshed again and approved by Cabinet on 19</w:t>
      </w:r>
      <w:r w:rsidRPr="00142E84">
        <w:rPr>
          <w:rFonts w:ascii="Arial" w:hAnsi="Arial"/>
          <w:sz w:val="24"/>
          <w:szCs w:val="24"/>
          <w:vertAlign w:val="superscript"/>
        </w:rPr>
        <w:t>th</w:t>
      </w:r>
      <w:r>
        <w:rPr>
          <w:rFonts w:ascii="Arial" w:hAnsi="Arial"/>
          <w:sz w:val="24"/>
          <w:szCs w:val="24"/>
        </w:rPr>
        <w:t xml:space="preserve"> March 2020. The five year Corporate Plan was rolled forward into 2021/22 and will be refreshed and rolled forward for a further year into 2022/23 until after the local government elections when a five year plan will be produced</w:t>
      </w:r>
      <w:r w:rsidRPr="007C292E">
        <w:rPr>
          <w:rFonts w:ascii="Arial" w:hAnsi="Arial"/>
          <w:sz w:val="24"/>
          <w:szCs w:val="24"/>
        </w:rPr>
        <w:t>.</w:t>
      </w:r>
      <w:r>
        <w:rPr>
          <w:rFonts w:ascii="Arial" w:hAnsi="Arial"/>
          <w:i/>
          <w:sz w:val="24"/>
          <w:szCs w:val="24"/>
        </w:rPr>
        <w:t xml:space="preserve"> </w:t>
      </w:r>
      <w:r w:rsidRPr="00423FBB">
        <w:rPr>
          <w:rFonts w:ascii="Arial" w:hAnsi="Arial"/>
          <w:sz w:val="24"/>
          <w:szCs w:val="24"/>
        </w:rPr>
        <w:lastRenderedPageBreak/>
        <w:t>The Corporate Plan sets out the Council’s values and principles underpinning the delivery of the objectives</w:t>
      </w:r>
      <w:r>
        <w:rPr>
          <w:rFonts w:ascii="Arial" w:hAnsi="Arial"/>
          <w:sz w:val="24"/>
          <w:szCs w:val="24"/>
        </w:rPr>
        <w:t xml:space="preserve"> and sets out how the Council will monitor progress through quarterly and annual performance monitoring reports. </w:t>
      </w:r>
    </w:p>
    <w:p w14:paraId="4CD7DE3E" w14:textId="77777777" w:rsidR="008206CA" w:rsidRPr="00423FBB" w:rsidRDefault="008206CA" w:rsidP="008206CA">
      <w:pPr>
        <w:rPr>
          <w:rFonts w:ascii="Arial" w:hAnsi="Arial"/>
          <w:i/>
          <w:sz w:val="24"/>
          <w:szCs w:val="24"/>
        </w:rPr>
      </w:pPr>
    </w:p>
    <w:p w14:paraId="1075C2A6" w14:textId="77777777" w:rsidR="008206CA" w:rsidRDefault="008206CA" w:rsidP="00E9344C">
      <w:pPr>
        <w:ind w:left="720" w:hanging="720"/>
        <w:jc w:val="both"/>
        <w:rPr>
          <w:rFonts w:ascii="Arial" w:hAnsi="Arial"/>
          <w:sz w:val="24"/>
          <w:szCs w:val="24"/>
        </w:rPr>
      </w:pPr>
      <w:r>
        <w:rPr>
          <w:rFonts w:ascii="Arial" w:hAnsi="Arial"/>
          <w:sz w:val="24"/>
          <w:szCs w:val="24"/>
        </w:rPr>
        <w:t>12.3</w:t>
      </w:r>
      <w:r>
        <w:rPr>
          <w:rFonts w:ascii="Arial" w:hAnsi="Arial"/>
          <w:sz w:val="24"/>
          <w:szCs w:val="24"/>
        </w:rPr>
        <w:tab/>
      </w:r>
      <w:r w:rsidRPr="00A93B1B">
        <w:rPr>
          <w:rFonts w:ascii="Arial" w:hAnsi="Arial"/>
          <w:sz w:val="24"/>
          <w:szCs w:val="24"/>
        </w:rPr>
        <w:t xml:space="preserve">Performance on delivery of the Council’s Well-being Objectives is monitored quarterly by Cabinet. </w:t>
      </w:r>
      <w:r>
        <w:rPr>
          <w:rFonts w:ascii="Arial" w:hAnsi="Arial"/>
          <w:sz w:val="24"/>
          <w:szCs w:val="24"/>
        </w:rPr>
        <w:t xml:space="preserve">The reports </w:t>
      </w:r>
      <w:r w:rsidRPr="0052677B">
        <w:rPr>
          <w:rFonts w:ascii="Arial" w:hAnsi="Arial"/>
          <w:sz w:val="24"/>
          <w:szCs w:val="24"/>
        </w:rPr>
        <w:t xml:space="preserve">contain outturn compliance with performance </w:t>
      </w:r>
      <w:r>
        <w:rPr>
          <w:rFonts w:ascii="Arial" w:hAnsi="Arial"/>
          <w:sz w:val="24"/>
          <w:szCs w:val="24"/>
        </w:rPr>
        <w:tab/>
      </w:r>
      <w:r w:rsidRPr="0052677B">
        <w:rPr>
          <w:rFonts w:ascii="Arial" w:hAnsi="Arial"/>
          <w:sz w:val="24"/>
          <w:szCs w:val="24"/>
        </w:rPr>
        <w:t>indicators and an overview of performance for each Objective provided by Directors/Heads of Service.</w:t>
      </w:r>
      <w:r>
        <w:rPr>
          <w:rFonts w:ascii="Arial" w:hAnsi="Arial"/>
          <w:sz w:val="24"/>
          <w:szCs w:val="24"/>
        </w:rPr>
        <w:t xml:space="preserve"> </w:t>
      </w:r>
      <w:r w:rsidRPr="00A93B1B">
        <w:rPr>
          <w:rFonts w:ascii="Arial" w:hAnsi="Arial"/>
          <w:sz w:val="24"/>
          <w:szCs w:val="24"/>
        </w:rPr>
        <w:t xml:space="preserve">The End of Year Performance </w:t>
      </w:r>
      <w:r>
        <w:rPr>
          <w:rFonts w:ascii="Arial" w:hAnsi="Arial"/>
          <w:sz w:val="24"/>
          <w:szCs w:val="24"/>
        </w:rPr>
        <w:t>Monitoring Report for 2020/21</w:t>
      </w:r>
      <w:r w:rsidRPr="00A93B1B">
        <w:rPr>
          <w:rFonts w:ascii="Arial" w:hAnsi="Arial"/>
          <w:sz w:val="24"/>
          <w:szCs w:val="24"/>
        </w:rPr>
        <w:t xml:space="preserve"> was presented to Cabinet </w:t>
      </w:r>
      <w:r>
        <w:rPr>
          <w:rFonts w:ascii="Arial" w:hAnsi="Arial"/>
          <w:sz w:val="24"/>
          <w:szCs w:val="24"/>
        </w:rPr>
        <w:t>on 15</w:t>
      </w:r>
      <w:r w:rsidRPr="0069106F">
        <w:rPr>
          <w:rFonts w:ascii="Arial" w:hAnsi="Arial"/>
          <w:sz w:val="24"/>
          <w:szCs w:val="24"/>
          <w:vertAlign w:val="superscript"/>
        </w:rPr>
        <w:t>th</w:t>
      </w:r>
      <w:r>
        <w:rPr>
          <w:rFonts w:ascii="Arial" w:hAnsi="Arial"/>
          <w:sz w:val="24"/>
          <w:szCs w:val="24"/>
        </w:rPr>
        <w:t xml:space="preserve"> July 2021</w:t>
      </w:r>
      <w:r w:rsidRPr="00A93B1B">
        <w:rPr>
          <w:rFonts w:ascii="Arial" w:hAnsi="Arial"/>
          <w:sz w:val="24"/>
          <w:szCs w:val="24"/>
        </w:rPr>
        <w:t xml:space="preserve">. </w:t>
      </w:r>
      <w:r>
        <w:rPr>
          <w:rFonts w:ascii="Arial" w:hAnsi="Arial"/>
          <w:sz w:val="24"/>
          <w:szCs w:val="24"/>
        </w:rPr>
        <w:t xml:space="preserve">The report showed that </w:t>
      </w:r>
      <w:r w:rsidRPr="00912079">
        <w:rPr>
          <w:rFonts w:ascii="Arial" w:hAnsi="Arial"/>
          <w:sz w:val="24"/>
          <w:szCs w:val="24"/>
        </w:rPr>
        <w:t>35 out of 59 (59%)</w:t>
      </w:r>
      <w:r>
        <w:rPr>
          <w:rFonts w:ascii="Arial" w:hAnsi="Arial"/>
          <w:sz w:val="24"/>
          <w:szCs w:val="24"/>
        </w:rPr>
        <w:t xml:space="preserve"> of </w:t>
      </w:r>
      <w:r w:rsidRPr="00EF7E6A">
        <w:rPr>
          <w:rFonts w:ascii="Arial" w:hAnsi="Arial"/>
          <w:sz w:val="24"/>
          <w:szCs w:val="24"/>
        </w:rPr>
        <w:t>comparable indicators showed improvement</w:t>
      </w:r>
      <w:r>
        <w:rPr>
          <w:rFonts w:ascii="Arial" w:hAnsi="Arial"/>
          <w:sz w:val="24"/>
          <w:szCs w:val="24"/>
        </w:rPr>
        <w:t xml:space="preserve"> or stayed the same compared to </w:t>
      </w:r>
      <w:r w:rsidRPr="00EF7E6A">
        <w:rPr>
          <w:rFonts w:ascii="Arial" w:hAnsi="Arial"/>
          <w:sz w:val="24"/>
          <w:szCs w:val="24"/>
        </w:rPr>
        <w:t xml:space="preserve">the previous </w:t>
      </w:r>
      <w:r>
        <w:rPr>
          <w:rFonts w:ascii="Arial" w:hAnsi="Arial"/>
          <w:sz w:val="24"/>
          <w:szCs w:val="24"/>
        </w:rPr>
        <w:t xml:space="preserve">year. Continued disruption from COVID-19 meant that performance targets were not set during 2021/22 and any comparisons to previous performance were appropriately contextualized. </w:t>
      </w:r>
    </w:p>
    <w:p w14:paraId="10B91C3F" w14:textId="77777777" w:rsidR="008206CA" w:rsidRDefault="008206CA" w:rsidP="00E9344C">
      <w:pPr>
        <w:jc w:val="both"/>
        <w:rPr>
          <w:rFonts w:ascii="Arial" w:hAnsi="Arial"/>
          <w:sz w:val="24"/>
          <w:szCs w:val="24"/>
        </w:rPr>
      </w:pPr>
    </w:p>
    <w:p w14:paraId="287D4A5F" w14:textId="77777777" w:rsidR="008206CA" w:rsidRDefault="008206CA" w:rsidP="00E9344C">
      <w:pPr>
        <w:ind w:left="720" w:hanging="720"/>
        <w:jc w:val="both"/>
        <w:rPr>
          <w:rFonts w:ascii="Arial" w:hAnsi="Arial"/>
          <w:sz w:val="24"/>
          <w:szCs w:val="24"/>
        </w:rPr>
      </w:pPr>
      <w:r>
        <w:rPr>
          <w:rFonts w:ascii="Arial" w:hAnsi="Arial"/>
          <w:sz w:val="24"/>
          <w:szCs w:val="24"/>
        </w:rPr>
        <w:t>12.4</w:t>
      </w:r>
      <w:r>
        <w:rPr>
          <w:rFonts w:ascii="Arial" w:hAnsi="Arial"/>
          <w:sz w:val="24"/>
          <w:szCs w:val="24"/>
        </w:rPr>
        <w:tab/>
      </w:r>
      <w:r w:rsidRPr="00451349">
        <w:rPr>
          <w:rFonts w:ascii="Arial" w:hAnsi="Arial"/>
          <w:sz w:val="24"/>
          <w:szCs w:val="24"/>
        </w:rPr>
        <w:t xml:space="preserve">The </w:t>
      </w:r>
      <w:r>
        <w:rPr>
          <w:rFonts w:ascii="Arial" w:hAnsi="Arial"/>
          <w:sz w:val="24"/>
          <w:szCs w:val="24"/>
        </w:rPr>
        <w:t>Annual Review of Performance 2020</w:t>
      </w:r>
      <w:r w:rsidRPr="00900A1F">
        <w:rPr>
          <w:rFonts w:ascii="Arial" w:hAnsi="Arial"/>
          <w:sz w:val="24"/>
          <w:szCs w:val="24"/>
        </w:rPr>
        <w:t>/</w:t>
      </w:r>
      <w:r>
        <w:rPr>
          <w:rFonts w:ascii="Arial" w:hAnsi="Arial"/>
          <w:sz w:val="24"/>
          <w:szCs w:val="24"/>
        </w:rPr>
        <w:t>21</w:t>
      </w:r>
      <w:r>
        <w:rPr>
          <w:rFonts w:ascii="Arial" w:hAnsi="Arial"/>
          <w:b/>
          <w:sz w:val="24"/>
          <w:szCs w:val="24"/>
        </w:rPr>
        <w:t xml:space="preserve"> </w:t>
      </w:r>
      <w:r w:rsidRPr="00451349">
        <w:rPr>
          <w:rFonts w:ascii="Arial" w:hAnsi="Arial"/>
          <w:sz w:val="24"/>
          <w:szCs w:val="24"/>
        </w:rPr>
        <w:t xml:space="preserve">was approved by Cabinet on </w:t>
      </w:r>
      <w:r>
        <w:rPr>
          <w:rFonts w:ascii="Arial" w:hAnsi="Arial"/>
          <w:sz w:val="24"/>
          <w:szCs w:val="24"/>
        </w:rPr>
        <w:t>21</w:t>
      </w:r>
      <w:r w:rsidRPr="000D26BF">
        <w:rPr>
          <w:rFonts w:ascii="Arial" w:hAnsi="Arial"/>
          <w:sz w:val="24"/>
          <w:szCs w:val="24"/>
          <w:vertAlign w:val="superscript"/>
        </w:rPr>
        <w:t>st</w:t>
      </w:r>
      <w:r>
        <w:rPr>
          <w:rFonts w:ascii="Arial" w:hAnsi="Arial"/>
          <w:sz w:val="24"/>
          <w:szCs w:val="24"/>
        </w:rPr>
        <w:t xml:space="preserve"> October 2021</w:t>
      </w:r>
      <w:r w:rsidRPr="00451349">
        <w:rPr>
          <w:rFonts w:ascii="Arial" w:hAnsi="Arial"/>
          <w:sz w:val="24"/>
          <w:szCs w:val="24"/>
        </w:rPr>
        <w:t xml:space="preserve">. The report showed the results of each performance measure for the </w:t>
      </w:r>
      <w:r>
        <w:rPr>
          <w:rFonts w:ascii="Arial" w:hAnsi="Arial"/>
          <w:sz w:val="24"/>
          <w:szCs w:val="24"/>
        </w:rPr>
        <w:t>6</w:t>
      </w:r>
      <w:r w:rsidRPr="00451349">
        <w:rPr>
          <w:rFonts w:ascii="Arial" w:hAnsi="Arial"/>
          <w:sz w:val="24"/>
          <w:szCs w:val="24"/>
        </w:rPr>
        <w:t xml:space="preserve"> </w:t>
      </w:r>
      <w:r>
        <w:rPr>
          <w:rFonts w:ascii="Arial" w:hAnsi="Arial"/>
          <w:sz w:val="24"/>
          <w:szCs w:val="24"/>
        </w:rPr>
        <w:t>Objectives</w:t>
      </w:r>
      <w:r w:rsidRPr="00451349">
        <w:rPr>
          <w:rFonts w:ascii="Arial" w:hAnsi="Arial"/>
          <w:sz w:val="24"/>
          <w:szCs w:val="24"/>
        </w:rPr>
        <w:t xml:space="preserve"> set out in the Corporate Plan </w:t>
      </w:r>
      <w:r>
        <w:rPr>
          <w:rFonts w:ascii="Arial" w:hAnsi="Arial"/>
          <w:sz w:val="24"/>
          <w:szCs w:val="24"/>
        </w:rPr>
        <w:t>2017/22</w:t>
      </w:r>
      <w:r w:rsidRPr="00451349">
        <w:rPr>
          <w:rFonts w:ascii="Arial" w:hAnsi="Arial"/>
          <w:i/>
          <w:sz w:val="24"/>
          <w:szCs w:val="24"/>
        </w:rPr>
        <w:t>.</w:t>
      </w:r>
      <w:r w:rsidRPr="00451349">
        <w:rPr>
          <w:rFonts w:ascii="Arial" w:hAnsi="Arial"/>
          <w:sz w:val="24"/>
          <w:szCs w:val="24"/>
        </w:rPr>
        <w:t xml:space="preserve"> The results showed that </w:t>
      </w:r>
      <w:r>
        <w:rPr>
          <w:rFonts w:ascii="Arial" w:hAnsi="Arial"/>
          <w:sz w:val="24"/>
          <w:szCs w:val="24"/>
        </w:rPr>
        <w:t xml:space="preserve">overall </w:t>
      </w:r>
      <w:r w:rsidRPr="00451349">
        <w:rPr>
          <w:rFonts w:ascii="Arial" w:hAnsi="Arial"/>
          <w:sz w:val="24"/>
          <w:szCs w:val="24"/>
        </w:rPr>
        <w:t xml:space="preserve">the Council </w:t>
      </w:r>
      <w:r>
        <w:rPr>
          <w:rFonts w:ascii="Arial" w:hAnsi="Arial"/>
          <w:sz w:val="24"/>
          <w:szCs w:val="24"/>
        </w:rPr>
        <w:t>has made significant progress undertaking the steps to meet its Well-being Objectives but that there were areas for development and lessons learnt.</w:t>
      </w:r>
    </w:p>
    <w:p w14:paraId="699ADBCD" w14:textId="77777777" w:rsidR="008206CA" w:rsidRDefault="008206CA" w:rsidP="00E9344C">
      <w:pPr>
        <w:ind w:left="709"/>
        <w:jc w:val="both"/>
        <w:rPr>
          <w:rFonts w:ascii="Arial" w:hAnsi="Arial"/>
          <w:sz w:val="24"/>
          <w:szCs w:val="24"/>
        </w:rPr>
      </w:pPr>
    </w:p>
    <w:p w14:paraId="74EF37A3" w14:textId="77777777" w:rsidR="008206CA" w:rsidRDefault="008206CA" w:rsidP="00E9344C">
      <w:pPr>
        <w:ind w:left="720" w:hanging="720"/>
        <w:jc w:val="both"/>
        <w:rPr>
          <w:rFonts w:ascii="Arial" w:hAnsi="Arial"/>
          <w:sz w:val="24"/>
          <w:szCs w:val="24"/>
        </w:rPr>
      </w:pPr>
      <w:r>
        <w:rPr>
          <w:rFonts w:ascii="Arial" w:hAnsi="Arial"/>
          <w:sz w:val="24"/>
          <w:szCs w:val="24"/>
        </w:rPr>
        <w:t>12.5</w:t>
      </w:r>
      <w:r>
        <w:rPr>
          <w:rFonts w:ascii="Arial" w:hAnsi="Arial"/>
          <w:sz w:val="24"/>
          <w:szCs w:val="24"/>
        </w:rPr>
        <w:tab/>
      </w:r>
      <w:r w:rsidRPr="006C5A55">
        <w:rPr>
          <w:rFonts w:ascii="Arial" w:hAnsi="Arial"/>
          <w:sz w:val="24"/>
          <w:szCs w:val="24"/>
        </w:rPr>
        <w:t>The Corporate Complaints Policies were reviewed to ensure they were in line with the Public Services Ombudsman (Wales) Act 2019 and the Welsh Language St</w:t>
      </w:r>
      <w:r>
        <w:rPr>
          <w:rFonts w:ascii="Arial" w:hAnsi="Arial"/>
          <w:sz w:val="24"/>
          <w:szCs w:val="24"/>
        </w:rPr>
        <w:t>andards. The Annual Complaints R</w:t>
      </w:r>
      <w:r w:rsidRPr="006C5A55">
        <w:rPr>
          <w:rFonts w:ascii="Arial" w:hAnsi="Arial"/>
          <w:sz w:val="24"/>
          <w:szCs w:val="24"/>
        </w:rPr>
        <w:t xml:space="preserve">eport </w:t>
      </w:r>
      <w:r>
        <w:rPr>
          <w:rFonts w:ascii="Arial" w:hAnsi="Arial"/>
          <w:sz w:val="24"/>
          <w:szCs w:val="24"/>
        </w:rPr>
        <w:t xml:space="preserve">2020/21 </w:t>
      </w:r>
      <w:r w:rsidRPr="006C5A55">
        <w:rPr>
          <w:rFonts w:ascii="Arial" w:hAnsi="Arial"/>
          <w:sz w:val="24"/>
          <w:szCs w:val="24"/>
        </w:rPr>
        <w:t>was presented to the Scrutiny programme Committee on the 15</w:t>
      </w:r>
      <w:r w:rsidRPr="006C5A55">
        <w:rPr>
          <w:rFonts w:ascii="Arial" w:hAnsi="Arial"/>
          <w:sz w:val="24"/>
          <w:szCs w:val="24"/>
          <w:vertAlign w:val="superscript"/>
        </w:rPr>
        <w:t>th</w:t>
      </w:r>
      <w:r w:rsidRPr="006C5A55">
        <w:rPr>
          <w:rFonts w:ascii="Arial" w:hAnsi="Arial"/>
          <w:sz w:val="24"/>
          <w:szCs w:val="24"/>
        </w:rPr>
        <w:t xml:space="preserve"> March</w:t>
      </w:r>
      <w:r>
        <w:rPr>
          <w:rFonts w:ascii="Arial" w:hAnsi="Arial"/>
          <w:sz w:val="24"/>
          <w:szCs w:val="24"/>
        </w:rPr>
        <w:t xml:space="preserve"> 2022</w:t>
      </w:r>
      <w:r w:rsidRPr="006C5A55">
        <w:rPr>
          <w:rFonts w:ascii="Arial" w:hAnsi="Arial"/>
          <w:sz w:val="24"/>
          <w:szCs w:val="24"/>
        </w:rPr>
        <w:t>. In addition</w:t>
      </w:r>
      <w:r>
        <w:rPr>
          <w:rFonts w:ascii="Arial" w:hAnsi="Arial"/>
          <w:sz w:val="24"/>
          <w:szCs w:val="24"/>
        </w:rPr>
        <w:t>,</w:t>
      </w:r>
      <w:r w:rsidRPr="006C5A55">
        <w:rPr>
          <w:rFonts w:ascii="Arial" w:hAnsi="Arial"/>
          <w:sz w:val="24"/>
          <w:szCs w:val="24"/>
        </w:rPr>
        <w:t xml:space="preserve"> the Ombudsman’s annual report was presented to Cabinet in November 2021. The Annual Complaints Report reflects the continued emphasis on prompt resolution of complaints and includes compliments about services. 73</w:t>
      </w:r>
      <w:r w:rsidRPr="006C5A55">
        <w:rPr>
          <w:rFonts w:ascii="Arial" w:hAnsi="Arial"/>
          <w:b/>
          <w:bCs/>
          <w:sz w:val="24"/>
          <w:szCs w:val="24"/>
        </w:rPr>
        <w:t xml:space="preserve"> </w:t>
      </w:r>
      <w:r w:rsidRPr="006C5A55">
        <w:rPr>
          <w:rFonts w:ascii="Arial" w:hAnsi="Arial"/>
          <w:sz w:val="24"/>
          <w:szCs w:val="24"/>
        </w:rPr>
        <w:t>complaints were made to the Ombudsman including corporate complaints and Social Services (there were 92 cases received in 2019-20). 67 of which were closed within the year, and nine of which received intervention (early resolution / voluntary settlement (5) or were upheld (4)). PSOW complaints reduced compared with the 92 closed in 2019-20. There was an assurance that there were no s16 Public Interest reports during the year</w:t>
      </w:r>
      <w:r w:rsidRPr="003A6699">
        <w:rPr>
          <w:rFonts w:ascii="Arial" w:hAnsi="Arial"/>
          <w:sz w:val="24"/>
          <w:szCs w:val="24"/>
        </w:rPr>
        <w:t>.</w:t>
      </w:r>
    </w:p>
    <w:p w14:paraId="18366533" w14:textId="77777777" w:rsidR="008206CA" w:rsidRPr="00900A1F" w:rsidRDefault="008206CA" w:rsidP="00E9344C">
      <w:pPr>
        <w:jc w:val="both"/>
        <w:rPr>
          <w:rFonts w:ascii="Arial" w:hAnsi="Arial"/>
          <w:sz w:val="24"/>
          <w:szCs w:val="24"/>
        </w:rPr>
      </w:pPr>
      <w:r w:rsidRPr="00900A1F">
        <w:rPr>
          <w:rFonts w:ascii="Arial" w:hAnsi="Arial"/>
          <w:sz w:val="24"/>
          <w:szCs w:val="24"/>
        </w:rPr>
        <w:t xml:space="preserve"> </w:t>
      </w:r>
    </w:p>
    <w:p w14:paraId="79D5081A" w14:textId="77777777" w:rsidR="008206CA" w:rsidRPr="00160F31" w:rsidRDefault="008206CA" w:rsidP="00E9344C">
      <w:pPr>
        <w:ind w:left="720" w:hanging="720"/>
        <w:jc w:val="both"/>
        <w:rPr>
          <w:rFonts w:ascii="Arial" w:hAnsi="Arial"/>
          <w:sz w:val="24"/>
          <w:szCs w:val="24"/>
        </w:rPr>
      </w:pPr>
      <w:r>
        <w:rPr>
          <w:rFonts w:ascii="Arial" w:hAnsi="Arial"/>
          <w:sz w:val="24"/>
          <w:szCs w:val="24"/>
        </w:rPr>
        <w:t>12.6</w:t>
      </w:r>
      <w:r>
        <w:rPr>
          <w:rFonts w:ascii="Arial" w:hAnsi="Arial"/>
          <w:sz w:val="24"/>
          <w:szCs w:val="24"/>
        </w:rPr>
        <w:tab/>
      </w:r>
      <w:r w:rsidRPr="006A4DB8">
        <w:rPr>
          <w:rFonts w:ascii="Arial" w:hAnsi="Arial"/>
          <w:sz w:val="24"/>
          <w:szCs w:val="24"/>
        </w:rPr>
        <w:t xml:space="preserve">The </w:t>
      </w:r>
      <w:r>
        <w:rPr>
          <w:rFonts w:ascii="Arial" w:hAnsi="Arial"/>
          <w:sz w:val="24"/>
          <w:szCs w:val="24"/>
        </w:rPr>
        <w:t xml:space="preserve">Governance &amp; </w:t>
      </w:r>
      <w:r w:rsidRPr="006A4DB8">
        <w:rPr>
          <w:rFonts w:ascii="Arial" w:hAnsi="Arial"/>
          <w:sz w:val="24"/>
          <w:szCs w:val="24"/>
        </w:rPr>
        <w:t>Audit Committee Annual Report 2020/21</w:t>
      </w:r>
      <w:r w:rsidRPr="006A4DB8">
        <w:rPr>
          <w:rFonts w:ascii="Arial" w:hAnsi="Arial"/>
          <w:b/>
          <w:sz w:val="24"/>
          <w:szCs w:val="24"/>
        </w:rPr>
        <w:t xml:space="preserve"> </w:t>
      </w:r>
      <w:r w:rsidRPr="006A4DB8">
        <w:rPr>
          <w:rFonts w:ascii="Arial" w:hAnsi="Arial"/>
          <w:sz w:val="24"/>
          <w:szCs w:val="24"/>
        </w:rPr>
        <w:t>was presented to Council on 7</w:t>
      </w:r>
      <w:r w:rsidRPr="006A4DB8">
        <w:rPr>
          <w:rFonts w:ascii="Arial" w:hAnsi="Arial"/>
          <w:sz w:val="24"/>
          <w:szCs w:val="24"/>
          <w:vertAlign w:val="superscript"/>
        </w:rPr>
        <w:t>th</w:t>
      </w:r>
      <w:r w:rsidRPr="006A4DB8">
        <w:rPr>
          <w:rFonts w:ascii="Arial" w:hAnsi="Arial"/>
          <w:sz w:val="24"/>
          <w:szCs w:val="24"/>
        </w:rPr>
        <w:t xml:space="preserve"> July 2021 and outlined the assurance the Committee had gained over control, risk management and governance from various sources over the course of 2020/21. In particular, the report highlighted the work that had been undertaken throughout the year in line with the Committee’s terms of reference</w:t>
      </w:r>
      <w:r>
        <w:rPr>
          <w:rFonts w:ascii="Arial" w:hAnsi="Arial"/>
          <w:sz w:val="24"/>
          <w:szCs w:val="24"/>
        </w:rPr>
        <w:t xml:space="preserve">. </w:t>
      </w:r>
    </w:p>
    <w:p w14:paraId="7CA4BE95" w14:textId="77777777" w:rsidR="008206CA" w:rsidRDefault="008206CA" w:rsidP="00E9344C">
      <w:pPr>
        <w:jc w:val="both"/>
        <w:rPr>
          <w:rFonts w:ascii="Arial" w:hAnsi="Arial"/>
          <w:sz w:val="24"/>
          <w:szCs w:val="24"/>
        </w:rPr>
      </w:pPr>
    </w:p>
    <w:p w14:paraId="5730651F" w14:textId="77777777" w:rsidR="008206CA" w:rsidRPr="007C251C" w:rsidRDefault="008206CA" w:rsidP="00E9344C">
      <w:pPr>
        <w:ind w:left="720" w:hanging="720"/>
        <w:jc w:val="both"/>
        <w:rPr>
          <w:rFonts w:ascii="Arial" w:hAnsi="Arial"/>
          <w:sz w:val="24"/>
          <w:szCs w:val="24"/>
        </w:rPr>
      </w:pPr>
      <w:r>
        <w:rPr>
          <w:rFonts w:ascii="Arial" w:hAnsi="Arial"/>
          <w:sz w:val="24"/>
          <w:szCs w:val="24"/>
        </w:rPr>
        <w:t>12.7</w:t>
      </w:r>
      <w:r>
        <w:rPr>
          <w:rFonts w:ascii="Arial" w:hAnsi="Arial"/>
          <w:sz w:val="24"/>
          <w:szCs w:val="24"/>
        </w:rPr>
        <w:tab/>
        <w:t>The Equality Review Report 2020</w:t>
      </w:r>
      <w:r w:rsidRPr="007C251C">
        <w:rPr>
          <w:rFonts w:ascii="Arial" w:hAnsi="Arial"/>
          <w:sz w:val="24"/>
          <w:szCs w:val="24"/>
        </w:rPr>
        <w:t>/</w:t>
      </w:r>
      <w:r>
        <w:rPr>
          <w:rFonts w:ascii="Arial" w:hAnsi="Arial"/>
          <w:sz w:val="24"/>
          <w:szCs w:val="24"/>
        </w:rPr>
        <w:t>21</w:t>
      </w:r>
      <w:r w:rsidRPr="007C251C">
        <w:rPr>
          <w:rFonts w:ascii="Arial" w:hAnsi="Arial"/>
          <w:sz w:val="24"/>
          <w:szCs w:val="24"/>
        </w:rPr>
        <w:t xml:space="preserve"> was reported to Cabinet on 1</w:t>
      </w:r>
      <w:r>
        <w:rPr>
          <w:rFonts w:ascii="Arial" w:hAnsi="Arial"/>
          <w:sz w:val="24"/>
          <w:szCs w:val="24"/>
        </w:rPr>
        <w:t>6</w:t>
      </w:r>
      <w:r w:rsidRPr="007C251C">
        <w:rPr>
          <w:rFonts w:ascii="Arial" w:hAnsi="Arial"/>
          <w:sz w:val="24"/>
          <w:szCs w:val="24"/>
          <w:vertAlign w:val="superscript"/>
        </w:rPr>
        <w:t>th</w:t>
      </w:r>
      <w:r w:rsidRPr="007C251C">
        <w:rPr>
          <w:rFonts w:ascii="Arial" w:hAnsi="Arial"/>
          <w:sz w:val="24"/>
          <w:szCs w:val="24"/>
        </w:rPr>
        <w:t xml:space="preserve">          September 20</w:t>
      </w:r>
      <w:r>
        <w:rPr>
          <w:rFonts w:ascii="Arial" w:hAnsi="Arial"/>
          <w:sz w:val="24"/>
          <w:szCs w:val="24"/>
        </w:rPr>
        <w:t>21</w:t>
      </w:r>
      <w:r w:rsidRPr="007C251C">
        <w:rPr>
          <w:rFonts w:ascii="Arial" w:hAnsi="Arial"/>
          <w:sz w:val="24"/>
          <w:szCs w:val="24"/>
        </w:rPr>
        <w:t xml:space="preserve">, which highlighted progress against the </w:t>
      </w:r>
      <w:r>
        <w:rPr>
          <w:rFonts w:ascii="Arial" w:hAnsi="Arial"/>
          <w:sz w:val="24"/>
          <w:szCs w:val="24"/>
        </w:rPr>
        <w:t xml:space="preserve">Council’s </w:t>
      </w:r>
      <w:r w:rsidRPr="007C251C">
        <w:rPr>
          <w:rFonts w:ascii="Arial" w:hAnsi="Arial"/>
          <w:sz w:val="24"/>
          <w:szCs w:val="24"/>
        </w:rPr>
        <w:t xml:space="preserve">Equality Objectives. The report highlighted work linked to the core principles i.e. co-production, engagement and embedding of children’s rights. </w:t>
      </w:r>
    </w:p>
    <w:p w14:paraId="76A42E00" w14:textId="77777777" w:rsidR="008206CA" w:rsidRDefault="008206CA" w:rsidP="00E9344C">
      <w:pPr>
        <w:jc w:val="both"/>
        <w:rPr>
          <w:rFonts w:ascii="Arial" w:hAnsi="Arial"/>
          <w:sz w:val="24"/>
          <w:szCs w:val="24"/>
        </w:rPr>
      </w:pPr>
    </w:p>
    <w:p w14:paraId="1385AABE" w14:textId="77777777" w:rsidR="008206CA" w:rsidRPr="005B6A13" w:rsidRDefault="008206CA" w:rsidP="00E9344C">
      <w:pPr>
        <w:ind w:left="720" w:hanging="720"/>
        <w:jc w:val="both"/>
        <w:rPr>
          <w:rFonts w:ascii="Arial" w:hAnsi="Arial" w:cs="Arial"/>
          <w:sz w:val="24"/>
          <w:szCs w:val="24"/>
        </w:rPr>
      </w:pPr>
      <w:r>
        <w:rPr>
          <w:rFonts w:ascii="Arial" w:hAnsi="Arial" w:cs="Arial"/>
          <w:sz w:val="24"/>
          <w:szCs w:val="24"/>
        </w:rPr>
        <w:t>12.8</w:t>
      </w:r>
      <w:r>
        <w:rPr>
          <w:rFonts w:ascii="Arial" w:hAnsi="Arial" w:cs="Arial"/>
          <w:sz w:val="24"/>
          <w:szCs w:val="24"/>
        </w:rPr>
        <w:tab/>
      </w:r>
      <w:r w:rsidRPr="00C04A9C">
        <w:rPr>
          <w:rFonts w:ascii="Arial" w:hAnsi="Arial" w:cs="Arial"/>
          <w:sz w:val="24"/>
          <w:szCs w:val="24"/>
        </w:rPr>
        <w:t>The Welsh Language Annual Report 2020/21 reflected progress and compliance on the 163 Welsh Language Standards across five categories with which the Council has to comply. The report contained an overview of activity and how the Council internally promotes the Welsh Language Standards with tools and information. The report concluded that good progress continued to be made on implementing the Welsh language standards during 2020/21 and highlighted some areas to support ongoing development and improvement</w:t>
      </w:r>
      <w:r w:rsidRPr="007C251C">
        <w:rPr>
          <w:rFonts w:ascii="Arial" w:hAnsi="Arial" w:cs="Arial"/>
          <w:sz w:val="24"/>
          <w:szCs w:val="24"/>
        </w:rPr>
        <w:t>.</w:t>
      </w:r>
    </w:p>
    <w:p w14:paraId="09F3EE81" w14:textId="77777777" w:rsidR="008206CA" w:rsidRDefault="008206CA" w:rsidP="008206CA">
      <w:pPr>
        <w:rPr>
          <w:rFonts w:ascii="Arial" w:hAnsi="Arial"/>
          <w:sz w:val="24"/>
          <w:szCs w:val="24"/>
        </w:rPr>
      </w:pPr>
    </w:p>
    <w:p w14:paraId="6E11762B" w14:textId="77777777" w:rsidR="008206CA" w:rsidRPr="007C251C" w:rsidRDefault="008206CA" w:rsidP="00E9344C">
      <w:pPr>
        <w:ind w:left="720" w:hanging="720"/>
        <w:jc w:val="both"/>
        <w:rPr>
          <w:rFonts w:ascii="Arial" w:hAnsi="Arial" w:cs="Arial"/>
          <w:color w:val="000000"/>
          <w:sz w:val="24"/>
          <w:szCs w:val="24"/>
          <w:lang w:eastAsia="en-GB"/>
        </w:rPr>
      </w:pPr>
      <w:r>
        <w:rPr>
          <w:rFonts w:ascii="Arial" w:hAnsi="Arial"/>
          <w:sz w:val="24"/>
          <w:szCs w:val="24"/>
        </w:rPr>
        <w:t>12.9</w:t>
      </w:r>
      <w:r>
        <w:rPr>
          <w:rFonts w:ascii="Arial" w:hAnsi="Arial"/>
          <w:sz w:val="24"/>
          <w:szCs w:val="24"/>
        </w:rPr>
        <w:tab/>
      </w:r>
      <w:r w:rsidRPr="007C251C">
        <w:rPr>
          <w:rFonts w:ascii="Arial" w:hAnsi="Arial"/>
          <w:sz w:val="24"/>
          <w:szCs w:val="24"/>
        </w:rPr>
        <w:t>There were a number of key reports presented to Cabinet/Council during 20</w:t>
      </w:r>
      <w:r>
        <w:rPr>
          <w:rFonts w:ascii="Arial" w:hAnsi="Arial"/>
          <w:sz w:val="24"/>
          <w:szCs w:val="24"/>
        </w:rPr>
        <w:t>21</w:t>
      </w:r>
      <w:r w:rsidRPr="007C251C">
        <w:rPr>
          <w:rFonts w:ascii="Arial" w:hAnsi="Arial"/>
          <w:sz w:val="24"/>
          <w:szCs w:val="24"/>
        </w:rPr>
        <w:t>/2</w:t>
      </w:r>
      <w:r>
        <w:rPr>
          <w:rFonts w:ascii="Arial" w:hAnsi="Arial"/>
          <w:sz w:val="24"/>
          <w:szCs w:val="24"/>
        </w:rPr>
        <w:t>2</w:t>
      </w:r>
      <w:r w:rsidRPr="007C251C">
        <w:rPr>
          <w:rFonts w:ascii="Arial" w:hAnsi="Arial"/>
          <w:sz w:val="24"/>
          <w:szCs w:val="24"/>
        </w:rPr>
        <w:t xml:space="preserve"> including reports relating to the Swansea Bay City Deal, </w:t>
      </w:r>
      <w:r>
        <w:rPr>
          <w:rFonts w:ascii="Arial" w:hAnsi="Arial"/>
          <w:sz w:val="24"/>
          <w:szCs w:val="24"/>
        </w:rPr>
        <w:t>regeneration and</w:t>
      </w:r>
      <w:r w:rsidRPr="007C251C">
        <w:rPr>
          <w:rFonts w:ascii="Arial" w:hAnsi="Arial"/>
          <w:sz w:val="24"/>
          <w:szCs w:val="24"/>
        </w:rPr>
        <w:t xml:space="preserve"> capital works and a number of Cabinet reports in response to the </w:t>
      </w:r>
      <w:r>
        <w:rPr>
          <w:rFonts w:ascii="Arial" w:hAnsi="Arial"/>
          <w:sz w:val="24"/>
          <w:szCs w:val="24"/>
        </w:rPr>
        <w:t>COVID-19</w:t>
      </w:r>
      <w:r w:rsidRPr="007C251C">
        <w:rPr>
          <w:rFonts w:ascii="Arial" w:hAnsi="Arial"/>
          <w:sz w:val="24"/>
          <w:szCs w:val="24"/>
        </w:rPr>
        <w:t xml:space="preserve"> pandemic.  </w:t>
      </w:r>
      <w:r w:rsidRPr="001D45BE">
        <w:rPr>
          <w:rFonts w:ascii="Arial" w:hAnsi="Arial"/>
          <w:sz w:val="24"/>
          <w:szCs w:val="24"/>
        </w:rPr>
        <w:t>On 15</w:t>
      </w:r>
      <w:r w:rsidRPr="001D45BE">
        <w:rPr>
          <w:rFonts w:ascii="Arial" w:hAnsi="Arial"/>
          <w:sz w:val="24"/>
          <w:szCs w:val="24"/>
          <w:vertAlign w:val="superscript"/>
        </w:rPr>
        <w:t>th</w:t>
      </w:r>
      <w:r w:rsidRPr="001D45BE">
        <w:rPr>
          <w:rFonts w:ascii="Arial" w:hAnsi="Arial"/>
          <w:sz w:val="24"/>
          <w:szCs w:val="24"/>
        </w:rPr>
        <w:t xml:space="preserve"> October 2020 Cabinet approved the new Swansea - </w:t>
      </w:r>
      <w:r w:rsidRPr="001D45BE">
        <w:rPr>
          <w:rFonts w:ascii="Arial" w:hAnsi="Arial"/>
          <w:i/>
          <w:sz w:val="24"/>
          <w:szCs w:val="24"/>
        </w:rPr>
        <w:t>Achieving Better Together “From Recovery to Transformation”</w:t>
      </w:r>
      <w:r w:rsidRPr="001D45BE">
        <w:rPr>
          <w:rFonts w:ascii="Arial" w:hAnsi="Arial"/>
          <w:sz w:val="24"/>
          <w:szCs w:val="24"/>
        </w:rPr>
        <w:t xml:space="preserve"> Transformation Strategy and Programme Framework. In January 2022 an update report reflected the progress and changes to the programme since the framework was adopted as well as identifying the ongoing flexibility required to respond to the ongoing and emerging challenges and changes to the Council, its services and its workforce</w:t>
      </w:r>
      <w:r>
        <w:rPr>
          <w:rFonts w:ascii="Arial" w:hAnsi="Arial"/>
          <w:sz w:val="24"/>
          <w:szCs w:val="24"/>
        </w:rPr>
        <w:t>.</w:t>
      </w:r>
    </w:p>
    <w:p w14:paraId="2EEF4F60" w14:textId="77777777" w:rsidR="008206CA" w:rsidRPr="004F7360" w:rsidRDefault="008206CA" w:rsidP="00E9344C">
      <w:pPr>
        <w:pStyle w:val="ListParagraph"/>
        <w:spacing w:after="0" w:line="240" w:lineRule="auto"/>
        <w:ind w:left="709"/>
        <w:jc w:val="both"/>
        <w:rPr>
          <w:rFonts w:cs="Arial"/>
          <w:color w:val="000000"/>
          <w:sz w:val="24"/>
        </w:rPr>
      </w:pPr>
    </w:p>
    <w:p w14:paraId="2DC4E42D" w14:textId="77777777" w:rsidR="008206CA" w:rsidRPr="001D45BE" w:rsidRDefault="008206CA" w:rsidP="00E9344C">
      <w:pPr>
        <w:ind w:left="720" w:hanging="720"/>
        <w:jc w:val="both"/>
        <w:rPr>
          <w:rFonts w:ascii="Arial" w:hAnsi="Arial" w:cs="Arial"/>
          <w:sz w:val="24"/>
          <w:szCs w:val="24"/>
          <w:lang w:eastAsia="en-GB"/>
        </w:rPr>
      </w:pPr>
      <w:r>
        <w:rPr>
          <w:rFonts w:ascii="Arial" w:hAnsi="Arial" w:cs="Arial"/>
          <w:sz w:val="24"/>
          <w:szCs w:val="24"/>
          <w:lang w:eastAsia="en-GB"/>
        </w:rPr>
        <w:t>12.10</w:t>
      </w:r>
      <w:r>
        <w:rPr>
          <w:rFonts w:ascii="Arial" w:hAnsi="Arial" w:cs="Arial"/>
          <w:sz w:val="24"/>
          <w:szCs w:val="24"/>
          <w:lang w:eastAsia="en-GB"/>
        </w:rPr>
        <w:tab/>
      </w:r>
      <w:r w:rsidRPr="001D45BE">
        <w:rPr>
          <w:rFonts w:ascii="Arial" w:hAnsi="Arial" w:cs="Arial"/>
          <w:sz w:val="24"/>
          <w:szCs w:val="24"/>
          <w:lang w:eastAsia="en-GB"/>
        </w:rPr>
        <w:t xml:space="preserve">The Report showed that </w:t>
      </w:r>
      <w:r>
        <w:rPr>
          <w:rFonts w:ascii="Arial" w:hAnsi="Arial" w:cs="Arial"/>
          <w:sz w:val="24"/>
          <w:szCs w:val="24"/>
          <w:lang w:eastAsia="en-GB"/>
        </w:rPr>
        <w:t>C</w:t>
      </w:r>
      <w:r w:rsidRPr="001D45BE">
        <w:rPr>
          <w:rFonts w:ascii="Arial" w:hAnsi="Arial" w:cs="Arial"/>
          <w:sz w:val="24"/>
          <w:szCs w:val="24"/>
          <w:lang w:eastAsia="en-GB"/>
        </w:rPr>
        <w:t xml:space="preserve">ouncil has not only </w:t>
      </w:r>
      <w:r w:rsidRPr="001D45BE">
        <w:rPr>
          <w:rFonts w:ascii="Arial" w:hAnsi="Arial" w:cs="Arial"/>
          <w:b/>
          <w:sz w:val="24"/>
          <w:szCs w:val="24"/>
          <w:lang w:eastAsia="en-GB"/>
        </w:rPr>
        <w:t>maintained services throughout the pandemic</w:t>
      </w:r>
      <w:r w:rsidRPr="001D45BE">
        <w:rPr>
          <w:rFonts w:ascii="Arial" w:hAnsi="Arial" w:cs="Arial"/>
          <w:sz w:val="24"/>
          <w:szCs w:val="24"/>
          <w:lang w:eastAsia="en-GB"/>
        </w:rPr>
        <w:t xml:space="preserve"> but is well underway on its journey to refocus the Council. Projects, plans and strategies have been re-introduced when safe to do so, ensuring that Swansea did not fall behind in its ambitions to make Swansea better. </w:t>
      </w:r>
    </w:p>
    <w:p w14:paraId="75726511" w14:textId="77777777" w:rsidR="008206CA" w:rsidRDefault="008206CA" w:rsidP="00E9344C">
      <w:pPr>
        <w:jc w:val="both"/>
        <w:rPr>
          <w:rFonts w:ascii="Arial" w:hAnsi="Arial" w:cs="Arial"/>
          <w:sz w:val="24"/>
          <w:szCs w:val="24"/>
          <w:lang w:eastAsia="en-GB"/>
        </w:rPr>
      </w:pPr>
    </w:p>
    <w:p w14:paraId="409C2B65" w14:textId="77777777" w:rsidR="008206CA" w:rsidRPr="001D45BE" w:rsidRDefault="008206CA" w:rsidP="00E9344C">
      <w:pPr>
        <w:ind w:left="720" w:hanging="720"/>
        <w:jc w:val="both"/>
        <w:rPr>
          <w:rFonts w:ascii="Arial" w:hAnsi="Arial" w:cs="Arial"/>
          <w:sz w:val="24"/>
          <w:szCs w:val="24"/>
          <w:lang w:eastAsia="en-GB"/>
        </w:rPr>
      </w:pPr>
      <w:r>
        <w:rPr>
          <w:rFonts w:ascii="Arial" w:hAnsi="Arial" w:cs="Arial"/>
          <w:sz w:val="24"/>
          <w:szCs w:val="24"/>
          <w:lang w:eastAsia="en-GB"/>
        </w:rPr>
        <w:t>12.11</w:t>
      </w:r>
      <w:r>
        <w:rPr>
          <w:rFonts w:ascii="Arial" w:hAnsi="Arial" w:cs="Arial"/>
          <w:sz w:val="24"/>
          <w:szCs w:val="24"/>
          <w:lang w:eastAsia="en-GB"/>
        </w:rPr>
        <w:tab/>
      </w:r>
      <w:r w:rsidRPr="001D45BE">
        <w:rPr>
          <w:rFonts w:ascii="Arial" w:hAnsi="Arial" w:cs="Arial"/>
          <w:sz w:val="24"/>
          <w:szCs w:val="24"/>
          <w:lang w:eastAsia="en-GB"/>
        </w:rPr>
        <w:t>An internal Audit examination has been undertaken and the outcome was “high” level of assurance with no recommendations. This indicates that ‘there is a sound system of internal control designed to achieve the programme objectives and the controls are being consistently applied.</w:t>
      </w:r>
    </w:p>
    <w:p w14:paraId="4239A306" w14:textId="77777777" w:rsidR="008206CA" w:rsidRPr="001D45BE" w:rsidRDefault="008206CA" w:rsidP="008206CA">
      <w:pPr>
        <w:rPr>
          <w:rFonts w:ascii="Arial" w:hAnsi="Arial" w:cs="Arial"/>
          <w:sz w:val="24"/>
          <w:szCs w:val="24"/>
          <w:lang w:eastAsia="en-GB"/>
        </w:rPr>
      </w:pPr>
    </w:p>
    <w:p w14:paraId="382FF525" w14:textId="77777777" w:rsidR="00E9344C" w:rsidRDefault="008206CA" w:rsidP="008206CA">
      <w:pPr>
        <w:rPr>
          <w:rFonts w:ascii="Arial" w:hAnsi="Arial" w:cs="Arial"/>
          <w:sz w:val="24"/>
          <w:szCs w:val="24"/>
          <w:lang w:eastAsia="en-GB"/>
        </w:rPr>
      </w:pPr>
      <w:r w:rsidRPr="001D45BE">
        <w:rPr>
          <w:rFonts w:ascii="Arial" w:hAnsi="Arial" w:cs="Arial"/>
          <w:sz w:val="24"/>
          <w:szCs w:val="24"/>
          <w:lang w:eastAsia="en-GB"/>
        </w:rPr>
        <w:t>12.12</w:t>
      </w:r>
      <w:r w:rsidRPr="001D45BE">
        <w:rPr>
          <w:rFonts w:ascii="Arial" w:hAnsi="Arial" w:cs="Arial"/>
          <w:sz w:val="24"/>
          <w:szCs w:val="24"/>
          <w:lang w:eastAsia="en-GB"/>
        </w:rPr>
        <w:tab/>
        <w:t xml:space="preserve">The strategic governance of the </w:t>
      </w:r>
      <w:r w:rsidRPr="001D45BE">
        <w:rPr>
          <w:rFonts w:ascii="Arial" w:hAnsi="Arial" w:cs="Arial"/>
          <w:i/>
          <w:sz w:val="24"/>
          <w:szCs w:val="24"/>
          <w:lang w:eastAsia="en-GB"/>
        </w:rPr>
        <w:t>Achieving Better Together</w:t>
      </w:r>
      <w:r w:rsidRPr="001D45BE">
        <w:rPr>
          <w:rFonts w:ascii="Arial" w:hAnsi="Arial" w:cs="Arial"/>
          <w:sz w:val="24"/>
          <w:szCs w:val="24"/>
          <w:lang w:eastAsia="en-GB"/>
        </w:rPr>
        <w:t xml:space="preserve"> is undertaken by the </w:t>
      </w:r>
    </w:p>
    <w:p w14:paraId="22DC6FB9" w14:textId="77777777" w:rsidR="00E9344C" w:rsidRDefault="00E9344C" w:rsidP="008206CA">
      <w:pPr>
        <w:rPr>
          <w:rFonts w:ascii="Arial" w:hAnsi="Arial" w:cs="Arial"/>
          <w:sz w:val="24"/>
          <w:szCs w:val="24"/>
          <w:lang w:val="en-US" w:eastAsia="en-GB"/>
        </w:rPr>
      </w:pPr>
      <w:r>
        <w:rPr>
          <w:rFonts w:ascii="Arial" w:hAnsi="Arial" w:cs="Arial"/>
          <w:sz w:val="24"/>
          <w:szCs w:val="24"/>
          <w:lang w:eastAsia="en-GB"/>
        </w:rPr>
        <w:t xml:space="preserve">           R</w:t>
      </w:r>
      <w:r w:rsidR="008206CA" w:rsidRPr="001D45BE">
        <w:rPr>
          <w:rFonts w:ascii="Arial" w:hAnsi="Arial" w:cs="Arial"/>
          <w:sz w:val="24"/>
          <w:szCs w:val="24"/>
          <w:lang w:val="en-US" w:eastAsia="en-GB"/>
        </w:rPr>
        <w:t xml:space="preserve">ecovery, Reshaping &amp; Budget Strategy Board and the operational and Delivery of the </w:t>
      </w:r>
    </w:p>
    <w:p w14:paraId="7DB6D988" w14:textId="77777777" w:rsidR="00E9344C" w:rsidRDefault="00E9344C" w:rsidP="008206CA">
      <w:pPr>
        <w:rPr>
          <w:rFonts w:ascii="Arial" w:hAnsi="Arial" w:cs="Arial"/>
          <w:sz w:val="24"/>
          <w:szCs w:val="24"/>
          <w:lang w:val="en-US" w:eastAsia="en-GB"/>
        </w:rPr>
      </w:pPr>
      <w:r>
        <w:rPr>
          <w:rFonts w:ascii="Arial" w:hAnsi="Arial" w:cs="Arial"/>
          <w:sz w:val="24"/>
          <w:szCs w:val="24"/>
          <w:lang w:val="en-US" w:eastAsia="en-GB"/>
        </w:rPr>
        <w:t xml:space="preserve">           </w:t>
      </w:r>
      <w:r w:rsidR="008206CA" w:rsidRPr="001D45BE">
        <w:rPr>
          <w:rFonts w:ascii="Arial" w:hAnsi="Arial" w:cs="Arial"/>
          <w:sz w:val="24"/>
          <w:szCs w:val="24"/>
          <w:lang w:val="en-US" w:eastAsia="en-GB"/>
        </w:rPr>
        <w:t xml:space="preserve">workstreams is overseen by the Organisational Cross Cutting </w:t>
      </w:r>
      <w:r>
        <w:rPr>
          <w:rFonts w:ascii="Arial" w:hAnsi="Arial" w:cs="Arial"/>
          <w:sz w:val="24"/>
          <w:szCs w:val="24"/>
          <w:lang w:val="en-US" w:eastAsia="en-GB"/>
        </w:rPr>
        <w:t>&amp;</w:t>
      </w:r>
      <w:r w:rsidR="008206CA" w:rsidRPr="001D45BE">
        <w:rPr>
          <w:rFonts w:ascii="Arial" w:hAnsi="Arial" w:cs="Arial"/>
          <w:sz w:val="24"/>
          <w:szCs w:val="24"/>
          <w:lang w:val="en-US" w:eastAsia="en-GB"/>
        </w:rPr>
        <w:t xml:space="preserve"> Transformation Steering </w:t>
      </w:r>
    </w:p>
    <w:p w14:paraId="6AC421A0" w14:textId="77777777" w:rsidR="00E9344C" w:rsidRDefault="00E9344C" w:rsidP="008206CA">
      <w:pPr>
        <w:rPr>
          <w:rFonts w:ascii="Arial" w:hAnsi="Arial" w:cs="Arial"/>
          <w:sz w:val="24"/>
          <w:szCs w:val="24"/>
          <w:lang w:val="en-US" w:eastAsia="en-GB"/>
        </w:rPr>
      </w:pPr>
      <w:r>
        <w:rPr>
          <w:rFonts w:ascii="Arial" w:hAnsi="Arial" w:cs="Arial"/>
          <w:sz w:val="24"/>
          <w:szCs w:val="24"/>
          <w:lang w:val="en-US" w:eastAsia="en-GB"/>
        </w:rPr>
        <w:t xml:space="preserve">           </w:t>
      </w:r>
      <w:r w:rsidR="008206CA" w:rsidRPr="001D45BE">
        <w:rPr>
          <w:rFonts w:ascii="Arial" w:hAnsi="Arial" w:cs="Arial"/>
          <w:sz w:val="24"/>
          <w:szCs w:val="24"/>
          <w:lang w:val="en-US" w:eastAsia="en-GB"/>
        </w:rPr>
        <w:t xml:space="preserve">Group. Reports are considered by Cabinet, </w:t>
      </w:r>
      <w:r>
        <w:rPr>
          <w:rFonts w:ascii="Arial" w:hAnsi="Arial" w:cs="Arial"/>
          <w:sz w:val="24"/>
          <w:szCs w:val="24"/>
          <w:lang w:val="en-US" w:eastAsia="en-GB"/>
        </w:rPr>
        <w:t>S</w:t>
      </w:r>
      <w:r w:rsidR="008206CA" w:rsidRPr="001D45BE">
        <w:rPr>
          <w:rFonts w:ascii="Arial" w:hAnsi="Arial" w:cs="Arial"/>
          <w:sz w:val="24"/>
          <w:szCs w:val="24"/>
          <w:lang w:val="en-US" w:eastAsia="en-GB"/>
        </w:rPr>
        <w:t xml:space="preserve">crutiny and Governance and Audit </w:t>
      </w:r>
    </w:p>
    <w:p w14:paraId="014AF4A2" w14:textId="77777777" w:rsidR="008206CA" w:rsidRPr="007C251C" w:rsidRDefault="00E9344C" w:rsidP="008206CA">
      <w:pPr>
        <w:rPr>
          <w:rFonts w:ascii="Arial" w:hAnsi="Arial"/>
          <w:sz w:val="24"/>
          <w:szCs w:val="24"/>
        </w:rPr>
      </w:pPr>
      <w:r>
        <w:rPr>
          <w:rFonts w:ascii="Arial" w:hAnsi="Arial" w:cs="Arial"/>
          <w:sz w:val="24"/>
          <w:szCs w:val="24"/>
          <w:lang w:val="en-US" w:eastAsia="en-GB"/>
        </w:rPr>
        <w:t xml:space="preserve">           C</w:t>
      </w:r>
      <w:r w:rsidR="008206CA" w:rsidRPr="001D45BE">
        <w:rPr>
          <w:rFonts w:ascii="Arial" w:hAnsi="Arial" w:cs="Arial"/>
          <w:sz w:val="24"/>
          <w:szCs w:val="24"/>
          <w:lang w:val="en-US" w:eastAsia="en-GB"/>
        </w:rPr>
        <w:t>ommittee</w:t>
      </w:r>
      <w:r w:rsidR="008206CA">
        <w:rPr>
          <w:rFonts w:ascii="Arial" w:hAnsi="Arial" w:cs="Arial"/>
          <w:sz w:val="24"/>
          <w:szCs w:val="24"/>
          <w:lang w:val="en-US"/>
        </w:rPr>
        <w:t>.</w:t>
      </w:r>
    </w:p>
    <w:p w14:paraId="3397A7EB" w14:textId="77777777" w:rsidR="008206CA" w:rsidRDefault="008206CA" w:rsidP="008206CA">
      <w:pPr>
        <w:rPr>
          <w:rFonts w:ascii="Arial" w:hAnsi="Arial"/>
          <w:b/>
          <w:sz w:val="24"/>
          <w:szCs w:val="24"/>
        </w:rPr>
      </w:pPr>
    </w:p>
    <w:p w14:paraId="5C11BDA2" w14:textId="77777777" w:rsidR="008206CA" w:rsidRPr="002217B1" w:rsidRDefault="008206CA" w:rsidP="008206CA">
      <w:pPr>
        <w:rPr>
          <w:rFonts w:ascii="Arial" w:hAnsi="Arial"/>
          <w:b/>
          <w:sz w:val="24"/>
          <w:szCs w:val="24"/>
        </w:rPr>
      </w:pPr>
      <w:r w:rsidRPr="002217B1">
        <w:rPr>
          <w:rFonts w:ascii="Arial" w:hAnsi="Arial"/>
          <w:b/>
          <w:sz w:val="24"/>
          <w:szCs w:val="24"/>
        </w:rPr>
        <w:t>13.     Committees</w:t>
      </w:r>
    </w:p>
    <w:p w14:paraId="2FA4DE56" w14:textId="77777777" w:rsidR="008206CA" w:rsidRPr="00451349" w:rsidRDefault="008206CA" w:rsidP="008206CA">
      <w:pPr>
        <w:rPr>
          <w:rFonts w:ascii="Arial" w:hAnsi="Arial"/>
          <w:sz w:val="24"/>
          <w:szCs w:val="24"/>
        </w:rPr>
      </w:pPr>
    </w:p>
    <w:p w14:paraId="62F24961" w14:textId="77777777" w:rsidR="008206CA" w:rsidRPr="00A30D79" w:rsidRDefault="008206CA" w:rsidP="00E9344C">
      <w:pPr>
        <w:ind w:left="720" w:hanging="720"/>
        <w:jc w:val="both"/>
        <w:rPr>
          <w:rFonts w:ascii="Arial" w:hAnsi="Arial"/>
          <w:sz w:val="24"/>
          <w:szCs w:val="24"/>
        </w:rPr>
      </w:pPr>
      <w:r>
        <w:rPr>
          <w:rFonts w:ascii="Arial" w:hAnsi="Arial"/>
          <w:sz w:val="24"/>
          <w:szCs w:val="24"/>
        </w:rPr>
        <w:t>13.1</w:t>
      </w:r>
      <w:r>
        <w:rPr>
          <w:rFonts w:ascii="Arial" w:hAnsi="Arial"/>
          <w:sz w:val="24"/>
          <w:szCs w:val="24"/>
        </w:rPr>
        <w:tab/>
      </w:r>
      <w:r w:rsidRPr="00A30D79">
        <w:rPr>
          <w:rFonts w:ascii="Arial" w:hAnsi="Arial"/>
          <w:sz w:val="24"/>
          <w:szCs w:val="24"/>
        </w:rPr>
        <w:t xml:space="preserve">The Council’s Scrutiny function is carried out by a </w:t>
      </w:r>
      <w:r w:rsidRPr="00A30D79">
        <w:rPr>
          <w:rFonts w:ascii="Arial" w:hAnsi="Arial"/>
          <w:b/>
          <w:bCs/>
          <w:sz w:val="24"/>
          <w:szCs w:val="24"/>
        </w:rPr>
        <w:t xml:space="preserve">Scrutiny Programme Committee, </w:t>
      </w:r>
      <w:r w:rsidRPr="00A30D79">
        <w:rPr>
          <w:rFonts w:ascii="Arial" w:hAnsi="Arial"/>
          <w:sz w:val="24"/>
          <w:szCs w:val="24"/>
        </w:rPr>
        <w:t>which</w:t>
      </w:r>
      <w:r w:rsidRPr="00A30D79">
        <w:rPr>
          <w:rFonts w:ascii="Arial" w:hAnsi="Arial"/>
          <w:b/>
          <w:bCs/>
          <w:sz w:val="24"/>
          <w:szCs w:val="24"/>
        </w:rPr>
        <w:t xml:space="preserve"> </w:t>
      </w:r>
      <w:r w:rsidRPr="00A30D79">
        <w:rPr>
          <w:rFonts w:ascii="Arial" w:hAnsi="Arial"/>
          <w:sz w:val="24"/>
          <w:szCs w:val="24"/>
        </w:rPr>
        <w:t xml:space="preserve">delivers an agreed programme of work through Committee meetings and through </w:t>
      </w:r>
      <w:r w:rsidRPr="00A30D79">
        <w:rPr>
          <w:rFonts w:ascii="Arial" w:hAnsi="Arial"/>
          <w:b/>
          <w:bCs/>
          <w:sz w:val="24"/>
          <w:szCs w:val="24"/>
        </w:rPr>
        <w:t>Scrutiny Panels and Working Groups</w:t>
      </w:r>
      <w:r w:rsidRPr="00A30D79">
        <w:rPr>
          <w:rFonts w:ascii="Arial" w:hAnsi="Arial"/>
          <w:sz w:val="24"/>
          <w:szCs w:val="24"/>
        </w:rPr>
        <w:t xml:space="preserve"> established by the Committee. Through this range of activities, scrutiny councillors make sure the work of the Council is accountable and transparent, effective and efficient, and help the Council to achieve its objectives and drive improvement, by questioning and providing challenge to decision-makers on issues of concern. This covers a wide range of policies, services and performance issues. The Committee is a group of 13 cross-party councillors who organise and manage what Scrutiny will look at each year, and develop a single work programme showing the various activities that will be carried out. The Committee has questioned Cabinet Members on specific portfolio responsibilities and is the statutory Committee for Scrutiny of Swansea Public Services Board and Crime &amp; Disorder Scrutiny. It also co-ordinates pre-decision scrutiny enabling consideration of specific Cabinet reports and views being brought to the attention of Cabinet ahead of decision-making.</w:t>
      </w:r>
    </w:p>
    <w:p w14:paraId="03F5FAAA" w14:textId="77777777" w:rsidR="008206CA" w:rsidRPr="00A30D79" w:rsidRDefault="008206CA" w:rsidP="00E9344C">
      <w:pPr>
        <w:jc w:val="both"/>
        <w:rPr>
          <w:rFonts w:ascii="Arial" w:hAnsi="Arial"/>
          <w:sz w:val="24"/>
          <w:szCs w:val="24"/>
        </w:rPr>
      </w:pPr>
    </w:p>
    <w:p w14:paraId="0E9DF8DE" w14:textId="77777777" w:rsidR="008206CA" w:rsidRPr="00A30D79" w:rsidRDefault="008206CA" w:rsidP="00E9344C">
      <w:pPr>
        <w:ind w:left="720" w:hanging="720"/>
        <w:jc w:val="both"/>
        <w:rPr>
          <w:rFonts w:ascii="Arial" w:hAnsi="Arial"/>
          <w:sz w:val="24"/>
          <w:szCs w:val="24"/>
        </w:rPr>
      </w:pPr>
      <w:r>
        <w:rPr>
          <w:rFonts w:ascii="Arial" w:hAnsi="Arial"/>
          <w:sz w:val="24"/>
          <w:szCs w:val="24"/>
        </w:rPr>
        <w:t>13.2</w:t>
      </w:r>
      <w:r>
        <w:rPr>
          <w:rFonts w:ascii="Arial" w:hAnsi="Arial"/>
          <w:sz w:val="24"/>
          <w:szCs w:val="24"/>
        </w:rPr>
        <w:tab/>
      </w:r>
      <w:r w:rsidRPr="00A30D79">
        <w:rPr>
          <w:rFonts w:ascii="Arial" w:hAnsi="Arial"/>
          <w:sz w:val="24"/>
          <w:szCs w:val="24"/>
        </w:rPr>
        <w:t xml:space="preserve">Over the last year the work of Scrutiny has included an in-depth scrutiny inquiry looking at Council Procurement processes and practice, focusing on what the Council is doing to ensure it procures locally, ethically, and greenly while being cost effective and transparent in its practices. Also, the Equalities Inquiry Panel reconvened to follow up actions agreed by Cabinet in 2019. In order to ensure ongoing monitoring and challenge </w:t>
      </w:r>
      <w:r w:rsidRPr="00A30D79">
        <w:rPr>
          <w:rFonts w:ascii="Arial" w:hAnsi="Arial"/>
          <w:sz w:val="24"/>
          <w:szCs w:val="24"/>
        </w:rPr>
        <w:lastRenderedPageBreak/>
        <w:t xml:space="preserve">to key service areas there have been regular meetings of Scrutiny Performance Panels, looking at Education, Adult Services, Child &amp; Family Services, Development &amp; Regeneration, Natural Environment, as well as one looking at overall Service Improvement &amp; Finance focusing on corporate performance and financial monitoring and budget scrutiny.  One-off Scrutiny Working Groups met to consider the following topics: Workforce, Digital Inclusion and Bus Services. There has also been collaborative scrutiny with other Local Authorities for topics / issues of shared interest or concern, and models of regional working. Scrutiny activity has continued to be flexible and responsive to organisational pressures following the </w:t>
      </w:r>
      <w:r>
        <w:rPr>
          <w:rFonts w:ascii="Arial" w:hAnsi="Arial"/>
          <w:sz w:val="24"/>
          <w:szCs w:val="24"/>
        </w:rPr>
        <w:t>COVID-19</w:t>
      </w:r>
      <w:r w:rsidRPr="00A30D79">
        <w:rPr>
          <w:rFonts w:ascii="Arial" w:hAnsi="Arial"/>
          <w:sz w:val="24"/>
          <w:szCs w:val="24"/>
        </w:rPr>
        <w:t xml:space="preserve"> pandemic, which has affected the delivery of some planned activities. There are also clear processes in place for members of the public to raise issues for scrutiny, or ask questions and contribute views on matters being discussed. A number of public requests were considered over the past year. </w:t>
      </w:r>
    </w:p>
    <w:p w14:paraId="5D611D76" w14:textId="77777777" w:rsidR="008206CA" w:rsidRPr="00A30D79" w:rsidRDefault="008206CA" w:rsidP="00E9344C">
      <w:pPr>
        <w:jc w:val="both"/>
        <w:rPr>
          <w:rFonts w:ascii="Arial" w:hAnsi="Arial"/>
          <w:sz w:val="24"/>
          <w:szCs w:val="24"/>
        </w:rPr>
      </w:pPr>
    </w:p>
    <w:p w14:paraId="71B41646" w14:textId="77777777" w:rsidR="008206CA" w:rsidRPr="00A30D79" w:rsidRDefault="008206CA" w:rsidP="00E9344C">
      <w:pPr>
        <w:ind w:left="720" w:hanging="720"/>
        <w:jc w:val="both"/>
        <w:rPr>
          <w:rFonts w:ascii="Arial" w:hAnsi="Arial"/>
          <w:sz w:val="24"/>
          <w:szCs w:val="24"/>
        </w:rPr>
      </w:pPr>
      <w:r>
        <w:rPr>
          <w:rFonts w:ascii="Arial" w:hAnsi="Arial"/>
          <w:sz w:val="24"/>
          <w:szCs w:val="24"/>
        </w:rPr>
        <w:t>13.3</w:t>
      </w:r>
      <w:r>
        <w:rPr>
          <w:rFonts w:ascii="Arial" w:hAnsi="Arial"/>
          <w:sz w:val="24"/>
          <w:szCs w:val="24"/>
        </w:rPr>
        <w:tab/>
      </w:r>
      <w:r w:rsidRPr="00A30D79">
        <w:rPr>
          <w:rFonts w:ascii="Arial" w:hAnsi="Arial"/>
          <w:sz w:val="24"/>
          <w:szCs w:val="24"/>
        </w:rPr>
        <w:t xml:space="preserve">Views and recommendations from scrutiny activities are communicated either by reports to Cabinet or letters sent directly to individual Cabinet Members, with responses provided as requested and followed up. The practice of writing ‘chair’s letters’ is well-established way of communicating quickly with Cabinet Members, and letter and responses are monitored to ensure scrutiny is getting a timely response. </w:t>
      </w:r>
    </w:p>
    <w:p w14:paraId="24C7768A" w14:textId="77777777" w:rsidR="008206CA" w:rsidRPr="00A30D79" w:rsidRDefault="008206CA" w:rsidP="00E9344C">
      <w:pPr>
        <w:jc w:val="both"/>
        <w:rPr>
          <w:rFonts w:ascii="Arial" w:hAnsi="Arial"/>
          <w:sz w:val="24"/>
          <w:szCs w:val="24"/>
        </w:rPr>
      </w:pPr>
    </w:p>
    <w:p w14:paraId="131B5065" w14:textId="77777777" w:rsidR="008206CA" w:rsidRPr="00A30D79" w:rsidRDefault="008206CA" w:rsidP="00E9344C">
      <w:pPr>
        <w:ind w:left="720" w:hanging="720"/>
        <w:jc w:val="both"/>
        <w:rPr>
          <w:rFonts w:ascii="Arial" w:hAnsi="Arial"/>
          <w:sz w:val="24"/>
          <w:szCs w:val="24"/>
        </w:rPr>
      </w:pPr>
      <w:r>
        <w:rPr>
          <w:rFonts w:ascii="Arial" w:hAnsi="Arial"/>
          <w:sz w:val="24"/>
          <w:szCs w:val="24"/>
        </w:rPr>
        <w:t>13.4</w:t>
      </w:r>
      <w:r>
        <w:rPr>
          <w:rFonts w:ascii="Arial" w:hAnsi="Arial"/>
          <w:sz w:val="24"/>
          <w:szCs w:val="24"/>
        </w:rPr>
        <w:tab/>
      </w:r>
      <w:r w:rsidRPr="00A30D79">
        <w:rPr>
          <w:rFonts w:ascii="Arial" w:hAnsi="Arial"/>
          <w:sz w:val="24"/>
          <w:szCs w:val="24"/>
        </w:rPr>
        <w:t xml:space="preserve">The </w:t>
      </w:r>
      <w:r w:rsidRPr="00A30D79">
        <w:rPr>
          <w:rFonts w:ascii="Arial" w:hAnsi="Arial"/>
          <w:b/>
          <w:bCs/>
          <w:sz w:val="24"/>
          <w:szCs w:val="24"/>
        </w:rPr>
        <w:t xml:space="preserve">Scrutiny Annual Report 2020/21 </w:t>
      </w:r>
      <w:r w:rsidRPr="00A30D79">
        <w:rPr>
          <w:rFonts w:ascii="Arial" w:hAnsi="Arial"/>
          <w:sz w:val="24"/>
          <w:szCs w:val="24"/>
        </w:rPr>
        <w:t>was presented to Council on 2</w:t>
      </w:r>
      <w:r w:rsidRPr="00A30D79">
        <w:rPr>
          <w:rFonts w:ascii="Arial" w:hAnsi="Arial"/>
          <w:sz w:val="24"/>
          <w:szCs w:val="24"/>
          <w:vertAlign w:val="superscript"/>
        </w:rPr>
        <w:t>nd</w:t>
      </w:r>
      <w:r w:rsidRPr="00A30D79">
        <w:rPr>
          <w:rFonts w:ascii="Arial" w:hAnsi="Arial"/>
          <w:sz w:val="24"/>
          <w:szCs w:val="24"/>
        </w:rPr>
        <w:t xml:space="preserve"> September 2021.  The report highlighted the work carried out by Scrutiny during that year, showed how Scrutiny had made a difference and supported continuous improvement for the Scrutiny function. As a consequence of the pandemic the 2020/21 Council year was a shorter one than usual and accordingly reflects on a less than typical amount of scrutiny that was carried out then. Nevertheless, the report continues to shows a high level of councillor commitment to scrutiny. It shows action taken to improve the scrutiny process and its effectiveness, and further efforts to support councillors, take practice forward and improve the quality of scrutiny.</w:t>
      </w:r>
    </w:p>
    <w:p w14:paraId="19E7F861" w14:textId="77777777" w:rsidR="008206CA" w:rsidRPr="00A30D79" w:rsidRDefault="008206CA" w:rsidP="00E9344C">
      <w:pPr>
        <w:jc w:val="both"/>
        <w:rPr>
          <w:rFonts w:ascii="Arial" w:hAnsi="Arial"/>
          <w:sz w:val="24"/>
          <w:szCs w:val="24"/>
        </w:rPr>
      </w:pPr>
    </w:p>
    <w:p w14:paraId="733051DD" w14:textId="77777777" w:rsidR="008206CA" w:rsidRPr="00A30D79" w:rsidRDefault="008206CA" w:rsidP="00E9344C">
      <w:pPr>
        <w:ind w:left="720" w:hanging="720"/>
        <w:jc w:val="both"/>
        <w:rPr>
          <w:rFonts w:ascii="Arial" w:hAnsi="Arial"/>
          <w:sz w:val="24"/>
          <w:szCs w:val="24"/>
        </w:rPr>
      </w:pPr>
      <w:r>
        <w:rPr>
          <w:rFonts w:ascii="Arial" w:hAnsi="Arial"/>
          <w:sz w:val="24"/>
          <w:szCs w:val="24"/>
        </w:rPr>
        <w:t>13.5</w:t>
      </w:r>
      <w:r>
        <w:rPr>
          <w:rFonts w:ascii="Arial" w:hAnsi="Arial"/>
          <w:sz w:val="24"/>
          <w:szCs w:val="24"/>
        </w:rPr>
        <w:tab/>
      </w:r>
      <w:r w:rsidRPr="00A30D79">
        <w:rPr>
          <w:rFonts w:ascii="Arial" w:hAnsi="Arial"/>
          <w:sz w:val="24"/>
          <w:szCs w:val="24"/>
        </w:rPr>
        <w:t>Although Scrutiny and Audit have distinctive roles, there are common aims in terms of good governance, improvement in performance and culture, and financial management, and so a regular conversation is held which helps to ensure we are working together effectively. The Chair of the Scrutiny Programme Committee addressed the Governance &amp; Audit Committee on this in October 2021 and the Committee also heard from the Chair of the Governance &amp; Audit Committee, at the Scrutiny Programme Committee that month.  This has made sure there is good awareness of each other’s work, avoiding duplication and gaps in work programmes, and the ability to refer issues between Committees. It was highlighted that some of the areas that will benefit from co-ordination between Committees include the new responsibilities arising from the Local Government and Elections (Wales) Act 2021 around Council performance, and around the systematic reporting of external audit reports, and respective role in considering and monitoring these.</w:t>
      </w:r>
    </w:p>
    <w:p w14:paraId="1FC18712" w14:textId="77777777" w:rsidR="008206CA" w:rsidRPr="009E7B32" w:rsidRDefault="008206CA" w:rsidP="00E9344C">
      <w:pPr>
        <w:jc w:val="both"/>
        <w:rPr>
          <w:rFonts w:ascii="Arial" w:hAnsi="Arial"/>
          <w:sz w:val="24"/>
          <w:szCs w:val="24"/>
        </w:rPr>
      </w:pPr>
    </w:p>
    <w:p w14:paraId="5E6773B6" w14:textId="77777777" w:rsidR="008206CA" w:rsidRDefault="008206CA" w:rsidP="00E9344C">
      <w:pPr>
        <w:ind w:left="720" w:hanging="720"/>
        <w:jc w:val="both"/>
        <w:rPr>
          <w:rFonts w:ascii="Arial" w:hAnsi="Arial"/>
          <w:sz w:val="24"/>
          <w:szCs w:val="24"/>
        </w:rPr>
      </w:pPr>
      <w:r>
        <w:rPr>
          <w:rFonts w:ascii="Arial" w:hAnsi="Arial"/>
          <w:sz w:val="24"/>
          <w:szCs w:val="24"/>
        </w:rPr>
        <w:t>13.6</w:t>
      </w:r>
      <w:r>
        <w:rPr>
          <w:rFonts w:ascii="Arial" w:hAnsi="Arial"/>
          <w:sz w:val="24"/>
          <w:szCs w:val="24"/>
        </w:rPr>
        <w:tab/>
      </w:r>
      <w:r w:rsidRPr="00BC2139">
        <w:rPr>
          <w:rFonts w:ascii="Arial" w:hAnsi="Arial"/>
          <w:sz w:val="24"/>
          <w:szCs w:val="24"/>
        </w:rPr>
        <w:t xml:space="preserve">The </w:t>
      </w:r>
      <w:r w:rsidRPr="00BC2139">
        <w:rPr>
          <w:rFonts w:ascii="Arial" w:hAnsi="Arial"/>
          <w:b/>
          <w:sz w:val="24"/>
          <w:szCs w:val="24"/>
        </w:rPr>
        <w:t xml:space="preserve">Standards Committee </w:t>
      </w:r>
      <w:r w:rsidRPr="00BC2139">
        <w:rPr>
          <w:rFonts w:ascii="Arial" w:hAnsi="Arial"/>
          <w:sz w:val="24"/>
          <w:szCs w:val="24"/>
        </w:rPr>
        <w:t xml:space="preserve">met on 4 occasions during 2021/22 and the </w:t>
      </w:r>
      <w:r w:rsidRPr="00BC2139">
        <w:rPr>
          <w:rFonts w:ascii="Arial" w:hAnsi="Arial"/>
          <w:b/>
          <w:sz w:val="24"/>
          <w:szCs w:val="24"/>
        </w:rPr>
        <w:t xml:space="preserve">Standards Committee Annual Report 2020/21 </w:t>
      </w:r>
      <w:r w:rsidRPr="00BC2139">
        <w:rPr>
          <w:rFonts w:ascii="Arial" w:hAnsi="Arial"/>
          <w:sz w:val="24"/>
          <w:szCs w:val="24"/>
        </w:rPr>
        <w:t xml:space="preserve">was presented to Council on 2 December 2021. The Committee is chaired by an independent person and is responsible for monitoring the ethical standards of the authority and maintaining the highest standards of conduct by elected councillors. The Committee has been updated as to their new duties under the Local Government and Elections (Wales) Act 2021 and has been consulted on both the </w:t>
      </w:r>
      <w:r w:rsidRPr="00BC2139">
        <w:rPr>
          <w:rFonts w:ascii="Arial" w:hAnsi="Arial"/>
          <w:sz w:val="24"/>
          <w:szCs w:val="24"/>
        </w:rPr>
        <w:lastRenderedPageBreak/>
        <w:t>statutory guidance in relation to the new duty and has considered their new terms of reference which will go forward to Constitution Working Group and Council in due course. The Committee also had an opportunity to meet with the Leader and all political group leaders during the year to discuss with them how they intend to discharge their new duties to ensure the highest ethical standards within their group from May 2022</w:t>
      </w:r>
      <w:r>
        <w:rPr>
          <w:rFonts w:ascii="Arial" w:hAnsi="Arial"/>
          <w:sz w:val="24"/>
          <w:szCs w:val="24"/>
        </w:rPr>
        <w:t>.</w:t>
      </w:r>
    </w:p>
    <w:p w14:paraId="41CEF378" w14:textId="77777777" w:rsidR="008206CA" w:rsidRDefault="008206CA" w:rsidP="00E9344C">
      <w:pPr>
        <w:jc w:val="both"/>
        <w:rPr>
          <w:rFonts w:ascii="Arial" w:hAnsi="Arial"/>
          <w:sz w:val="24"/>
          <w:szCs w:val="24"/>
        </w:rPr>
      </w:pPr>
    </w:p>
    <w:p w14:paraId="3B5F2114" w14:textId="77777777" w:rsidR="008206CA" w:rsidRPr="0097102E" w:rsidRDefault="008206CA" w:rsidP="00E9344C">
      <w:pPr>
        <w:ind w:left="720" w:hanging="720"/>
        <w:jc w:val="both"/>
        <w:rPr>
          <w:rFonts w:ascii="Arial" w:hAnsi="Arial"/>
          <w:sz w:val="24"/>
          <w:szCs w:val="24"/>
        </w:rPr>
      </w:pPr>
      <w:r>
        <w:rPr>
          <w:rFonts w:ascii="Arial" w:hAnsi="Arial"/>
          <w:sz w:val="24"/>
          <w:szCs w:val="24"/>
        </w:rPr>
        <w:t>13.7</w:t>
      </w:r>
      <w:r>
        <w:rPr>
          <w:rFonts w:ascii="Arial" w:hAnsi="Arial"/>
          <w:sz w:val="24"/>
          <w:szCs w:val="24"/>
        </w:rPr>
        <w:tab/>
      </w:r>
      <w:r w:rsidRPr="007B244A">
        <w:rPr>
          <w:rFonts w:ascii="Arial" w:hAnsi="Arial"/>
          <w:sz w:val="24"/>
          <w:szCs w:val="24"/>
        </w:rPr>
        <w:t xml:space="preserve">The </w:t>
      </w:r>
      <w:r w:rsidRPr="00EB0B14">
        <w:rPr>
          <w:rFonts w:ascii="Arial" w:hAnsi="Arial"/>
          <w:b/>
          <w:sz w:val="24"/>
          <w:szCs w:val="24"/>
        </w:rPr>
        <w:t>Governance &amp;</w:t>
      </w:r>
      <w:r>
        <w:rPr>
          <w:rFonts w:ascii="Arial" w:hAnsi="Arial"/>
          <w:sz w:val="24"/>
          <w:szCs w:val="24"/>
        </w:rPr>
        <w:t xml:space="preserve"> </w:t>
      </w:r>
      <w:r w:rsidRPr="007B244A">
        <w:rPr>
          <w:rFonts w:ascii="Arial" w:hAnsi="Arial"/>
          <w:b/>
          <w:sz w:val="24"/>
          <w:szCs w:val="24"/>
        </w:rPr>
        <w:t>Audit Committee</w:t>
      </w:r>
      <w:r w:rsidRPr="007B244A">
        <w:rPr>
          <w:rFonts w:ascii="Arial" w:hAnsi="Arial"/>
          <w:sz w:val="24"/>
          <w:szCs w:val="24"/>
        </w:rPr>
        <w:t xml:space="preserve"> met on 12 occasions during 2021/22 and followed a structured work-plan, which covered all areas of the Committee’s responsibilities with the aim of obtaining assurance over the areas included in its terms of referen</w:t>
      </w:r>
      <w:r>
        <w:rPr>
          <w:rFonts w:ascii="Arial" w:hAnsi="Arial"/>
          <w:sz w:val="24"/>
          <w:szCs w:val="24"/>
        </w:rPr>
        <w:t>ce. The Committee includes two</w:t>
      </w:r>
      <w:r w:rsidRPr="007B244A">
        <w:rPr>
          <w:rFonts w:ascii="Arial" w:hAnsi="Arial"/>
          <w:sz w:val="24"/>
          <w:szCs w:val="24"/>
        </w:rPr>
        <w:t xml:space="preserve"> lay members, one of which is also the Chair of the Committee. The Committee receive all Audit Wales reports once reported to Scrutiny Programme Committee. The Committee may decide to track or prioritise specific proposals or recommendations in addition to the oversight provided by Scrutiny. This arrangement provides additional </w:t>
      </w:r>
      <w:r w:rsidRPr="007B244A">
        <w:rPr>
          <w:rFonts w:ascii="Arial" w:hAnsi="Arial"/>
          <w:sz w:val="24"/>
          <w:szCs w:val="24"/>
        </w:rPr>
        <w:tab/>
        <w:t>assurance that the Council responds and puts in place action plans to address any recommendations. The Committee also receives quarterly updates on the overall status of risk within the Council to give assurance that the risk management process is being followed</w:t>
      </w:r>
      <w:r w:rsidRPr="0097102E">
        <w:rPr>
          <w:rFonts w:ascii="Arial" w:hAnsi="Arial"/>
          <w:sz w:val="24"/>
          <w:szCs w:val="24"/>
        </w:rPr>
        <w:t xml:space="preserve">. </w:t>
      </w:r>
    </w:p>
    <w:p w14:paraId="4B84D7FA" w14:textId="77777777" w:rsidR="008206CA" w:rsidRPr="00DB147F" w:rsidRDefault="008206CA" w:rsidP="00E9344C">
      <w:pPr>
        <w:pStyle w:val="ListParagraph"/>
        <w:spacing w:after="0" w:line="240" w:lineRule="auto"/>
        <w:ind w:left="709"/>
        <w:jc w:val="both"/>
        <w:rPr>
          <w:sz w:val="24"/>
          <w:highlight w:val="yellow"/>
        </w:rPr>
      </w:pPr>
    </w:p>
    <w:p w14:paraId="425E783F" w14:textId="77777777" w:rsidR="008206CA" w:rsidRDefault="008206CA" w:rsidP="00E9344C">
      <w:pPr>
        <w:ind w:left="720" w:hanging="720"/>
        <w:jc w:val="both"/>
        <w:rPr>
          <w:rFonts w:ascii="Arial" w:hAnsi="Arial"/>
          <w:sz w:val="24"/>
          <w:szCs w:val="24"/>
        </w:rPr>
      </w:pPr>
      <w:r>
        <w:rPr>
          <w:rFonts w:ascii="Arial" w:hAnsi="Arial"/>
          <w:sz w:val="24"/>
          <w:szCs w:val="24"/>
        </w:rPr>
        <w:t>13.8</w:t>
      </w:r>
      <w:r w:rsidRPr="003B4023">
        <w:rPr>
          <w:rFonts w:ascii="Arial" w:hAnsi="Arial"/>
          <w:sz w:val="24"/>
          <w:szCs w:val="24"/>
        </w:rPr>
        <w:tab/>
        <w:t>During 2015/16, The Local Pension Board was established, in compliance with the Public Service Pensions Act 2013. The role of the Board is to assist the Council (and Pension Fund Committee) as Scheme Manager and Administering Authority to secure compliance with LGPS regulations and other legislation relating to the scheme. Terms of Reference for the Board were established and appropriate Board members were appointed. The Board successfully convened meetings under Covid regulations, virtually on 4 occasions during 2021/22, with the single cancelled meeting agenda being rolled forward and considered at the next convened meeting.</w:t>
      </w:r>
    </w:p>
    <w:p w14:paraId="3D37EE57" w14:textId="77777777" w:rsidR="00E9344C" w:rsidRPr="003B4023" w:rsidRDefault="00E9344C" w:rsidP="00E9344C">
      <w:pPr>
        <w:ind w:left="720" w:hanging="720"/>
        <w:jc w:val="both"/>
        <w:rPr>
          <w:rFonts w:ascii="Arial" w:hAnsi="Arial"/>
          <w:sz w:val="24"/>
          <w:szCs w:val="24"/>
        </w:rPr>
      </w:pPr>
    </w:p>
    <w:p w14:paraId="25BF5733" w14:textId="77777777" w:rsidR="00E9344C" w:rsidRDefault="008206CA" w:rsidP="008206CA">
      <w:pPr>
        <w:rPr>
          <w:rFonts w:ascii="Arial" w:hAnsi="Arial"/>
          <w:sz w:val="24"/>
          <w:szCs w:val="24"/>
        </w:rPr>
      </w:pPr>
      <w:r>
        <w:rPr>
          <w:rFonts w:ascii="Arial" w:hAnsi="Arial"/>
          <w:sz w:val="24"/>
          <w:szCs w:val="24"/>
        </w:rPr>
        <w:t>13.9</w:t>
      </w:r>
      <w:r w:rsidRPr="003B4023">
        <w:rPr>
          <w:rFonts w:ascii="Arial" w:hAnsi="Arial"/>
          <w:sz w:val="24"/>
          <w:szCs w:val="24"/>
        </w:rPr>
        <w:tab/>
        <w:t xml:space="preserve">The </w:t>
      </w:r>
      <w:r w:rsidRPr="003B4023">
        <w:rPr>
          <w:rFonts w:ascii="Arial" w:hAnsi="Arial"/>
          <w:b/>
          <w:sz w:val="24"/>
          <w:szCs w:val="24"/>
        </w:rPr>
        <w:t>Pension Fund Committee</w:t>
      </w:r>
      <w:r w:rsidRPr="003B4023">
        <w:rPr>
          <w:rFonts w:ascii="Arial" w:hAnsi="Arial"/>
          <w:sz w:val="24"/>
          <w:szCs w:val="24"/>
        </w:rPr>
        <w:t xml:space="preserve"> establishes and keeps under review policies</w:t>
      </w:r>
      <w:r w:rsidR="00E9344C">
        <w:rPr>
          <w:rFonts w:ascii="Arial" w:hAnsi="Arial"/>
          <w:sz w:val="24"/>
          <w:szCs w:val="24"/>
        </w:rPr>
        <w:t xml:space="preserve"> </w:t>
      </w:r>
      <w:r w:rsidRPr="003B4023">
        <w:rPr>
          <w:rFonts w:ascii="Arial" w:hAnsi="Arial"/>
          <w:sz w:val="24"/>
          <w:szCs w:val="24"/>
        </w:rPr>
        <w:t xml:space="preserve">to be </w:t>
      </w:r>
    </w:p>
    <w:p w14:paraId="3880FFF7" w14:textId="77777777" w:rsidR="00E9344C" w:rsidRDefault="00E9344C" w:rsidP="008206CA">
      <w:pPr>
        <w:rPr>
          <w:rFonts w:ascii="Arial" w:hAnsi="Arial"/>
          <w:sz w:val="24"/>
          <w:szCs w:val="24"/>
        </w:rPr>
      </w:pPr>
      <w:r>
        <w:rPr>
          <w:rFonts w:ascii="Arial" w:hAnsi="Arial"/>
          <w:sz w:val="24"/>
          <w:szCs w:val="24"/>
        </w:rPr>
        <w:t xml:space="preserve">           </w:t>
      </w:r>
      <w:r w:rsidR="008206CA" w:rsidRPr="003B4023">
        <w:rPr>
          <w:rFonts w:ascii="Arial" w:hAnsi="Arial"/>
          <w:sz w:val="24"/>
          <w:szCs w:val="24"/>
        </w:rPr>
        <w:t>applied by the Council in exercising its obligations duties and discretions</w:t>
      </w:r>
      <w:r>
        <w:rPr>
          <w:rFonts w:ascii="Arial" w:hAnsi="Arial"/>
          <w:sz w:val="24"/>
          <w:szCs w:val="24"/>
        </w:rPr>
        <w:t xml:space="preserve"> </w:t>
      </w:r>
      <w:r w:rsidR="008206CA" w:rsidRPr="003B4023">
        <w:rPr>
          <w:rFonts w:ascii="Arial" w:hAnsi="Arial"/>
          <w:sz w:val="24"/>
          <w:szCs w:val="24"/>
        </w:rPr>
        <w:t xml:space="preserve">as an </w:t>
      </w:r>
    </w:p>
    <w:p w14:paraId="47E888A9" w14:textId="77777777" w:rsidR="00E9344C" w:rsidRDefault="00E9344C" w:rsidP="008206CA">
      <w:pPr>
        <w:rPr>
          <w:rFonts w:ascii="Arial" w:hAnsi="Arial"/>
          <w:sz w:val="24"/>
          <w:szCs w:val="24"/>
        </w:rPr>
      </w:pPr>
      <w:r>
        <w:rPr>
          <w:rFonts w:ascii="Arial" w:hAnsi="Arial"/>
          <w:sz w:val="24"/>
          <w:szCs w:val="24"/>
        </w:rPr>
        <w:t xml:space="preserve">           a</w:t>
      </w:r>
      <w:r w:rsidR="008206CA" w:rsidRPr="003B4023">
        <w:rPr>
          <w:rFonts w:ascii="Arial" w:hAnsi="Arial"/>
          <w:sz w:val="24"/>
          <w:szCs w:val="24"/>
        </w:rPr>
        <w:t xml:space="preserve">dministering Authority under the Local Government Pension Scheme (LGPS) </w:t>
      </w:r>
    </w:p>
    <w:p w14:paraId="3ECFA4BE" w14:textId="77777777" w:rsidR="00E9344C" w:rsidRDefault="00E9344C" w:rsidP="008206CA">
      <w:pPr>
        <w:rPr>
          <w:rFonts w:ascii="Arial" w:hAnsi="Arial"/>
          <w:sz w:val="24"/>
          <w:szCs w:val="24"/>
        </w:rPr>
      </w:pPr>
      <w:r>
        <w:rPr>
          <w:rFonts w:ascii="Arial" w:hAnsi="Arial"/>
          <w:sz w:val="24"/>
          <w:szCs w:val="24"/>
        </w:rPr>
        <w:t xml:space="preserve">           </w:t>
      </w:r>
      <w:r w:rsidR="008206CA" w:rsidRPr="003B4023">
        <w:rPr>
          <w:rFonts w:ascii="Arial" w:hAnsi="Arial"/>
          <w:sz w:val="24"/>
          <w:szCs w:val="24"/>
        </w:rPr>
        <w:t xml:space="preserve">Regulations. The Committee is Chaired by a Councillor and membership consists of six </w:t>
      </w:r>
    </w:p>
    <w:p w14:paraId="3EEFF5B3" w14:textId="77777777" w:rsidR="00E9344C" w:rsidRDefault="00E9344C" w:rsidP="008206CA">
      <w:pPr>
        <w:rPr>
          <w:rFonts w:ascii="Arial" w:hAnsi="Arial"/>
          <w:sz w:val="24"/>
          <w:szCs w:val="24"/>
        </w:rPr>
      </w:pPr>
      <w:r>
        <w:rPr>
          <w:rFonts w:ascii="Arial" w:hAnsi="Arial"/>
          <w:sz w:val="24"/>
          <w:szCs w:val="24"/>
        </w:rPr>
        <w:t xml:space="preserve">           </w:t>
      </w:r>
      <w:r w:rsidR="008206CA" w:rsidRPr="003B4023">
        <w:rPr>
          <w:rFonts w:ascii="Arial" w:hAnsi="Arial"/>
          <w:sz w:val="24"/>
          <w:szCs w:val="24"/>
        </w:rPr>
        <w:t xml:space="preserve">elected Members, including the Chair, and two lay members. The Committee met on 3 </w:t>
      </w:r>
    </w:p>
    <w:p w14:paraId="16B1A45A" w14:textId="77777777" w:rsidR="00E9344C" w:rsidRDefault="00E9344C" w:rsidP="008206CA">
      <w:pPr>
        <w:rPr>
          <w:rFonts w:ascii="Arial" w:hAnsi="Arial"/>
          <w:sz w:val="24"/>
          <w:szCs w:val="24"/>
        </w:rPr>
      </w:pPr>
      <w:r>
        <w:rPr>
          <w:rFonts w:ascii="Arial" w:hAnsi="Arial"/>
          <w:sz w:val="24"/>
          <w:szCs w:val="24"/>
        </w:rPr>
        <w:t xml:space="preserve">           </w:t>
      </w:r>
      <w:r w:rsidR="008206CA" w:rsidRPr="003B4023">
        <w:rPr>
          <w:rFonts w:ascii="Arial" w:hAnsi="Arial"/>
          <w:sz w:val="24"/>
          <w:szCs w:val="24"/>
        </w:rPr>
        <w:t xml:space="preserve">occasions during 2021/22, virtually, under Covid Regulations and dealt with all issues </w:t>
      </w:r>
    </w:p>
    <w:p w14:paraId="37FADFBF" w14:textId="77777777" w:rsidR="00E9344C" w:rsidRDefault="00E9344C" w:rsidP="008206CA">
      <w:pPr>
        <w:rPr>
          <w:rFonts w:ascii="Arial" w:hAnsi="Arial"/>
          <w:sz w:val="24"/>
          <w:szCs w:val="24"/>
        </w:rPr>
      </w:pPr>
      <w:r>
        <w:rPr>
          <w:rFonts w:ascii="Arial" w:hAnsi="Arial"/>
          <w:sz w:val="24"/>
          <w:szCs w:val="24"/>
        </w:rPr>
        <w:t xml:space="preserve">           </w:t>
      </w:r>
      <w:r w:rsidR="008206CA" w:rsidRPr="003B4023">
        <w:rPr>
          <w:rFonts w:ascii="Arial" w:hAnsi="Arial"/>
          <w:sz w:val="24"/>
          <w:szCs w:val="24"/>
        </w:rPr>
        <w:t xml:space="preserve">relating to the investment matters, governance and administration of the Pension Fund. </w:t>
      </w:r>
    </w:p>
    <w:p w14:paraId="2E666E11" w14:textId="77777777" w:rsidR="00E9344C" w:rsidRDefault="00E9344C" w:rsidP="008206CA">
      <w:pPr>
        <w:rPr>
          <w:rFonts w:ascii="Arial" w:hAnsi="Arial"/>
          <w:sz w:val="24"/>
          <w:szCs w:val="24"/>
        </w:rPr>
      </w:pPr>
      <w:r>
        <w:rPr>
          <w:rFonts w:ascii="Arial" w:hAnsi="Arial"/>
          <w:sz w:val="24"/>
          <w:szCs w:val="24"/>
        </w:rPr>
        <w:t xml:space="preserve">           </w:t>
      </w:r>
      <w:r w:rsidR="008206CA" w:rsidRPr="003B4023">
        <w:rPr>
          <w:rFonts w:ascii="Arial" w:hAnsi="Arial"/>
          <w:sz w:val="24"/>
          <w:szCs w:val="24"/>
        </w:rPr>
        <w:t xml:space="preserve">The Chair of the Pension Fund Committee also represents the Council on the Joint </w:t>
      </w:r>
    </w:p>
    <w:p w14:paraId="2A994730" w14:textId="77777777" w:rsidR="00E9344C" w:rsidRDefault="00E9344C" w:rsidP="008206CA">
      <w:pPr>
        <w:rPr>
          <w:rFonts w:ascii="Arial" w:hAnsi="Arial"/>
          <w:sz w:val="24"/>
          <w:szCs w:val="24"/>
        </w:rPr>
      </w:pPr>
      <w:r>
        <w:rPr>
          <w:rFonts w:ascii="Arial" w:hAnsi="Arial"/>
          <w:sz w:val="24"/>
          <w:szCs w:val="24"/>
        </w:rPr>
        <w:t xml:space="preserve">           </w:t>
      </w:r>
      <w:r w:rsidR="008206CA" w:rsidRPr="003B4023">
        <w:rPr>
          <w:rFonts w:ascii="Arial" w:hAnsi="Arial"/>
          <w:sz w:val="24"/>
          <w:szCs w:val="24"/>
        </w:rPr>
        <w:t xml:space="preserve">Governance </w:t>
      </w:r>
      <w:r w:rsidR="008206CA" w:rsidRPr="003B4023">
        <w:rPr>
          <w:rFonts w:ascii="Arial" w:hAnsi="Arial"/>
          <w:sz w:val="24"/>
          <w:szCs w:val="24"/>
        </w:rPr>
        <w:tab/>
        <w:t xml:space="preserve">Committee (JGC) of the Wales Pension Partnership, a collaborative </w:t>
      </w:r>
    </w:p>
    <w:p w14:paraId="554CBB14" w14:textId="77777777" w:rsidR="00E9344C" w:rsidRDefault="00E9344C" w:rsidP="008206CA">
      <w:pPr>
        <w:rPr>
          <w:rFonts w:ascii="Arial" w:hAnsi="Arial"/>
          <w:sz w:val="24"/>
          <w:szCs w:val="24"/>
        </w:rPr>
      </w:pPr>
      <w:r>
        <w:rPr>
          <w:rFonts w:ascii="Arial" w:hAnsi="Arial"/>
          <w:sz w:val="24"/>
          <w:szCs w:val="24"/>
        </w:rPr>
        <w:t xml:space="preserve">           </w:t>
      </w:r>
      <w:r w:rsidRPr="003B4023">
        <w:rPr>
          <w:rFonts w:ascii="Arial" w:hAnsi="Arial"/>
          <w:sz w:val="24"/>
          <w:szCs w:val="24"/>
        </w:rPr>
        <w:t>W</w:t>
      </w:r>
      <w:r w:rsidR="008206CA" w:rsidRPr="003B4023">
        <w:rPr>
          <w:rFonts w:ascii="Arial" w:hAnsi="Arial"/>
          <w:sz w:val="24"/>
          <w:szCs w:val="24"/>
        </w:rPr>
        <w:t>orking</w:t>
      </w:r>
      <w:r>
        <w:rPr>
          <w:rFonts w:ascii="Arial" w:hAnsi="Arial"/>
          <w:sz w:val="24"/>
          <w:szCs w:val="24"/>
        </w:rPr>
        <w:t xml:space="preserve"> </w:t>
      </w:r>
      <w:r w:rsidR="008206CA" w:rsidRPr="003B4023">
        <w:rPr>
          <w:rFonts w:ascii="Arial" w:hAnsi="Arial"/>
          <w:sz w:val="24"/>
          <w:szCs w:val="24"/>
        </w:rPr>
        <w:t xml:space="preserve">arrangement between the 8 local government pension funds in Wales. The </w:t>
      </w:r>
    </w:p>
    <w:p w14:paraId="7BB1C268" w14:textId="77777777" w:rsidR="00E9344C" w:rsidRDefault="00E9344C" w:rsidP="008206CA">
      <w:pPr>
        <w:rPr>
          <w:rFonts w:ascii="Arial" w:hAnsi="Arial"/>
          <w:sz w:val="24"/>
          <w:szCs w:val="24"/>
        </w:rPr>
      </w:pPr>
      <w:r>
        <w:rPr>
          <w:rFonts w:ascii="Arial" w:hAnsi="Arial"/>
          <w:sz w:val="24"/>
          <w:szCs w:val="24"/>
        </w:rPr>
        <w:t xml:space="preserve">           </w:t>
      </w:r>
      <w:r w:rsidR="008206CA" w:rsidRPr="003B4023">
        <w:rPr>
          <w:rFonts w:ascii="Arial" w:hAnsi="Arial"/>
          <w:sz w:val="24"/>
          <w:szCs w:val="24"/>
        </w:rPr>
        <w:t xml:space="preserve">Chair also represents the WLGA (Welsh Local Government Association) on </w:t>
      </w:r>
      <w:r w:rsidR="008206CA">
        <w:rPr>
          <w:rFonts w:ascii="Arial" w:hAnsi="Arial"/>
          <w:sz w:val="24"/>
          <w:szCs w:val="24"/>
        </w:rPr>
        <w:t>the Scheme</w:t>
      </w:r>
    </w:p>
    <w:p w14:paraId="6D7C0F4F" w14:textId="77777777" w:rsidR="00E9344C" w:rsidRDefault="00E9344C" w:rsidP="008206CA">
      <w:pPr>
        <w:rPr>
          <w:rFonts w:ascii="Arial" w:hAnsi="Arial"/>
          <w:sz w:val="24"/>
          <w:szCs w:val="24"/>
        </w:rPr>
      </w:pPr>
      <w:r>
        <w:rPr>
          <w:rFonts w:ascii="Arial" w:hAnsi="Arial"/>
          <w:sz w:val="24"/>
          <w:szCs w:val="24"/>
        </w:rPr>
        <w:t xml:space="preserve">          </w:t>
      </w:r>
      <w:r w:rsidR="008206CA">
        <w:rPr>
          <w:rFonts w:ascii="Arial" w:hAnsi="Arial"/>
          <w:sz w:val="24"/>
          <w:szCs w:val="24"/>
        </w:rPr>
        <w:t xml:space="preserve"> Advisory Board (</w:t>
      </w:r>
      <w:r w:rsidR="008206CA" w:rsidRPr="003B4023">
        <w:rPr>
          <w:rFonts w:ascii="Arial" w:hAnsi="Arial"/>
          <w:sz w:val="24"/>
          <w:szCs w:val="24"/>
        </w:rPr>
        <w:t>SA</w:t>
      </w:r>
      <w:r w:rsidR="008206CA">
        <w:rPr>
          <w:rFonts w:ascii="Arial" w:hAnsi="Arial"/>
          <w:sz w:val="24"/>
          <w:szCs w:val="24"/>
        </w:rPr>
        <w:t>B) advising the HM Government (</w:t>
      </w:r>
      <w:r w:rsidR="008206CA" w:rsidRPr="003B4023">
        <w:rPr>
          <w:rFonts w:ascii="Arial" w:hAnsi="Arial"/>
          <w:sz w:val="24"/>
          <w:szCs w:val="24"/>
        </w:rPr>
        <w:t>Ministry o</w:t>
      </w:r>
      <w:r>
        <w:rPr>
          <w:rFonts w:ascii="Arial" w:hAnsi="Arial"/>
          <w:sz w:val="24"/>
          <w:szCs w:val="24"/>
        </w:rPr>
        <w:t xml:space="preserve">f </w:t>
      </w:r>
      <w:r w:rsidR="008206CA" w:rsidRPr="003B4023">
        <w:rPr>
          <w:rFonts w:ascii="Arial" w:hAnsi="Arial"/>
          <w:sz w:val="24"/>
          <w:szCs w:val="24"/>
        </w:rPr>
        <w:t xml:space="preserve">Housing, Local </w:t>
      </w:r>
    </w:p>
    <w:p w14:paraId="4B642988" w14:textId="77777777" w:rsidR="008206CA" w:rsidRDefault="00E9344C" w:rsidP="008206CA">
      <w:pPr>
        <w:rPr>
          <w:rFonts w:ascii="Arial" w:hAnsi="Arial"/>
          <w:sz w:val="24"/>
          <w:szCs w:val="24"/>
        </w:rPr>
      </w:pPr>
      <w:r>
        <w:rPr>
          <w:rFonts w:ascii="Arial" w:hAnsi="Arial"/>
          <w:sz w:val="24"/>
          <w:szCs w:val="24"/>
        </w:rPr>
        <w:t xml:space="preserve">           </w:t>
      </w:r>
      <w:r w:rsidR="008206CA" w:rsidRPr="003B4023">
        <w:rPr>
          <w:rFonts w:ascii="Arial" w:hAnsi="Arial"/>
          <w:sz w:val="24"/>
          <w:szCs w:val="24"/>
        </w:rPr>
        <w:t>Government, MHCLG) on matters relating to the LGPS.</w:t>
      </w:r>
    </w:p>
    <w:p w14:paraId="5C9A2C88" w14:textId="77777777" w:rsidR="00E9344C" w:rsidRPr="0097102E" w:rsidRDefault="00E9344C" w:rsidP="008206CA">
      <w:pPr>
        <w:rPr>
          <w:rFonts w:ascii="Arial" w:hAnsi="Arial"/>
          <w:sz w:val="24"/>
          <w:szCs w:val="24"/>
        </w:rPr>
      </w:pPr>
    </w:p>
    <w:p w14:paraId="21AB4D5A" w14:textId="77777777" w:rsidR="008206CA" w:rsidRPr="002A3887" w:rsidRDefault="008206CA" w:rsidP="008206CA">
      <w:pPr>
        <w:ind w:left="720" w:hanging="720"/>
        <w:rPr>
          <w:rFonts w:ascii="Arial" w:hAnsi="Arial"/>
          <w:sz w:val="24"/>
          <w:szCs w:val="24"/>
        </w:rPr>
      </w:pPr>
      <w:r>
        <w:rPr>
          <w:rFonts w:ascii="Arial" w:hAnsi="Arial"/>
          <w:sz w:val="24"/>
          <w:szCs w:val="24"/>
        </w:rPr>
        <w:t>13.10</w:t>
      </w:r>
      <w:r w:rsidRPr="002A3887">
        <w:rPr>
          <w:rFonts w:ascii="Arial" w:hAnsi="Arial"/>
          <w:sz w:val="24"/>
          <w:szCs w:val="24"/>
        </w:rPr>
        <w:tab/>
        <w:t xml:space="preserve">The </w:t>
      </w:r>
      <w:r w:rsidRPr="002A3887">
        <w:rPr>
          <w:rFonts w:ascii="Arial" w:hAnsi="Arial"/>
          <w:b/>
          <w:sz w:val="24"/>
          <w:szCs w:val="24"/>
        </w:rPr>
        <w:t>Democratic Services Committee</w:t>
      </w:r>
      <w:r w:rsidRPr="002A3887">
        <w:rPr>
          <w:rFonts w:ascii="Arial" w:hAnsi="Arial"/>
          <w:sz w:val="24"/>
          <w:szCs w:val="24"/>
        </w:rPr>
        <w:t xml:space="preserve"> reviews the adequacy of provision by the authority of staff, accommodation and other resources to discharge Democratic Services functions. The Committee is chaired by a Councillor and, along with the Chair, membership consists of thirteen Councillors. The Committee met on 5 occasions during 2021/22 and considered the Councillors Handbook, Councillors Questionnaire, Councillor Training &amp; Induction Programme 2022, Democratic Services Annual Report, Interim Guidance on Multi-Location Meetings, Diversity in Democracy Action Plan, Cllrs ICT </w:t>
      </w:r>
      <w:r w:rsidRPr="002A3887">
        <w:rPr>
          <w:rFonts w:ascii="Arial" w:hAnsi="Arial"/>
          <w:sz w:val="24"/>
          <w:szCs w:val="24"/>
        </w:rPr>
        <w:lastRenderedPageBreak/>
        <w:t>Policy – May 2022 &amp; Beyond, Multi-Location Meetings Policy, Councillors Safety &amp; Support, and the Independent Remuneration Panel for Wales (IRPW Annual Report).</w:t>
      </w:r>
    </w:p>
    <w:p w14:paraId="43C33768" w14:textId="77777777" w:rsidR="008206CA" w:rsidRDefault="008206CA" w:rsidP="00E9344C">
      <w:pPr>
        <w:jc w:val="both"/>
        <w:rPr>
          <w:rFonts w:ascii="Arial" w:hAnsi="Arial"/>
          <w:sz w:val="24"/>
          <w:szCs w:val="24"/>
        </w:rPr>
      </w:pPr>
    </w:p>
    <w:p w14:paraId="33317616" w14:textId="77777777" w:rsidR="008206CA" w:rsidRDefault="008206CA" w:rsidP="00E9344C">
      <w:pPr>
        <w:ind w:left="720" w:hanging="720"/>
        <w:jc w:val="both"/>
        <w:rPr>
          <w:rFonts w:ascii="Arial" w:hAnsi="Arial"/>
          <w:sz w:val="24"/>
          <w:szCs w:val="24"/>
        </w:rPr>
      </w:pPr>
      <w:r>
        <w:rPr>
          <w:rFonts w:ascii="Arial" w:hAnsi="Arial"/>
          <w:sz w:val="24"/>
          <w:szCs w:val="24"/>
        </w:rPr>
        <w:t>13.11</w:t>
      </w:r>
      <w:r>
        <w:rPr>
          <w:rFonts w:ascii="Arial" w:hAnsi="Arial"/>
          <w:sz w:val="24"/>
          <w:szCs w:val="24"/>
        </w:rPr>
        <w:tab/>
      </w:r>
      <w:r w:rsidRPr="00892605">
        <w:rPr>
          <w:rFonts w:ascii="Arial" w:hAnsi="Arial"/>
          <w:sz w:val="24"/>
          <w:szCs w:val="24"/>
        </w:rPr>
        <w:t xml:space="preserve">The </w:t>
      </w:r>
      <w:r>
        <w:rPr>
          <w:rFonts w:ascii="Arial" w:hAnsi="Arial"/>
          <w:sz w:val="24"/>
          <w:szCs w:val="24"/>
        </w:rPr>
        <w:t xml:space="preserve">purpose of the </w:t>
      </w:r>
      <w:r w:rsidRPr="00892605">
        <w:rPr>
          <w:rFonts w:ascii="Arial" w:hAnsi="Arial"/>
          <w:b/>
          <w:sz w:val="24"/>
          <w:szCs w:val="24"/>
        </w:rPr>
        <w:t>Policy Development Committees (PDCs)</w:t>
      </w:r>
      <w:r w:rsidRPr="00892605">
        <w:rPr>
          <w:rFonts w:ascii="Arial" w:hAnsi="Arial"/>
          <w:sz w:val="24"/>
          <w:szCs w:val="24"/>
        </w:rPr>
        <w:t xml:space="preserve"> </w:t>
      </w:r>
      <w:r>
        <w:rPr>
          <w:rFonts w:ascii="Arial" w:hAnsi="Arial"/>
          <w:sz w:val="24"/>
          <w:szCs w:val="24"/>
        </w:rPr>
        <w:t xml:space="preserve">is </w:t>
      </w:r>
      <w:r w:rsidRPr="00892605">
        <w:rPr>
          <w:rFonts w:ascii="Arial" w:hAnsi="Arial"/>
          <w:sz w:val="24"/>
          <w:szCs w:val="24"/>
        </w:rPr>
        <w:t>to drive the development of policy for consideration and adoption by Cabinet and or Council as appropriate</w:t>
      </w:r>
      <w:r w:rsidRPr="00C83241">
        <w:rPr>
          <w:rFonts w:ascii="Arial" w:hAnsi="Arial"/>
          <w:sz w:val="24"/>
          <w:szCs w:val="24"/>
        </w:rPr>
        <w:t xml:space="preserve">. </w:t>
      </w:r>
      <w:r w:rsidRPr="00892605">
        <w:rPr>
          <w:rFonts w:ascii="Arial" w:hAnsi="Arial"/>
          <w:bCs/>
          <w:sz w:val="24"/>
          <w:szCs w:val="24"/>
        </w:rPr>
        <w:t xml:space="preserve">Due to </w:t>
      </w:r>
      <w:r>
        <w:rPr>
          <w:rFonts w:ascii="Arial" w:hAnsi="Arial"/>
          <w:bCs/>
          <w:sz w:val="24"/>
          <w:szCs w:val="24"/>
        </w:rPr>
        <w:t>COVID-19</w:t>
      </w:r>
      <w:r w:rsidRPr="00892605">
        <w:rPr>
          <w:rFonts w:ascii="Arial" w:hAnsi="Arial"/>
          <w:bCs/>
          <w:sz w:val="24"/>
          <w:szCs w:val="24"/>
        </w:rPr>
        <w:t>, some of the Council meetings, including PDC meetings, were cancelled or re-arranged</w:t>
      </w:r>
      <w:r>
        <w:rPr>
          <w:rFonts w:ascii="Arial" w:hAnsi="Arial"/>
          <w:sz w:val="24"/>
          <w:szCs w:val="24"/>
        </w:rPr>
        <w:t xml:space="preserve">. However, </w:t>
      </w:r>
      <w:r w:rsidRPr="00A15A11">
        <w:rPr>
          <w:rFonts w:ascii="Arial" w:hAnsi="Arial"/>
          <w:sz w:val="24"/>
          <w:szCs w:val="24"/>
        </w:rPr>
        <w:t>the work now being done by the PDCs ha</w:t>
      </w:r>
      <w:r>
        <w:rPr>
          <w:rFonts w:ascii="Arial" w:hAnsi="Arial"/>
          <w:sz w:val="24"/>
          <w:szCs w:val="24"/>
        </w:rPr>
        <w:t>s become more embedded over 2021/22 in carrying out the C</w:t>
      </w:r>
      <w:r w:rsidRPr="00A15A11">
        <w:rPr>
          <w:rFonts w:ascii="Arial" w:hAnsi="Arial"/>
          <w:sz w:val="24"/>
          <w:szCs w:val="24"/>
        </w:rPr>
        <w:t xml:space="preserve">ouncil’s function of developing policy. </w:t>
      </w:r>
      <w:r>
        <w:rPr>
          <w:rFonts w:ascii="Arial" w:hAnsi="Arial"/>
          <w:sz w:val="24"/>
          <w:szCs w:val="24"/>
        </w:rPr>
        <w:t>B</w:t>
      </w:r>
      <w:r w:rsidRPr="00A15A11">
        <w:rPr>
          <w:rFonts w:ascii="Arial" w:hAnsi="Arial"/>
          <w:sz w:val="24"/>
          <w:szCs w:val="24"/>
        </w:rPr>
        <w:t>oth PDCs and Scrutiny are</w:t>
      </w:r>
      <w:r>
        <w:rPr>
          <w:rFonts w:ascii="Arial" w:hAnsi="Arial"/>
          <w:sz w:val="24"/>
          <w:szCs w:val="24"/>
        </w:rPr>
        <w:t xml:space="preserve"> open to all non-</w:t>
      </w:r>
      <w:r w:rsidRPr="00A15A11">
        <w:rPr>
          <w:rFonts w:ascii="Arial" w:hAnsi="Arial"/>
          <w:sz w:val="24"/>
          <w:szCs w:val="24"/>
        </w:rPr>
        <w:t xml:space="preserve">executive </w:t>
      </w:r>
      <w:r>
        <w:rPr>
          <w:rFonts w:ascii="Arial" w:hAnsi="Arial"/>
          <w:sz w:val="24"/>
          <w:szCs w:val="24"/>
        </w:rPr>
        <w:t>C</w:t>
      </w:r>
      <w:r w:rsidRPr="00A15A11">
        <w:rPr>
          <w:rFonts w:ascii="Arial" w:hAnsi="Arial"/>
          <w:sz w:val="24"/>
          <w:szCs w:val="24"/>
        </w:rPr>
        <w:t>ouncillors, in developing policy then reviewing its effectiveness</w:t>
      </w:r>
      <w:r>
        <w:rPr>
          <w:rFonts w:ascii="Arial" w:hAnsi="Arial"/>
          <w:sz w:val="24"/>
          <w:szCs w:val="24"/>
        </w:rPr>
        <w:t>.</w:t>
      </w:r>
    </w:p>
    <w:p w14:paraId="0B8BF3A6" w14:textId="77777777" w:rsidR="008206CA" w:rsidRDefault="008206CA" w:rsidP="00E9344C">
      <w:pPr>
        <w:ind w:left="720" w:hanging="720"/>
        <w:jc w:val="both"/>
        <w:rPr>
          <w:rFonts w:ascii="Arial" w:hAnsi="Arial"/>
          <w:sz w:val="24"/>
          <w:szCs w:val="24"/>
        </w:rPr>
      </w:pPr>
    </w:p>
    <w:p w14:paraId="130EEFFD" w14:textId="77777777" w:rsidR="008206CA" w:rsidRDefault="008206CA" w:rsidP="00E9344C">
      <w:pPr>
        <w:ind w:left="720" w:hanging="720"/>
        <w:jc w:val="both"/>
        <w:rPr>
          <w:rFonts w:ascii="Arial" w:hAnsi="Arial"/>
          <w:sz w:val="24"/>
          <w:szCs w:val="24"/>
        </w:rPr>
      </w:pPr>
      <w:r>
        <w:rPr>
          <w:rFonts w:ascii="Arial" w:hAnsi="Arial"/>
          <w:sz w:val="24"/>
          <w:szCs w:val="24"/>
        </w:rPr>
        <w:t>13.12</w:t>
      </w:r>
      <w:r>
        <w:rPr>
          <w:rFonts w:ascii="Arial" w:hAnsi="Arial"/>
          <w:sz w:val="24"/>
          <w:szCs w:val="24"/>
        </w:rPr>
        <w:tab/>
      </w:r>
      <w:r w:rsidRPr="00892605">
        <w:rPr>
          <w:rFonts w:ascii="Arial" w:hAnsi="Arial"/>
          <w:sz w:val="24"/>
          <w:szCs w:val="24"/>
        </w:rPr>
        <w:t xml:space="preserve">The </w:t>
      </w:r>
      <w:r>
        <w:rPr>
          <w:rFonts w:ascii="Arial" w:hAnsi="Arial"/>
          <w:sz w:val="24"/>
          <w:szCs w:val="24"/>
        </w:rPr>
        <w:t>PDCs</w:t>
      </w:r>
      <w:r w:rsidRPr="00892605">
        <w:rPr>
          <w:rFonts w:ascii="Arial" w:hAnsi="Arial"/>
          <w:sz w:val="24"/>
          <w:szCs w:val="24"/>
        </w:rPr>
        <w:t xml:space="preserve"> are chaired by a Councillor and, along with the Chair, membership consists of ten elected Members. There </w:t>
      </w:r>
      <w:r w:rsidRPr="00C83241">
        <w:rPr>
          <w:rFonts w:ascii="Arial" w:hAnsi="Arial"/>
          <w:sz w:val="24"/>
          <w:szCs w:val="24"/>
        </w:rPr>
        <w:t>were five Committees meeting in 202</w:t>
      </w:r>
      <w:r>
        <w:rPr>
          <w:rFonts w:ascii="Arial" w:hAnsi="Arial"/>
          <w:sz w:val="24"/>
          <w:szCs w:val="24"/>
        </w:rPr>
        <w:t>1</w:t>
      </w:r>
      <w:r w:rsidRPr="00C83241">
        <w:rPr>
          <w:rFonts w:ascii="Arial" w:hAnsi="Arial"/>
          <w:sz w:val="24"/>
          <w:szCs w:val="24"/>
        </w:rPr>
        <w:t>/2</w:t>
      </w:r>
      <w:r>
        <w:rPr>
          <w:rFonts w:ascii="Arial" w:hAnsi="Arial"/>
          <w:sz w:val="24"/>
          <w:szCs w:val="24"/>
        </w:rPr>
        <w:t>2</w:t>
      </w:r>
      <w:r w:rsidRPr="00C83241">
        <w:rPr>
          <w:rFonts w:ascii="Arial" w:hAnsi="Arial"/>
          <w:sz w:val="24"/>
          <w:szCs w:val="24"/>
        </w:rPr>
        <w:t xml:space="preserve">: </w:t>
      </w:r>
      <w:r w:rsidRPr="007A7CCC">
        <w:rPr>
          <w:rFonts w:ascii="Arial" w:hAnsi="Arial"/>
          <w:sz w:val="24"/>
          <w:szCs w:val="24"/>
        </w:rPr>
        <w:t xml:space="preserve">listed here with examples of both completed work and that in progress: </w:t>
      </w:r>
    </w:p>
    <w:p w14:paraId="3F1977BB" w14:textId="77777777" w:rsidR="008206CA" w:rsidRPr="007A7CCC" w:rsidRDefault="008206CA" w:rsidP="00E9344C">
      <w:pPr>
        <w:ind w:left="720" w:hanging="720"/>
        <w:jc w:val="both"/>
        <w:rPr>
          <w:rFonts w:ascii="Arial" w:hAnsi="Arial"/>
          <w:sz w:val="24"/>
          <w:szCs w:val="24"/>
        </w:rPr>
      </w:pPr>
    </w:p>
    <w:p w14:paraId="4F130AF6" w14:textId="77777777" w:rsidR="008206CA" w:rsidRPr="008408C0" w:rsidRDefault="008206CA" w:rsidP="00E9344C">
      <w:pPr>
        <w:pStyle w:val="ListParagraph"/>
        <w:numPr>
          <w:ilvl w:val="0"/>
          <w:numId w:val="118"/>
        </w:numPr>
        <w:spacing w:before="0" w:after="0" w:line="240" w:lineRule="auto"/>
        <w:jc w:val="both"/>
        <w:rPr>
          <w:sz w:val="24"/>
        </w:rPr>
      </w:pPr>
      <w:r w:rsidRPr="008408C0">
        <w:rPr>
          <w:b/>
          <w:sz w:val="24"/>
        </w:rPr>
        <w:t>Economy, Environment &amp; Infrastructure</w:t>
      </w:r>
      <w:r w:rsidRPr="008408C0">
        <w:rPr>
          <w:sz w:val="24"/>
        </w:rPr>
        <w:t xml:space="preserve"> – </w:t>
      </w:r>
      <w:r w:rsidRPr="00BD62EF">
        <w:rPr>
          <w:sz w:val="24"/>
        </w:rPr>
        <w:t>Swansea Bay City Deal Skills and Talent business case</w:t>
      </w:r>
      <w:r>
        <w:rPr>
          <w:sz w:val="24"/>
        </w:rPr>
        <w:t xml:space="preserve">; </w:t>
      </w:r>
      <w:r w:rsidRPr="0004693A">
        <w:rPr>
          <w:sz w:val="24"/>
        </w:rPr>
        <w:t>Economic Recovery</w:t>
      </w:r>
      <w:r>
        <w:rPr>
          <w:sz w:val="24"/>
        </w:rPr>
        <w:t xml:space="preserve"> Plan. High Street Regeneration;</w:t>
      </w:r>
      <w:r w:rsidRPr="0004693A">
        <w:rPr>
          <w:sz w:val="24"/>
        </w:rPr>
        <w:t xml:space="preserve"> Green Fleet Policy</w:t>
      </w:r>
      <w:r>
        <w:rPr>
          <w:sz w:val="24"/>
        </w:rPr>
        <w:t>;</w:t>
      </w:r>
      <w:r w:rsidRPr="0004693A">
        <w:rPr>
          <w:sz w:val="24"/>
        </w:rPr>
        <w:t xml:space="preserve"> </w:t>
      </w:r>
      <w:r w:rsidRPr="008408C0">
        <w:rPr>
          <w:sz w:val="24"/>
        </w:rPr>
        <w:t xml:space="preserve">Tree Policy; Siting of Bus Stops; Ultra Low Emission Vehicle Strategy. </w:t>
      </w:r>
    </w:p>
    <w:p w14:paraId="28986AE4" w14:textId="77777777" w:rsidR="008206CA" w:rsidRPr="00EC4D31" w:rsidRDefault="008206CA" w:rsidP="00E9344C">
      <w:pPr>
        <w:pStyle w:val="ListParagraph"/>
        <w:numPr>
          <w:ilvl w:val="0"/>
          <w:numId w:val="118"/>
        </w:numPr>
        <w:spacing w:before="0" w:after="0" w:line="240" w:lineRule="auto"/>
        <w:jc w:val="both"/>
        <w:rPr>
          <w:sz w:val="24"/>
        </w:rPr>
      </w:pPr>
      <w:r w:rsidRPr="00EC4D31">
        <w:rPr>
          <w:b/>
          <w:sz w:val="24"/>
        </w:rPr>
        <w:t>Education &amp; Skills</w:t>
      </w:r>
      <w:r w:rsidRPr="00EC4D31">
        <w:rPr>
          <w:sz w:val="24"/>
        </w:rPr>
        <w:t xml:space="preserve"> – Vocational Education; Data Trends on Vulnerable Learners; Adverse Childhood Experiences. </w:t>
      </w:r>
    </w:p>
    <w:p w14:paraId="7A497967" w14:textId="77777777" w:rsidR="008206CA" w:rsidRPr="007A7CCC" w:rsidRDefault="008206CA" w:rsidP="00E9344C">
      <w:pPr>
        <w:pStyle w:val="ListParagraph"/>
        <w:numPr>
          <w:ilvl w:val="0"/>
          <w:numId w:val="118"/>
        </w:numPr>
        <w:spacing w:before="0" w:after="0" w:line="240" w:lineRule="auto"/>
        <w:jc w:val="both"/>
        <w:rPr>
          <w:sz w:val="24"/>
        </w:rPr>
      </w:pPr>
      <w:r w:rsidRPr="007A7CCC">
        <w:rPr>
          <w:b/>
          <w:sz w:val="24"/>
        </w:rPr>
        <w:t>Recovery &amp; Future Generations</w:t>
      </w:r>
      <w:r>
        <w:rPr>
          <w:sz w:val="24"/>
        </w:rPr>
        <w:t xml:space="preserve"> – </w:t>
      </w:r>
      <w:r w:rsidRPr="00BD62EF">
        <w:rPr>
          <w:sz w:val="24"/>
        </w:rPr>
        <w:t xml:space="preserve">Supporting the overarching </w:t>
      </w:r>
      <w:r w:rsidRPr="00BD62EF">
        <w:rPr>
          <w:i/>
          <w:sz w:val="24"/>
        </w:rPr>
        <w:t>Achieving Better Together</w:t>
      </w:r>
      <w:r w:rsidRPr="00BD62EF">
        <w:rPr>
          <w:sz w:val="24"/>
        </w:rPr>
        <w:t xml:space="preserve"> transformation work programme and COVID-19 Recovery</w:t>
      </w:r>
      <w:r w:rsidRPr="007A7CCC">
        <w:rPr>
          <w:sz w:val="24"/>
        </w:rPr>
        <w:t>; Workforce Strategy; Co-production; Sustainable Development</w:t>
      </w:r>
      <w:r>
        <w:rPr>
          <w:sz w:val="24"/>
        </w:rPr>
        <w:t>.</w:t>
      </w:r>
      <w:r w:rsidRPr="007A7CCC">
        <w:rPr>
          <w:sz w:val="24"/>
        </w:rPr>
        <w:t xml:space="preserve"> </w:t>
      </w:r>
    </w:p>
    <w:p w14:paraId="6FC356AE" w14:textId="77777777" w:rsidR="008206CA" w:rsidRPr="007A7CCC" w:rsidRDefault="008206CA" w:rsidP="00E9344C">
      <w:pPr>
        <w:pStyle w:val="ListParagraph"/>
        <w:numPr>
          <w:ilvl w:val="0"/>
          <w:numId w:val="118"/>
        </w:numPr>
        <w:spacing w:before="0" w:after="0" w:line="240" w:lineRule="auto"/>
        <w:jc w:val="both"/>
        <w:rPr>
          <w:sz w:val="24"/>
        </w:rPr>
      </w:pPr>
      <w:r w:rsidRPr="007A7CCC">
        <w:rPr>
          <w:b/>
          <w:sz w:val="24"/>
        </w:rPr>
        <w:t>People</w:t>
      </w:r>
      <w:r w:rsidRPr="007A7CCC">
        <w:rPr>
          <w:sz w:val="24"/>
        </w:rPr>
        <w:t xml:space="preserve"> – Young Carer’s Strategy; Volunteers Strategy; Employability; Children and Young People’s Rights Scheme</w:t>
      </w:r>
      <w:r>
        <w:rPr>
          <w:sz w:val="24"/>
        </w:rPr>
        <w:t>.</w:t>
      </w:r>
      <w:r w:rsidRPr="007A7CCC">
        <w:rPr>
          <w:sz w:val="24"/>
        </w:rPr>
        <w:t xml:space="preserve"> </w:t>
      </w:r>
    </w:p>
    <w:p w14:paraId="33E15190" w14:textId="77777777" w:rsidR="008206CA" w:rsidRPr="007A7CCC" w:rsidRDefault="008206CA" w:rsidP="00E9344C">
      <w:pPr>
        <w:pStyle w:val="ListParagraph"/>
        <w:numPr>
          <w:ilvl w:val="0"/>
          <w:numId w:val="118"/>
        </w:numPr>
        <w:spacing w:before="0" w:after="0" w:line="240" w:lineRule="auto"/>
        <w:jc w:val="both"/>
        <w:rPr>
          <w:sz w:val="24"/>
        </w:rPr>
      </w:pPr>
      <w:r w:rsidRPr="007A7CCC">
        <w:rPr>
          <w:b/>
          <w:sz w:val="24"/>
        </w:rPr>
        <w:t>Poverty Reduction</w:t>
      </w:r>
      <w:r w:rsidRPr="007A7CCC">
        <w:rPr>
          <w:sz w:val="24"/>
        </w:rPr>
        <w:t xml:space="preserve"> – Tackling Poverty Strateg</w:t>
      </w:r>
      <w:r>
        <w:rPr>
          <w:sz w:val="24"/>
        </w:rPr>
        <w:t>y revision; Promoting Affordable Credit Draft Policy</w:t>
      </w:r>
      <w:r w:rsidRPr="007A7CCC">
        <w:rPr>
          <w:sz w:val="24"/>
        </w:rPr>
        <w:t>; Benefits Tak</w:t>
      </w:r>
      <w:r>
        <w:rPr>
          <w:sz w:val="24"/>
        </w:rPr>
        <w:t>e-up; Fairness in Green Health</w:t>
      </w:r>
      <w:r w:rsidRPr="007A7CCC">
        <w:rPr>
          <w:sz w:val="24"/>
        </w:rPr>
        <w:t>; Corporate Personal Debt Recovery.</w:t>
      </w:r>
    </w:p>
    <w:p w14:paraId="6602E0FE" w14:textId="77777777" w:rsidR="008206CA" w:rsidRDefault="008206CA" w:rsidP="008206CA">
      <w:pPr>
        <w:jc w:val="both"/>
        <w:rPr>
          <w:rFonts w:ascii="Arial" w:hAnsi="Arial"/>
          <w:sz w:val="24"/>
          <w:szCs w:val="24"/>
        </w:rPr>
      </w:pPr>
    </w:p>
    <w:p w14:paraId="177E6EC1" w14:textId="77777777" w:rsidR="008206CA" w:rsidRPr="00B5314B" w:rsidRDefault="008206CA" w:rsidP="008206CA">
      <w:pPr>
        <w:rPr>
          <w:rFonts w:ascii="Arial" w:hAnsi="Arial"/>
          <w:b/>
          <w:sz w:val="24"/>
          <w:szCs w:val="24"/>
          <w:u w:val="single"/>
        </w:rPr>
      </w:pPr>
      <w:r w:rsidRPr="00B5314B">
        <w:rPr>
          <w:rFonts w:ascii="Arial" w:hAnsi="Arial"/>
          <w:b/>
          <w:sz w:val="24"/>
          <w:szCs w:val="24"/>
          <w:u w:val="single"/>
        </w:rPr>
        <w:t>Significant Governance Issue</w:t>
      </w:r>
      <w:r>
        <w:rPr>
          <w:rFonts w:ascii="Arial" w:hAnsi="Arial"/>
          <w:b/>
          <w:sz w:val="24"/>
          <w:szCs w:val="24"/>
          <w:u w:val="single"/>
        </w:rPr>
        <w:t>s</w:t>
      </w:r>
    </w:p>
    <w:p w14:paraId="686BACF7" w14:textId="77777777" w:rsidR="008206CA" w:rsidRDefault="008206CA" w:rsidP="008206CA">
      <w:pPr>
        <w:tabs>
          <w:tab w:val="left" w:pos="1440"/>
        </w:tabs>
        <w:rPr>
          <w:rFonts w:ascii="Arial" w:hAnsi="Arial"/>
          <w:sz w:val="24"/>
          <w:szCs w:val="24"/>
        </w:rPr>
      </w:pPr>
    </w:p>
    <w:p w14:paraId="05D76B2E" w14:textId="77777777" w:rsidR="008206CA" w:rsidRPr="00F5177A" w:rsidRDefault="008206CA" w:rsidP="00E9344C">
      <w:pPr>
        <w:tabs>
          <w:tab w:val="left" w:pos="1440"/>
        </w:tabs>
        <w:ind w:left="-142"/>
        <w:jc w:val="both"/>
        <w:rPr>
          <w:rFonts w:ascii="Arial" w:hAnsi="Arial"/>
          <w:b/>
          <w:sz w:val="24"/>
          <w:szCs w:val="24"/>
        </w:rPr>
      </w:pPr>
      <w:r w:rsidRPr="00525D67">
        <w:rPr>
          <w:rFonts w:ascii="Arial" w:hAnsi="Arial"/>
          <w:sz w:val="24"/>
          <w:szCs w:val="24"/>
        </w:rPr>
        <w:t xml:space="preserve">The following table identifies issues </w:t>
      </w:r>
      <w:r>
        <w:rPr>
          <w:rFonts w:ascii="Arial" w:hAnsi="Arial"/>
          <w:sz w:val="24"/>
          <w:szCs w:val="24"/>
        </w:rPr>
        <w:t>that had been identified in 2020/21</w:t>
      </w:r>
      <w:r w:rsidRPr="00525D67">
        <w:rPr>
          <w:rFonts w:ascii="Arial" w:hAnsi="Arial"/>
          <w:sz w:val="24"/>
          <w:szCs w:val="24"/>
        </w:rPr>
        <w:t xml:space="preserve"> during the review of effectiveness, together with the proposed</w:t>
      </w:r>
      <w:r>
        <w:rPr>
          <w:rFonts w:ascii="Arial" w:hAnsi="Arial"/>
          <w:sz w:val="24"/>
          <w:szCs w:val="24"/>
        </w:rPr>
        <w:t xml:space="preserve"> actions to be taken during 2021/22</w:t>
      </w:r>
      <w:r w:rsidRPr="00525D67">
        <w:rPr>
          <w:rFonts w:ascii="Arial" w:hAnsi="Arial"/>
          <w:sz w:val="24"/>
          <w:szCs w:val="24"/>
        </w:rPr>
        <w:t xml:space="preserve"> to address the issues. </w:t>
      </w:r>
      <w:r w:rsidRPr="00ED5684">
        <w:rPr>
          <w:rFonts w:ascii="Arial" w:hAnsi="Arial"/>
          <w:b/>
          <w:sz w:val="24"/>
          <w:szCs w:val="24"/>
        </w:rPr>
        <w:t>Note - the</w:t>
      </w:r>
      <w:r>
        <w:rPr>
          <w:rFonts w:ascii="Arial" w:hAnsi="Arial"/>
          <w:b/>
          <w:sz w:val="24"/>
          <w:szCs w:val="24"/>
        </w:rPr>
        <w:t xml:space="preserve"> COVID-19 pandemic</w:t>
      </w:r>
      <w:r w:rsidRPr="00525D67">
        <w:rPr>
          <w:rFonts w:ascii="Arial" w:hAnsi="Arial"/>
          <w:b/>
          <w:sz w:val="24"/>
          <w:szCs w:val="24"/>
        </w:rPr>
        <w:t xml:space="preserve"> has had a</w:t>
      </w:r>
      <w:r>
        <w:rPr>
          <w:rFonts w:ascii="Arial" w:hAnsi="Arial"/>
          <w:b/>
          <w:sz w:val="24"/>
          <w:szCs w:val="24"/>
        </w:rPr>
        <w:t xml:space="preserve">n </w:t>
      </w:r>
      <w:r w:rsidRPr="00525D67">
        <w:rPr>
          <w:rFonts w:ascii="Arial" w:hAnsi="Arial"/>
          <w:b/>
          <w:sz w:val="24"/>
          <w:szCs w:val="24"/>
        </w:rPr>
        <w:t>impact on the timescales and actions included in the action plan</w:t>
      </w:r>
      <w:r>
        <w:rPr>
          <w:rFonts w:ascii="Arial" w:hAnsi="Arial"/>
          <w:b/>
          <w:sz w:val="24"/>
          <w:szCs w:val="24"/>
        </w:rPr>
        <w:t xml:space="preserve"> below</w:t>
      </w:r>
      <w:r w:rsidRPr="00525D67">
        <w:rPr>
          <w:rFonts w:ascii="Arial" w:hAnsi="Arial"/>
          <w:b/>
          <w:sz w:val="24"/>
          <w:szCs w:val="24"/>
        </w:rPr>
        <w:t>.</w:t>
      </w:r>
    </w:p>
    <w:p w14:paraId="34378952" w14:textId="77777777" w:rsidR="008206CA" w:rsidRDefault="008206CA" w:rsidP="008206CA">
      <w:pPr>
        <w:tabs>
          <w:tab w:val="left" w:pos="1440"/>
        </w:tabs>
        <w:ind w:left="-142"/>
        <w:rPr>
          <w:rFonts w:ascii="Arial" w:hAnsi="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2557"/>
        <w:gridCol w:w="3131"/>
        <w:gridCol w:w="2602"/>
      </w:tblGrid>
      <w:tr w:rsidR="008206CA" w:rsidRPr="001948AC" w14:paraId="1387CBCE" w14:textId="77777777" w:rsidTr="00DE37F4">
        <w:trPr>
          <w:trHeight w:val="250"/>
        </w:trPr>
        <w:tc>
          <w:tcPr>
            <w:tcW w:w="941" w:type="pct"/>
            <w:shd w:val="clear" w:color="auto" w:fill="auto"/>
          </w:tcPr>
          <w:p w14:paraId="519BDED0" w14:textId="77777777" w:rsidR="008206CA" w:rsidRPr="00DE37F4" w:rsidRDefault="008206CA" w:rsidP="00DE37F4">
            <w:pPr>
              <w:tabs>
                <w:tab w:val="left" w:pos="1440"/>
              </w:tabs>
              <w:rPr>
                <w:rFonts w:ascii="Arial" w:hAnsi="Arial"/>
                <w:b/>
                <w:sz w:val="24"/>
                <w:szCs w:val="24"/>
              </w:rPr>
            </w:pPr>
            <w:r w:rsidRPr="00DE37F4">
              <w:rPr>
                <w:rFonts w:ascii="Arial" w:hAnsi="Arial"/>
                <w:b/>
                <w:sz w:val="24"/>
                <w:szCs w:val="24"/>
              </w:rPr>
              <w:t>Significant Governance Issue linked to Framework</w:t>
            </w:r>
          </w:p>
        </w:tc>
        <w:tc>
          <w:tcPr>
            <w:tcW w:w="1252" w:type="pct"/>
            <w:shd w:val="clear" w:color="auto" w:fill="auto"/>
          </w:tcPr>
          <w:p w14:paraId="63BFAB1A" w14:textId="77777777" w:rsidR="008206CA" w:rsidRPr="00DE37F4" w:rsidRDefault="008206CA" w:rsidP="00DE37F4">
            <w:pPr>
              <w:tabs>
                <w:tab w:val="left" w:pos="1440"/>
              </w:tabs>
              <w:ind w:left="720"/>
              <w:rPr>
                <w:rFonts w:ascii="Arial" w:hAnsi="Arial"/>
                <w:b/>
                <w:sz w:val="24"/>
                <w:szCs w:val="24"/>
              </w:rPr>
            </w:pPr>
            <w:r w:rsidRPr="00DE37F4">
              <w:rPr>
                <w:rFonts w:ascii="Arial" w:hAnsi="Arial"/>
                <w:b/>
                <w:sz w:val="24"/>
                <w:szCs w:val="24"/>
              </w:rPr>
              <w:t>Action to be taken</w:t>
            </w:r>
          </w:p>
        </w:tc>
        <w:tc>
          <w:tcPr>
            <w:tcW w:w="1533" w:type="pct"/>
            <w:shd w:val="clear" w:color="auto" w:fill="auto"/>
          </w:tcPr>
          <w:p w14:paraId="4B13E09B" w14:textId="77777777" w:rsidR="008206CA" w:rsidRPr="00DE37F4" w:rsidRDefault="008206CA" w:rsidP="00DE37F4">
            <w:pPr>
              <w:tabs>
                <w:tab w:val="left" w:pos="1440"/>
              </w:tabs>
              <w:ind w:left="720"/>
              <w:rPr>
                <w:rFonts w:ascii="Arial" w:hAnsi="Arial"/>
                <w:b/>
                <w:sz w:val="24"/>
                <w:szCs w:val="24"/>
              </w:rPr>
            </w:pPr>
            <w:r w:rsidRPr="00DE37F4">
              <w:rPr>
                <w:rFonts w:ascii="Arial" w:hAnsi="Arial"/>
                <w:b/>
                <w:sz w:val="24"/>
                <w:szCs w:val="24"/>
              </w:rPr>
              <w:t xml:space="preserve">Update </w:t>
            </w:r>
          </w:p>
        </w:tc>
        <w:tc>
          <w:tcPr>
            <w:tcW w:w="1274" w:type="pct"/>
            <w:shd w:val="clear" w:color="auto" w:fill="auto"/>
          </w:tcPr>
          <w:p w14:paraId="549C842E" w14:textId="77777777" w:rsidR="008206CA" w:rsidRPr="00DE37F4" w:rsidRDefault="008206CA" w:rsidP="00DE37F4">
            <w:pPr>
              <w:tabs>
                <w:tab w:val="left" w:pos="1440"/>
              </w:tabs>
              <w:ind w:left="720"/>
              <w:rPr>
                <w:rFonts w:ascii="Arial" w:hAnsi="Arial"/>
                <w:b/>
                <w:sz w:val="24"/>
                <w:szCs w:val="24"/>
              </w:rPr>
            </w:pPr>
            <w:r w:rsidRPr="00DE37F4">
              <w:rPr>
                <w:rFonts w:ascii="Arial" w:hAnsi="Arial"/>
                <w:b/>
                <w:sz w:val="24"/>
                <w:szCs w:val="24"/>
              </w:rPr>
              <w:t>Status</w:t>
            </w:r>
          </w:p>
        </w:tc>
      </w:tr>
      <w:tr w:rsidR="008206CA" w:rsidRPr="001948AC" w14:paraId="68FE65F5" w14:textId="77777777" w:rsidTr="00DE37F4">
        <w:trPr>
          <w:trHeight w:val="250"/>
        </w:trPr>
        <w:tc>
          <w:tcPr>
            <w:tcW w:w="941" w:type="pct"/>
            <w:vMerge w:val="restart"/>
            <w:shd w:val="clear" w:color="auto" w:fill="auto"/>
          </w:tcPr>
          <w:p w14:paraId="5BA2514F" w14:textId="77777777" w:rsidR="008206CA" w:rsidRPr="00DE37F4" w:rsidRDefault="008206CA" w:rsidP="00DE37F4">
            <w:pPr>
              <w:tabs>
                <w:tab w:val="left" w:pos="1440"/>
              </w:tabs>
              <w:rPr>
                <w:rFonts w:ascii="Arial" w:hAnsi="Arial" w:cs="Arial"/>
                <w:sz w:val="24"/>
                <w:szCs w:val="24"/>
              </w:rPr>
            </w:pPr>
            <w:r w:rsidRPr="00DE37F4">
              <w:rPr>
                <w:rFonts w:ascii="Arial" w:hAnsi="Arial" w:cs="Arial"/>
                <w:sz w:val="24"/>
                <w:szCs w:val="24"/>
                <w:lang w:eastAsia="en-GB"/>
              </w:rPr>
              <w:t xml:space="preserve">Budget pressures (including external and demand-led pressures and overspends) &amp; problems living within budgets. </w:t>
            </w:r>
          </w:p>
        </w:tc>
        <w:tc>
          <w:tcPr>
            <w:tcW w:w="1252" w:type="pct"/>
            <w:shd w:val="clear" w:color="auto" w:fill="auto"/>
          </w:tcPr>
          <w:p w14:paraId="7D163BBB" w14:textId="77777777" w:rsidR="008206CA" w:rsidRPr="00DE37F4" w:rsidRDefault="008206CA" w:rsidP="00DE37F4">
            <w:pPr>
              <w:tabs>
                <w:tab w:val="left" w:pos="1440"/>
              </w:tabs>
              <w:rPr>
                <w:rFonts w:ascii="Arial" w:hAnsi="Arial"/>
                <w:sz w:val="24"/>
                <w:szCs w:val="24"/>
              </w:rPr>
            </w:pPr>
            <w:r w:rsidRPr="00DE37F4">
              <w:rPr>
                <w:rFonts w:ascii="Arial" w:hAnsi="Arial"/>
                <w:sz w:val="24"/>
                <w:szCs w:val="24"/>
              </w:rPr>
              <w:t xml:space="preserve">Address continued material uncertainty as a result of Covid and other challenges and continue a deliberately blended approach to robust monitoring of budgets, savings and </w:t>
            </w:r>
            <w:r w:rsidRPr="00DE37F4">
              <w:rPr>
                <w:rFonts w:ascii="Arial" w:hAnsi="Arial"/>
                <w:sz w:val="24"/>
                <w:szCs w:val="24"/>
              </w:rPr>
              <w:lastRenderedPageBreak/>
              <w:t xml:space="preserve">transformation activity and action consistent with other Councils and policy responses at Welsh Government, UK Government and report as such to Cabinet, Council, Governance &amp; Audit Committee and Scrutiny. </w:t>
            </w:r>
          </w:p>
          <w:p w14:paraId="58FE74AF" w14:textId="77777777" w:rsidR="008206CA" w:rsidRPr="00DE37F4" w:rsidRDefault="008206CA" w:rsidP="00DE37F4">
            <w:pPr>
              <w:tabs>
                <w:tab w:val="left" w:pos="1440"/>
              </w:tabs>
              <w:rPr>
                <w:rFonts w:ascii="Arial" w:hAnsi="Arial"/>
                <w:sz w:val="24"/>
                <w:szCs w:val="24"/>
              </w:rPr>
            </w:pPr>
          </w:p>
        </w:tc>
        <w:tc>
          <w:tcPr>
            <w:tcW w:w="1533" w:type="pct"/>
            <w:shd w:val="clear" w:color="auto" w:fill="auto"/>
          </w:tcPr>
          <w:p w14:paraId="34CF523D"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lastRenderedPageBreak/>
              <w:t xml:space="preserve">Budgets are monitored at a service level, department level and corporate level. PFM meetings are held across the directorates to monitor budgets. In addition, the financial </w:t>
            </w:r>
            <w:r w:rsidRPr="00DE37F4">
              <w:rPr>
                <w:sz w:val="24"/>
              </w:rPr>
              <w:lastRenderedPageBreak/>
              <w:t>quarters are reviewed by CMT, Cabinet and Scrutiny committees and governance and assurance is also monitored via Governance &amp; Audit Committee.</w:t>
            </w:r>
          </w:p>
        </w:tc>
        <w:tc>
          <w:tcPr>
            <w:tcW w:w="1274" w:type="pct"/>
            <w:shd w:val="clear" w:color="auto" w:fill="auto"/>
          </w:tcPr>
          <w:p w14:paraId="1092C0E2"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lastRenderedPageBreak/>
              <w:t>Arrangements in place.</w:t>
            </w:r>
          </w:p>
        </w:tc>
      </w:tr>
      <w:tr w:rsidR="008206CA" w:rsidRPr="001948AC" w14:paraId="2F7C392A" w14:textId="77777777" w:rsidTr="00DE37F4">
        <w:trPr>
          <w:trHeight w:val="250"/>
        </w:trPr>
        <w:tc>
          <w:tcPr>
            <w:tcW w:w="941" w:type="pct"/>
            <w:vMerge/>
            <w:shd w:val="clear" w:color="auto" w:fill="auto"/>
          </w:tcPr>
          <w:p w14:paraId="029A4944" w14:textId="77777777" w:rsidR="008206CA" w:rsidRPr="00DE37F4" w:rsidRDefault="008206CA" w:rsidP="00DE37F4">
            <w:pPr>
              <w:tabs>
                <w:tab w:val="left" w:pos="1440"/>
              </w:tabs>
              <w:rPr>
                <w:rFonts w:ascii="Arial" w:hAnsi="Arial" w:cs="Arial"/>
                <w:sz w:val="24"/>
                <w:szCs w:val="24"/>
                <w:lang w:eastAsia="en-GB"/>
              </w:rPr>
            </w:pPr>
          </w:p>
        </w:tc>
        <w:tc>
          <w:tcPr>
            <w:tcW w:w="1252" w:type="pct"/>
            <w:shd w:val="clear" w:color="auto" w:fill="auto"/>
          </w:tcPr>
          <w:p w14:paraId="73F96056" w14:textId="77777777" w:rsidR="008206CA" w:rsidRPr="00DE37F4" w:rsidRDefault="008206CA" w:rsidP="00DE37F4">
            <w:pPr>
              <w:tabs>
                <w:tab w:val="left" w:pos="1440"/>
              </w:tabs>
              <w:rPr>
                <w:rFonts w:ascii="Arial" w:hAnsi="Arial"/>
                <w:sz w:val="24"/>
                <w:szCs w:val="24"/>
              </w:rPr>
            </w:pPr>
            <w:r w:rsidRPr="00DE37F4">
              <w:rPr>
                <w:rFonts w:ascii="Arial" w:hAnsi="Arial"/>
                <w:sz w:val="24"/>
                <w:szCs w:val="24"/>
              </w:rPr>
              <w:t>Commence and oversee delivery of the Achieving Better Together Transformation Programme through the Strategic Recovery Board to ensure that the Council is sustainable and financially resilient in the longer term.</w:t>
            </w:r>
          </w:p>
        </w:tc>
        <w:tc>
          <w:tcPr>
            <w:tcW w:w="1533" w:type="pct"/>
            <w:shd w:val="clear" w:color="auto" w:fill="auto"/>
          </w:tcPr>
          <w:p w14:paraId="40F1AAA5"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 xml:space="preserve">The Achieving Better Together Steering Group and Board meet monthly and has overseen the development of the MTFP and savings plan.  The Board has also monitored the in-year savings targets and ensured delivery of the targets through holding Directors to account. </w:t>
            </w:r>
          </w:p>
          <w:p w14:paraId="122C5FF9" w14:textId="77777777" w:rsidR="008206CA" w:rsidRPr="00DE37F4" w:rsidRDefault="008206CA" w:rsidP="00DE37F4">
            <w:pPr>
              <w:pStyle w:val="ListParagraph"/>
              <w:tabs>
                <w:tab w:val="left" w:pos="1440"/>
              </w:tabs>
              <w:spacing w:after="0" w:line="240" w:lineRule="auto"/>
              <w:ind w:left="360"/>
              <w:rPr>
                <w:sz w:val="24"/>
              </w:rPr>
            </w:pPr>
          </w:p>
          <w:p w14:paraId="4B6A99BD"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The work streams also identify transformation and change programmes that are required to ensure services are fit-for-purpose and horizon scan to ensure that changes are sustainable and value for money and meet future needs of the council and its residents.</w:t>
            </w:r>
          </w:p>
          <w:p w14:paraId="5398D009" w14:textId="77777777" w:rsidR="008206CA" w:rsidRPr="00DE37F4" w:rsidRDefault="008206CA" w:rsidP="00DE37F4">
            <w:pPr>
              <w:tabs>
                <w:tab w:val="left" w:pos="1440"/>
              </w:tabs>
              <w:rPr>
                <w:rFonts w:ascii="Arial" w:hAnsi="Arial"/>
                <w:sz w:val="24"/>
                <w:szCs w:val="24"/>
              </w:rPr>
            </w:pPr>
          </w:p>
        </w:tc>
        <w:tc>
          <w:tcPr>
            <w:tcW w:w="1274" w:type="pct"/>
            <w:shd w:val="clear" w:color="auto" w:fill="auto"/>
          </w:tcPr>
          <w:p w14:paraId="2871C416"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Arrangements in place.</w:t>
            </w:r>
          </w:p>
        </w:tc>
      </w:tr>
      <w:tr w:rsidR="008206CA" w:rsidRPr="001948AC" w14:paraId="7F7A438F" w14:textId="77777777" w:rsidTr="00DE37F4">
        <w:trPr>
          <w:trHeight w:val="250"/>
        </w:trPr>
        <w:tc>
          <w:tcPr>
            <w:tcW w:w="941" w:type="pct"/>
            <w:shd w:val="clear" w:color="auto" w:fill="auto"/>
          </w:tcPr>
          <w:p w14:paraId="4BA9CA70" w14:textId="77777777" w:rsidR="008206CA" w:rsidRPr="00DE37F4" w:rsidRDefault="008206CA" w:rsidP="00DE37F4">
            <w:pPr>
              <w:tabs>
                <w:tab w:val="left" w:pos="1440"/>
              </w:tabs>
              <w:rPr>
                <w:rFonts w:ascii="Arial" w:hAnsi="Arial" w:cs="Arial"/>
                <w:sz w:val="24"/>
                <w:szCs w:val="24"/>
              </w:rPr>
            </w:pPr>
            <w:r w:rsidRPr="00DE37F4">
              <w:rPr>
                <w:rFonts w:ascii="Arial" w:hAnsi="Arial" w:cs="Arial"/>
                <w:sz w:val="24"/>
                <w:szCs w:val="24"/>
                <w:lang w:eastAsia="en-GB"/>
              </w:rPr>
              <w:t xml:space="preserve">Lack of workforce capacity, capability and resilience and relying on staff </w:t>
            </w:r>
            <w:r w:rsidRPr="00DE37F4">
              <w:rPr>
                <w:rFonts w:ascii="Arial" w:hAnsi="Arial" w:cs="Arial"/>
                <w:sz w:val="24"/>
                <w:szCs w:val="24"/>
                <w:lang w:eastAsia="en-GB"/>
              </w:rPr>
              <w:lastRenderedPageBreak/>
              <w:t>goodwill.</w:t>
            </w:r>
          </w:p>
        </w:tc>
        <w:tc>
          <w:tcPr>
            <w:tcW w:w="1252" w:type="pct"/>
            <w:shd w:val="clear" w:color="auto" w:fill="auto"/>
          </w:tcPr>
          <w:p w14:paraId="4BC7FDC8" w14:textId="77777777" w:rsidR="008206CA" w:rsidRPr="00DE37F4" w:rsidRDefault="008206CA" w:rsidP="00DE37F4">
            <w:pPr>
              <w:tabs>
                <w:tab w:val="left" w:pos="1440"/>
              </w:tabs>
              <w:rPr>
                <w:rFonts w:ascii="Arial" w:hAnsi="Arial"/>
                <w:sz w:val="24"/>
                <w:szCs w:val="24"/>
              </w:rPr>
            </w:pPr>
            <w:r w:rsidRPr="00DE37F4">
              <w:rPr>
                <w:rFonts w:ascii="Arial" w:hAnsi="Arial"/>
                <w:sz w:val="24"/>
                <w:szCs w:val="24"/>
              </w:rPr>
              <w:lastRenderedPageBreak/>
              <w:t xml:space="preserve">Development of a Workforce Plan to support high performance and enable a skilled, flexible and engaged </w:t>
            </w:r>
            <w:r w:rsidRPr="00DE37F4">
              <w:rPr>
                <w:rFonts w:ascii="Arial" w:hAnsi="Arial"/>
                <w:sz w:val="24"/>
                <w:szCs w:val="24"/>
              </w:rPr>
              <w:lastRenderedPageBreak/>
              <w:t>workforce as part of the Council's Achieving Better Together Transformation Plan.</w:t>
            </w:r>
          </w:p>
        </w:tc>
        <w:tc>
          <w:tcPr>
            <w:tcW w:w="1533" w:type="pct"/>
            <w:shd w:val="clear" w:color="auto" w:fill="auto"/>
          </w:tcPr>
          <w:p w14:paraId="525FCC5A"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lastRenderedPageBreak/>
              <w:t xml:space="preserve">The Workforce Strategy has been developed following thorough consultation with Members, </w:t>
            </w:r>
            <w:r w:rsidRPr="00DE37F4">
              <w:rPr>
                <w:sz w:val="24"/>
              </w:rPr>
              <w:lastRenderedPageBreak/>
              <w:t>Leadership teams, Trade Unions and employees. This has taken into account corporate and service level plans, council vision and key objectives.</w:t>
            </w:r>
          </w:p>
          <w:p w14:paraId="402F8BB6" w14:textId="77777777" w:rsidR="008206CA" w:rsidRPr="00DE37F4" w:rsidRDefault="008206CA" w:rsidP="00DE37F4">
            <w:pPr>
              <w:pStyle w:val="ListParagraph"/>
              <w:tabs>
                <w:tab w:val="left" w:pos="1440"/>
              </w:tabs>
              <w:spacing w:after="0" w:line="240" w:lineRule="auto"/>
              <w:ind w:left="360"/>
              <w:rPr>
                <w:sz w:val="24"/>
              </w:rPr>
            </w:pPr>
          </w:p>
          <w:p w14:paraId="7B0F97FC"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The Strategy has been developed taking into consideration the requirements of the Well-being of Future Generations Act and the Council's Achieving Better Together Transformation Plan.</w:t>
            </w:r>
          </w:p>
          <w:p w14:paraId="20469AB5" w14:textId="77777777" w:rsidR="008206CA" w:rsidRPr="00DE37F4" w:rsidRDefault="008206CA" w:rsidP="00DE37F4">
            <w:pPr>
              <w:pStyle w:val="ListParagraph"/>
              <w:tabs>
                <w:tab w:val="left" w:pos="1440"/>
              </w:tabs>
              <w:spacing w:after="0" w:line="240" w:lineRule="auto"/>
              <w:ind w:left="360"/>
              <w:rPr>
                <w:sz w:val="24"/>
              </w:rPr>
            </w:pPr>
          </w:p>
          <w:p w14:paraId="4FA9C47B"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 xml:space="preserve">The Workforce Strategy has 4 Key Themes and 9 Key Strands.  Underneath each Strand there are a series of agreed activities with key milestones and success criteria identified.  </w:t>
            </w:r>
          </w:p>
          <w:p w14:paraId="3EE37B66" w14:textId="77777777" w:rsidR="008206CA" w:rsidRPr="00DE37F4" w:rsidRDefault="008206CA" w:rsidP="00DE37F4">
            <w:pPr>
              <w:tabs>
                <w:tab w:val="left" w:pos="1440"/>
              </w:tabs>
              <w:rPr>
                <w:rFonts w:ascii="Arial" w:hAnsi="Arial"/>
                <w:sz w:val="24"/>
                <w:szCs w:val="24"/>
              </w:rPr>
            </w:pPr>
          </w:p>
          <w:p w14:paraId="3801D44B"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The agreed activities will be subject to regular review.  Additional funding has been sourced for 2022/23 to enable progression on key activities.</w:t>
            </w:r>
          </w:p>
          <w:p w14:paraId="393A0BBA" w14:textId="77777777" w:rsidR="008206CA" w:rsidRPr="00DE37F4" w:rsidRDefault="008206CA" w:rsidP="00DE37F4">
            <w:pPr>
              <w:tabs>
                <w:tab w:val="left" w:pos="1440"/>
              </w:tabs>
              <w:rPr>
                <w:rFonts w:ascii="Arial" w:hAnsi="Arial"/>
                <w:sz w:val="24"/>
                <w:szCs w:val="24"/>
              </w:rPr>
            </w:pPr>
          </w:p>
        </w:tc>
        <w:tc>
          <w:tcPr>
            <w:tcW w:w="1274" w:type="pct"/>
            <w:shd w:val="clear" w:color="auto" w:fill="auto"/>
          </w:tcPr>
          <w:p w14:paraId="02E0A72E"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lastRenderedPageBreak/>
              <w:t>Adoption and implementation during 2022/23.</w:t>
            </w:r>
          </w:p>
        </w:tc>
      </w:tr>
      <w:tr w:rsidR="008206CA" w:rsidRPr="001948AC" w14:paraId="32DD00E2" w14:textId="77777777" w:rsidTr="00DE37F4">
        <w:trPr>
          <w:trHeight w:val="250"/>
        </w:trPr>
        <w:tc>
          <w:tcPr>
            <w:tcW w:w="941" w:type="pct"/>
            <w:vMerge w:val="restart"/>
            <w:shd w:val="clear" w:color="auto" w:fill="auto"/>
          </w:tcPr>
          <w:p w14:paraId="107EB978" w14:textId="77777777" w:rsidR="008206CA" w:rsidRPr="00DE37F4" w:rsidRDefault="008206CA" w:rsidP="00DE37F4">
            <w:pPr>
              <w:tabs>
                <w:tab w:val="left" w:pos="1440"/>
              </w:tabs>
              <w:rPr>
                <w:rFonts w:ascii="Arial" w:hAnsi="Arial" w:cs="Arial"/>
                <w:sz w:val="24"/>
                <w:szCs w:val="24"/>
              </w:rPr>
            </w:pPr>
            <w:r w:rsidRPr="00DE37F4">
              <w:rPr>
                <w:rFonts w:ascii="Arial" w:hAnsi="Arial" w:cs="Arial"/>
                <w:sz w:val="24"/>
                <w:szCs w:val="24"/>
                <w:lang w:eastAsia="en-GB"/>
              </w:rPr>
              <w:t>Performance Reviews, i.e. appraisals system / induction training not fit for purpose.</w:t>
            </w:r>
          </w:p>
        </w:tc>
        <w:tc>
          <w:tcPr>
            <w:tcW w:w="1252" w:type="pct"/>
            <w:shd w:val="clear" w:color="auto" w:fill="auto"/>
          </w:tcPr>
          <w:p w14:paraId="689DE604" w14:textId="77777777" w:rsidR="008206CA" w:rsidRPr="00DE37F4" w:rsidRDefault="008206CA" w:rsidP="00DE37F4">
            <w:pPr>
              <w:tabs>
                <w:tab w:val="left" w:pos="1440"/>
              </w:tabs>
              <w:rPr>
                <w:rFonts w:ascii="Arial" w:hAnsi="Arial"/>
                <w:sz w:val="24"/>
                <w:szCs w:val="24"/>
              </w:rPr>
            </w:pPr>
            <w:r w:rsidRPr="00DE37F4">
              <w:rPr>
                <w:rFonts w:ascii="Arial" w:hAnsi="Arial"/>
                <w:sz w:val="24"/>
                <w:szCs w:val="24"/>
              </w:rPr>
              <w:t xml:space="preserve">Recommence appraisals and continue to develop a new appraisal solution to be delivered digitally through the new Oracle Cloud solution in November </w:t>
            </w:r>
            <w:r w:rsidRPr="00DE37F4">
              <w:rPr>
                <w:rFonts w:ascii="Arial" w:hAnsi="Arial"/>
                <w:sz w:val="24"/>
                <w:szCs w:val="24"/>
              </w:rPr>
              <w:lastRenderedPageBreak/>
              <w:t xml:space="preserve">2021. </w:t>
            </w:r>
          </w:p>
          <w:p w14:paraId="0C8E14DA" w14:textId="77777777" w:rsidR="008206CA" w:rsidRPr="00DE37F4" w:rsidRDefault="008206CA" w:rsidP="00DE37F4">
            <w:pPr>
              <w:tabs>
                <w:tab w:val="left" w:pos="1440"/>
              </w:tabs>
              <w:rPr>
                <w:rFonts w:ascii="Arial" w:hAnsi="Arial"/>
                <w:sz w:val="24"/>
                <w:szCs w:val="24"/>
              </w:rPr>
            </w:pPr>
          </w:p>
        </w:tc>
        <w:tc>
          <w:tcPr>
            <w:tcW w:w="1533" w:type="pct"/>
            <w:shd w:val="clear" w:color="auto" w:fill="auto"/>
          </w:tcPr>
          <w:p w14:paraId="41C2AA2A"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lastRenderedPageBreak/>
              <w:t xml:space="preserve">Oracle Cloud implementation now to be delivered by October 2022.  This includes a “Goals and Performance” module that will inform a revised </w:t>
            </w:r>
            <w:r w:rsidRPr="00DE37F4">
              <w:rPr>
                <w:sz w:val="24"/>
              </w:rPr>
              <w:lastRenderedPageBreak/>
              <w:t>performance management approach in the Council, to incorporate the ability of continuous appraisals and/or more regular 121 discussions.</w:t>
            </w:r>
          </w:p>
          <w:p w14:paraId="6406E539" w14:textId="77777777" w:rsidR="008206CA" w:rsidRPr="00DE37F4" w:rsidRDefault="008206CA" w:rsidP="00DE37F4">
            <w:pPr>
              <w:pStyle w:val="ListParagraph"/>
              <w:tabs>
                <w:tab w:val="left" w:pos="1440"/>
              </w:tabs>
              <w:spacing w:after="0" w:line="240" w:lineRule="auto"/>
              <w:ind w:left="360"/>
              <w:rPr>
                <w:sz w:val="24"/>
              </w:rPr>
            </w:pPr>
          </w:p>
          <w:p w14:paraId="77949EFC"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Appraisals have been carried out due to Covid through a streamlined model via 121’s or (where able) a normal appraisal scheme. Appraisals are now being fully reintroduced.</w:t>
            </w:r>
          </w:p>
          <w:p w14:paraId="1BA41D3D" w14:textId="77777777" w:rsidR="008206CA" w:rsidRPr="00DE37F4" w:rsidRDefault="008206CA" w:rsidP="00DE37F4">
            <w:pPr>
              <w:tabs>
                <w:tab w:val="left" w:pos="1440"/>
              </w:tabs>
              <w:rPr>
                <w:rFonts w:ascii="Arial" w:hAnsi="Arial"/>
                <w:sz w:val="24"/>
                <w:szCs w:val="24"/>
              </w:rPr>
            </w:pPr>
          </w:p>
        </w:tc>
        <w:tc>
          <w:tcPr>
            <w:tcW w:w="1274" w:type="pct"/>
            <w:shd w:val="clear" w:color="auto" w:fill="auto"/>
          </w:tcPr>
          <w:p w14:paraId="02027206"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lastRenderedPageBreak/>
              <w:t>Oracle Cloud implementation in 2022/23.</w:t>
            </w:r>
          </w:p>
        </w:tc>
      </w:tr>
      <w:tr w:rsidR="008206CA" w:rsidRPr="001948AC" w14:paraId="28FDDC84" w14:textId="77777777" w:rsidTr="00DE37F4">
        <w:trPr>
          <w:trHeight w:val="250"/>
        </w:trPr>
        <w:tc>
          <w:tcPr>
            <w:tcW w:w="941" w:type="pct"/>
            <w:vMerge/>
            <w:shd w:val="clear" w:color="auto" w:fill="auto"/>
          </w:tcPr>
          <w:p w14:paraId="6377BA7D" w14:textId="77777777" w:rsidR="008206CA" w:rsidRPr="00DE37F4" w:rsidRDefault="008206CA" w:rsidP="00DE37F4">
            <w:pPr>
              <w:tabs>
                <w:tab w:val="left" w:pos="1440"/>
              </w:tabs>
              <w:rPr>
                <w:rFonts w:ascii="Arial" w:hAnsi="Arial" w:cs="Arial"/>
                <w:sz w:val="24"/>
                <w:szCs w:val="24"/>
                <w:lang w:eastAsia="en-GB"/>
              </w:rPr>
            </w:pPr>
          </w:p>
        </w:tc>
        <w:tc>
          <w:tcPr>
            <w:tcW w:w="1252" w:type="pct"/>
            <w:shd w:val="clear" w:color="auto" w:fill="auto"/>
          </w:tcPr>
          <w:p w14:paraId="033A3CD5" w14:textId="77777777" w:rsidR="008206CA" w:rsidRPr="00DE37F4" w:rsidRDefault="008206CA" w:rsidP="00DE37F4">
            <w:pPr>
              <w:tabs>
                <w:tab w:val="left" w:pos="1440"/>
              </w:tabs>
              <w:rPr>
                <w:rFonts w:ascii="Arial" w:hAnsi="Arial"/>
                <w:sz w:val="24"/>
                <w:szCs w:val="24"/>
              </w:rPr>
            </w:pPr>
            <w:r w:rsidRPr="00DE37F4">
              <w:rPr>
                <w:rFonts w:ascii="Arial" w:hAnsi="Arial"/>
                <w:sz w:val="24"/>
                <w:szCs w:val="24"/>
              </w:rPr>
              <w:t>Address Induction training of new staff as part of the review of the induction process and future policy reviews.</w:t>
            </w:r>
          </w:p>
        </w:tc>
        <w:tc>
          <w:tcPr>
            <w:tcW w:w="1533" w:type="pct"/>
            <w:shd w:val="clear" w:color="auto" w:fill="auto"/>
          </w:tcPr>
          <w:p w14:paraId="6C3C6EAC"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Induction training is part of the activities identified in the Workforce Development Strand of the Workforce Strategy and an action plan has been developed within the strategy to ensure delivery.</w:t>
            </w:r>
          </w:p>
          <w:p w14:paraId="656EBEA3" w14:textId="77777777" w:rsidR="008206CA" w:rsidRPr="00DE37F4" w:rsidRDefault="008206CA" w:rsidP="00DE37F4">
            <w:pPr>
              <w:pStyle w:val="ListParagraph"/>
              <w:tabs>
                <w:tab w:val="left" w:pos="1440"/>
              </w:tabs>
              <w:spacing w:after="0" w:line="240" w:lineRule="auto"/>
              <w:ind w:left="360"/>
              <w:rPr>
                <w:sz w:val="24"/>
              </w:rPr>
            </w:pPr>
          </w:p>
        </w:tc>
        <w:tc>
          <w:tcPr>
            <w:tcW w:w="1274" w:type="pct"/>
            <w:shd w:val="clear" w:color="auto" w:fill="auto"/>
          </w:tcPr>
          <w:p w14:paraId="6494513F"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Implementation in 2022/23.</w:t>
            </w:r>
          </w:p>
        </w:tc>
      </w:tr>
      <w:tr w:rsidR="008206CA" w:rsidRPr="001948AC" w14:paraId="6876FF22" w14:textId="77777777" w:rsidTr="00DE37F4">
        <w:trPr>
          <w:trHeight w:val="250"/>
        </w:trPr>
        <w:tc>
          <w:tcPr>
            <w:tcW w:w="941" w:type="pct"/>
            <w:shd w:val="clear" w:color="auto" w:fill="auto"/>
          </w:tcPr>
          <w:p w14:paraId="2E018CBF" w14:textId="77777777" w:rsidR="008206CA" w:rsidRPr="00DE37F4" w:rsidRDefault="008206CA" w:rsidP="00DE37F4">
            <w:pPr>
              <w:tabs>
                <w:tab w:val="left" w:pos="1440"/>
              </w:tabs>
              <w:rPr>
                <w:rFonts w:ascii="Arial" w:hAnsi="Arial" w:cs="Arial"/>
                <w:sz w:val="24"/>
                <w:szCs w:val="24"/>
              </w:rPr>
            </w:pPr>
            <w:r w:rsidRPr="00DE37F4">
              <w:rPr>
                <w:rFonts w:ascii="Arial" w:hAnsi="Arial" w:cs="Arial"/>
                <w:sz w:val="24"/>
                <w:szCs w:val="24"/>
                <w:lang w:eastAsia="en-GB"/>
              </w:rPr>
              <w:t>Embed the Future Generation Act principles into the Council’s processes and decision making.</w:t>
            </w:r>
          </w:p>
        </w:tc>
        <w:tc>
          <w:tcPr>
            <w:tcW w:w="1252" w:type="pct"/>
            <w:shd w:val="clear" w:color="auto" w:fill="auto"/>
          </w:tcPr>
          <w:p w14:paraId="0C81383B" w14:textId="77777777" w:rsidR="008206CA" w:rsidRPr="00DE37F4" w:rsidRDefault="008206CA" w:rsidP="00DE37F4">
            <w:pPr>
              <w:tabs>
                <w:tab w:val="left" w:pos="1440"/>
              </w:tabs>
              <w:rPr>
                <w:rFonts w:ascii="Arial" w:hAnsi="Arial"/>
                <w:sz w:val="24"/>
                <w:szCs w:val="24"/>
              </w:rPr>
            </w:pPr>
            <w:r w:rsidRPr="00DE37F4">
              <w:rPr>
                <w:rFonts w:ascii="Arial" w:hAnsi="Arial"/>
                <w:sz w:val="24"/>
                <w:szCs w:val="24"/>
              </w:rPr>
              <w:t>Provision of training/information on the requirements of the Future Generations Act.</w:t>
            </w:r>
          </w:p>
        </w:tc>
        <w:tc>
          <w:tcPr>
            <w:tcW w:w="1533" w:type="pct"/>
            <w:shd w:val="clear" w:color="auto" w:fill="auto"/>
          </w:tcPr>
          <w:p w14:paraId="5456F5CA"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 xml:space="preserve">An Integrated Impact Assessment (IIA) has been developed and rolled-out to take account of the Well-being of Future Generations Act, as well as the Equalities Act, Socio-economic Duty and </w:t>
            </w:r>
            <w:r w:rsidRPr="00DE37F4">
              <w:rPr>
                <w:bCs/>
                <w:sz w:val="24"/>
              </w:rPr>
              <w:t>Welsh Language (Wales) Measure</w:t>
            </w:r>
            <w:r w:rsidRPr="00DE37F4">
              <w:rPr>
                <w:sz w:val="24"/>
              </w:rPr>
              <w:t xml:space="preserve">, in decision-making. </w:t>
            </w:r>
          </w:p>
          <w:p w14:paraId="272035BA" w14:textId="77777777" w:rsidR="008206CA" w:rsidRPr="00DE37F4" w:rsidRDefault="008206CA" w:rsidP="00DE37F4">
            <w:pPr>
              <w:pStyle w:val="ListParagraph"/>
              <w:tabs>
                <w:tab w:val="left" w:pos="1440"/>
              </w:tabs>
              <w:spacing w:after="0" w:line="240" w:lineRule="auto"/>
              <w:ind w:left="360"/>
              <w:rPr>
                <w:sz w:val="24"/>
              </w:rPr>
            </w:pPr>
          </w:p>
          <w:p w14:paraId="19B9F744"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 xml:space="preserve">Training of decision </w:t>
            </w:r>
            <w:r w:rsidRPr="00DE37F4">
              <w:rPr>
                <w:sz w:val="24"/>
              </w:rPr>
              <w:lastRenderedPageBreak/>
              <w:t>makers including CMT, Leadership Team and Members has taken place on the socio-economic duty.  The training programme for elected members after May has been updated to reflect the training requirements, along with the various committee who have been directly affected by the LG&amp;E Act such as Governance &amp; Audit Committee. Training on the Well-being of Future Generations Act is incorporated in the action plan to deliver the Workforce Strategy.</w:t>
            </w:r>
          </w:p>
          <w:p w14:paraId="0E4FA540" w14:textId="77777777" w:rsidR="008206CA" w:rsidRPr="00DE37F4" w:rsidRDefault="008206CA" w:rsidP="00DE37F4">
            <w:pPr>
              <w:pStyle w:val="ListParagraph"/>
              <w:tabs>
                <w:tab w:val="left" w:pos="1440"/>
              </w:tabs>
              <w:spacing w:after="0" w:line="240" w:lineRule="auto"/>
              <w:ind w:left="360"/>
              <w:rPr>
                <w:sz w:val="24"/>
              </w:rPr>
            </w:pPr>
          </w:p>
        </w:tc>
        <w:tc>
          <w:tcPr>
            <w:tcW w:w="1274" w:type="pct"/>
            <w:shd w:val="clear" w:color="auto" w:fill="auto"/>
          </w:tcPr>
          <w:p w14:paraId="20834EE9"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lastRenderedPageBreak/>
              <w:t>Arrangements in place.</w:t>
            </w:r>
          </w:p>
        </w:tc>
      </w:tr>
      <w:tr w:rsidR="008206CA" w:rsidRPr="001948AC" w14:paraId="1BF36834" w14:textId="77777777" w:rsidTr="00DE37F4">
        <w:trPr>
          <w:trHeight w:val="250"/>
        </w:trPr>
        <w:tc>
          <w:tcPr>
            <w:tcW w:w="941" w:type="pct"/>
            <w:shd w:val="clear" w:color="auto" w:fill="auto"/>
          </w:tcPr>
          <w:p w14:paraId="3826A7EC" w14:textId="77777777" w:rsidR="008206CA" w:rsidRPr="00DE37F4" w:rsidRDefault="008206CA" w:rsidP="00DE37F4">
            <w:pPr>
              <w:tabs>
                <w:tab w:val="left" w:pos="1440"/>
              </w:tabs>
              <w:rPr>
                <w:rFonts w:ascii="Arial" w:hAnsi="Arial" w:cs="Arial"/>
                <w:sz w:val="24"/>
                <w:szCs w:val="24"/>
              </w:rPr>
            </w:pPr>
            <w:r w:rsidRPr="00DE37F4">
              <w:rPr>
                <w:rFonts w:ascii="Arial" w:hAnsi="Arial" w:cs="Arial"/>
                <w:sz w:val="24"/>
                <w:szCs w:val="24"/>
                <w:lang w:eastAsia="en-GB"/>
              </w:rPr>
              <w:t>Patchy Partnership Governance, including application of risk management.</w:t>
            </w:r>
          </w:p>
        </w:tc>
        <w:tc>
          <w:tcPr>
            <w:tcW w:w="1252" w:type="pct"/>
            <w:shd w:val="clear" w:color="auto" w:fill="auto"/>
          </w:tcPr>
          <w:p w14:paraId="3E04EA24" w14:textId="77777777" w:rsidR="008206CA" w:rsidRPr="00DE37F4" w:rsidRDefault="008206CA" w:rsidP="00DE37F4">
            <w:pPr>
              <w:tabs>
                <w:tab w:val="left" w:pos="1440"/>
              </w:tabs>
              <w:rPr>
                <w:rFonts w:ascii="Arial" w:hAnsi="Arial"/>
                <w:sz w:val="24"/>
                <w:szCs w:val="24"/>
              </w:rPr>
            </w:pPr>
            <w:r w:rsidRPr="00DE37F4">
              <w:rPr>
                <w:rFonts w:ascii="Arial" w:hAnsi="Arial"/>
                <w:sz w:val="24"/>
                <w:szCs w:val="24"/>
              </w:rPr>
              <w:t>Develop a plan to establish CJCs resulting from the Local Government and Elections (Wales) Act.</w:t>
            </w:r>
          </w:p>
        </w:tc>
        <w:tc>
          <w:tcPr>
            <w:tcW w:w="1533" w:type="pct"/>
            <w:shd w:val="clear" w:color="auto" w:fill="auto"/>
          </w:tcPr>
          <w:p w14:paraId="5D974603"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CJC’s have been established as a result of the LG&amp;E Act. A major review has been undertaken of the regional school improvement delivery model through ERW and the new partnership model and footprint from September 2021 should continue to enhance transparency of funding and decision-making.</w:t>
            </w:r>
          </w:p>
          <w:p w14:paraId="0F65C041" w14:textId="77777777" w:rsidR="008206CA" w:rsidRPr="00DE37F4" w:rsidRDefault="008206CA" w:rsidP="00DE37F4">
            <w:pPr>
              <w:pStyle w:val="ListParagraph"/>
              <w:tabs>
                <w:tab w:val="left" w:pos="1440"/>
              </w:tabs>
              <w:spacing w:after="0" w:line="240" w:lineRule="auto"/>
              <w:ind w:left="360"/>
              <w:rPr>
                <w:sz w:val="24"/>
              </w:rPr>
            </w:pPr>
          </w:p>
          <w:p w14:paraId="4D8D24F3"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 xml:space="preserve">A partnership review document was presented to Governance &amp; Audit Committee showing </w:t>
            </w:r>
            <w:r w:rsidRPr="00DE37F4">
              <w:rPr>
                <w:sz w:val="24"/>
              </w:rPr>
              <w:lastRenderedPageBreak/>
              <w:t xml:space="preserve">the governance of the key strategic partnerships and gave assurance of the management of risk.   </w:t>
            </w:r>
          </w:p>
          <w:p w14:paraId="3ACF65FB" w14:textId="77777777" w:rsidR="008206CA" w:rsidRPr="00DE37F4" w:rsidRDefault="008206CA" w:rsidP="00DE37F4">
            <w:pPr>
              <w:tabs>
                <w:tab w:val="left" w:pos="1440"/>
              </w:tabs>
              <w:rPr>
                <w:rFonts w:ascii="Arial" w:hAnsi="Arial"/>
                <w:sz w:val="24"/>
                <w:szCs w:val="24"/>
              </w:rPr>
            </w:pPr>
          </w:p>
        </w:tc>
        <w:tc>
          <w:tcPr>
            <w:tcW w:w="1274" w:type="pct"/>
            <w:shd w:val="clear" w:color="auto" w:fill="auto"/>
          </w:tcPr>
          <w:p w14:paraId="418810A5"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lastRenderedPageBreak/>
              <w:t>Arrangements in place.</w:t>
            </w:r>
          </w:p>
        </w:tc>
      </w:tr>
      <w:tr w:rsidR="008206CA" w:rsidRPr="001948AC" w14:paraId="00E5E9E5" w14:textId="77777777" w:rsidTr="00DE37F4">
        <w:trPr>
          <w:trHeight w:val="250"/>
        </w:trPr>
        <w:tc>
          <w:tcPr>
            <w:tcW w:w="941" w:type="pct"/>
            <w:shd w:val="clear" w:color="auto" w:fill="auto"/>
          </w:tcPr>
          <w:p w14:paraId="63F159B2" w14:textId="77777777" w:rsidR="008206CA" w:rsidRPr="00DE37F4" w:rsidRDefault="008206CA" w:rsidP="00DE37F4">
            <w:pPr>
              <w:tabs>
                <w:tab w:val="left" w:pos="1440"/>
              </w:tabs>
              <w:rPr>
                <w:rFonts w:ascii="Arial" w:hAnsi="Arial" w:cs="Arial"/>
                <w:sz w:val="24"/>
                <w:szCs w:val="24"/>
              </w:rPr>
            </w:pPr>
            <w:r w:rsidRPr="00DE37F4">
              <w:rPr>
                <w:rFonts w:ascii="Arial" w:hAnsi="Arial" w:cs="Arial"/>
                <w:sz w:val="24"/>
                <w:szCs w:val="24"/>
                <w:lang w:eastAsia="en-GB"/>
              </w:rPr>
              <w:t>ICT Disaster recovery.</w:t>
            </w:r>
          </w:p>
        </w:tc>
        <w:tc>
          <w:tcPr>
            <w:tcW w:w="1252" w:type="pct"/>
            <w:shd w:val="clear" w:color="auto" w:fill="auto"/>
          </w:tcPr>
          <w:p w14:paraId="3D0AF474" w14:textId="77777777" w:rsidR="008206CA" w:rsidRPr="00DE37F4" w:rsidRDefault="008206CA" w:rsidP="00DE37F4">
            <w:pPr>
              <w:tabs>
                <w:tab w:val="left" w:pos="1440"/>
              </w:tabs>
              <w:rPr>
                <w:rFonts w:ascii="Arial" w:hAnsi="Arial"/>
                <w:sz w:val="24"/>
                <w:szCs w:val="24"/>
              </w:rPr>
            </w:pPr>
            <w:r w:rsidRPr="00DE37F4">
              <w:rPr>
                <w:rFonts w:ascii="Arial" w:hAnsi="Arial"/>
                <w:sz w:val="24"/>
                <w:szCs w:val="24"/>
              </w:rPr>
              <w:t>Resolve through the move to cloud services, particularly Oracle Cloud in November 2021.</w:t>
            </w:r>
          </w:p>
        </w:tc>
        <w:tc>
          <w:tcPr>
            <w:tcW w:w="1533" w:type="pct"/>
            <w:shd w:val="clear" w:color="auto" w:fill="auto"/>
          </w:tcPr>
          <w:p w14:paraId="6850EA78"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Plans to improve DR, all of which are underway, include:</w:t>
            </w:r>
          </w:p>
          <w:p w14:paraId="033FDFC1" w14:textId="77777777" w:rsidR="008206CA" w:rsidRPr="00DE37F4" w:rsidRDefault="008206CA" w:rsidP="00DE37F4">
            <w:pPr>
              <w:pStyle w:val="ListParagraph"/>
              <w:numPr>
                <w:ilvl w:val="1"/>
                <w:numId w:val="116"/>
              </w:numPr>
              <w:tabs>
                <w:tab w:val="left" w:pos="1440"/>
              </w:tabs>
              <w:spacing w:before="0" w:after="0" w:line="240" w:lineRule="auto"/>
              <w:ind w:left="894" w:hanging="284"/>
              <w:rPr>
                <w:sz w:val="24"/>
              </w:rPr>
            </w:pPr>
            <w:r w:rsidRPr="00DE37F4">
              <w:rPr>
                <w:sz w:val="24"/>
              </w:rPr>
              <w:t>The move to Cloud;</w:t>
            </w:r>
          </w:p>
          <w:p w14:paraId="4477A0A4" w14:textId="77777777" w:rsidR="008206CA" w:rsidRPr="00DE37F4" w:rsidRDefault="008206CA" w:rsidP="00DE37F4">
            <w:pPr>
              <w:pStyle w:val="ListParagraph"/>
              <w:numPr>
                <w:ilvl w:val="1"/>
                <w:numId w:val="116"/>
              </w:numPr>
              <w:tabs>
                <w:tab w:val="left" w:pos="1440"/>
              </w:tabs>
              <w:spacing w:before="0" w:after="0" w:line="240" w:lineRule="auto"/>
              <w:ind w:left="894" w:hanging="284"/>
              <w:rPr>
                <w:sz w:val="24"/>
              </w:rPr>
            </w:pPr>
            <w:r w:rsidRPr="00DE37F4">
              <w:rPr>
                <w:sz w:val="24"/>
              </w:rPr>
              <w:t>the new data centre infrastructure, which will have multiple lines and access to a generator if needed;</w:t>
            </w:r>
          </w:p>
          <w:p w14:paraId="3C5A8FE5" w14:textId="77777777" w:rsidR="008206CA" w:rsidRPr="00DE37F4" w:rsidRDefault="008206CA" w:rsidP="00DE37F4">
            <w:pPr>
              <w:pStyle w:val="ListParagraph"/>
              <w:numPr>
                <w:ilvl w:val="1"/>
                <w:numId w:val="116"/>
              </w:numPr>
              <w:tabs>
                <w:tab w:val="left" w:pos="1440"/>
              </w:tabs>
              <w:spacing w:before="0" w:after="0" w:line="240" w:lineRule="auto"/>
              <w:ind w:left="894" w:hanging="284"/>
              <w:rPr>
                <w:sz w:val="24"/>
              </w:rPr>
            </w:pPr>
            <w:r w:rsidRPr="00DE37F4">
              <w:rPr>
                <w:sz w:val="24"/>
              </w:rPr>
              <w:t>Phase 2 of the data centre move will also include a secondary fall-over site.</w:t>
            </w:r>
          </w:p>
          <w:p w14:paraId="794F0646" w14:textId="77777777" w:rsidR="008206CA" w:rsidRPr="00DE37F4" w:rsidRDefault="008206CA" w:rsidP="00DE37F4">
            <w:pPr>
              <w:pStyle w:val="ListParagraph"/>
              <w:tabs>
                <w:tab w:val="left" w:pos="1440"/>
              </w:tabs>
              <w:spacing w:after="0" w:line="240" w:lineRule="auto"/>
              <w:ind w:left="360"/>
              <w:rPr>
                <w:sz w:val="24"/>
              </w:rPr>
            </w:pPr>
          </w:p>
        </w:tc>
        <w:tc>
          <w:tcPr>
            <w:tcW w:w="1274" w:type="pct"/>
            <w:shd w:val="clear" w:color="auto" w:fill="auto"/>
          </w:tcPr>
          <w:p w14:paraId="67B0B393"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Oracle Cloud implementation in 2022/23.</w:t>
            </w:r>
          </w:p>
        </w:tc>
      </w:tr>
      <w:tr w:rsidR="008206CA" w:rsidRPr="001948AC" w14:paraId="30FF85BD" w14:textId="77777777" w:rsidTr="00DE37F4">
        <w:trPr>
          <w:trHeight w:val="250"/>
        </w:trPr>
        <w:tc>
          <w:tcPr>
            <w:tcW w:w="941" w:type="pct"/>
            <w:shd w:val="clear" w:color="auto" w:fill="auto"/>
          </w:tcPr>
          <w:p w14:paraId="0F4AA15A" w14:textId="77777777" w:rsidR="008206CA" w:rsidRPr="00DE37F4" w:rsidRDefault="008206CA" w:rsidP="00DE37F4">
            <w:pPr>
              <w:tabs>
                <w:tab w:val="left" w:pos="1440"/>
              </w:tabs>
              <w:rPr>
                <w:rFonts w:ascii="Arial" w:hAnsi="Arial" w:cs="Arial"/>
                <w:sz w:val="24"/>
                <w:szCs w:val="24"/>
                <w:lang w:eastAsia="en-GB"/>
              </w:rPr>
            </w:pPr>
            <w:r w:rsidRPr="00DE37F4">
              <w:rPr>
                <w:rFonts w:ascii="Arial" w:hAnsi="Arial" w:cs="Arial"/>
                <w:sz w:val="24"/>
                <w:szCs w:val="24"/>
                <w:lang w:eastAsia="en-GB"/>
              </w:rPr>
              <w:t>Continue to improve risk management arrangements</w:t>
            </w:r>
          </w:p>
        </w:tc>
        <w:tc>
          <w:tcPr>
            <w:tcW w:w="1252" w:type="pct"/>
            <w:shd w:val="clear" w:color="auto" w:fill="auto"/>
          </w:tcPr>
          <w:p w14:paraId="3D1CC526" w14:textId="77777777" w:rsidR="008206CA" w:rsidRPr="00DE37F4" w:rsidRDefault="008206CA" w:rsidP="00DE37F4">
            <w:pPr>
              <w:tabs>
                <w:tab w:val="left" w:pos="1440"/>
              </w:tabs>
              <w:rPr>
                <w:rFonts w:ascii="Arial" w:hAnsi="Arial"/>
                <w:sz w:val="24"/>
                <w:szCs w:val="24"/>
              </w:rPr>
            </w:pPr>
            <w:r w:rsidRPr="00DE37F4">
              <w:rPr>
                <w:rFonts w:ascii="Arial" w:hAnsi="Arial"/>
                <w:sz w:val="24"/>
                <w:szCs w:val="24"/>
              </w:rPr>
              <w:t>Work with responsible officers to improve the quality of risk controls.</w:t>
            </w:r>
          </w:p>
        </w:tc>
        <w:tc>
          <w:tcPr>
            <w:tcW w:w="1533" w:type="pct"/>
            <w:shd w:val="clear" w:color="auto" w:fill="auto"/>
          </w:tcPr>
          <w:p w14:paraId="13C424C7"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 xml:space="preserve">Training specifically on improving Risk Control Measures took place at Leadership Team on 25 May 2021. </w:t>
            </w:r>
          </w:p>
          <w:p w14:paraId="66C3998B" w14:textId="77777777" w:rsidR="008206CA" w:rsidRPr="00DE37F4" w:rsidRDefault="008206CA" w:rsidP="00DE37F4">
            <w:pPr>
              <w:pStyle w:val="ListParagraph"/>
              <w:tabs>
                <w:tab w:val="left" w:pos="1440"/>
              </w:tabs>
              <w:spacing w:after="0" w:line="240" w:lineRule="auto"/>
              <w:ind w:left="360"/>
              <w:rPr>
                <w:sz w:val="24"/>
              </w:rPr>
            </w:pPr>
          </w:p>
          <w:p w14:paraId="78E64CA0"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 xml:space="preserve">A video based on the workshop was uploaded, which is now directly accessible through the risk register along with all other videos provided on risk management and on using the risk register. </w:t>
            </w:r>
          </w:p>
          <w:p w14:paraId="36167BE1" w14:textId="77777777" w:rsidR="008206CA" w:rsidRPr="00DE37F4" w:rsidRDefault="008206CA" w:rsidP="00DE37F4">
            <w:pPr>
              <w:pStyle w:val="ListParagraph"/>
              <w:rPr>
                <w:sz w:val="24"/>
              </w:rPr>
            </w:pPr>
          </w:p>
          <w:p w14:paraId="179B33FE"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 xml:space="preserve">Responsible officers were signposted to the video and reminders to review and revise control </w:t>
            </w:r>
            <w:r w:rsidRPr="00DE37F4">
              <w:rPr>
                <w:sz w:val="24"/>
              </w:rPr>
              <w:lastRenderedPageBreak/>
              <w:t>measures in line with the training and video have also been issued each month since the workshop took place.</w:t>
            </w:r>
          </w:p>
          <w:p w14:paraId="3826552A" w14:textId="77777777" w:rsidR="008206CA" w:rsidRPr="00DE37F4" w:rsidRDefault="008206CA" w:rsidP="00DE37F4">
            <w:pPr>
              <w:pStyle w:val="ListParagraph"/>
              <w:rPr>
                <w:sz w:val="24"/>
              </w:rPr>
            </w:pPr>
          </w:p>
          <w:p w14:paraId="319E0772"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Control Measures and changes to Control Measures in the Corporate Risks were reviewed and feedback / advice on improving them was provided to responsible officers in Feb 2022.</w:t>
            </w:r>
          </w:p>
          <w:p w14:paraId="16907C6E" w14:textId="77777777" w:rsidR="008206CA" w:rsidRPr="00DE37F4" w:rsidRDefault="008206CA" w:rsidP="00DE37F4">
            <w:pPr>
              <w:tabs>
                <w:tab w:val="left" w:pos="1440"/>
              </w:tabs>
              <w:rPr>
                <w:rFonts w:ascii="Arial" w:hAnsi="Arial"/>
                <w:sz w:val="24"/>
                <w:szCs w:val="24"/>
              </w:rPr>
            </w:pPr>
          </w:p>
        </w:tc>
        <w:tc>
          <w:tcPr>
            <w:tcW w:w="1274" w:type="pct"/>
            <w:shd w:val="clear" w:color="auto" w:fill="auto"/>
          </w:tcPr>
          <w:p w14:paraId="40023D89"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lastRenderedPageBreak/>
              <w:t>Arrangements in place.</w:t>
            </w:r>
          </w:p>
        </w:tc>
      </w:tr>
    </w:tbl>
    <w:p w14:paraId="55BA7CC0" w14:textId="77777777" w:rsidR="008206CA" w:rsidRDefault="008206CA" w:rsidP="008206CA">
      <w:pPr>
        <w:tabs>
          <w:tab w:val="left" w:pos="1440"/>
        </w:tabs>
        <w:rPr>
          <w:rFonts w:ascii="Arial" w:hAnsi="Arial"/>
          <w:sz w:val="24"/>
          <w:szCs w:val="24"/>
        </w:rPr>
      </w:pPr>
    </w:p>
    <w:p w14:paraId="6E50AA76" w14:textId="77777777" w:rsidR="008206CA" w:rsidRPr="00443061" w:rsidRDefault="008206CA" w:rsidP="00E9344C">
      <w:pPr>
        <w:tabs>
          <w:tab w:val="left" w:pos="1440"/>
        </w:tabs>
        <w:ind w:left="-142"/>
        <w:jc w:val="both"/>
        <w:rPr>
          <w:rFonts w:ascii="Arial" w:hAnsi="Arial"/>
          <w:b/>
          <w:sz w:val="24"/>
          <w:szCs w:val="24"/>
        </w:rPr>
      </w:pPr>
      <w:r>
        <w:rPr>
          <w:rFonts w:ascii="Arial" w:hAnsi="Arial"/>
          <w:sz w:val="24"/>
          <w:szCs w:val="24"/>
        </w:rPr>
        <w:t xml:space="preserve">The following table identifies issues which have been identified during the review of effectiveness, and also highlights any other significant governance issues that need to be considered, together with the proposed actions to be taken during </w:t>
      </w:r>
      <w:r w:rsidRPr="005109B7">
        <w:rPr>
          <w:rFonts w:ascii="Arial" w:hAnsi="Arial"/>
          <w:b/>
          <w:sz w:val="24"/>
          <w:szCs w:val="24"/>
        </w:rPr>
        <w:t>20</w:t>
      </w:r>
      <w:r>
        <w:rPr>
          <w:rFonts w:ascii="Arial" w:hAnsi="Arial"/>
          <w:b/>
          <w:sz w:val="24"/>
          <w:szCs w:val="24"/>
        </w:rPr>
        <w:t>22</w:t>
      </w:r>
      <w:r w:rsidRPr="005109B7">
        <w:rPr>
          <w:rFonts w:ascii="Arial" w:hAnsi="Arial"/>
          <w:b/>
          <w:sz w:val="24"/>
          <w:szCs w:val="24"/>
        </w:rPr>
        <w:t>/2</w:t>
      </w:r>
      <w:r>
        <w:rPr>
          <w:rFonts w:ascii="Arial" w:hAnsi="Arial"/>
          <w:b/>
          <w:sz w:val="24"/>
          <w:szCs w:val="24"/>
        </w:rPr>
        <w:t>3</w:t>
      </w:r>
      <w:r>
        <w:rPr>
          <w:rFonts w:ascii="Arial" w:hAnsi="Arial"/>
          <w:sz w:val="24"/>
          <w:szCs w:val="24"/>
        </w:rPr>
        <w:t xml:space="preserve"> to address the issues. </w:t>
      </w:r>
      <w:r w:rsidRPr="00443061">
        <w:rPr>
          <w:rFonts w:ascii="Arial" w:hAnsi="Arial"/>
          <w:b/>
          <w:sz w:val="24"/>
          <w:szCs w:val="24"/>
        </w:rPr>
        <w:t xml:space="preserve">At the time of writing the </w:t>
      </w:r>
      <w:r>
        <w:rPr>
          <w:rFonts w:ascii="Arial" w:hAnsi="Arial"/>
          <w:b/>
          <w:sz w:val="24"/>
          <w:szCs w:val="24"/>
        </w:rPr>
        <w:t>COVID-19</w:t>
      </w:r>
      <w:r w:rsidRPr="00443061">
        <w:rPr>
          <w:rFonts w:ascii="Arial" w:hAnsi="Arial"/>
          <w:b/>
          <w:sz w:val="24"/>
          <w:szCs w:val="24"/>
        </w:rPr>
        <w:t xml:space="preserve"> </w:t>
      </w:r>
      <w:r>
        <w:rPr>
          <w:rFonts w:ascii="Arial" w:hAnsi="Arial"/>
          <w:b/>
          <w:sz w:val="24"/>
          <w:szCs w:val="24"/>
        </w:rPr>
        <w:t xml:space="preserve">is in remission but there remains an ongoing risk for the foreseeable future that </w:t>
      </w:r>
      <w:r w:rsidRPr="00443061">
        <w:rPr>
          <w:rFonts w:ascii="Arial" w:hAnsi="Arial"/>
          <w:b/>
          <w:sz w:val="24"/>
          <w:szCs w:val="24"/>
        </w:rPr>
        <w:t xml:space="preserve">the timescales and actions </w:t>
      </w:r>
      <w:r>
        <w:rPr>
          <w:rFonts w:ascii="Arial" w:hAnsi="Arial"/>
          <w:b/>
          <w:sz w:val="24"/>
          <w:szCs w:val="24"/>
        </w:rPr>
        <w:t xml:space="preserve">in the table below could </w:t>
      </w:r>
      <w:r w:rsidRPr="00443061">
        <w:rPr>
          <w:rFonts w:ascii="Arial" w:hAnsi="Arial"/>
          <w:b/>
          <w:sz w:val="24"/>
          <w:szCs w:val="24"/>
        </w:rPr>
        <w:t xml:space="preserve">be impacted depending on the </w:t>
      </w:r>
      <w:r>
        <w:rPr>
          <w:rFonts w:ascii="Arial" w:hAnsi="Arial"/>
          <w:b/>
          <w:sz w:val="24"/>
          <w:szCs w:val="24"/>
        </w:rPr>
        <w:t xml:space="preserve">future </w:t>
      </w:r>
      <w:r w:rsidRPr="00443061">
        <w:rPr>
          <w:rFonts w:ascii="Arial" w:hAnsi="Arial"/>
          <w:b/>
          <w:sz w:val="24"/>
          <w:szCs w:val="24"/>
        </w:rPr>
        <w:t>seve</w:t>
      </w:r>
      <w:r>
        <w:rPr>
          <w:rFonts w:ascii="Arial" w:hAnsi="Arial"/>
          <w:b/>
          <w:sz w:val="24"/>
          <w:szCs w:val="24"/>
        </w:rPr>
        <w:t>rity and longevity of the pandemic.</w:t>
      </w:r>
    </w:p>
    <w:p w14:paraId="27A87378" w14:textId="77777777" w:rsidR="008206CA" w:rsidRDefault="008206CA" w:rsidP="00E9344C">
      <w:pPr>
        <w:tabs>
          <w:tab w:val="left" w:pos="1440"/>
        </w:tabs>
        <w:ind w:left="-142"/>
        <w:jc w:val="both"/>
        <w:rPr>
          <w:rFonts w:ascii="Arial" w:hAnsi="Arial"/>
          <w:sz w:val="24"/>
          <w:szCs w:val="24"/>
        </w:rPr>
      </w:pPr>
    </w:p>
    <w:p w14:paraId="04628D27" w14:textId="77777777" w:rsidR="008206CA" w:rsidRDefault="008206CA" w:rsidP="008206CA">
      <w:pPr>
        <w:tabs>
          <w:tab w:val="left" w:pos="1440"/>
        </w:tabs>
        <w:ind w:left="-142"/>
        <w:rPr>
          <w:rFonts w:ascii="Arial" w:hAnsi="Arial"/>
          <w:sz w:val="24"/>
          <w:szCs w:val="24"/>
        </w:rPr>
      </w:pPr>
    </w:p>
    <w:p w14:paraId="53CDBA61" w14:textId="77777777" w:rsidR="008206CA" w:rsidRDefault="008206CA" w:rsidP="008206CA">
      <w:pPr>
        <w:tabs>
          <w:tab w:val="left" w:pos="1440"/>
        </w:tabs>
        <w:ind w:left="-142"/>
        <w:rPr>
          <w:rFonts w:ascii="Arial" w:hAnsi="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5252"/>
      </w:tblGrid>
      <w:tr w:rsidR="008206CA" w:rsidRPr="001948AC" w14:paraId="46FB0F0B" w14:textId="77777777" w:rsidTr="00DE37F4">
        <w:trPr>
          <w:trHeight w:val="250"/>
        </w:trPr>
        <w:tc>
          <w:tcPr>
            <w:tcW w:w="2429" w:type="pct"/>
            <w:shd w:val="clear" w:color="auto" w:fill="auto"/>
          </w:tcPr>
          <w:p w14:paraId="1673F155" w14:textId="77777777" w:rsidR="008206CA" w:rsidRPr="00DE37F4" w:rsidRDefault="008206CA" w:rsidP="00DE37F4">
            <w:pPr>
              <w:tabs>
                <w:tab w:val="left" w:pos="1440"/>
              </w:tabs>
              <w:rPr>
                <w:rFonts w:ascii="Arial" w:hAnsi="Arial"/>
                <w:b/>
                <w:sz w:val="24"/>
                <w:szCs w:val="24"/>
              </w:rPr>
            </w:pPr>
            <w:r w:rsidRPr="00DE37F4">
              <w:rPr>
                <w:rFonts w:ascii="Arial" w:hAnsi="Arial"/>
                <w:b/>
                <w:sz w:val="24"/>
                <w:szCs w:val="24"/>
              </w:rPr>
              <w:t>Significant Governance Issue linked to Framework</w:t>
            </w:r>
          </w:p>
        </w:tc>
        <w:tc>
          <w:tcPr>
            <w:tcW w:w="2571" w:type="pct"/>
            <w:shd w:val="clear" w:color="auto" w:fill="auto"/>
          </w:tcPr>
          <w:p w14:paraId="78FE1867" w14:textId="77777777" w:rsidR="008206CA" w:rsidRPr="00DE37F4" w:rsidRDefault="008206CA" w:rsidP="00DE37F4">
            <w:pPr>
              <w:tabs>
                <w:tab w:val="left" w:pos="1440"/>
              </w:tabs>
              <w:ind w:left="720"/>
              <w:rPr>
                <w:rFonts w:ascii="Arial" w:hAnsi="Arial"/>
                <w:b/>
                <w:sz w:val="24"/>
                <w:szCs w:val="24"/>
              </w:rPr>
            </w:pPr>
            <w:r w:rsidRPr="00DE37F4">
              <w:rPr>
                <w:rFonts w:ascii="Arial" w:hAnsi="Arial"/>
                <w:b/>
                <w:sz w:val="24"/>
                <w:szCs w:val="24"/>
              </w:rPr>
              <w:t>Action to be taken</w:t>
            </w:r>
          </w:p>
        </w:tc>
      </w:tr>
      <w:tr w:rsidR="008206CA" w:rsidRPr="001948AC" w14:paraId="4095E117" w14:textId="77777777" w:rsidTr="00DE37F4">
        <w:trPr>
          <w:trHeight w:val="250"/>
        </w:trPr>
        <w:tc>
          <w:tcPr>
            <w:tcW w:w="2429" w:type="pct"/>
            <w:shd w:val="clear" w:color="auto" w:fill="auto"/>
          </w:tcPr>
          <w:p w14:paraId="287CFAEE" w14:textId="77777777" w:rsidR="008206CA" w:rsidRPr="00DE37F4" w:rsidRDefault="008206CA" w:rsidP="00DE37F4">
            <w:pPr>
              <w:tabs>
                <w:tab w:val="left" w:pos="1440"/>
              </w:tabs>
              <w:rPr>
                <w:rFonts w:ascii="Arial" w:hAnsi="Arial" w:cs="Arial"/>
                <w:sz w:val="24"/>
                <w:szCs w:val="24"/>
              </w:rPr>
            </w:pPr>
            <w:r w:rsidRPr="00DE37F4">
              <w:rPr>
                <w:rFonts w:ascii="Arial" w:hAnsi="Arial" w:cs="Arial"/>
                <w:sz w:val="24"/>
                <w:szCs w:val="24"/>
                <w:lang w:eastAsia="en-GB"/>
              </w:rPr>
              <w:t>Lack of workforce capacity, capability and resilience and relying on staff goodwill.</w:t>
            </w:r>
          </w:p>
        </w:tc>
        <w:tc>
          <w:tcPr>
            <w:tcW w:w="2571" w:type="pct"/>
            <w:shd w:val="clear" w:color="auto" w:fill="auto"/>
          </w:tcPr>
          <w:p w14:paraId="5DB33F72"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Workforce Strategy approved. Action Plan to be adopted in each service area and the groups to be established to lead and monitor actions. End August 2022.</w:t>
            </w:r>
          </w:p>
        </w:tc>
      </w:tr>
      <w:tr w:rsidR="008206CA" w:rsidRPr="001948AC" w14:paraId="4343AFD3" w14:textId="77777777" w:rsidTr="00DE37F4">
        <w:trPr>
          <w:trHeight w:val="250"/>
        </w:trPr>
        <w:tc>
          <w:tcPr>
            <w:tcW w:w="2429" w:type="pct"/>
            <w:shd w:val="clear" w:color="auto" w:fill="auto"/>
          </w:tcPr>
          <w:p w14:paraId="50E8FFAE" w14:textId="77777777" w:rsidR="008206CA" w:rsidRPr="00DE37F4" w:rsidRDefault="008206CA" w:rsidP="00DE37F4">
            <w:pPr>
              <w:tabs>
                <w:tab w:val="left" w:pos="1440"/>
              </w:tabs>
              <w:rPr>
                <w:rFonts w:ascii="Arial" w:hAnsi="Arial" w:cs="Arial"/>
                <w:sz w:val="24"/>
                <w:szCs w:val="24"/>
              </w:rPr>
            </w:pPr>
            <w:r w:rsidRPr="00DE37F4">
              <w:rPr>
                <w:rFonts w:ascii="Arial" w:hAnsi="Arial" w:cs="Arial"/>
                <w:sz w:val="24"/>
                <w:szCs w:val="24"/>
                <w:lang w:eastAsia="en-GB"/>
              </w:rPr>
              <w:t>Performance Reviews, i.e. appraisals system / induction training not fit for purpose.</w:t>
            </w:r>
          </w:p>
        </w:tc>
        <w:tc>
          <w:tcPr>
            <w:tcW w:w="2571" w:type="pct"/>
            <w:shd w:val="clear" w:color="auto" w:fill="auto"/>
          </w:tcPr>
          <w:p w14:paraId="15A58543"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 xml:space="preserve">Continue to develop a new appraisal solution to be delivered digitally through the new Oracle Cloud solution in October 2022. </w:t>
            </w:r>
          </w:p>
          <w:p w14:paraId="09F62705"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Develop Corporate Induction training for delivery in 2022.</w:t>
            </w:r>
          </w:p>
        </w:tc>
      </w:tr>
      <w:tr w:rsidR="008206CA" w:rsidRPr="001948AC" w14:paraId="451D936C" w14:textId="77777777" w:rsidTr="00DE37F4">
        <w:trPr>
          <w:trHeight w:val="250"/>
        </w:trPr>
        <w:tc>
          <w:tcPr>
            <w:tcW w:w="2429" w:type="pct"/>
            <w:shd w:val="clear" w:color="auto" w:fill="auto"/>
          </w:tcPr>
          <w:p w14:paraId="16BD16A9" w14:textId="77777777" w:rsidR="008206CA" w:rsidRPr="00DE37F4" w:rsidRDefault="008206CA" w:rsidP="00DE37F4">
            <w:pPr>
              <w:tabs>
                <w:tab w:val="left" w:pos="1440"/>
              </w:tabs>
              <w:rPr>
                <w:rFonts w:ascii="Arial" w:hAnsi="Arial" w:cs="Arial"/>
                <w:sz w:val="24"/>
                <w:szCs w:val="24"/>
              </w:rPr>
            </w:pPr>
            <w:r w:rsidRPr="00DE37F4">
              <w:rPr>
                <w:rFonts w:ascii="Arial" w:hAnsi="Arial" w:cs="Arial"/>
                <w:sz w:val="24"/>
                <w:szCs w:val="24"/>
                <w:lang w:eastAsia="en-GB"/>
              </w:rPr>
              <w:t>ICT Disaster recovery.</w:t>
            </w:r>
          </w:p>
        </w:tc>
        <w:tc>
          <w:tcPr>
            <w:tcW w:w="2571" w:type="pct"/>
            <w:shd w:val="clear" w:color="auto" w:fill="auto"/>
          </w:tcPr>
          <w:p w14:paraId="6F1AFF2C"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Resolve through the move to cloud services, particularly Oracle Cloud in October 2022.</w:t>
            </w:r>
          </w:p>
          <w:p w14:paraId="79BC3A82"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National performance issues with WCCIS being addressed nationally through a review of continued viability and a local / regional options appraisal being undertaken in partnership with Health.</w:t>
            </w:r>
          </w:p>
        </w:tc>
      </w:tr>
      <w:tr w:rsidR="008206CA" w:rsidRPr="001948AC" w14:paraId="4FA78740" w14:textId="77777777" w:rsidTr="00DE37F4">
        <w:trPr>
          <w:trHeight w:val="250"/>
        </w:trPr>
        <w:tc>
          <w:tcPr>
            <w:tcW w:w="2429" w:type="pct"/>
            <w:shd w:val="clear" w:color="auto" w:fill="auto"/>
          </w:tcPr>
          <w:p w14:paraId="1AAD7C5D" w14:textId="77777777" w:rsidR="008206CA" w:rsidRPr="00DE37F4" w:rsidRDefault="008206CA" w:rsidP="00DE37F4">
            <w:pPr>
              <w:tabs>
                <w:tab w:val="left" w:pos="1440"/>
              </w:tabs>
              <w:rPr>
                <w:rFonts w:ascii="Arial" w:hAnsi="Arial" w:cs="Arial"/>
                <w:sz w:val="24"/>
                <w:szCs w:val="24"/>
                <w:lang w:eastAsia="en-GB"/>
              </w:rPr>
            </w:pPr>
            <w:r w:rsidRPr="00DE37F4">
              <w:rPr>
                <w:rFonts w:ascii="Arial" w:hAnsi="Arial" w:cs="Arial"/>
                <w:b/>
                <w:sz w:val="24"/>
                <w:szCs w:val="24"/>
                <w:lang w:eastAsia="en-GB"/>
              </w:rPr>
              <w:lastRenderedPageBreak/>
              <w:t xml:space="preserve">New - </w:t>
            </w:r>
            <w:r w:rsidRPr="00DE37F4">
              <w:rPr>
                <w:rFonts w:ascii="Arial" w:hAnsi="Arial" w:cs="Arial"/>
                <w:sz w:val="24"/>
                <w:szCs w:val="24"/>
                <w:lang w:eastAsia="en-GB"/>
              </w:rPr>
              <w:t>Procurement – Governance around Contracts.</w:t>
            </w:r>
          </w:p>
        </w:tc>
        <w:tc>
          <w:tcPr>
            <w:tcW w:w="2571" w:type="pct"/>
            <w:shd w:val="clear" w:color="auto" w:fill="auto"/>
          </w:tcPr>
          <w:p w14:paraId="0C88C55E"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Internal Audit to undertake a review in 2022 on the operation of contracts within CPR and the UK PCR.</w:t>
            </w:r>
          </w:p>
          <w:p w14:paraId="760868DC"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Review how advice and support can be given and whether capacity can be increased to assist Schools to consider the full implications from decisions from entering into contract with third parties.</w:t>
            </w:r>
          </w:p>
          <w:p w14:paraId="3BABA53A"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Review the process from sign-off to Contract issued to ensure any risk is removed.</w:t>
            </w:r>
          </w:p>
          <w:p w14:paraId="42EE6BBA" w14:textId="77777777" w:rsidR="008206CA" w:rsidRPr="00DE37F4" w:rsidRDefault="008206CA" w:rsidP="00DE37F4">
            <w:pPr>
              <w:pStyle w:val="ListParagraph"/>
              <w:numPr>
                <w:ilvl w:val="0"/>
                <w:numId w:val="116"/>
              </w:numPr>
              <w:tabs>
                <w:tab w:val="left" w:pos="1440"/>
              </w:tabs>
              <w:spacing w:before="0" w:after="0" w:line="240" w:lineRule="auto"/>
              <w:rPr>
                <w:sz w:val="24"/>
              </w:rPr>
            </w:pPr>
            <w:r w:rsidRPr="00DE37F4">
              <w:rPr>
                <w:sz w:val="24"/>
              </w:rPr>
              <w:t>Review Governance arrangements for involvement by commercial services.</w:t>
            </w:r>
          </w:p>
        </w:tc>
      </w:tr>
    </w:tbl>
    <w:p w14:paraId="68FC836E" w14:textId="77777777" w:rsidR="008206CA" w:rsidRDefault="008206CA" w:rsidP="008206CA">
      <w:pPr>
        <w:tabs>
          <w:tab w:val="left" w:pos="1440"/>
        </w:tabs>
        <w:ind w:left="-142"/>
        <w:rPr>
          <w:rFonts w:ascii="Arial" w:hAnsi="Arial"/>
          <w:sz w:val="24"/>
          <w:szCs w:val="24"/>
        </w:rPr>
      </w:pPr>
    </w:p>
    <w:p w14:paraId="3A4B035B" w14:textId="77777777" w:rsidR="008206CA" w:rsidRPr="00451349" w:rsidRDefault="008206CA" w:rsidP="00E9344C">
      <w:pPr>
        <w:tabs>
          <w:tab w:val="left" w:pos="1440"/>
        </w:tabs>
        <w:jc w:val="both"/>
        <w:rPr>
          <w:rFonts w:ascii="Arial" w:hAnsi="Arial"/>
          <w:sz w:val="24"/>
          <w:szCs w:val="24"/>
        </w:rPr>
      </w:pPr>
      <w:r w:rsidRPr="00451349">
        <w:rPr>
          <w:rFonts w:ascii="Arial" w:hAnsi="Arial"/>
          <w:sz w:val="24"/>
          <w:szCs w:val="24"/>
        </w:rPr>
        <w:t>We propose over the coming year to take steps to address the above matters to further enhance our governance arrangements. We are satisfied that these steps will address the need for improvements that were identified in our review of effectiveness and will monitor their implementation and operation as part of our next annual review</w:t>
      </w:r>
      <w:r>
        <w:rPr>
          <w:rFonts w:ascii="Arial" w:hAnsi="Arial"/>
          <w:sz w:val="24"/>
          <w:szCs w:val="24"/>
        </w:rPr>
        <w:t>.</w:t>
      </w:r>
    </w:p>
    <w:p w14:paraId="6ACC7F37" w14:textId="77777777" w:rsidR="008206CA" w:rsidRDefault="008206CA" w:rsidP="00E9344C">
      <w:pPr>
        <w:jc w:val="both"/>
        <w:rPr>
          <w:rFonts w:ascii="Arial" w:hAnsi="Arial"/>
        </w:rPr>
      </w:pPr>
    </w:p>
    <w:p w14:paraId="423953EC" w14:textId="77777777" w:rsidR="008206CA" w:rsidRDefault="008206CA" w:rsidP="008206CA">
      <w:pPr>
        <w:rPr>
          <w:rFonts w:ascii="Arial" w:hAnsi="Arial"/>
        </w:rPr>
      </w:pPr>
    </w:p>
    <w:p w14:paraId="2C5550CA" w14:textId="77777777" w:rsidR="008206CA" w:rsidRDefault="008206CA" w:rsidP="008206CA">
      <w:pPr>
        <w:rPr>
          <w:rFonts w:ascii="Arial" w:hAnsi="Arial"/>
        </w:rPr>
      </w:pPr>
    </w:p>
    <w:p w14:paraId="600916DE" w14:textId="77777777" w:rsidR="008206CA" w:rsidRDefault="008206CA" w:rsidP="008206CA">
      <w:pPr>
        <w:rPr>
          <w:rFonts w:ascii="Arial" w:hAnsi="Arial"/>
        </w:rPr>
      </w:pPr>
    </w:p>
    <w:p w14:paraId="57BF3969" w14:textId="77777777" w:rsidR="008206CA" w:rsidRDefault="008206CA" w:rsidP="008206CA">
      <w:pPr>
        <w:rPr>
          <w:rFonts w:ascii="Arial" w:hAnsi="Arial"/>
        </w:rPr>
      </w:pPr>
    </w:p>
    <w:p w14:paraId="5E0A4729" w14:textId="77777777" w:rsidR="008206CA" w:rsidRDefault="008206CA" w:rsidP="008206CA">
      <w:pPr>
        <w:rPr>
          <w:rFonts w:ascii="Arial" w:hAnsi="Arial"/>
        </w:rPr>
      </w:pPr>
    </w:p>
    <w:p w14:paraId="4B58DDD0" w14:textId="77777777" w:rsidR="008206CA" w:rsidRPr="004C7CD9" w:rsidRDefault="008206CA" w:rsidP="008206CA">
      <w:pPr>
        <w:rPr>
          <w:rFonts w:ascii="Arial" w:hAnsi="Arial"/>
        </w:rPr>
      </w:pPr>
      <w:r w:rsidRPr="004C7CD9">
        <w:rPr>
          <w:rFonts w:ascii="Arial" w:hAnsi="Arial"/>
        </w:rPr>
        <w:t>Signed …………………………….</w:t>
      </w:r>
      <w:r>
        <w:rPr>
          <w:rFonts w:ascii="Arial" w:hAnsi="Arial"/>
        </w:rPr>
        <w:tab/>
        <w:t xml:space="preserve">Interim </w:t>
      </w:r>
      <w:r w:rsidRPr="004C7CD9">
        <w:rPr>
          <w:rFonts w:ascii="Arial" w:hAnsi="Arial"/>
        </w:rPr>
        <w:t>Chief Executive</w:t>
      </w:r>
    </w:p>
    <w:p w14:paraId="2B426050" w14:textId="77777777" w:rsidR="008206CA" w:rsidRPr="004C7CD9" w:rsidRDefault="008206CA" w:rsidP="008206CA">
      <w:pPr>
        <w:tabs>
          <w:tab w:val="left" w:pos="851"/>
        </w:tabs>
        <w:rPr>
          <w:rFonts w:ascii="Arial" w:hAnsi="Arial"/>
        </w:rPr>
      </w:pPr>
      <w:r w:rsidRPr="004C7CD9">
        <w:rPr>
          <w:rFonts w:ascii="Arial" w:hAnsi="Arial"/>
        </w:rPr>
        <w:t>Date     …………………………….</w:t>
      </w:r>
    </w:p>
    <w:p w14:paraId="2C75982F" w14:textId="77777777" w:rsidR="008206CA" w:rsidRDefault="008206CA" w:rsidP="008206CA">
      <w:pPr>
        <w:tabs>
          <w:tab w:val="left" w:pos="851"/>
        </w:tabs>
        <w:rPr>
          <w:rFonts w:ascii="Arial" w:hAnsi="Arial"/>
        </w:rPr>
      </w:pPr>
    </w:p>
    <w:p w14:paraId="365C029D" w14:textId="77777777" w:rsidR="008206CA" w:rsidRDefault="008206CA" w:rsidP="008206CA">
      <w:pPr>
        <w:tabs>
          <w:tab w:val="left" w:pos="851"/>
        </w:tabs>
        <w:rPr>
          <w:rFonts w:ascii="Arial" w:hAnsi="Arial"/>
        </w:rPr>
      </w:pPr>
    </w:p>
    <w:p w14:paraId="02DD1C14" w14:textId="77777777" w:rsidR="008206CA" w:rsidRDefault="008206CA" w:rsidP="008206CA">
      <w:pPr>
        <w:tabs>
          <w:tab w:val="left" w:pos="851"/>
        </w:tabs>
        <w:rPr>
          <w:rFonts w:ascii="Arial" w:hAnsi="Arial"/>
        </w:rPr>
      </w:pPr>
    </w:p>
    <w:p w14:paraId="778AD2F9" w14:textId="77777777" w:rsidR="008206CA" w:rsidRPr="004C7CD9" w:rsidRDefault="008206CA" w:rsidP="008206CA">
      <w:pPr>
        <w:tabs>
          <w:tab w:val="left" w:pos="851"/>
        </w:tabs>
        <w:rPr>
          <w:rFonts w:ascii="Arial" w:hAnsi="Arial"/>
        </w:rPr>
      </w:pPr>
      <w:r w:rsidRPr="004C7CD9">
        <w:rPr>
          <w:rFonts w:ascii="Arial" w:hAnsi="Arial"/>
        </w:rPr>
        <w:t>Signed……………………………..</w:t>
      </w:r>
      <w:r w:rsidRPr="004C7CD9">
        <w:rPr>
          <w:rFonts w:ascii="Arial" w:hAnsi="Arial"/>
        </w:rPr>
        <w:tab/>
        <w:t>Leader</w:t>
      </w:r>
    </w:p>
    <w:p w14:paraId="23CCA501" w14:textId="77777777" w:rsidR="00255871" w:rsidRPr="00255871" w:rsidRDefault="008206CA" w:rsidP="00255871">
      <w:pPr>
        <w:tabs>
          <w:tab w:val="left" w:pos="851"/>
        </w:tabs>
        <w:rPr>
          <w:rFonts w:ascii="Arial" w:hAnsi="Arial"/>
        </w:rPr>
        <w:sectPr w:rsidR="00255871" w:rsidRPr="00255871" w:rsidSect="00B35782">
          <w:headerReference w:type="default" r:id="rId31"/>
          <w:footerReference w:type="default" r:id="rId32"/>
          <w:type w:val="continuous"/>
          <w:pgSz w:w="11907" w:h="16840" w:code="9"/>
          <w:pgMar w:top="720" w:right="720" w:bottom="720" w:left="964" w:header="720" w:footer="720" w:gutter="0"/>
          <w:cols w:space="720"/>
          <w:docGrid w:linePitch="381"/>
        </w:sectPr>
      </w:pPr>
      <w:r w:rsidRPr="004C7CD9">
        <w:rPr>
          <w:rFonts w:ascii="Arial" w:hAnsi="Arial"/>
        </w:rPr>
        <w:t>Date    …………………………….</w:t>
      </w:r>
      <w:r w:rsidR="00255871">
        <w:rPr>
          <w:rFonts w:ascii="Arial" w:hAnsi="Arial"/>
        </w:rPr>
        <w:t>.</w:t>
      </w:r>
    </w:p>
    <w:p w14:paraId="7CE2DC38" w14:textId="77777777" w:rsidR="00902B91" w:rsidRDefault="00CC2D11" w:rsidP="005E4F16">
      <w:pPr>
        <w:jc w:val="center"/>
        <w:rPr>
          <w:rFonts w:ascii="Arial" w:hAnsi="Arial" w:cs="Arial"/>
          <w:b/>
          <w:sz w:val="22"/>
          <w:szCs w:val="22"/>
        </w:rPr>
      </w:pPr>
      <w:r>
        <w:rPr>
          <w:rFonts w:ascii="Arial" w:hAnsi="Arial" w:cs="Arial"/>
          <w:b/>
          <w:sz w:val="22"/>
          <w:szCs w:val="22"/>
        </w:rPr>
        <w:lastRenderedPageBreak/>
        <w:t>PART B</w:t>
      </w:r>
    </w:p>
    <w:p w14:paraId="26274DC7" w14:textId="77777777" w:rsidR="00CC2D11" w:rsidRPr="008C35C7" w:rsidRDefault="00CC2D11" w:rsidP="005E4F16">
      <w:pPr>
        <w:jc w:val="center"/>
        <w:rPr>
          <w:rFonts w:ascii="Arial" w:hAnsi="Arial" w:cs="Arial"/>
          <w:b/>
          <w:sz w:val="22"/>
          <w:szCs w:val="22"/>
        </w:rPr>
      </w:pPr>
    </w:p>
    <w:p w14:paraId="4CDF8177" w14:textId="77777777" w:rsidR="000A23C0" w:rsidRPr="008C35C7" w:rsidRDefault="000A23C0" w:rsidP="000A23C0">
      <w:pPr>
        <w:rPr>
          <w:rFonts w:ascii="Arial" w:hAnsi="Arial" w:cs="Arial"/>
          <w:b/>
          <w:sz w:val="22"/>
          <w:szCs w:val="22"/>
        </w:rPr>
      </w:pPr>
      <w:r w:rsidRPr="008C35C7">
        <w:rPr>
          <w:rFonts w:ascii="Arial" w:hAnsi="Arial" w:cs="Arial"/>
          <w:b/>
          <w:sz w:val="22"/>
          <w:szCs w:val="22"/>
        </w:rPr>
        <w:t xml:space="preserve">Chief Financial Officers Certificate and Statement of Responsibilities for the Financial Statements of the City and County of Swansea Pension Fund. </w:t>
      </w:r>
    </w:p>
    <w:p w14:paraId="35769895" w14:textId="77777777" w:rsidR="000A23C0" w:rsidRPr="008C35C7" w:rsidRDefault="000A23C0" w:rsidP="000A23C0">
      <w:pPr>
        <w:rPr>
          <w:rFonts w:ascii="Arial" w:hAnsi="Arial" w:cs="Arial"/>
          <w:b/>
          <w:sz w:val="22"/>
          <w:szCs w:val="22"/>
        </w:rPr>
      </w:pPr>
    </w:p>
    <w:p w14:paraId="21C86A9E" w14:textId="77777777" w:rsidR="000A23C0" w:rsidRDefault="000A23C0" w:rsidP="000A23C0">
      <w:pPr>
        <w:rPr>
          <w:rFonts w:ascii="Arial" w:hAnsi="Arial" w:cs="Arial"/>
          <w:sz w:val="22"/>
          <w:szCs w:val="22"/>
        </w:rPr>
      </w:pPr>
      <w:r w:rsidRPr="008C35C7">
        <w:rPr>
          <w:rFonts w:ascii="Arial" w:hAnsi="Arial" w:cs="Arial"/>
          <w:sz w:val="22"/>
          <w:szCs w:val="22"/>
        </w:rPr>
        <w:t>I hereby certify that the Financial Statements presents a true and fair view of the financial position of the City and County of Swansea Pension Fund at the accounting date and its income and expenditure for the year ended 31</w:t>
      </w:r>
      <w:r w:rsidRPr="008C35C7">
        <w:rPr>
          <w:rFonts w:ascii="Arial" w:hAnsi="Arial" w:cs="Arial"/>
          <w:sz w:val="22"/>
          <w:szCs w:val="22"/>
          <w:vertAlign w:val="superscript"/>
        </w:rPr>
        <w:t>st</w:t>
      </w:r>
      <w:r w:rsidRPr="008C35C7">
        <w:rPr>
          <w:rFonts w:ascii="Arial" w:hAnsi="Arial" w:cs="Arial"/>
          <w:sz w:val="22"/>
          <w:szCs w:val="22"/>
        </w:rPr>
        <w:t xml:space="preserve"> March </w:t>
      </w:r>
      <w:r w:rsidR="00B7757E">
        <w:rPr>
          <w:rFonts w:ascii="Arial" w:hAnsi="Arial" w:cs="Arial"/>
          <w:sz w:val="22"/>
          <w:szCs w:val="22"/>
        </w:rPr>
        <w:t>202</w:t>
      </w:r>
      <w:r w:rsidR="00A570F5">
        <w:rPr>
          <w:rFonts w:ascii="Arial" w:hAnsi="Arial" w:cs="Arial"/>
          <w:sz w:val="22"/>
          <w:szCs w:val="22"/>
        </w:rPr>
        <w:t>2</w:t>
      </w:r>
      <w:r w:rsidRPr="008C35C7">
        <w:rPr>
          <w:rFonts w:ascii="Arial" w:hAnsi="Arial" w:cs="Arial"/>
          <w:sz w:val="22"/>
          <w:szCs w:val="22"/>
        </w:rPr>
        <w:t xml:space="preserve"> </w:t>
      </w:r>
    </w:p>
    <w:p w14:paraId="20AEE4C0" w14:textId="3D69B0AB" w:rsidR="00542C7A" w:rsidRDefault="00516E75" w:rsidP="000A23C0">
      <w:pPr>
        <w:rPr>
          <w:rFonts w:ascii="Arial" w:hAnsi="Arial" w:cs="Arial"/>
          <w:sz w:val="22"/>
          <w:szCs w:val="22"/>
        </w:rPr>
      </w:pPr>
      <w:r>
        <w:rPr>
          <w:noProof/>
        </w:rPr>
        <w:drawing>
          <wp:inline distT="0" distB="0" distL="0" distR="0" wp14:anchorId="4FBBDB90" wp14:editId="71A7620E">
            <wp:extent cx="1110615" cy="718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0615" cy="718185"/>
                    </a:xfrm>
                    <a:prstGeom prst="rect">
                      <a:avLst/>
                    </a:prstGeom>
                    <a:noFill/>
                    <a:ln>
                      <a:noFill/>
                    </a:ln>
                  </pic:spPr>
                </pic:pic>
              </a:graphicData>
            </a:graphic>
          </wp:inline>
        </w:drawing>
      </w:r>
    </w:p>
    <w:p w14:paraId="708A59D0" w14:textId="77777777" w:rsidR="00881F89" w:rsidRPr="008C35C7" w:rsidRDefault="00433396" w:rsidP="000A23C0">
      <w:pPr>
        <w:rPr>
          <w:rFonts w:ascii="Arial" w:hAnsi="Arial" w:cs="Arial"/>
          <w:sz w:val="22"/>
          <w:szCs w:val="22"/>
        </w:rPr>
      </w:pPr>
      <w:r>
        <w:rPr>
          <w:rFonts w:ascii="Arial" w:hAnsi="Arial" w:cs="Arial"/>
          <w:sz w:val="22"/>
          <w:szCs w:val="22"/>
        </w:rPr>
        <w:t>Ben Smith</w:t>
      </w:r>
    </w:p>
    <w:p w14:paraId="06A46605" w14:textId="77777777" w:rsidR="000A23C0" w:rsidRPr="008C35C7" w:rsidRDefault="007020AC" w:rsidP="000A23C0">
      <w:pPr>
        <w:rPr>
          <w:rFonts w:ascii="Arial" w:hAnsi="Arial" w:cs="Arial"/>
          <w:sz w:val="22"/>
          <w:szCs w:val="22"/>
        </w:rPr>
      </w:pPr>
      <w:r>
        <w:rPr>
          <w:rFonts w:ascii="Arial" w:hAnsi="Arial" w:cs="Arial"/>
          <w:sz w:val="22"/>
          <w:szCs w:val="22"/>
        </w:rPr>
        <w:t>Director of Finance</w:t>
      </w:r>
    </w:p>
    <w:p w14:paraId="6BEA7F31" w14:textId="77777777" w:rsidR="000A23C0" w:rsidRPr="008C35C7" w:rsidRDefault="000A23C0" w:rsidP="000A23C0">
      <w:pPr>
        <w:rPr>
          <w:rFonts w:ascii="Arial" w:hAnsi="Arial" w:cs="Arial"/>
          <w:sz w:val="22"/>
          <w:szCs w:val="22"/>
        </w:rPr>
      </w:pPr>
    </w:p>
    <w:p w14:paraId="1E1E6F8B" w14:textId="77777777" w:rsidR="008C35C7" w:rsidRPr="008C35C7" w:rsidRDefault="000A23C0" w:rsidP="000A23C0">
      <w:pPr>
        <w:rPr>
          <w:rFonts w:ascii="Arial" w:hAnsi="Arial" w:cs="Arial"/>
          <w:b/>
          <w:sz w:val="22"/>
          <w:szCs w:val="22"/>
        </w:rPr>
      </w:pPr>
      <w:r w:rsidRPr="008C35C7">
        <w:rPr>
          <w:rFonts w:ascii="Arial" w:hAnsi="Arial" w:cs="Arial"/>
          <w:b/>
          <w:sz w:val="22"/>
          <w:szCs w:val="22"/>
        </w:rPr>
        <w:t>The Authority’s Responsibilities</w:t>
      </w:r>
    </w:p>
    <w:p w14:paraId="10A9DAFA" w14:textId="77777777" w:rsidR="000A23C0" w:rsidRPr="008C35C7" w:rsidRDefault="000A23C0" w:rsidP="000A23C0">
      <w:pPr>
        <w:rPr>
          <w:rFonts w:ascii="Arial" w:hAnsi="Arial" w:cs="Arial"/>
          <w:sz w:val="22"/>
          <w:szCs w:val="22"/>
        </w:rPr>
      </w:pPr>
      <w:r w:rsidRPr="008C35C7">
        <w:rPr>
          <w:rFonts w:ascii="Arial" w:hAnsi="Arial" w:cs="Arial"/>
          <w:sz w:val="22"/>
          <w:szCs w:val="22"/>
        </w:rPr>
        <w:t>The Authority is required to:</w:t>
      </w:r>
    </w:p>
    <w:p w14:paraId="5F425421" w14:textId="77777777" w:rsidR="000A23C0" w:rsidRPr="008C35C7" w:rsidRDefault="000A23C0" w:rsidP="00E0571E">
      <w:pPr>
        <w:pStyle w:val="ListParagraph"/>
        <w:numPr>
          <w:ilvl w:val="0"/>
          <w:numId w:val="55"/>
        </w:numPr>
        <w:spacing w:before="0" w:after="160" w:line="259" w:lineRule="auto"/>
        <w:rPr>
          <w:rFonts w:cs="Arial"/>
          <w:szCs w:val="22"/>
        </w:rPr>
      </w:pPr>
      <w:r w:rsidRPr="008C35C7">
        <w:rPr>
          <w:rFonts w:cs="Arial"/>
          <w:szCs w:val="22"/>
        </w:rPr>
        <w:t xml:space="preserve">Make arrangements for the proper administration of the City and County of Swansea Pension Fund and to secure that one if its officers has the responsibility for the administration of those affairs. In this Authority, that Officer is the </w:t>
      </w:r>
      <w:r w:rsidR="00A27FCB">
        <w:rPr>
          <w:rFonts w:cs="Arial"/>
          <w:szCs w:val="22"/>
        </w:rPr>
        <w:t>Director of Finance</w:t>
      </w:r>
    </w:p>
    <w:p w14:paraId="0EA24F62" w14:textId="77777777" w:rsidR="000A23C0" w:rsidRPr="008C35C7" w:rsidRDefault="000A23C0" w:rsidP="00E0571E">
      <w:pPr>
        <w:pStyle w:val="ListParagraph"/>
        <w:numPr>
          <w:ilvl w:val="0"/>
          <w:numId w:val="55"/>
        </w:numPr>
        <w:spacing w:before="0" w:after="160" w:line="259" w:lineRule="auto"/>
        <w:rPr>
          <w:rFonts w:cs="Arial"/>
          <w:szCs w:val="22"/>
        </w:rPr>
      </w:pPr>
      <w:r w:rsidRPr="008C35C7">
        <w:rPr>
          <w:rFonts w:cs="Arial"/>
          <w:szCs w:val="22"/>
        </w:rPr>
        <w:t>Manage the affairs of the City and County of Swansea Pension Fund to secure economic, efficient and effective use of resources and safeguard its assets; and</w:t>
      </w:r>
    </w:p>
    <w:p w14:paraId="03CC0A78" w14:textId="77777777" w:rsidR="000A23C0" w:rsidRPr="008C35C7" w:rsidRDefault="000A23C0" w:rsidP="00E0571E">
      <w:pPr>
        <w:pStyle w:val="ListParagraph"/>
        <w:numPr>
          <w:ilvl w:val="0"/>
          <w:numId w:val="55"/>
        </w:numPr>
        <w:spacing w:before="0" w:after="160" w:line="259" w:lineRule="auto"/>
        <w:rPr>
          <w:rFonts w:cs="Arial"/>
          <w:szCs w:val="22"/>
        </w:rPr>
      </w:pPr>
      <w:r w:rsidRPr="008C35C7">
        <w:rPr>
          <w:rFonts w:cs="Arial"/>
          <w:szCs w:val="22"/>
        </w:rPr>
        <w:t>Approve the Financial Statements.</w:t>
      </w:r>
    </w:p>
    <w:p w14:paraId="45BA42FC" w14:textId="77777777" w:rsidR="008C35C7" w:rsidRPr="008C35C7" w:rsidRDefault="000A23C0" w:rsidP="000A23C0">
      <w:pPr>
        <w:rPr>
          <w:rFonts w:ascii="Arial" w:hAnsi="Arial" w:cs="Arial"/>
          <w:b/>
          <w:sz w:val="22"/>
          <w:szCs w:val="22"/>
        </w:rPr>
      </w:pPr>
      <w:r w:rsidRPr="008C35C7">
        <w:rPr>
          <w:rFonts w:ascii="Arial" w:hAnsi="Arial" w:cs="Arial"/>
          <w:b/>
          <w:sz w:val="22"/>
          <w:szCs w:val="22"/>
        </w:rPr>
        <w:t>The Responsibilities</w:t>
      </w:r>
      <w:r w:rsidR="00A27FCB">
        <w:rPr>
          <w:rFonts w:ascii="Arial" w:hAnsi="Arial" w:cs="Arial"/>
          <w:b/>
          <w:sz w:val="22"/>
          <w:szCs w:val="22"/>
        </w:rPr>
        <w:t xml:space="preserve"> of the Director of Finance</w:t>
      </w:r>
    </w:p>
    <w:p w14:paraId="15A88987" w14:textId="77777777" w:rsidR="000A23C0" w:rsidRPr="008C35C7" w:rsidRDefault="000A23C0" w:rsidP="000A23C0">
      <w:pPr>
        <w:rPr>
          <w:rFonts w:ascii="Arial" w:hAnsi="Arial" w:cs="Arial"/>
          <w:sz w:val="22"/>
          <w:szCs w:val="22"/>
        </w:rPr>
      </w:pPr>
      <w:r w:rsidRPr="008C35C7">
        <w:rPr>
          <w:rFonts w:ascii="Arial" w:hAnsi="Arial" w:cs="Arial"/>
          <w:sz w:val="22"/>
          <w:szCs w:val="22"/>
        </w:rPr>
        <w:t>The</w:t>
      </w:r>
      <w:r w:rsidR="00A27FCB">
        <w:rPr>
          <w:rFonts w:ascii="Arial" w:hAnsi="Arial" w:cs="Arial"/>
          <w:sz w:val="22"/>
          <w:szCs w:val="22"/>
        </w:rPr>
        <w:t xml:space="preserve"> Director of Finance</w:t>
      </w:r>
      <w:r w:rsidRPr="008C35C7">
        <w:rPr>
          <w:rFonts w:ascii="Arial" w:hAnsi="Arial" w:cs="Arial"/>
          <w:sz w:val="22"/>
          <w:szCs w:val="22"/>
        </w:rPr>
        <w:t xml:space="preserve"> is responsible for the preparation of the City and County of Swansea Pension Fund's financial statements in accordance with proper practices as set out in the CIPFA Code of Practice on Local Authority Accounting in the United Kingdom </w:t>
      </w:r>
      <w:r w:rsidR="00A570F5">
        <w:rPr>
          <w:rFonts w:ascii="Arial" w:hAnsi="Arial" w:cs="Arial"/>
          <w:sz w:val="22"/>
          <w:szCs w:val="22"/>
        </w:rPr>
        <w:t>2021/22</w:t>
      </w:r>
      <w:r w:rsidRPr="008C35C7">
        <w:rPr>
          <w:rFonts w:ascii="Arial" w:hAnsi="Arial" w:cs="Arial"/>
          <w:sz w:val="22"/>
          <w:szCs w:val="22"/>
        </w:rPr>
        <w:t xml:space="preserve"> (the Code).</w:t>
      </w:r>
    </w:p>
    <w:p w14:paraId="7DB0BA8F" w14:textId="77777777" w:rsidR="000A23C0" w:rsidRPr="008C35C7" w:rsidRDefault="000A23C0" w:rsidP="000A23C0">
      <w:pPr>
        <w:rPr>
          <w:rFonts w:ascii="Arial" w:hAnsi="Arial" w:cs="Arial"/>
          <w:sz w:val="22"/>
          <w:szCs w:val="22"/>
        </w:rPr>
      </w:pPr>
      <w:r w:rsidRPr="008C35C7">
        <w:rPr>
          <w:rFonts w:ascii="Arial" w:hAnsi="Arial" w:cs="Arial"/>
          <w:sz w:val="22"/>
          <w:szCs w:val="22"/>
        </w:rPr>
        <w:t xml:space="preserve">In preparing these financial statements, the </w:t>
      </w:r>
      <w:r w:rsidR="00A27FCB">
        <w:rPr>
          <w:rFonts w:ascii="Arial" w:hAnsi="Arial" w:cs="Arial"/>
          <w:sz w:val="22"/>
          <w:szCs w:val="22"/>
        </w:rPr>
        <w:t>Director of Finance</w:t>
      </w:r>
      <w:r w:rsidRPr="008C35C7">
        <w:rPr>
          <w:rFonts w:ascii="Arial" w:hAnsi="Arial" w:cs="Arial"/>
          <w:sz w:val="22"/>
          <w:szCs w:val="22"/>
        </w:rPr>
        <w:t xml:space="preserve"> has:</w:t>
      </w:r>
    </w:p>
    <w:p w14:paraId="7FF1FAD4" w14:textId="77777777" w:rsidR="000A23C0" w:rsidRPr="008C35C7" w:rsidRDefault="000A23C0" w:rsidP="00E0571E">
      <w:pPr>
        <w:pStyle w:val="ListParagraph"/>
        <w:numPr>
          <w:ilvl w:val="0"/>
          <w:numId w:val="53"/>
        </w:numPr>
        <w:spacing w:before="0" w:after="160" w:line="259" w:lineRule="auto"/>
        <w:rPr>
          <w:rFonts w:cs="Arial"/>
          <w:szCs w:val="22"/>
        </w:rPr>
      </w:pPr>
      <w:r w:rsidRPr="008C35C7">
        <w:rPr>
          <w:rFonts w:cs="Arial"/>
          <w:szCs w:val="22"/>
        </w:rPr>
        <w:t>Selected suitable accounting policies and then applied them consistently;</w:t>
      </w:r>
    </w:p>
    <w:p w14:paraId="01309307" w14:textId="77777777" w:rsidR="000A23C0" w:rsidRPr="008C35C7" w:rsidRDefault="000A23C0" w:rsidP="00E0571E">
      <w:pPr>
        <w:pStyle w:val="ListParagraph"/>
        <w:numPr>
          <w:ilvl w:val="0"/>
          <w:numId w:val="53"/>
        </w:numPr>
        <w:spacing w:before="0" w:after="160" w:line="259" w:lineRule="auto"/>
        <w:rPr>
          <w:rFonts w:cs="Arial"/>
          <w:szCs w:val="22"/>
        </w:rPr>
      </w:pPr>
      <w:r w:rsidRPr="008C35C7">
        <w:rPr>
          <w:rFonts w:cs="Arial"/>
          <w:szCs w:val="22"/>
        </w:rPr>
        <w:t>Made judgements and estimates that were reasonable and prudent</w:t>
      </w:r>
    </w:p>
    <w:p w14:paraId="3F851855" w14:textId="77777777" w:rsidR="000A23C0" w:rsidRPr="008C35C7" w:rsidRDefault="000A23C0" w:rsidP="00E0571E">
      <w:pPr>
        <w:pStyle w:val="ListParagraph"/>
        <w:numPr>
          <w:ilvl w:val="0"/>
          <w:numId w:val="53"/>
        </w:numPr>
        <w:spacing w:before="0" w:after="160" w:line="259" w:lineRule="auto"/>
        <w:rPr>
          <w:rFonts w:cs="Arial"/>
          <w:szCs w:val="22"/>
        </w:rPr>
      </w:pPr>
      <w:r w:rsidRPr="008C35C7">
        <w:rPr>
          <w:rFonts w:cs="Arial"/>
          <w:szCs w:val="22"/>
        </w:rPr>
        <w:t>Complied with the local authority code.</w:t>
      </w:r>
    </w:p>
    <w:p w14:paraId="700355D6" w14:textId="77777777" w:rsidR="008C35C7" w:rsidRPr="008C35C7" w:rsidRDefault="000A23C0" w:rsidP="000A23C0">
      <w:pPr>
        <w:rPr>
          <w:rFonts w:ascii="Arial" w:hAnsi="Arial" w:cs="Arial"/>
          <w:sz w:val="22"/>
          <w:szCs w:val="22"/>
        </w:rPr>
      </w:pPr>
      <w:r w:rsidRPr="008C35C7">
        <w:rPr>
          <w:rFonts w:ascii="Arial" w:hAnsi="Arial" w:cs="Arial"/>
          <w:sz w:val="22"/>
          <w:szCs w:val="22"/>
        </w:rPr>
        <w:t xml:space="preserve">The </w:t>
      </w:r>
      <w:r w:rsidR="00A27FCB">
        <w:rPr>
          <w:rFonts w:ascii="Arial" w:hAnsi="Arial" w:cs="Arial"/>
          <w:sz w:val="22"/>
          <w:szCs w:val="22"/>
        </w:rPr>
        <w:t>Director of Finance</w:t>
      </w:r>
      <w:r w:rsidRPr="008C35C7">
        <w:rPr>
          <w:rFonts w:ascii="Arial" w:hAnsi="Arial" w:cs="Arial"/>
          <w:sz w:val="22"/>
          <w:szCs w:val="22"/>
        </w:rPr>
        <w:t xml:space="preserve"> has also:</w:t>
      </w:r>
    </w:p>
    <w:p w14:paraId="4B00D9B1" w14:textId="77777777" w:rsidR="000A23C0" w:rsidRPr="008C35C7" w:rsidRDefault="000A23C0" w:rsidP="00E0571E">
      <w:pPr>
        <w:pStyle w:val="ListParagraph"/>
        <w:numPr>
          <w:ilvl w:val="0"/>
          <w:numId w:val="54"/>
        </w:numPr>
        <w:spacing w:before="0" w:after="160" w:line="259" w:lineRule="auto"/>
        <w:rPr>
          <w:rFonts w:cs="Arial"/>
          <w:szCs w:val="22"/>
        </w:rPr>
      </w:pPr>
      <w:r w:rsidRPr="008C35C7">
        <w:rPr>
          <w:rFonts w:cs="Arial"/>
          <w:szCs w:val="22"/>
        </w:rPr>
        <w:t>Kept proper accounting records which were up to date; and</w:t>
      </w:r>
    </w:p>
    <w:p w14:paraId="7AAC4B51" w14:textId="77777777" w:rsidR="000A23C0" w:rsidRPr="008C35C7" w:rsidRDefault="000A23C0" w:rsidP="00E0571E">
      <w:pPr>
        <w:pStyle w:val="ListParagraph"/>
        <w:numPr>
          <w:ilvl w:val="0"/>
          <w:numId w:val="54"/>
        </w:numPr>
        <w:spacing w:before="0" w:after="160" w:line="259" w:lineRule="auto"/>
        <w:rPr>
          <w:rFonts w:cs="Arial"/>
          <w:szCs w:val="22"/>
        </w:rPr>
      </w:pPr>
      <w:r w:rsidRPr="008C35C7">
        <w:rPr>
          <w:rFonts w:cs="Arial"/>
          <w:szCs w:val="22"/>
        </w:rPr>
        <w:t xml:space="preserve">taken reasonable steps for the prevention and detection of fraud and other irregularities. </w:t>
      </w:r>
    </w:p>
    <w:p w14:paraId="3ED25178" w14:textId="77777777" w:rsidR="008C35C7" w:rsidRPr="004D176E" w:rsidRDefault="000A23C0" w:rsidP="000A23C0">
      <w:pPr>
        <w:rPr>
          <w:rFonts w:ascii="Arial" w:hAnsi="Arial" w:cs="Arial"/>
          <w:b/>
          <w:sz w:val="22"/>
          <w:szCs w:val="22"/>
        </w:rPr>
      </w:pPr>
      <w:r w:rsidRPr="004D176E">
        <w:rPr>
          <w:rFonts w:ascii="Arial" w:hAnsi="Arial" w:cs="Arial"/>
          <w:b/>
          <w:sz w:val="22"/>
          <w:szCs w:val="22"/>
        </w:rPr>
        <w:t>Date of Authorisation for Issue</w:t>
      </w:r>
    </w:p>
    <w:p w14:paraId="258C49ED" w14:textId="77777777" w:rsidR="000A23C0" w:rsidRPr="004D176E" w:rsidRDefault="000A23C0" w:rsidP="000A23C0">
      <w:pPr>
        <w:rPr>
          <w:rFonts w:ascii="Arial" w:hAnsi="Arial" w:cs="Arial"/>
          <w:sz w:val="22"/>
          <w:szCs w:val="22"/>
        </w:rPr>
      </w:pPr>
      <w:r w:rsidRPr="004D176E">
        <w:rPr>
          <w:rFonts w:ascii="Arial" w:hAnsi="Arial" w:cs="Arial"/>
          <w:sz w:val="22"/>
          <w:szCs w:val="22"/>
        </w:rPr>
        <w:t xml:space="preserve">The </w:t>
      </w:r>
      <w:r w:rsidR="00A570F5" w:rsidRPr="004D176E">
        <w:rPr>
          <w:rFonts w:ascii="Arial" w:hAnsi="Arial" w:cs="Arial"/>
          <w:sz w:val="22"/>
          <w:szCs w:val="22"/>
        </w:rPr>
        <w:t>2021/22</w:t>
      </w:r>
      <w:r w:rsidRPr="004D176E">
        <w:rPr>
          <w:rFonts w:ascii="Arial" w:hAnsi="Arial" w:cs="Arial"/>
          <w:sz w:val="22"/>
          <w:szCs w:val="22"/>
        </w:rPr>
        <w:t xml:space="preserve"> Financial Statements were authorised for issue on</w:t>
      </w:r>
      <w:r w:rsidR="00397E8E" w:rsidRPr="004D176E">
        <w:rPr>
          <w:rFonts w:ascii="Arial" w:hAnsi="Arial" w:cs="Arial"/>
          <w:sz w:val="22"/>
          <w:szCs w:val="22"/>
        </w:rPr>
        <w:t xml:space="preserve"> </w:t>
      </w:r>
      <w:r w:rsidR="007E082C">
        <w:rPr>
          <w:rFonts w:ascii="Arial" w:hAnsi="Arial" w:cs="Arial"/>
          <w:sz w:val="22"/>
          <w:szCs w:val="22"/>
        </w:rPr>
        <w:t>16</w:t>
      </w:r>
      <w:r w:rsidR="007E082C" w:rsidRPr="007E082C">
        <w:rPr>
          <w:rFonts w:ascii="Arial" w:hAnsi="Arial" w:cs="Arial"/>
          <w:sz w:val="22"/>
          <w:szCs w:val="22"/>
          <w:vertAlign w:val="superscript"/>
        </w:rPr>
        <w:t>th</w:t>
      </w:r>
      <w:r w:rsidR="007E082C">
        <w:rPr>
          <w:rFonts w:ascii="Arial" w:hAnsi="Arial" w:cs="Arial"/>
          <w:sz w:val="22"/>
          <w:szCs w:val="22"/>
        </w:rPr>
        <w:t xml:space="preserve"> November 2022 </w:t>
      </w:r>
      <w:r w:rsidRPr="004D176E">
        <w:rPr>
          <w:rFonts w:ascii="Arial" w:hAnsi="Arial" w:cs="Arial"/>
          <w:sz w:val="22"/>
          <w:szCs w:val="22"/>
        </w:rPr>
        <w:t xml:space="preserve">by Ben Smith, </w:t>
      </w:r>
      <w:r w:rsidR="007020AC" w:rsidRPr="004D176E">
        <w:rPr>
          <w:rFonts w:ascii="Arial" w:hAnsi="Arial" w:cs="Arial"/>
          <w:sz w:val="22"/>
          <w:szCs w:val="22"/>
        </w:rPr>
        <w:t>Director of Finance</w:t>
      </w:r>
      <w:r w:rsidRPr="004D176E">
        <w:rPr>
          <w:rFonts w:ascii="Arial" w:hAnsi="Arial" w:cs="Arial"/>
          <w:sz w:val="22"/>
          <w:szCs w:val="22"/>
        </w:rPr>
        <w:t xml:space="preserve"> who is the Section 151 Officer of the Council. This is the date up to which events after the Balance Sheet date have been considered.</w:t>
      </w:r>
    </w:p>
    <w:p w14:paraId="11FCE111" w14:textId="77777777" w:rsidR="008C35C7" w:rsidRPr="004D176E" w:rsidRDefault="008C35C7" w:rsidP="000A23C0">
      <w:pPr>
        <w:rPr>
          <w:rFonts w:ascii="Arial" w:hAnsi="Arial" w:cs="Arial"/>
          <w:sz w:val="22"/>
          <w:szCs w:val="22"/>
        </w:rPr>
      </w:pPr>
    </w:p>
    <w:p w14:paraId="2D530618" w14:textId="77777777" w:rsidR="000A23C0" w:rsidRPr="004D176E" w:rsidRDefault="000A23C0" w:rsidP="000A23C0">
      <w:pPr>
        <w:rPr>
          <w:rFonts w:ascii="Arial" w:hAnsi="Arial" w:cs="Arial"/>
          <w:sz w:val="22"/>
          <w:szCs w:val="22"/>
        </w:rPr>
      </w:pPr>
      <w:r w:rsidRPr="004D176E">
        <w:rPr>
          <w:rFonts w:ascii="Arial" w:hAnsi="Arial" w:cs="Arial"/>
          <w:sz w:val="22"/>
          <w:szCs w:val="22"/>
        </w:rPr>
        <w:t xml:space="preserve">The </w:t>
      </w:r>
      <w:r w:rsidR="00A570F5" w:rsidRPr="004D176E">
        <w:rPr>
          <w:rFonts w:ascii="Arial" w:hAnsi="Arial" w:cs="Arial"/>
          <w:sz w:val="22"/>
          <w:szCs w:val="22"/>
        </w:rPr>
        <w:t>2021/22</w:t>
      </w:r>
      <w:r w:rsidRPr="004D176E">
        <w:rPr>
          <w:rFonts w:ascii="Arial" w:hAnsi="Arial" w:cs="Arial"/>
          <w:sz w:val="22"/>
          <w:szCs w:val="22"/>
        </w:rPr>
        <w:t xml:space="preserve"> Financial Statements were formally approved by</w:t>
      </w:r>
      <w:r w:rsidR="008C35C7" w:rsidRPr="004D176E">
        <w:rPr>
          <w:rFonts w:ascii="Arial" w:hAnsi="Arial" w:cs="Arial"/>
          <w:sz w:val="22"/>
          <w:szCs w:val="22"/>
        </w:rPr>
        <w:t xml:space="preserve"> Pension Fund Committee </w:t>
      </w:r>
      <w:r w:rsidR="008F79D4">
        <w:rPr>
          <w:rFonts w:ascii="Arial" w:hAnsi="Arial" w:cs="Arial"/>
          <w:sz w:val="22"/>
          <w:szCs w:val="22"/>
        </w:rPr>
        <w:t>16th</w:t>
      </w:r>
      <w:r w:rsidR="00E806AF" w:rsidRPr="004D176E">
        <w:rPr>
          <w:rFonts w:ascii="Arial" w:hAnsi="Arial" w:cs="Arial"/>
          <w:sz w:val="22"/>
          <w:szCs w:val="22"/>
        </w:rPr>
        <w:t xml:space="preserve"> November 202</w:t>
      </w:r>
      <w:r w:rsidR="007020AC" w:rsidRPr="004D176E">
        <w:rPr>
          <w:rFonts w:ascii="Arial" w:hAnsi="Arial" w:cs="Arial"/>
          <w:sz w:val="22"/>
          <w:szCs w:val="22"/>
        </w:rPr>
        <w:t>2</w:t>
      </w:r>
      <w:r w:rsidR="00E806AF" w:rsidRPr="004D176E">
        <w:rPr>
          <w:rFonts w:ascii="Arial" w:hAnsi="Arial" w:cs="Arial"/>
          <w:sz w:val="22"/>
          <w:szCs w:val="22"/>
        </w:rPr>
        <w:t>.</w:t>
      </w:r>
    </w:p>
    <w:p w14:paraId="651D940B" w14:textId="77777777" w:rsidR="000A23C0" w:rsidRPr="004D176E" w:rsidRDefault="000A23C0" w:rsidP="000A23C0">
      <w:pPr>
        <w:rPr>
          <w:rFonts w:ascii="Arial" w:hAnsi="Arial" w:cs="Arial"/>
          <w:sz w:val="22"/>
          <w:szCs w:val="22"/>
        </w:rPr>
      </w:pPr>
    </w:p>
    <w:p w14:paraId="3AC55538" w14:textId="0366C966" w:rsidR="00785C9C" w:rsidRPr="004D176E" w:rsidRDefault="00516E75" w:rsidP="000A23C0">
      <w:pPr>
        <w:rPr>
          <w:rFonts w:ascii="Arial" w:hAnsi="Arial" w:cs="Arial"/>
          <w:sz w:val="22"/>
          <w:szCs w:val="22"/>
        </w:rPr>
      </w:pPr>
      <w:r>
        <w:rPr>
          <w:rFonts w:ascii="Arial" w:hAnsi="Arial" w:cs="Arial"/>
          <w:noProof/>
          <w:sz w:val="22"/>
          <w:szCs w:val="22"/>
        </w:rPr>
        <w:drawing>
          <wp:inline distT="0" distB="0" distL="0" distR="0" wp14:anchorId="74E2F5A8" wp14:editId="177F22CD">
            <wp:extent cx="2025015" cy="783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5015" cy="783590"/>
                    </a:xfrm>
                    <a:prstGeom prst="rect">
                      <a:avLst/>
                    </a:prstGeom>
                    <a:noFill/>
                    <a:ln>
                      <a:noFill/>
                    </a:ln>
                  </pic:spPr>
                </pic:pic>
              </a:graphicData>
            </a:graphic>
          </wp:inline>
        </w:drawing>
      </w:r>
    </w:p>
    <w:p w14:paraId="3F631C69" w14:textId="77777777" w:rsidR="00785C9C" w:rsidRPr="004D176E" w:rsidRDefault="00785C9C" w:rsidP="000A23C0">
      <w:pPr>
        <w:rPr>
          <w:rFonts w:ascii="Arial" w:hAnsi="Arial" w:cs="Arial"/>
          <w:sz w:val="22"/>
          <w:szCs w:val="22"/>
        </w:rPr>
      </w:pPr>
    </w:p>
    <w:p w14:paraId="5845C488" w14:textId="77777777" w:rsidR="000A23C0" w:rsidRPr="004D176E" w:rsidRDefault="008F79D4" w:rsidP="000A23C0">
      <w:pPr>
        <w:rPr>
          <w:rFonts w:ascii="Arial" w:hAnsi="Arial" w:cs="Arial"/>
          <w:sz w:val="22"/>
          <w:szCs w:val="22"/>
        </w:rPr>
      </w:pPr>
      <w:r>
        <w:rPr>
          <w:rFonts w:ascii="Arial" w:hAnsi="Arial" w:cs="Arial"/>
          <w:sz w:val="22"/>
          <w:szCs w:val="22"/>
        </w:rPr>
        <w:t>Councillor Mike Lewis</w:t>
      </w:r>
    </w:p>
    <w:p w14:paraId="07916DD3" w14:textId="77777777" w:rsidR="000A23C0" w:rsidRDefault="000A23C0" w:rsidP="000A23C0">
      <w:pPr>
        <w:rPr>
          <w:rFonts w:ascii="Arial" w:hAnsi="Arial" w:cs="Arial"/>
          <w:sz w:val="22"/>
          <w:szCs w:val="22"/>
        </w:rPr>
      </w:pPr>
      <w:r w:rsidRPr="004D176E">
        <w:rPr>
          <w:rFonts w:ascii="Arial" w:hAnsi="Arial" w:cs="Arial"/>
          <w:sz w:val="22"/>
          <w:szCs w:val="22"/>
        </w:rPr>
        <w:t>Chairman</w:t>
      </w:r>
    </w:p>
    <w:p w14:paraId="712EF803" w14:textId="77777777" w:rsidR="002B0909" w:rsidRDefault="002B0909" w:rsidP="000A23C0">
      <w:pPr>
        <w:rPr>
          <w:rFonts w:ascii="Arial" w:hAnsi="Arial" w:cs="Arial"/>
          <w:sz w:val="22"/>
          <w:szCs w:val="22"/>
        </w:rPr>
      </w:pPr>
    </w:p>
    <w:p w14:paraId="31ED8C6B" w14:textId="77777777" w:rsidR="00542C7A" w:rsidRDefault="00542C7A" w:rsidP="000A23C0">
      <w:pPr>
        <w:rPr>
          <w:rFonts w:ascii="Arial" w:hAnsi="Arial" w:cs="Arial"/>
          <w:sz w:val="22"/>
          <w:szCs w:val="22"/>
        </w:rPr>
      </w:pPr>
    </w:p>
    <w:p w14:paraId="0130AC22" w14:textId="77777777" w:rsidR="000B154A" w:rsidRDefault="000B154A" w:rsidP="000A23C0">
      <w:pPr>
        <w:rPr>
          <w:rFonts w:ascii="Arial" w:hAnsi="Arial" w:cs="Arial"/>
          <w:sz w:val="22"/>
          <w:szCs w:val="22"/>
        </w:rPr>
      </w:pPr>
    </w:p>
    <w:p w14:paraId="43483DDD" w14:textId="77777777" w:rsidR="002B0909" w:rsidRPr="00881F89" w:rsidRDefault="002B0909" w:rsidP="000A23C0">
      <w:pPr>
        <w:rPr>
          <w:rFonts w:ascii="Arial" w:hAnsi="Arial" w:cs="Arial"/>
          <w:sz w:val="22"/>
          <w:szCs w:val="22"/>
        </w:rPr>
      </w:pPr>
    </w:p>
    <w:p w14:paraId="457A12E4" w14:textId="77777777" w:rsidR="00450D8D" w:rsidRPr="00450D8D" w:rsidRDefault="00450D8D" w:rsidP="00450D8D">
      <w:pPr>
        <w:pStyle w:val="Heading3"/>
        <w:jc w:val="left"/>
        <w:rPr>
          <w:rFonts w:cs="Arial"/>
          <w:b w:val="0"/>
          <w:bCs/>
          <w:sz w:val="20"/>
        </w:rPr>
      </w:pPr>
      <w:r w:rsidRPr="00450D8D">
        <w:rPr>
          <w:rFonts w:cs="Arial"/>
          <w:bCs/>
          <w:sz w:val="20"/>
        </w:rPr>
        <w:t xml:space="preserve">The independent auditor’s report of the Auditor General for Wales to the members of City and County of Swansea as administering authority for City and County of Swansea Pension Fund </w:t>
      </w:r>
    </w:p>
    <w:p w14:paraId="77337E54" w14:textId="77777777" w:rsidR="00450D8D" w:rsidRDefault="00450D8D" w:rsidP="00450D8D">
      <w:pPr>
        <w:pStyle w:val="Heading5"/>
        <w:rPr>
          <w:rFonts w:cs="Arial"/>
          <w:sz w:val="20"/>
        </w:rPr>
      </w:pPr>
    </w:p>
    <w:p w14:paraId="0D8263FD" w14:textId="77777777" w:rsidR="00450D8D" w:rsidRPr="00450D8D" w:rsidRDefault="00450D8D" w:rsidP="00450D8D">
      <w:pPr>
        <w:pStyle w:val="Heading5"/>
        <w:rPr>
          <w:rFonts w:cs="Arial"/>
          <w:sz w:val="20"/>
        </w:rPr>
      </w:pPr>
      <w:r w:rsidRPr="00450D8D">
        <w:rPr>
          <w:rFonts w:cs="Arial"/>
          <w:sz w:val="20"/>
        </w:rPr>
        <w:t xml:space="preserve">Opinion on financial statements </w:t>
      </w:r>
    </w:p>
    <w:p w14:paraId="5E42A3F8" w14:textId="77777777" w:rsidR="00450D8D" w:rsidRDefault="00450D8D" w:rsidP="00450D8D">
      <w:pPr>
        <w:jc w:val="both"/>
        <w:rPr>
          <w:rFonts w:ascii="Arial" w:hAnsi="Arial" w:cs="Arial"/>
          <w:sz w:val="20"/>
        </w:rPr>
      </w:pPr>
      <w:r w:rsidRPr="00450D8D">
        <w:rPr>
          <w:rFonts w:ascii="Arial" w:hAnsi="Arial" w:cs="Arial"/>
          <w:sz w:val="20"/>
        </w:rPr>
        <w:t xml:space="preserve">I have audited the financial statements of City and County of Swansea Pension Fund for the year ended 31 March 2022 under the Public Audit (Wales) Act 2004. City and County of Swansea Pension Fund’s financial statements comprise the fund account, the net assets statement and the related notes, including a summary of significant accounting policies. The financial reporting framework that has been applied in their preparation is applicable law and international accounting standards as interpreted and adapted by the Code of Practice on Local Authority Accounting in the United Kingdom 2021-22. </w:t>
      </w:r>
    </w:p>
    <w:p w14:paraId="3D9950BD" w14:textId="77777777" w:rsidR="00450D8D" w:rsidRPr="00450D8D" w:rsidRDefault="00450D8D" w:rsidP="00450D8D">
      <w:pPr>
        <w:jc w:val="both"/>
        <w:rPr>
          <w:rFonts w:ascii="Arial" w:hAnsi="Arial" w:cs="Arial"/>
          <w:sz w:val="20"/>
        </w:rPr>
      </w:pPr>
    </w:p>
    <w:p w14:paraId="3DBB2EDD" w14:textId="77777777" w:rsidR="00450D8D" w:rsidRPr="00450D8D" w:rsidRDefault="00450D8D" w:rsidP="00450D8D">
      <w:pPr>
        <w:jc w:val="both"/>
        <w:rPr>
          <w:rFonts w:ascii="Arial" w:hAnsi="Arial" w:cs="Arial"/>
          <w:sz w:val="20"/>
        </w:rPr>
      </w:pPr>
      <w:r w:rsidRPr="00450D8D">
        <w:rPr>
          <w:rFonts w:ascii="Arial" w:hAnsi="Arial" w:cs="Arial"/>
          <w:sz w:val="20"/>
        </w:rPr>
        <w:t xml:space="preserve">In my opinion the financial statements:  </w:t>
      </w:r>
    </w:p>
    <w:p w14:paraId="5101A3B5" w14:textId="77777777" w:rsidR="00450D8D" w:rsidRPr="00450D8D" w:rsidRDefault="00450D8D" w:rsidP="00450D8D">
      <w:pPr>
        <w:pStyle w:val="Appendixbullet"/>
        <w:tabs>
          <w:tab w:val="clear" w:pos="1080"/>
        </w:tabs>
        <w:spacing w:before="0" w:after="0"/>
        <w:rPr>
          <w:rFonts w:cs="Arial"/>
          <w:color w:val="auto"/>
        </w:rPr>
      </w:pPr>
      <w:r w:rsidRPr="00450D8D">
        <w:rPr>
          <w:rFonts w:cs="Arial"/>
          <w:color w:val="auto"/>
        </w:rPr>
        <w:t xml:space="preserve">give a true and fair view of the financial position of the City and County of Swansea Pension Fund as at 31 March 2022 and of the amount and disposition at that date of its assets and liabilities, </w:t>
      </w:r>
      <w:r w:rsidR="00CF38AF">
        <w:rPr>
          <w:rFonts w:cs="Arial"/>
          <w:color w:val="auto"/>
        </w:rPr>
        <w:t xml:space="preserve">other than the liabilities to pay pensions and benefits after the end of the year; </w:t>
      </w:r>
      <w:r w:rsidRPr="00450D8D">
        <w:rPr>
          <w:rFonts w:cs="Arial"/>
          <w:color w:val="auto"/>
        </w:rPr>
        <w:t xml:space="preserve">and  </w:t>
      </w:r>
    </w:p>
    <w:p w14:paraId="46F24546" w14:textId="77777777" w:rsidR="00450D8D" w:rsidRDefault="00450D8D" w:rsidP="00450D8D">
      <w:pPr>
        <w:pStyle w:val="Appendixbullet"/>
        <w:tabs>
          <w:tab w:val="clear" w:pos="1080"/>
        </w:tabs>
        <w:spacing w:before="0" w:after="0"/>
        <w:rPr>
          <w:rFonts w:cs="Arial"/>
          <w:color w:val="auto"/>
        </w:rPr>
      </w:pPr>
      <w:r w:rsidRPr="00450D8D">
        <w:rPr>
          <w:rFonts w:cs="Arial"/>
          <w:color w:val="auto"/>
        </w:rPr>
        <w:t xml:space="preserve">have been properly prepared in accordance with legislative requirements and international accounting standards as interpreted and adapted by the Code of Practice on Local Authority Accounting in the United Kingdom 2021-22. </w:t>
      </w:r>
    </w:p>
    <w:p w14:paraId="57586532" w14:textId="77777777" w:rsidR="00450D8D" w:rsidRPr="00450D8D" w:rsidRDefault="00450D8D" w:rsidP="00450D8D">
      <w:pPr>
        <w:pStyle w:val="Appendixbullet"/>
        <w:numPr>
          <w:ilvl w:val="0"/>
          <w:numId w:val="0"/>
        </w:numPr>
        <w:ind w:left="567" w:hanging="567"/>
        <w:rPr>
          <w:rFonts w:cs="Arial"/>
          <w:color w:val="auto"/>
        </w:rPr>
      </w:pPr>
    </w:p>
    <w:p w14:paraId="752F160A" w14:textId="77777777" w:rsidR="00450D8D" w:rsidRPr="00450D8D" w:rsidRDefault="00450D8D" w:rsidP="00450D8D">
      <w:pPr>
        <w:pStyle w:val="Heading5"/>
        <w:rPr>
          <w:rFonts w:cs="Arial"/>
          <w:sz w:val="20"/>
        </w:rPr>
      </w:pPr>
      <w:r w:rsidRPr="00450D8D">
        <w:rPr>
          <w:rFonts w:cs="Arial"/>
          <w:sz w:val="20"/>
        </w:rPr>
        <w:t xml:space="preserve">Basis of opinion </w:t>
      </w:r>
    </w:p>
    <w:p w14:paraId="2A6D6689" w14:textId="77777777" w:rsidR="00450D8D" w:rsidRDefault="00450D8D" w:rsidP="00EA251E">
      <w:pPr>
        <w:pStyle w:val="Appendixtext"/>
        <w:spacing w:before="0" w:after="0"/>
        <w:jc w:val="both"/>
        <w:rPr>
          <w:rFonts w:cs="Arial"/>
          <w:color w:val="auto"/>
        </w:rPr>
      </w:pPr>
      <w:r w:rsidRPr="00450D8D">
        <w:rPr>
          <w:rFonts w:cs="Arial"/>
          <w:color w:val="auto"/>
        </w:rPr>
        <w:t xml:space="preserve">I conducted my audit in accordance with applicable law and International Standards on Auditing in the UK (ISAs (UK)) and Practice Note 10 ‘Audit of Financial Statements of Public Sector Entities in the United Kingdom’. My responsibilities under those standards are further described in the auditor’s responsibilities for the audit of the financial statements section of my report. I am independent of the pension fund in accordance with the ethical requirements that are relevant to my audit of the financial statements in the UK including the Financial Reporting Council’s Ethical Standard, and I have fulfilled my other ethical responsibilities in accordance with these requirements. I believe that the audit evidence I have obtained is sufficient and appropriate to provide a basis for my opinion. </w:t>
      </w:r>
    </w:p>
    <w:p w14:paraId="420354A2" w14:textId="77777777" w:rsidR="00450D8D" w:rsidRPr="00450D8D" w:rsidRDefault="00450D8D" w:rsidP="00450D8D">
      <w:pPr>
        <w:pStyle w:val="Appendixtext"/>
        <w:spacing w:before="0" w:after="0"/>
        <w:jc w:val="both"/>
        <w:rPr>
          <w:rFonts w:cs="Arial"/>
          <w:color w:val="auto"/>
        </w:rPr>
      </w:pPr>
    </w:p>
    <w:p w14:paraId="14D2B3E7" w14:textId="77777777" w:rsidR="00450D8D" w:rsidRPr="00450D8D" w:rsidRDefault="00450D8D" w:rsidP="00450D8D">
      <w:pPr>
        <w:pStyle w:val="Heading5"/>
        <w:rPr>
          <w:rFonts w:cs="Arial"/>
          <w:sz w:val="20"/>
        </w:rPr>
      </w:pPr>
      <w:r w:rsidRPr="00450D8D">
        <w:rPr>
          <w:rFonts w:cs="Arial"/>
          <w:sz w:val="20"/>
        </w:rPr>
        <w:t xml:space="preserve">Conclusions relating to going concern </w:t>
      </w:r>
    </w:p>
    <w:p w14:paraId="724C71B7" w14:textId="77777777" w:rsidR="00450D8D" w:rsidRPr="00450D8D" w:rsidRDefault="00450D8D" w:rsidP="00450D8D">
      <w:pPr>
        <w:pStyle w:val="Appendixtext"/>
        <w:spacing w:before="0" w:after="0"/>
        <w:jc w:val="both"/>
        <w:rPr>
          <w:rFonts w:cs="Arial"/>
          <w:color w:val="auto"/>
        </w:rPr>
      </w:pPr>
      <w:r w:rsidRPr="00450D8D">
        <w:rPr>
          <w:rFonts w:cs="Arial"/>
          <w:color w:val="auto"/>
        </w:rPr>
        <w:t xml:space="preserve">In auditing the financial statements, I have concluded that the use of the going concern basis of accounting in the preparation of the financial statements is appropriate. </w:t>
      </w:r>
    </w:p>
    <w:p w14:paraId="79B380A6" w14:textId="77777777" w:rsidR="00450D8D" w:rsidRPr="00450D8D" w:rsidRDefault="00450D8D" w:rsidP="00450D8D">
      <w:pPr>
        <w:pStyle w:val="Appendixtext"/>
        <w:spacing w:before="0" w:after="0"/>
        <w:jc w:val="both"/>
        <w:rPr>
          <w:rFonts w:cs="Arial"/>
          <w:color w:val="auto"/>
        </w:rPr>
      </w:pPr>
      <w:r w:rsidRPr="00450D8D">
        <w:rPr>
          <w:rFonts w:cs="Arial"/>
          <w:color w:val="auto"/>
        </w:rPr>
        <w:t xml:space="preserve">Based on the work I have performed, I have not identified any material uncertainties relating to events or conditions that, individually or collectively, may cast significant doubt on the pension fund’s ability to continue to adopt the going concern basis of accounting for a period of at least 12 months from when the financial statements are authorised for issue. </w:t>
      </w:r>
    </w:p>
    <w:p w14:paraId="765B5437" w14:textId="77777777" w:rsidR="00450D8D" w:rsidRDefault="00450D8D" w:rsidP="00450D8D">
      <w:pPr>
        <w:pStyle w:val="Appendixtext"/>
        <w:spacing w:before="0" w:after="0"/>
        <w:jc w:val="both"/>
        <w:rPr>
          <w:rFonts w:cs="Arial"/>
          <w:color w:val="auto"/>
        </w:rPr>
      </w:pPr>
      <w:r w:rsidRPr="00450D8D">
        <w:rPr>
          <w:rFonts w:cs="Arial"/>
          <w:color w:val="auto"/>
        </w:rPr>
        <w:t xml:space="preserve">My responsibilities and the responsibilities of the responsible financial officer with respect to going concern are described in the relevant sections of this report. </w:t>
      </w:r>
    </w:p>
    <w:p w14:paraId="28BAC22F" w14:textId="77777777" w:rsidR="00473A5C" w:rsidRDefault="00473A5C" w:rsidP="00450D8D">
      <w:pPr>
        <w:pStyle w:val="Appendixtext"/>
        <w:spacing w:before="0" w:after="0"/>
        <w:jc w:val="both"/>
        <w:rPr>
          <w:rFonts w:cs="Arial"/>
          <w:color w:val="auto"/>
        </w:rPr>
      </w:pPr>
    </w:p>
    <w:p w14:paraId="1FB856D3" w14:textId="77777777" w:rsidR="00473A5C" w:rsidRPr="00473A5C" w:rsidRDefault="00473A5C" w:rsidP="00473A5C">
      <w:pPr>
        <w:pStyle w:val="Appendixtext"/>
        <w:spacing w:before="0" w:after="0"/>
        <w:jc w:val="both"/>
        <w:rPr>
          <w:b/>
          <w:bCs/>
        </w:rPr>
      </w:pPr>
      <w:r w:rsidRPr="00473A5C">
        <w:rPr>
          <w:rFonts w:cs="Arial"/>
          <w:b/>
          <w:bCs/>
          <w:color w:val="auto"/>
        </w:rPr>
        <w:t>Other Information</w:t>
      </w:r>
    </w:p>
    <w:p w14:paraId="7DE796A5" w14:textId="77777777" w:rsidR="00450D8D" w:rsidRDefault="00450D8D" w:rsidP="00450D8D">
      <w:pPr>
        <w:pStyle w:val="Appendixtext"/>
        <w:spacing w:before="0" w:after="0"/>
        <w:jc w:val="both"/>
        <w:rPr>
          <w:rFonts w:cs="Arial"/>
          <w:color w:val="auto"/>
        </w:rPr>
      </w:pPr>
      <w:r w:rsidRPr="00450D8D">
        <w:rPr>
          <w:rFonts w:cs="Arial"/>
          <w:color w:val="auto"/>
        </w:rPr>
        <w:t xml:space="preserve">The other information comprises the information included in the annual report other than the financial statements. The Responsible Financial Officer is responsible for the other information contained within the annual report. My opinion on the financial statements does not cover the other information and, except to the extent otherwise explicitly stated in my report, I do not express any form of assurance conclusion thereon. My responsibility is to read the other information and, in doing so, consider whether the other information is materially inconsistent with the financial statements or knowledge obtained in the course of the audit, or otherwise appears to be materially misstated. If I identify such material inconsistencies or apparent material misstatements, I am required to determine </w:t>
      </w:r>
      <w:r w:rsidRPr="00450D8D">
        <w:rPr>
          <w:rFonts w:cs="Arial"/>
          <w:color w:val="auto"/>
        </w:rPr>
        <w:lastRenderedPageBreak/>
        <w:t>whether this gives rise to a material misstatement in the financial statements themselves. If, based on the work I have performed, I conclude that there is a material misstatement of this other information, I am required to report that fact.</w:t>
      </w:r>
    </w:p>
    <w:p w14:paraId="388B2869" w14:textId="77777777" w:rsidR="00450D8D" w:rsidRDefault="00450D8D" w:rsidP="00450D8D">
      <w:pPr>
        <w:pStyle w:val="Appendixtext"/>
        <w:spacing w:before="0" w:after="0"/>
        <w:jc w:val="both"/>
        <w:rPr>
          <w:rFonts w:cs="Arial"/>
          <w:color w:val="auto"/>
        </w:rPr>
      </w:pPr>
    </w:p>
    <w:p w14:paraId="4D9A1059" w14:textId="77777777" w:rsidR="00450D8D" w:rsidRDefault="00450D8D" w:rsidP="00450D8D">
      <w:pPr>
        <w:pStyle w:val="Appendixtext"/>
        <w:spacing w:before="0" w:after="0"/>
        <w:jc w:val="both"/>
        <w:rPr>
          <w:rFonts w:cs="Arial"/>
          <w:color w:val="auto"/>
        </w:rPr>
      </w:pPr>
      <w:r w:rsidRPr="00450D8D">
        <w:rPr>
          <w:rFonts w:cs="Arial"/>
          <w:color w:val="auto"/>
        </w:rPr>
        <w:t xml:space="preserve">I have nothing to report in this regard. </w:t>
      </w:r>
    </w:p>
    <w:p w14:paraId="2A71F5C2" w14:textId="77777777" w:rsidR="00450D8D" w:rsidRPr="00450D8D" w:rsidRDefault="00450D8D" w:rsidP="00450D8D">
      <w:pPr>
        <w:pStyle w:val="Heading5"/>
        <w:rPr>
          <w:rFonts w:cs="Arial"/>
          <w:sz w:val="20"/>
        </w:rPr>
      </w:pPr>
      <w:r w:rsidRPr="00450D8D">
        <w:rPr>
          <w:rFonts w:cs="Arial"/>
          <w:sz w:val="20"/>
        </w:rPr>
        <w:t xml:space="preserve">Report on other requirements </w:t>
      </w:r>
    </w:p>
    <w:p w14:paraId="70EDDBA1" w14:textId="77777777" w:rsidR="00450D8D" w:rsidRPr="00450D8D" w:rsidRDefault="00450D8D" w:rsidP="00450D8D">
      <w:pPr>
        <w:rPr>
          <w:rFonts w:ascii="Arial" w:hAnsi="Arial" w:cs="Arial"/>
          <w:b/>
          <w:bCs/>
          <w:sz w:val="20"/>
        </w:rPr>
      </w:pPr>
      <w:r w:rsidRPr="00450D8D">
        <w:rPr>
          <w:rFonts w:ascii="Arial" w:hAnsi="Arial" w:cs="Arial"/>
          <w:b/>
          <w:bCs/>
          <w:sz w:val="20"/>
        </w:rPr>
        <w:t xml:space="preserve">Opinion on other matters </w:t>
      </w:r>
    </w:p>
    <w:p w14:paraId="700FAC9E" w14:textId="77777777" w:rsidR="00450D8D" w:rsidRPr="00450D8D" w:rsidRDefault="00450D8D" w:rsidP="00450D8D">
      <w:pPr>
        <w:pStyle w:val="Appendixtext"/>
        <w:jc w:val="both"/>
        <w:rPr>
          <w:rFonts w:cs="Arial"/>
          <w:color w:val="auto"/>
        </w:rPr>
      </w:pPr>
      <w:r w:rsidRPr="00450D8D">
        <w:rPr>
          <w:rFonts w:cs="Arial"/>
          <w:color w:val="auto"/>
        </w:rPr>
        <w:t xml:space="preserve">In my opinion, based on the work undertaken in the course of my audit: </w:t>
      </w:r>
    </w:p>
    <w:p w14:paraId="245E106D" w14:textId="77777777" w:rsidR="00450D8D" w:rsidRDefault="00450D8D" w:rsidP="00450D8D">
      <w:pPr>
        <w:pStyle w:val="Appendixbullet"/>
        <w:tabs>
          <w:tab w:val="clear" w:pos="1080"/>
        </w:tabs>
        <w:jc w:val="both"/>
        <w:rPr>
          <w:rFonts w:cs="Arial"/>
          <w:color w:val="auto"/>
        </w:rPr>
      </w:pPr>
      <w:r w:rsidRPr="00450D8D">
        <w:rPr>
          <w:rFonts w:cs="Arial"/>
          <w:color w:val="auto"/>
        </w:rPr>
        <w:t xml:space="preserve">the information contained in the annual report for the financial year for which the financial statements are prepared is consistent with the financial statements and the annual report has been prepared in accordance with the Local Government Pension Scheme Regulations 2013.  </w:t>
      </w:r>
    </w:p>
    <w:p w14:paraId="47A8F625" w14:textId="77777777" w:rsidR="00450D8D" w:rsidRPr="00450D8D" w:rsidRDefault="00450D8D" w:rsidP="00450D8D">
      <w:pPr>
        <w:pStyle w:val="Appendixbullet"/>
        <w:numPr>
          <w:ilvl w:val="0"/>
          <w:numId w:val="0"/>
        </w:numPr>
        <w:ind w:left="567" w:hanging="567"/>
        <w:jc w:val="both"/>
        <w:rPr>
          <w:rFonts w:cs="Arial"/>
          <w:color w:val="auto"/>
        </w:rPr>
      </w:pPr>
    </w:p>
    <w:p w14:paraId="37F7CD66" w14:textId="77777777" w:rsidR="00450D8D" w:rsidRPr="00450D8D" w:rsidRDefault="00450D8D" w:rsidP="00450D8D">
      <w:pPr>
        <w:rPr>
          <w:rFonts w:ascii="Arial" w:hAnsi="Arial" w:cs="Arial"/>
          <w:b/>
          <w:bCs/>
          <w:sz w:val="20"/>
        </w:rPr>
      </w:pPr>
      <w:r w:rsidRPr="00450D8D">
        <w:rPr>
          <w:rFonts w:ascii="Arial" w:hAnsi="Arial" w:cs="Arial"/>
          <w:b/>
          <w:bCs/>
          <w:sz w:val="20"/>
        </w:rPr>
        <w:t xml:space="preserve">Matters on which I report by exception </w:t>
      </w:r>
    </w:p>
    <w:p w14:paraId="388F815F" w14:textId="77777777" w:rsidR="00450D8D" w:rsidRDefault="00450D8D" w:rsidP="00450D8D">
      <w:pPr>
        <w:pStyle w:val="Appendixtext"/>
        <w:spacing w:before="0" w:after="0"/>
        <w:jc w:val="both"/>
        <w:rPr>
          <w:rFonts w:cs="Arial"/>
          <w:color w:val="auto"/>
        </w:rPr>
      </w:pPr>
      <w:r w:rsidRPr="00450D8D">
        <w:rPr>
          <w:rFonts w:cs="Arial"/>
          <w:color w:val="auto"/>
        </w:rPr>
        <w:t xml:space="preserve">In the light of the knowledge and understanding of the pension fund and its environment obtained in the course of the audit, I have not identified material misstatements in the annual report. </w:t>
      </w:r>
    </w:p>
    <w:p w14:paraId="7462DFA4" w14:textId="77777777" w:rsidR="00450D8D" w:rsidRPr="00450D8D" w:rsidRDefault="00450D8D" w:rsidP="00450D8D">
      <w:pPr>
        <w:pStyle w:val="Appendixtext"/>
        <w:spacing w:before="0" w:after="0"/>
        <w:jc w:val="both"/>
        <w:rPr>
          <w:rFonts w:cs="Arial"/>
          <w:color w:val="auto"/>
        </w:rPr>
      </w:pPr>
    </w:p>
    <w:p w14:paraId="102A9762" w14:textId="77777777" w:rsidR="00450D8D" w:rsidRPr="00450D8D" w:rsidRDefault="00450D8D" w:rsidP="00450D8D">
      <w:pPr>
        <w:pStyle w:val="Appendixtext"/>
        <w:spacing w:before="0" w:after="0"/>
        <w:jc w:val="both"/>
        <w:rPr>
          <w:rFonts w:cs="Arial"/>
          <w:color w:val="auto"/>
        </w:rPr>
      </w:pPr>
      <w:r w:rsidRPr="00450D8D">
        <w:rPr>
          <w:rFonts w:cs="Arial"/>
          <w:color w:val="auto"/>
        </w:rPr>
        <w:t xml:space="preserve">I have nothing to report in respect of the following matters, which I report to you, if, in my opinion: </w:t>
      </w:r>
    </w:p>
    <w:p w14:paraId="4CFE475E" w14:textId="77777777" w:rsidR="00450D8D" w:rsidRPr="00450D8D" w:rsidRDefault="00450D8D" w:rsidP="00450D8D">
      <w:pPr>
        <w:pStyle w:val="Appendixbullet"/>
        <w:tabs>
          <w:tab w:val="clear" w:pos="1080"/>
        </w:tabs>
        <w:spacing w:before="0" w:after="0"/>
        <w:jc w:val="both"/>
        <w:rPr>
          <w:rFonts w:cs="Arial"/>
          <w:color w:val="auto"/>
        </w:rPr>
      </w:pPr>
      <w:r w:rsidRPr="00450D8D">
        <w:rPr>
          <w:rFonts w:cs="Arial"/>
          <w:color w:val="auto"/>
        </w:rPr>
        <w:t xml:space="preserve">adequate accounting records have not been kept, or returns adequate for my audit have not been received from branches not visited by my team; </w:t>
      </w:r>
    </w:p>
    <w:p w14:paraId="5204C6E6" w14:textId="77777777" w:rsidR="00450D8D" w:rsidRPr="00450D8D" w:rsidRDefault="00450D8D" w:rsidP="00450D8D">
      <w:pPr>
        <w:pStyle w:val="Appendixbullet"/>
        <w:tabs>
          <w:tab w:val="clear" w:pos="1080"/>
        </w:tabs>
        <w:spacing w:before="0" w:after="0"/>
        <w:jc w:val="both"/>
        <w:rPr>
          <w:rFonts w:cs="Arial"/>
          <w:color w:val="auto"/>
        </w:rPr>
      </w:pPr>
      <w:r w:rsidRPr="00450D8D">
        <w:rPr>
          <w:rFonts w:cs="Arial"/>
          <w:color w:val="auto"/>
        </w:rPr>
        <w:t xml:space="preserve">the financial statements are not in agreement with the accounting records and returns; or </w:t>
      </w:r>
    </w:p>
    <w:p w14:paraId="1C4F5906" w14:textId="77777777" w:rsidR="00450D8D" w:rsidRDefault="00450D8D" w:rsidP="00450D8D">
      <w:pPr>
        <w:pStyle w:val="Appendixbullet"/>
        <w:tabs>
          <w:tab w:val="clear" w:pos="1080"/>
        </w:tabs>
        <w:spacing w:before="0" w:after="0"/>
        <w:jc w:val="both"/>
        <w:rPr>
          <w:rFonts w:cs="Arial"/>
          <w:color w:val="auto"/>
        </w:rPr>
      </w:pPr>
      <w:r w:rsidRPr="00450D8D">
        <w:rPr>
          <w:rFonts w:cs="Arial"/>
          <w:color w:val="auto"/>
        </w:rPr>
        <w:t xml:space="preserve">I have not received all the information and explanations I require for my audit. </w:t>
      </w:r>
    </w:p>
    <w:p w14:paraId="2B16EB23" w14:textId="77777777" w:rsidR="00450D8D" w:rsidRPr="00450D8D" w:rsidRDefault="00450D8D" w:rsidP="00450D8D">
      <w:pPr>
        <w:pStyle w:val="Appendixbullet"/>
        <w:numPr>
          <w:ilvl w:val="0"/>
          <w:numId w:val="0"/>
        </w:numPr>
        <w:spacing w:before="0" w:after="0"/>
        <w:ind w:left="567" w:hanging="567"/>
        <w:jc w:val="both"/>
        <w:rPr>
          <w:rFonts w:cs="Arial"/>
          <w:color w:val="auto"/>
        </w:rPr>
      </w:pPr>
    </w:p>
    <w:p w14:paraId="29475AC8" w14:textId="77777777" w:rsidR="00450D8D" w:rsidRPr="00450D8D" w:rsidRDefault="00450D8D" w:rsidP="00450D8D">
      <w:pPr>
        <w:pStyle w:val="Heading5"/>
        <w:rPr>
          <w:rFonts w:cs="Arial"/>
          <w:sz w:val="20"/>
        </w:rPr>
      </w:pPr>
      <w:r w:rsidRPr="00450D8D">
        <w:rPr>
          <w:rFonts w:cs="Arial"/>
          <w:sz w:val="20"/>
        </w:rPr>
        <w:t xml:space="preserve">Responsibilities </w:t>
      </w:r>
    </w:p>
    <w:p w14:paraId="317285EC" w14:textId="77777777" w:rsidR="00450D8D" w:rsidRPr="00450D8D" w:rsidRDefault="00450D8D" w:rsidP="00450D8D">
      <w:pPr>
        <w:rPr>
          <w:rFonts w:ascii="Arial" w:hAnsi="Arial" w:cs="Arial"/>
          <w:b/>
          <w:bCs/>
          <w:sz w:val="20"/>
        </w:rPr>
      </w:pPr>
      <w:r w:rsidRPr="00450D8D">
        <w:rPr>
          <w:rFonts w:ascii="Arial" w:hAnsi="Arial" w:cs="Arial"/>
          <w:b/>
          <w:bCs/>
          <w:sz w:val="20"/>
        </w:rPr>
        <w:t xml:space="preserve">Responsibilities of the responsible financial officer for the financial statements </w:t>
      </w:r>
    </w:p>
    <w:p w14:paraId="11886B5B" w14:textId="77777777" w:rsidR="00450D8D" w:rsidRPr="00450D8D" w:rsidRDefault="00450D8D" w:rsidP="00450D8D">
      <w:pPr>
        <w:pStyle w:val="Appendixtext"/>
        <w:spacing w:before="0" w:after="0"/>
        <w:jc w:val="both"/>
        <w:rPr>
          <w:rFonts w:cs="Arial"/>
          <w:color w:val="auto"/>
        </w:rPr>
      </w:pPr>
      <w:r w:rsidRPr="00450D8D">
        <w:rPr>
          <w:rFonts w:cs="Arial"/>
          <w:color w:val="auto"/>
        </w:rPr>
        <w:t xml:space="preserve">As explained more fully in the Statement of Responsibilities for the financial statements, the responsible financial officer is responsible for the preparation of the financial statement, which give a true and fair view, and for such internal control as the responsible financial officer determines is necessary to enable the preparation of the financial statements that are free from material misstatement, whether due to fraud or error. </w:t>
      </w:r>
    </w:p>
    <w:p w14:paraId="398B3383" w14:textId="77777777" w:rsidR="00450D8D" w:rsidRDefault="00450D8D" w:rsidP="00450D8D">
      <w:pPr>
        <w:pStyle w:val="Appendixtext"/>
        <w:spacing w:before="0" w:after="0"/>
        <w:jc w:val="both"/>
        <w:rPr>
          <w:rFonts w:cs="Arial"/>
          <w:color w:val="auto"/>
        </w:rPr>
      </w:pPr>
      <w:r w:rsidRPr="00450D8D">
        <w:rPr>
          <w:rFonts w:cs="Arial"/>
          <w:color w:val="auto"/>
        </w:rPr>
        <w:t xml:space="preserve">In preparing the financial statements, the responsible financial officer is responsible for assessing the pension fund’s ability to continue as a going concern, disclosing as applicable, matters related to going concern and using the going concern basis of accounting unless deemed inappropriate.  </w:t>
      </w:r>
    </w:p>
    <w:p w14:paraId="2C43FDEF" w14:textId="77777777" w:rsidR="00450D8D" w:rsidRPr="00450D8D" w:rsidRDefault="00450D8D" w:rsidP="00450D8D">
      <w:pPr>
        <w:pStyle w:val="Appendixtext"/>
        <w:spacing w:before="0" w:after="0"/>
        <w:jc w:val="both"/>
        <w:rPr>
          <w:rFonts w:cs="Arial"/>
          <w:color w:val="auto"/>
        </w:rPr>
      </w:pPr>
    </w:p>
    <w:p w14:paraId="47718F64" w14:textId="77777777" w:rsidR="00450D8D" w:rsidRPr="00450D8D" w:rsidRDefault="00450D8D" w:rsidP="00450D8D">
      <w:pPr>
        <w:jc w:val="both"/>
        <w:rPr>
          <w:rFonts w:ascii="Arial" w:hAnsi="Arial" w:cs="Arial"/>
          <w:b/>
          <w:bCs/>
          <w:sz w:val="20"/>
        </w:rPr>
      </w:pPr>
      <w:r w:rsidRPr="00450D8D">
        <w:rPr>
          <w:rFonts w:ascii="Arial" w:hAnsi="Arial" w:cs="Arial"/>
          <w:b/>
          <w:bCs/>
          <w:sz w:val="20"/>
        </w:rPr>
        <w:t xml:space="preserve">Auditor’s responsibilities for the audit of the financial statements </w:t>
      </w:r>
    </w:p>
    <w:p w14:paraId="6A96D9CD" w14:textId="77777777" w:rsidR="00450D8D" w:rsidRPr="00450D8D" w:rsidRDefault="00450D8D" w:rsidP="00450D8D">
      <w:pPr>
        <w:pStyle w:val="Appendixtext"/>
        <w:spacing w:before="0" w:after="0"/>
        <w:jc w:val="both"/>
        <w:rPr>
          <w:rFonts w:cs="Arial"/>
          <w:color w:val="auto"/>
        </w:rPr>
      </w:pPr>
      <w:r w:rsidRPr="00450D8D">
        <w:rPr>
          <w:rFonts w:cs="Arial"/>
          <w:color w:val="auto"/>
        </w:rPr>
        <w:t xml:space="preserve">My objectives are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 </w:t>
      </w:r>
    </w:p>
    <w:p w14:paraId="382E6B95" w14:textId="77777777" w:rsidR="00450D8D" w:rsidRDefault="00450D8D" w:rsidP="00450D8D">
      <w:pPr>
        <w:pStyle w:val="Appendixtext"/>
        <w:spacing w:before="0" w:after="0"/>
        <w:jc w:val="both"/>
        <w:rPr>
          <w:rFonts w:cs="Arial"/>
          <w:color w:val="auto"/>
        </w:rPr>
      </w:pPr>
      <w:r w:rsidRPr="00450D8D">
        <w:rPr>
          <w:rFonts w:cs="Arial"/>
          <w:color w:val="auto"/>
        </w:rPr>
        <w:t xml:space="preserve">Irregularities, including fraud, are instances of non-compliance with laws and regulations. I design procedures in line with my responsibilities, outlined above, to detect material misstatements in respect of irregularities, including fraud.  </w:t>
      </w:r>
    </w:p>
    <w:p w14:paraId="67E2125C" w14:textId="77777777" w:rsidR="00450D8D" w:rsidRPr="00450D8D" w:rsidRDefault="00450D8D" w:rsidP="00450D8D">
      <w:pPr>
        <w:pStyle w:val="Appendixtext"/>
        <w:spacing w:before="0" w:after="0"/>
        <w:jc w:val="both"/>
        <w:rPr>
          <w:rFonts w:cs="Arial"/>
          <w:color w:val="auto"/>
        </w:rPr>
      </w:pPr>
    </w:p>
    <w:p w14:paraId="66E74E74" w14:textId="77777777" w:rsidR="00450D8D" w:rsidRPr="00450D8D" w:rsidRDefault="00450D8D" w:rsidP="00450D8D">
      <w:pPr>
        <w:pStyle w:val="Appendixtext"/>
        <w:spacing w:before="0" w:after="0"/>
        <w:jc w:val="both"/>
        <w:rPr>
          <w:rFonts w:cs="Arial"/>
          <w:color w:val="auto"/>
        </w:rPr>
      </w:pPr>
      <w:r w:rsidRPr="00450D8D">
        <w:rPr>
          <w:rFonts w:cs="Arial"/>
        </w:rPr>
        <w:t xml:space="preserve"> </w:t>
      </w:r>
      <w:r w:rsidRPr="00450D8D">
        <w:rPr>
          <w:rFonts w:cs="Arial"/>
          <w:color w:val="auto"/>
        </w:rPr>
        <w:t xml:space="preserve">My procedures included the following: </w:t>
      </w:r>
    </w:p>
    <w:p w14:paraId="52B99BB8" w14:textId="77777777" w:rsidR="00450D8D" w:rsidRDefault="00450D8D" w:rsidP="00450D8D">
      <w:pPr>
        <w:pStyle w:val="Appendixbullet"/>
        <w:tabs>
          <w:tab w:val="clear" w:pos="1080"/>
        </w:tabs>
        <w:spacing w:before="0" w:after="0"/>
        <w:jc w:val="both"/>
        <w:rPr>
          <w:rFonts w:cs="Arial"/>
          <w:color w:val="auto"/>
        </w:rPr>
      </w:pPr>
      <w:r w:rsidRPr="00450D8D">
        <w:rPr>
          <w:rFonts w:cs="Arial"/>
          <w:color w:val="auto"/>
        </w:rPr>
        <w:t xml:space="preserve">enquiring of management, the administering authority’s head of internal audit and those charged with governance, including obtaining and reviewing supporting documentation relating to City and County of Swansea Pension Fund’s policies and procedures concerned with: </w:t>
      </w:r>
    </w:p>
    <w:p w14:paraId="3597CB0B" w14:textId="77777777" w:rsidR="00450D8D" w:rsidRPr="00450D8D" w:rsidRDefault="00450D8D" w:rsidP="00450D8D">
      <w:pPr>
        <w:pStyle w:val="Appendixbullet"/>
        <w:numPr>
          <w:ilvl w:val="0"/>
          <w:numId w:val="0"/>
        </w:numPr>
        <w:spacing w:before="0" w:after="0"/>
        <w:ind w:left="567" w:hanging="567"/>
        <w:jc w:val="both"/>
        <w:rPr>
          <w:rFonts w:cs="Arial"/>
          <w:color w:val="auto"/>
        </w:rPr>
      </w:pPr>
      <w:r w:rsidRPr="00450D8D">
        <w:rPr>
          <w:rFonts w:cs="Arial"/>
          <w:color w:val="auto"/>
        </w:rPr>
        <w:t xml:space="preserve"> </w:t>
      </w:r>
    </w:p>
    <w:p w14:paraId="1B553FBD" w14:textId="77777777" w:rsidR="00450D8D" w:rsidRPr="00450D8D" w:rsidRDefault="00450D8D" w:rsidP="00450D8D">
      <w:pPr>
        <w:pStyle w:val="APrecommendationsub-bullet"/>
        <w:tabs>
          <w:tab w:val="clear" w:pos="360"/>
        </w:tabs>
        <w:spacing w:before="0" w:after="0"/>
        <w:ind w:left="1021" w:hanging="284"/>
        <w:jc w:val="both"/>
        <w:rPr>
          <w:rFonts w:cs="Arial"/>
          <w:color w:val="auto"/>
        </w:rPr>
      </w:pPr>
      <w:r w:rsidRPr="00450D8D">
        <w:rPr>
          <w:rFonts w:cs="Arial"/>
          <w:color w:val="auto"/>
        </w:rPr>
        <w:lastRenderedPageBreak/>
        <w:t xml:space="preserve">identifying, evaluating and complying with laws and regulations and whether they were aware of any instances of non-compliance; </w:t>
      </w:r>
    </w:p>
    <w:p w14:paraId="307AE7DD" w14:textId="77777777" w:rsidR="00450D8D" w:rsidRPr="00450D8D" w:rsidRDefault="00450D8D" w:rsidP="00450D8D">
      <w:pPr>
        <w:pStyle w:val="APrecommendationsub-bullet"/>
        <w:tabs>
          <w:tab w:val="clear" w:pos="360"/>
        </w:tabs>
        <w:spacing w:before="0" w:after="0"/>
        <w:ind w:left="1021" w:hanging="284"/>
        <w:jc w:val="both"/>
        <w:rPr>
          <w:rFonts w:cs="Arial"/>
          <w:color w:val="auto"/>
        </w:rPr>
      </w:pPr>
      <w:r w:rsidRPr="00450D8D">
        <w:rPr>
          <w:rFonts w:cs="Arial"/>
          <w:color w:val="auto"/>
        </w:rPr>
        <w:t xml:space="preserve">detecting and responding to the risks of fraud and whether they have knowledge of any actual, suspected or alleged fraud; and </w:t>
      </w:r>
    </w:p>
    <w:p w14:paraId="761DD795" w14:textId="77777777" w:rsidR="00450D8D" w:rsidRPr="00450D8D" w:rsidRDefault="00450D8D" w:rsidP="00450D8D">
      <w:pPr>
        <w:pStyle w:val="APrecommendationsub-bullet"/>
        <w:tabs>
          <w:tab w:val="clear" w:pos="360"/>
        </w:tabs>
        <w:spacing w:before="0" w:after="0"/>
        <w:ind w:left="1021" w:hanging="284"/>
        <w:jc w:val="both"/>
        <w:rPr>
          <w:rFonts w:cs="Arial"/>
          <w:color w:val="auto"/>
        </w:rPr>
      </w:pPr>
      <w:r w:rsidRPr="00450D8D">
        <w:rPr>
          <w:rFonts w:cs="Arial"/>
          <w:color w:val="auto"/>
        </w:rPr>
        <w:t xml:space="preserve">the internal controls established to mitigate risks related to fraud or noncompliance with laws and regulations. </w:t>
      </w:r>
    </w:p>
    <w:p w14:paraId="71E46836" w14:textId="77777777" w:rsidR="00450D8D" w:rsidRPr="00450D8D" w:rsidRDefault="00450D8D" w:rsidP="00450D8D">
      <w:pPr>
        <w:pStyle w:val="Appendixbullet"/>
        <w:tabs>
          <w:tab w:val="clear" w:pos="1080"/>
        </w:tabs>
        <w:spacing w:before="0" w:after="0"/>
        <w:jc w:val="both"/>
        <w:rPr>
          <w:rFonts w:cs="Arial"/>
          <w:color w:val="auto"/>
        </w:rPr>
      </w:pPr>
      <w:r w:rsidRPr="00450D8D">
        <w:rPr>
          <w:rFonts w:cs="Arial"/>
          <w:color w:val="auto"/>
        </w:rPr>
        <w:t xml:space="preserve">considering as an audit team how and where fraud might occur in the financial statements and any potential indicators of fraud. As part of this discussion, I identified potential for fraud in the posting of unusual journals and biases in accounting estimates. </w:t>
      </w:r>
    </w:p>
    <w:p w14:paraId="627ECDD6" w14:textId="77777777" w:rsidR="00450D8D" w:rsidRDefault="00450D8D" w:rsidP="00450D8D">
      <w:pPr>
        <w:pStyle w:val="Appendixbullet"/>
        <w:tabs>
          <w:tab w:val="clear" w:pos="1080"/>
        </w:tabs>
        <w:spacing w:before="0" w:after="0"/>
        <w:jc w:val="both"/>
        <w:rPr>
          <w:rFonts w:cs="Arial"/>
          <w:color w:val="auto"/>
        </w:rPr>
      </w:pPr>
      <w:r w:rsidRPr="00450D8D">
        <w:rPr>
          <w:rFonts w:cs="Arial"/>
          <w:color w:val="auto"/>
        </w:rPr>
        <w:t xml:space="preserve">obtaining an understanding of the City and County of Swansea Pension Fund’s framework of authority as well as other legal and regulatory frameworks that the Pension Fund operates in, focusing on those laws and regulations that had a direct effect on the financial statements or that had a fundamental effect on the operations of the Pension Fund. </w:t>
      </w:r>
    </w:p>
    <w:p w14:paraId="35AB6C13" w14:textId="77777777" w:rsidR="00450D8D" w:rsidRPr="00450D8D" w:rsidRDefault="00450D8D" w:rsidP="00450D8D">
      <w:pPr>
        <w:pStyle w:val="Appendixbullet"/>
        <w:numPr>
          <w:ilvl w:val="0"/>
          <w:numId w:val="0"/>
        </w:numPr>
        <w:spacing w:before="0" w:after="0"/>
        <w:ind w:left="567" w:hanging="567"/>
        <w:jc w:val="both"/>
        <w:rPr>
          <w:rFonts w:cs="Arial"/>
          <w:color w:val="auto"/>
        </w:rPr>
      </w:pPr>
    </w:p>
    <w:p w14:paraId="0C5DECDF" w14:textId="77777777" w:rsidR="00450D8D" w:rsidRPr="00450D8D" w:rsidRDefault="00450D8D" w:rsidP="00450D8D">
      <w:pPr>
        <w:pStyle w:val="Appendixtext"/>
        <w:spacing w:before="0" w:after="0"/>
        <w:jc w:val="both"/>
        <w:rPr>
          <w:rFonts w:cs="Arial"/>
          <w:color w:val="auto"/>
        </w:rPr>
      </w:pPr>
      <w:r w:rsidRPr="00450D8D">
        <w:rPr>
          <w:rFonts w:cs="Arial"/>
          <w:color w:val="auto"/>
        </w:rPr>
        <w:t xml:space="preserve">In addition to the above, my procedures to respond to identified risks included the following: </w:t>
      </w:r>
    </w:p>
    <w:p w14:paraId="0A54E3EF" w14:textId="77777777" w:rsidR="00450D8D" w:rsidRPr="00450D8D" w:rsidRDefault="00450D8D" w:rsidP="00450D8D">
      <w:pPr>
        <w:pStyle w:val="Appendixbullet"/>
        <w:tabs>
          <w:tab w:val="clear" w:pos="1080"/>
        </w:tabs>
        <w:spacing w:before="0" w:after="0"/>
        <w:jc w:val="both"/>
        <w:rPr>
          <w:rFonts w:cs="Arial"/>
          <w:color w:val="auto"/>
        </w:rPr>
      </w:pPr>
      <w:r w:rsidRPr="00450D8D">
        <w:rPr>
          <w:rFonts w:cs="Arial"/>
          <w:color w:val="auto"/>
        </w:rPr>
        <w:t xml:space="preserve">reviewing the financial statement disclosures and testing to supporting documentation to assess compliance with relevant laws and regulations discussed above; </w:t>
      </w:r>
    </w:p>
    <w:p w14:paraId="75B8EEC9" w14:textId="77777777" w:rsidR="00450D8D" w:rsidRPr="00450D8D" w:rsidRDefault="00450D8D" w:rsidP="00450D8D">
      <w:pPr>
        <w:pStyle w:val="Appendixbullet"/>
        <w:tabs>
          <w:tab w:val="clear" w:pos="1080"/>
        </w:tabs>
        <w:spacing w:before="0" w:after="0"/>
        <w:jc w:val="both"/>
        <w:rPr>
          <w:rFonts w:cs="Arial"/>
          <w:color w:val="auto"/>
        </w:rPr>
      </w:pPr>
      <w:r w:rsidRPr="00450D8D">
        <w:rPr>
          <w:rFonts w:cs="Arial"/>
          <w:color w:val="auto"/>
        </w:rPr>
        <w:t xml:space="preserve">enquiring of management, those charged with governance about actual and potential litigation and claims; </w:t>
      </w:r>
    </w:p>
    <w:p w14:paraId="52AD803E" w14:textId="77777777" w:rsidR="00450D8D" w:rsidRPr="00450D8D" w:rsidRDefault="00450D8D" w:rsidP="00450D8D">
      <w:pPr>
        <w:pStyle w:val="Appendixbullet"/>
        <w:tabs>
          <w:tab w:val="clear" w:pos="1080"/>
        </w:tabs>
        <w:spacing w:before="0" w:after="0"/>
        <w:jc w:val="both"/>
        <w:rPr>
          <w:rFonts w:cs="Arial"/>
          <w:color w:val="auto"/>
        </w:rPr>
      </w:pPr>
      <w:r w:rsidRPr="00450D8D">
        <w:rPr>
          <w:rFonts w:cs="Arial"/>
          <w:color w:val="auto"/>
        </w:rPr>
        <w:t xml:space="preserve">reading minutes of meetings of those charged with governance, the Pension Fund Committee and the administering authority; and </w:t>
      </w:r>
    </w:p>
    <w:p w14:paraId="651DA1AA" w14:textId="77777777" w:rsidR="00450D8D" w:rsidRDefault="00450D8D" w:rsidP="00450D8D">
      <w:pPr>
        <w:pStyle w:val="Appendixbullet"/>
        <w:tabs>
          <w:tab w:val="clear" w:pos="1080"/>
        </w:tabs>
        <w:spacing w:before="0" w:after="0"/>
        <w:jc w:val="both"/>
        <w:rPr>
          <w:rFonts w:cs="Arial"/>
          <w:color w:val="auto"/>
        </w:rPr>
      </w:pPr>
      <w:r w:rsidRPr="00450D8D">
        <w:rPr>
          <w:rFonts w:cs="Arial"/>
          <w:color w:val="auto"/>
        </w:rPr>
        <w:t xml:space="preserve">in addressing the risk of fraud through management override of controls, testing the appropriateness of journal entries and other adjustments; assessing whether the judgements made in making accounting estimates are indicative of a potential bias; and evaluating the business rationale of any significant transactions that are unusual or outside the normal course of business. </w:t>
      </w:r>
    </w:p>
    <w:p w14:paraId="3CCFDA1D" w14:textId="77777777" w:rsidR="00450D8D" w:rsidRPr="00450D8D" w:rsidRDefault="00450D8D" w:rsidP="00450D8D">
      <w:pPr>
        <w:pStyle w:val="Appendixbullet"/>
        <w:numPr>
          <w:ilvl w:val="0"/>
          <w:numId w:val="0"/>
        </w:numPr>
        <w:spacing w:before="0" w:after="0"/>
        <w:ind w:left="567" w:hanging="567"/>
        <w:jc w:val="both"/>
        <w:rPr>
          <w:rFonts w:cs="Arial"/>
          <w:color w:val="auto"/>
        </w:rPr>
      </w:pPr>
    </w:p>
    <w:p w14:paraId="0CEF5ED5" w14:textId="77777777" w:rsidR="00450D8D" w:rsidRPr="00450D8D" w:rsidRDefault="00450D8D" w:rsidP="00450D8D">
      <w:pPr>
        <w:pStyle w:val="Appendixtext"/>
        <w:spacing w:before="0" w:after="0"/>
        <w:jc w:val="both"/>
        <w:rPr>
          <w:rFonts w:cs="Arial"/>
          <w:color w:val="auto"/>
        </w:rPr>
      </w:pPr>
      <w:r w:rsidRPr="00450D8D">
        <w:rPr>
          <w:rFonts w:cs="Arial"/>
          <w:color w:val="auto"/>
        </w:rPr>
        <w:t xml:space="preserve">I also communicated relevant identified laws and regulations and potential fraud risks to all audit team and remained alert to any indications of fraud or non-compliance with laws and regulations throughout the audit. </w:t>
      </w:r>
    </w:p>
    <w:p w14:paraId="5615D21E" w14:textId="77777777" w:rsidR="00450D8D" w:rsidRPr="00450D8D" w:rsidRDefault="00450D8D" w:rsidP="00450D8D">
      <w:pPr>
        <w:pStyle w:val="Appendixtext"/>
        <w:spacing w:before="0" w:after="0"/>
        <w:jc w:val="both"/>
        <w:rPr>
          <w:rFonts w:cs="Arial"/>
          <w:color w:val="auto"/>
        </w:rPr>
      </w:pPr>
      <w:r w:rsidRPr="00450D8D">
        <w:rPr>
          <w:rFonts w:cs="Arial"/>
          <w:color w:val="auto"/>
        </w:rPr>
        <w:t xml:space="preserve">The extent to which my procedures are capable of detecting irregularities, including fraud, is affected by the inherent difficulty in detecting irregularities, the effectiveness of City and County of Swansea Pension Fund’s controls, and the nature, timing and extent of the audit procedures performed.  </w:t>
      </w:r>
    </w:p>
    <w:p w14:paraId="1E2AA058" w14:textId="77777777" w:rsidR="00450D8D" w:rsidRDefault="00450D8D" w:rsidP="00450D8D">
      <w:pPr>
        <w:pStyle w:val="Appendixtext"/>
        <w:spacing w:before="0" w:after="0"/>
        <w:jc w:val="both"/>
        <w:rPr>
          <w:rFonts w:cs="Arial"/>
          <w:color w:val="auto"/>
        </w:rPr>
      </w:pPr>
      <w:r w:rsidRPr="00450D8D">
        <w:rPr>
          <w:rFonts w:cs="Arial"/>
          <w:color w:val="auto"/>
        </w:rPr>
        <w:t>A further description of the auditor’s responsibilities for the audit of the financial statements is located on the Financial Reporting Council’s website</w:t>
      </w:r>
      <w:r w:rsidRPr="00450D8D">
        <w:rPr>
          <w:rFonts w:cs="Arial"/>
        </w:rPr>
        <w:t xml:space="preserve"> </w:t>
      </w:r>
      <w:hyperlink r:id="rId35" w:history="1">
        <w:r w:rsidRPr="00450D8D">
          <w:rPr>
            <w:rStyle w:val="Hyperlink"/>
            <w:rFonts w:cs="Arial"/>
          </w:rPr>
          <w:t>www.frc.org.uk/auditorsresponsibilities</w:t>
        </w:r>
      </w:hyperlink>
      <w:r w:rsidRPr="00450D8D">
        <w:rPr>
          <w:rFonts w:cs="Arial"/>
        </w:rPr>
        <w:t xml:space="preserve">. </w:t>
      </w:r>
      <w:r w:rsidRPr="00450D8D">
        <w:rPr>
          <w:rFonts w:cs="Arial"/>
          <w:color w:val="auto"/>
        </w:rPr>
        <w:t xml:space="preserve">This description forms part of my auditor’s report. </w:t>
      </w:r>
    </w:p>
    <w:p w14:paraId="64560278" w14:textId="77777777" w:rsidR="00450D8D" w:rsidRPr="00450D8D" w:rsidRDefault="00450D8D" w:rsidP="00450D8D">
      <w:pPr>
        <w:pStyle w:val="Appendixtext"/>
        <w:spacing w:before="0" w:after="0"/>
        <w:jc w:val="both"/>
        <w:rPr>
          <w:rFonts w:cs="Arial"/>
          <w:color w:val="auto"/>
        </w:rPr>
      </w:pPr>
    </w:p>
    <w:p w14:paraId="52A99FC4" w14:textId="77777777" w:rsidR="00450D8D" w:rsidRPr="00450D8D" w:rsidRDefault="00450D8D" w:rsidP="00450D8D">
      <w:pPr>
        <w:pStyle w:val="Heading5"/>
        <w:rPr>
          <w:rFonts w:cs="Arial"/>
          <w:sz w:val="20"/>
        </w:rPr>
      </w:pPr>
      <w:r w:rsidRPr="00450D8D">
        <w:rPr>
          <w:rFonts w:cs="Arial"/>
          <w:sz w:val="20"/>
        </w:rPr>
        <w:t xml:space="preserve">Certificate of completion of audit </w:t>
      </w:r>
    </w:p>
    <w:p w14:paraId="50630ACD" w14:textId="77777777" w:rsidR="00450D8D" w:rsidRPr="00450D8D" w:rsidRDefault="00450D8D" w:rsidP="00450D8D">
      <w:pPr>
        <w:pStyle w:val="Appendixtext"/>
        <w:spacing w:before="0" w:after="0"/>
        <w:rPr>
          <w:rFonts w:cs="Arial"/>
          <w:color w:val="auto"/>
        </w:rPr>
      </w:pPr>
      <w:r w:rsidRPr="00450D8D">
        <w:rPr>
          <w:rFonts w:cs="Arial"/>
          <w:color w:val="auto"/>
        </w:rPr>
        <w:t xml:space="preserve">I certify that I have completed the audit of the accounts of City and County of Swansea Pension Fund in accordance with the requirements of the Public Audit (Wales) Act 2004 and the Auditor General for Wales’ Code of Audit Practice. </w:t>
      </w:r>
    </w:p>
    <w:p w14:paraId="02A24A32" w14:textId="77777777" w:rsidR="00450D8D" w:rsidRPr="00450D8D" w:rsidRDefault="00450D8D" w:rsidP="00450D8D">
      <w:pPr>
        <w:rPr>
          <w:rFonts w:ascii="Arial" w:hAnsi="Arial" w:cs="Arial"/>
          <w:sz w:val="20"/>
        </w:rPr>
      </w:pPr>
      <w:r w:rsidRPr="00450D8D">
        <w:rPr>
          <w:rFonts w:ascii="Arial" w:hAnsi="Arial" w:cs="Arial"/>
          <w:sz w:val="20"/>
        </w:rPr>
        <w:t xml:space="preserve"> </w:t>
      </w:r>
    </w:p>
    <w:p w14:paraId="27050CF9" w14:textId="598E80EA" w:rsidR="003F7453" w:rsidRDefault="00516E75" w:rsidP="00450D8D">
      <w:pPr>
        <w:rPr>
          <w:rFonts w:ascii="Arial" w:hAnsi="Arial" w:cs="Arial"/>
          <w:sz w:val="20"/>
        </w:rPr>
      </w:pPr>
      <w:r>
        <w:rPr>
          <w:noProof/>
        </w:rPr>
        <w:drawing>
          <wp:inline distT="0" distB="0" distL="0" distR="0" wp14:anchorId="41F71FC6" wp14:editId="4CAB0FEB">
            <wp:extent cx="1240790" cy="522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0790" cy="522605"/>
                    </a:xfrm>
                    <a:prstGeom prst="rect">
                      <a:avLst/>
                    </a:prstGeom>
                    <a:noFill/>
                    <a:ln>
                      <a:noFill/>
                    </a:ln>
                  </pic:spPr>
                </pic:pic>
              </a:graphicData>
            </a:graphic>
          </wp:inline>
        </w:drawing>
      </w:r>
    </w:p>
    <w:p w14:paraId="07CF77C4" w14:textId="77777777" w:rsidR="003F7453" w:rsidRPr="00450D8D" w:rsidRDefault="003F7453" w:rsidP="00450D8D">
      <w:pPr>
        <w:rPr>
          <w:rFonts w:ascii="Arial" w:hAnsi="Arial" w:cs="Arial"/>
          <w:sz w:val="20"/>
        </w:rPr>
      </w:pPr>
    </w:p>
    <w:p w14:paraId="3D325360" w14:textId="77777777" w:rsidR="00450D8D" w:rsidRPr="00450D8D" w:rsidRDefault="00450D8D" w:rsidP="00450D8D">
      <w:pPr>
        <w:rPr>
          <w:rFonts w:ascii="Arial" w:hAnsi="Arial" w:cs="Arial"/>
          <w:sz w:val="20"/>
        </w:rPr>
      </w:pPr>
      <w:r w:rsidRPr="00450D8D">
        <w:rPr>
          <w:rFonts w:ascii="Arial" w:hAnsi="Arial" w:cs="Arial"/>
          <w:sz w:val="20"/>
        </w:rPr>
        <w:t xml:space="preserve">Adrian Crompton </w:t>
      </w:r>
      <w:r w:rsidRPr="00450D8D">
        <w:rPr>
          <w:rFonts w:ascii="Arial" w:hAnsi="Arial" w:cs="Arial"/>
          <w:sz w:val="20"/>
        </w:rPr>
        <w:tab/>
        <w:t xml:space="preserve"> </w:t>
      </w:r>
      <w:r w:rsidRPr="00450D8D">
        <w:rPr>
          <w:rFonts w:ascii="Arial" w:hAnsi="Arial" w:cs="Arial"/>
          <w:sz w:val="20"/>
        </w:rPr>
        <w:tab/>
        <w:t xml:space="preserve"> </w:t>
      </w:r>
      <w:r w:rsidRPr="00450D8D">
        <w:rPr>
          <w:rFonts w:ascii="Arial" w:hAnsi="Arial" w:cs="Arial"/>
          <w:sz w:val="20"/>
        </w:rPr>
        <w:tab/>
        <w:t xml:space="preserve"> </w:t>
      </w:r>
      <w:r w:rsidRPr="00450D8D">
        <w:rPr>
          <w:rFonts w:ascii="Arial" w:hAnsi="Arial" w:cs="Arial"/>
          <w:sz w:val="20"/>
        </w:rPr>
        <w:tab/>
        <w:t xml:space="preserve"> </w:t>
      </w:r>
      <w:r w:rsidRPr="00450D8D">
        <w:rPr>
          <w:rFonts w:ascii="Arial" w:hAnsi="Arial" w:cs="Arial"/>
          <w:sz w:val="20"/>
        </w:rPr>
        <w:tab/>
        <w:t xml:space="preserve"> </w:t>
      </w:r>
      <w:r w:rsidRPr="00450D8D">
        <w:rPr>
          <w:rFonts w:ascii="Arial" w:hAnsi="Arial" w:cs="Arial"/>
          <w:sz w:val="20"/>
        </w:rPr>
        <w:tab/>
        <w:t xml:space="preserve">24 Cathedral Road </w:t>
      </w:r>
    </w:p>
    <w:p w14:paraId="4EB5540E" w14:textId="77777777" w:rsidR="00450D8D" w:rsidRPr="00450D8D" w:rsidRDefault="00450D8D" w:rsidP="00450D8D">
      <w:pPr>
        <w:rPr>
          <w:rFonts w:ascii="Arial" w:hAnsi="Arial" w:cs="Arial"/>
          <w:sz w:val="20"/>
        </w:rPr>
      </w:pPr>
      <w:r w:rsidRPr="00450D8D">
        <w:rPr>
          <w:rFonts w:ascii="Arial" w:hAnsi="Arial" w:cs="Arial"/>
          <w:sz w:val="20"/>
        </w:rPr>
        <w:t xml:space="preserve">Auditor General for Wales   </w:t>
      </w:r>
      <w:r w:rsidRPr="00450D8D">
        <w:rPr>
          <w:rFonts w:ascii="Arial" w:hAnsi="Arial" w:cs="Arial"/>
          <w:sz w:val="20"/>
        </w:rPr>
        <w:tab/>
        <w:t xml:space="preserve"> </w:t>
      </w:r>
      <w:r w:rsidRPr="00450D8D">
        <w:rPr>
          <w:rFonts w:ascii="Arial" w:hAnsi="Arial" w:cs="Arial"/>
          <w:sz w:val="20"/>
        </w:rPr>
        <w:tab/>
        <w:t xml:space="preserve"> </w:t>
      </w:r>
      <w:r w:rsidRPr="00450D8D">
        <w:rPr>
          <w:rFonts w:ascii="Arial" w:hAnsi="Arial" w:cs="Arial"/>
          <w:sz w:val="20"/>
        </w:rPr>
        <w:tab/>
        <w:t xml:space="preserve"> </w:t>
      </w:r>
      <w:r w:rsidRPr="00450D8D">
        <w:rPr>
          <w:rFonts w:ascii="Arial" w:hAnsi="Arial" w:cs="Arial"/>
          <w:sz w:val="20"/>
        </w:rPr>
        <w:tab/>
      </w:r>
      <w:r w:rsidRPr="00450D8D">
        <w:rPr>
          <w:rFonts w:ascii="Arial" w:hAnsi="Arial" w:cs="Arial"/>
          <w:sz w:val="20"/>
        </w:rPr>
        <w:tab/>
        <w:t xml:space="preserve">Cardiff </w:t>
      </w:r>
    </w:p>
    <w:p w14:paraId="1D66702F" w14:textId="77777777" w:rsidR="00450D8D" w:rsidRPr="00450D8D" w:rsidRDefault="00473A5C" w:rsidP="00450D8D">
      <w:pPr>
        <w:rPr>
          <w:rFonts w:ascii="Arial" w:hAnsi="Arial" w:cs="Arial"/>
          <w:sz w:val="20"/>
        </w:rPr>
      </w:pPr>
      <w:r w:rsidRPr="00473A5C">
        <w:rPr>
          <w:rFonts w:ascii="Arial" w:hAnsi="Arial" w:cs="Arial"/>
          <w:sz w:val="20"/>
        </w:rPr>
        <w:t>21</w:t>
      </w:r>
      <w:r w:rsidR="00450D8D" w:rsidRPr="00450D8D">
        <w:rPr>
          <w:rFonts w:ascii="Arial" w:hAnsi="Arial" w:cs="Arial"/>
          <w:sz w:val="20"/>
        </w:rPr>
        <w:t xml:space="preserve"> November 2022 </w:t>
      </w:r>
      <w:r w:rsidR="00450D8D" w:rsidRPr="00450D8D">
        <w:rPr>
          <w:rFonts w:ascii="Arial" w:hAnsi="Arial" w:cs="Arial"/>
          <w:sz w:val="20"/>
        </w:rPr>
        <w:tab/>
        <w:t xml:space="preserve"> </w:t>
      </w:r>
      <w:r w:rsidR="00450D8D" w:rsidRPr="00450D8D">
        <w:rPr>
          <w:rFonts w:ascii="Arial" w:hAnsi="Arial" w:cs="Arial"/>
          <w:sz w:val="20"/>
        </w:rPr>
        <w:tab/>
        <w:t xml:space="preserve"> </w:t>
      </w:r>
      <w:r w:rsidR="00450D8D" w:rsidRPr="00450D8D">
        <w:rPr>
          <w:rFonts w:ascii="Arial" w:hAnsi="Arial" w:cs="Arial"/>
          <w:sz w:val="20"/>
        </w:rPr>
        <w:tab/>
        <w:t xml:space="preserve"> </w:t>
      </w:r>
      <w:r w:rsidR="00450D8D" w:rsidRPr="00450D8D">
        <w:rPr>
          <w:rFonts w:ascii="Arial" w:hAnsi="Arial" w:cs="Arial"/>
          <w:sz w:val="20"/>
        </w:rPr>
        <w:tab/>
        <w:t xml:space="preserve"> </w:t>
      </w:r>
      <w:r w:rsidR="00450D8D" w:rsidRPr="00450D8D">
        <w:rPr>
          <w:rFonts w:ascii="Arial" w:hAnsi="Arial" w:cs="Arial"/>
          <w:sz w:val="20"/>
        </w:rPr>
        <w:tab/>
        <w:t xml:space="preserve"> </w:t>
      </w:r>
      <w:r w:rsidR="00450D8D" w:rsidRPr="00450D8D">
        <w:rPr>
          <w:rFonts w:ascii="Arial" w:hAnsi="Arial" w:cs="Arial"/>
          <w:sz w:val="20"/>
        </w:rPr>
        <w:tab/>
        <w:t>CF11 9LJ</w:t>
      </w:r>
    </w:p>
    <w:p w14:paraId="7DEA7F68" w14:textId="77777777" w:rsidR="00450D8D" w:rsidRPr="00450D8D" w:rsidRDefault="00450D8D" w:rsidP="00450D8D">
      <w:pPr>
        <w:rPr>
          <w:rFonts w:ascii="Arial" w:hAnsi="Arial" w:cs="Arial"/>
          <w:sz w:val="20"/>
        </w:rPr>
      </w:pPr>
    </w:p>
    <w:p w14:paraId="2826ABCC" w14:textId="77777777" w:rsidR="0030567A" w:rsidRPr="004D176E" w:rsidRDefault="0030567A" w:rsidP="00F240EA">
      <w:pPr>
        <w:jc w:val="center"/>
        <w:rPr>
          <w:rFonts w:ascii="Arial" w:hAnsi="Arial"/>
          <w:b/>
          <w:sz w:val="24"/>
          <w:szCs w:val="24"/>
        </w:rPr>
      </w:pPr>
    </w:p>
    <w:p w14:paraId="6E99840D" w14:textId="77777777" w:rsidR="00F3354E" w:rsidRPr="00F92A43" w:rsidRDefault="00F92A43" w:rsidP="00F92A43">
      <w:pPr>
        <w:rPr>
          <w:rFonts w:ascii="Arial" w:hAnsi="Arial" w:cs="Arial"/>
          <w:b/>
          <w:sz w:val="20"/>
        </w:rPr>
      </w:pPr>
      <w:r w:rsidRPr="004D176E">
        <w:rPr>
          <w:rFonts w:ascii="Arial" w:hAnsi="Arial" w:cs="Arial"/>
          <w:sz w:val="20"/>
        </w:rPr>
        <w:t>The maintenance and integrity of City and County of Swansea Pension Fund's website is the responsibility of the Authority; the work carried out by auditors does not involve consideration of these matters and accordingly auditors accept no responsibility for any changes that may have occurred to the financial statements since they were initially presented on the website.</w:t>
      </w:r>
    </w:p>
    <w:p w14:paraId="126BE9DA" w14:textId="77777777" w:rsidR="00F3354E" w:rsidRDefault="00F3354E" w:rsidP="00F240EA">
      <w:pPr>
        <w:jc w:val="center"/>
        <w:rPr>
          <w:rFonts w:ascii="Arial" w:hAnsi="Arial"/>
          <w:b/>
          <w:sz w:val="24"/>
          <w:szCs w:val="24"/>
        </w:rPr>
      </w:pPr>
    </w:p>
    <w:p w14:paraId="50F6FEE0" w14:textId="77777777" w:rsidR="00F3354E" w:rsidRDefault="00F3354E" w:rsidP="00F240EA">
      <w:pPr>
        <w:jc w:val="center"/>
        <w:rPr>
          <w:rFonts w:ascii="Arial" w:hAnsi="Arial"/>
          <w:b/>
          <w:sz w:val="24"/>
          <w:szCs w:val="24"/>
        </w:rPr>
      </w:pPr>
    </w:p>
    <w:p w14:paraId="2E9CB76F" w14:textId="77777777" w:rsidR="008A2AC3" w:rsidRPr="00902B91" w:rsidRDefault="00DE0322" w:rsidP="00F240EA">
      <w:pPr>
        <w:jc w:val="center"/>
        <w:rPr>
          <w:rFonts w:ascii="Arial" w:hAnsi="Arial"/>
          <w:b/>
        </w:rPr>
      </w:pPr>
      <w:r>
        <w:rPr>
          <w:rFonts w:ascii="Arial" w:hAnsi="Arial"/>
          <w:b/>
        </w:rPr>
        <w:t>S</w:t>
      </w:r>
      <w:r w:rsidR="008A2AC3">
        <w:rPr>
          <w:rFonts w:ascii="Arial" w:hAnsi="Arial"/>
          <w:b/>
        </w:rPr>
        <w:t xml:space="preserve">TATEMENT OF ACCOUNTS </w:t>
      </w:r>
      <w:r w:rsidR="00A570F5">
        <w:rPr>
          <w:rFonts w:ascii="Arial" w:hAnsi="Arial"/>
          <w:b/>
        </w:rPr>
        <w:t>2021/22</w:t>
      </w:r>
    </w:p>
    <w:p w14:paraId="4D35F1EB" w14:textId="77777777" w:rsidR="008A2AC3" w:rsidRDefault="008A2AC3" w:rsidP="005E4F16">
      <w:pPr>
        <w:tabs>
          <w:tab w:val="left" w:pos="360"/>
        </w:tabs>
        <w:rPr>
          <w:rFonts w:ascii="Arial" w:hAnsi="Arial" w:cs="Arial"/>
          <w:b/>
          <w:sz w:val="24"/>
          <w:szCs w:val="24"/>
        </w:rPr>
      </w:pPr>
    </w:p>
    <w:p w14:paraId="298EA0FC" w14:textId="77777777" w:rsidR="00997AE0" w:rsidRDefault="00E84540" w:rsidP="00582D69">
      <w:pPr>
        <w:tabs>
          <w:tab w:val="left" w:pos="360"/>
        </w:tabs>
      </w:pPr>
      <w:r>
        <w:rPr>
          <w:rFonts w:ascii="Arial" w:hAnsi="Arial" w:cs="Arial"/>
          <w:b/>
          <w:sz w:val="24"/>
          <w:szCs w:val="24"/>
        </w:rPr>
        <w:t>1</w:t>
      </w:r>
      <w:r w:rsidR="007E5AD2">
        <w:rPr>
          <w:rFonts w:ascii="Arial" w:hAnsi="Arial" w:cs="Arial"/>
          <w:b/>
          <w:sz w:val="24"/>
          <w:szCs w:val="24"/>
        </w:rPr>
        <w:t>.</w:t>
      </w:r>
      <w:r w:rsidR="00997AE0">
        <w:rPr>
          <w:rFonts w:ascii="Arial" w:hAnsi="Arial" w:cs="Arial"/>
          <w:b/>
          <w:sz w:val="24"/>
          <w:szCs w:val="24"/>
        </w:rPr>
        <w:tab/>
      </w:r>
      <w:r w:rsidR="00177A3C" w:rsidRPr="00177A3C">
        <w:rPr>
          <w:rFonts w:ascii="Arial" w:hAnsi="Arial" w:cs="Arial"/>
          <w:b/>
          <w:sz w:val="24"/>
          <w:szCs w:val="24"/>
        </w:rPr>
        <w:t>Introduction</w:t>
      </w:r>
    </w:p>
    <w:p w14:paraId="5FC2AA81" w14:textId="77777777" w:rsidR="002E24C5" w:rsidRPr="004A4766" w:rsidRDefault="002E24C5" w:rsidP="005E4F16">
      <w:pPr>
        <w:tabs>
          <w:tab w:val="left" w:pos="426"/>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rPr>
      </w:pPr>
      <w:r w:rsidRPr="004A4766">
        <w:rPr>
          <w:rFonts w:ascii="Arial" w:hAnsi="Arial"/>
          <w:sz w:val="24"/>
          <w:szCs w:val="24"/>
        </w:rPr>
        <w:t xml:space="preserve">The City &amp; County of Swansea Pension Fund is administered by the City &amp; County of Swansea. </w:t>
      </w:r>
      <w:r w:rsidR="00997AE0">
        <w:rPr>
          <w:rFonts w:ascii="Arial" w:hAnsi="Arial"/>
          <w:sz w:val="24"/>
          <w:szCs w:val="24"/>
        </w:rPr>
        <w:t xml:space="preserve"> </w:t>
      </w:r>
      <w:r w:rsidRPr="004A4766">
        <w:rPr>
          <w:rFonts w:ascii="Arial" w:hAnsi="Arial"/>
          <w:sz w:val="24"/>
          <w:szCs w:val="24"/>
        </w:rPr>
        <w:t xml:space="preserve">However it is a separate statutory fund and its assets and liabilities, income and expenditure are not consolidated into the accounts of the </w:t>
      </w:r>
      <w:r w:rsidR="004615A7">
        <w:rPr>
          <w:rFonts w:ascii="Arial" w:hAnsi="Arial"/>
          <w:sz w:val="24"/>
          <w:szCs w:val="24"/>
        </w:rPr>
        <w:t>Authority</w:t>
      </w:r>
      <w:r w:rsidRPr="004A4766">
        <w:rPr>
          <w:rFonts w:ascii="Arial" w:hAnsi="Arial"/>
          <w:sz w:val="24"/>
          <w:szCs w:val="24"/>
        </w:rPr>
        <w:t>.</w:t>
      </w:r>
      <w:r w:rsidR="008B125A">
        <w:rPr>
          <w:rFonts w:ascii="Arial" w:hAnsi="Arial"/>
          <w:sz w:val="24"/>
          <w:szCs w:val="24"/>
        </w:rPr>
        <w:t xml:space="preserve"> </w:t>
      </w:r>
      <w:r w:rsidRPr="004A4766">
        <w:rPr>
          <w:rFonts w:ascii="Arial" w:hAnsi="Arial"/>
          <w:sz w:val="24"/>
          <w:szCs w:val="24"/>
        </w:rPr>
        <w:t>That is, the Pension Fund’s assets and liabilities are distinct.</w:t>
      </w:r>
    </w:p>
    <w:p w14:paraId="4A13F13A" w14:textId="77777777" w:rsidR="002E24C5" w:rsidRPr="004A4766" w:rsidRDefault="002E24C5" w:rsidP="005E4F16">
      <w:pPr>
        <w:tabs>
          <w:tab w:val="left" w:pos="426"/>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rPr>
      </w:pPr>
    </w:p>
    <w:p w14:paraId="7A1A1A27" w14:textId="77777777" w:rsidR="002E24C5" w:rsidRPr="004A4766" w:rsidRDefault="002E24C5" w:rsidP="005E4F16">
      <w:pPr>
        <w:tabs>
          <w:tab w:val="left" w:pos="426"/>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rPr>
      </w:pPr>
      <w:r w:rsidRPr="004A4766">
        <w:rPr>
          <w:rFonts w:ascii="Arial" w:hAnsi="Arial"/>
          <w:sz w:val="24"/>
          <w:szCs w:val="24"/>
        </w:rPr>
        <w:t>The summarised accounts of the Pension Fund shown here comprise three main elements:-</w:t>
      </w:r>
    </w:p>
    <w:p w14:paraId="566A5370" w14:textId="77777777" w:rsidR="002E24C5" w:rsidRPr="004A4766" w:rsidRDefault="002E24C5" w:rsidP="009E72D7">
      <w:pPr>
        <w:numPr>
          <w:ilvl w:val="0"/>
          <w:numId w:val="8"/>
        </w:numPr>
        <w:tabs>
          <w:tab w:val="clear" w:pos="786"/>
          <w:tab w:val="left" w:pos="426"/>
          <w:tab w:val="num" w:pos="720"/>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rPr>
      </w:pPr>
      <w:r w:rsidRPr="004A4766">
        <w:rPr>
          <w:rFonts w:ascii="Arial" w:hAnsi="Arial"/>
          <w:sz w:val="24"/>
          <w:szCs w:val="24"/>
        </w:rPr>
        <w:t xml:space="preserve">The Fund Account which shows income and expenditure of the </w:t>
      </w:r>
      <w:r w:rsidR="009D7ECC">
        <w:rPr>
          <w:rFonts w:ascii="Arial" w:hAnsi="Arial"/>
          <w:sz w:val="24"/>
          <w:szCs w:val="24"/>
        </w:rPr>
        <w:t>F</w:t>
      </w:r>
      <w:r w:rsidRPr="004A4766">
        <w:rPr>
          <w:rFonts w:ascii="Arial" w:hAnsi="Arial"/>
          <w:sz w:val="24"/>
          <w:szCs w:val="24"/>
        </w:rPr>
        <w:t>und during the year, split between payments to/contributions from members and transactions relating to fund investments.</w:t>
      </w:r>
    </w:p>
    <w:p w14:paraId="480FC089" w14:textId="77777777" w:rsidR="002E24C5" w:rsidRPr="004A4766" w:rsidRDefault="002E24C5" w:rsidP="005E4F16">
      <w:pPr>
        <w:tabs>
          <w:tab w:val="left" w:pos="426"/>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rPr>
      </w:pPr>
    </w:p>
    <w:p w14:paraId="1F5A213C" w14:textId="77777777" w:rsidR="002E24C5" w:rsidRPr="004A4766" w:rsidRDefault="002E24C5" w:rsidP="009E72D7">
      <w:pPr>
        <w:numPr>
          <w:ilvl w:val="0"/>
          <w:numId w:val="8"/>
        </w:numPr>
        <w:tabs>
          <w:tab w:val="left" w:pos="426"/>
          <w:tab w:val="left" w:pos="709"/>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rPr>
      </w:pPr>
      <w:r w:rsidRPr="004A4766">
        <w:rPr>
          <w:rFonts w:ascii="Arial" w:hAnsi="Arial"/>
          <w:sz w:val="24"/>
          <w:szCs w:val="24"/>
        </w:rPr>
        <w:t xml:space="preserve">The Net Assets Statement which gives a snapshot of the financial position of the </w:t>
      </w:r>
      <w:r w:rsidR="009D7ECC">
        <w:rPr>
          <w:rFonts w:ascii="Arial" w:hAnsi="Arial"/>
          <w:sz w:val="24"/>
          <w:szCs w:val="24"/>
        </w:rPr>
        <w:t>F</w:t>
      </w:r>
      <w:r w:rsidRPr="004A4766">
        <w:rPr>
          <w:rFonts w:ascii="Arial" w:hAnsi="Arial"/>
          <w:sz w:val="24"/>
          <w:szCs w:val="24"/>
        </w:rPr>
        <w:t xml:space="preserve">und as at 31 March </w:t>
      </w:r>
      <w:r w:rsidR="00CC2D11">
        <w:rPr>
          <w:rFonts w:ascii="Arial" w:hAnsi="Arial"/>
          <w:sz w:val="24"/>
          <w:szCs w:val="24"/>
        </w:rPr>
        <w:t>202</w:t>
      </w:r>
      <w:r w:rsidR="00A570F5">
        <w:rPr>
          <w:rFonts w:ascii="Arial" w:hAnsi="Arial"/>
          <w:sz w:val="24"/>
          <w:szCs w:val="24"/>
        </w:rPr>
        <w:t>2</w:t>
      </w:r>
      <w:r w:rsidR="00CC2D11">
        <w:rPr>
          <w:rFonts w:ascii="Arial" w:hAnsi="Arial"/>
          <w:sz w:val="24"/>
          <w:szCs w:val="24"/>
        </w:rPr>
        <w:t>.</w:t>
      </w:r>
    </w:p>
    <w:p w14:paraId="5FB9CFFD" w14:textId="77777777" w:rsidR="002E24C5" w:rsidRPr="004A4766" w:rsidRDefault="002E24C5" w:rsidP="005E4F16">
      <w:pPr>
        <w:tabs>
          <w:tab w:val="left" w:pos="426"/>
          <w:tab w:val="left" w:pos="1728"/>
          <w:tab w:val="left" w:pos="2592"/>
          <w:tab w:val="left" w:pos="3456"/>
          <w:tab w:val="left" w:pos="4320"/>
          <w:tab w:val="left" w:pos="5184"/>
          <w:tab w:val="left" w:pos="6048"/>
          <w:tab w:val="left" w:pos="6912"/>
          <w:tab w:val="left" w:pos="7776"/>
          <w:tab w:val="left" w:pos="8640"/>
          <w:tab w:val="left" w:pos="9504"/>
        </w:tabs>
        <w:ind w:left="426"/>
        <w:jc w:val="both"/>
        <w:rPr>
          <w:rFonts w:ascii="Arial" w:hAnsi="Arial"/>
          <w:sz w:val="24"/>
          <w:szCs w:val="24"/>
        </w:rPr>
      </w:pPr>
    </w:p>
    <w:p w14:paraId="766D0AE7" w14:textId="77777777" w:rsidR="002E24C5" w:rsidRDefault="00966EC2" w:rsidP="009E72D7">
      <w:pPr>
        <w:numPr>
          <w:ilvl w:val="0"/>
          <w:numId w:val="8"/>
        </w:numPr>
        <w:tabs>
          <w:tab w:val="left" w:pos="426"/>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rPr>
      </w:pPr>
      <w:r>
        <w:rPr>
          <w:rFonts w:ascii="Arial" w:hAnsi="Arial"/>
          <w:sz w:val="24"/>
          <w:szCs w:val="24"/>
        </w:rPr>
        <w:t>The Notes to the Financial Statements which are</w:t>
      </w:r>
      <w:r w:rsidR="002E24C5" w:rsidRPr="004A4766">
        <w:rPr>
          <w:rFonts w:ascii="Arial" w:hAnsi="Arial"/>
          <w:sz w:val="24"/>
          <w:szCs w:val="24"/>
        </w:rPr>
        <w:t xml:space="preserve"> designed to provide further explanation of some of the figures in the statements and to give a further understanding of the nature of the </w:t>
      </w:r>
      <w:r w:rsidR="009D7ECC">
        <w:rPr>
          <w:rFonts w:ascii="Arial" w:hAnsi="Arial"/>
          <w:sz w:val="24"/>
          <w:szCs w:val="24"/>
        </w:rPr>
        <w:t>Fu</w:t>
      </w:r>
      <w:r w:rsidR="002E24C5" w:rsidRPr="004A4766">
        <w:rPr>
          <w:rFonts w:ascii="Arial" w:hAnsi="Arial"/>
          <w:sz w:val="24"/>
          <w:szCs w:val="24"/>
        </w:rPr>
        <w:t>nd.</w:t>
      </w:r>
    </w:p>
    <w:p w14:paraId="504832A2" w14:textId="77777777" w:rsidR="00C85CC0" w:rsidRPr="004A4766" w:rsidRDefault="00C85CC0" w:rsidP="005E4F16">
      <w:pPr>
        <w:pStyle w:val="BodyText2"/>
        <w:tabs>
          <w:tab w:val="left" w:pos="426"/>
          <w:tab w:val="left" w:pos="1728"/>
          <w:tab w:val="left" w:pos="2592"/>
          <w:tab w:val="left" w:pos="3456"/>
          <w:tab w:val="left" w:pos="4320"/>
          <w:tab w:val="left" w:pos="5184"/>
          <w:tab w:val="left" w:pos="6048"/>
          <w:tab w:val="left" w:pos="6912"/>
          <w:tab w:val="left" w:pos="7776"/>
          <w:tab w:val="left" w:pos="8640"/>
          <w:tab w:val="left" w:pos="9504"/>
        </w:tabs>
        <w:jc w:val="both"/>
        <w:outlineLvl w:val="0"/>
        <w:rPr>
          <w:vanish/>
          <w:szCs w:val="24"/>
        </w:rPr>
      </w:pPr>
    </w:p>
    <w:p w14:paraId="7CCB4E49" w14:textId="77777777" w:rsidR="000C1993" w:rsidRDefault="000C1993"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rPr>
      </w:pPr>
    </w:p>
    <w:p w14:paraId="1E8733C4" w14:textId="77777777" w:rsidR="009C32B5" w:rsidRPr="009C32B5" w:rsidRDefault="009C32B5" w:rsidP="009E72D7">
      <w:pPr>
        <w:pStyle w:val="BodyText2"/>
        <w:numPr>
          <w:ilvl w:val="0"/>
          <w:numId w:val="7"/>
        </w:numPr>
        <w:tabs>
          <w:tab w:val="left" w:pos="1728"/>
          <w:tab w:val="left" w:pos="2592"/>
          <w:tab w:val="left" w:pos="3456"/>
          <w:tab w:val="left" w:pos="4320"/>
          <w:tab w:val="left" w:pos="5184"/>
          <w:tab w:val="left" w:pos="6048"/>
          <w:tab w:val="left" w:pos="6912"/>
          <w:tab w:val="left" w:pos="7776"/>
          <w:tab w:val="left" w:pos="8640"/>
          <w:tab w:val="left" w:pos="9504"/>
        </w:tabs>
        <w:jc w:val="both"/>
        <w:outlineLvl w:val="0"/>
        <w:rPr>
          <w:color w:val="000000"/>
        </w:rPr>
      </w:pPr>
      <w:r w:rsidRPr="009C32B5">
        <w:rPr>
          <w:b/>
          <w:color w:val="000000"/>
        </w:rPr>
        <w:t>Summary of transactions for the year</w:t>
      </w:r>
    </w:p>
    <w:p w14:paraId="43D9B9C0" w14:textId="5AB3FAE9" w:rsidR="009C32B5" w:rsidRDefault="00516E75" w:rsidP="005E4F16">
      <w:pPr>
        <w:pStyle w:val="BodyText2"/>
        <w:tabs>
          <w:tab w:val="left" w:pos="6912"/>
          <w:tab w:val="left" w:pos="7776"/>
          <w:tab w:val="left" w:pos="8640"/>
          <w:tab w:val="left" w:pos="9504"/>
        </w:tabs>
        <w:rPr>
          <w:i/>
          <w:color w:val="000000"/>
        </w:rPr>
      </w:pPr>
      <w:r>
        <w:rPr>
          <w:i/>
          <w:noProof/>
          <w:color w:val="000000"/>
        </w:rPr>
        <mc:AlternateContent>
          <mc:Choice Requires="wps">
            <w:drawing>
              <wp:anchor distT="0" distB="0" distL="114300" distR="114300" simplePos="0" relativeHeight="251616256" behindDoc="0" locked="0" layoutInCell="1" allowOverlap="1" wp14:anchorId="408ABE94" wp14:editId="246F3E41">
                <wp:simplePos x="0" y="0"/>
                <wp:positionH relativeFrom="column">
                  <wp:posOffset>-474980</wp:posOffset>
                </wp:positionH>
                <wp:positionV relativeFrom="paragraph">
                  <wp:posOffset>146050</wp:posOffset>
                </wp:positionV>
                <wp:extent cx="2643505" cy="2636520"/>
                <wp:effectExtent l="0" t="0" r="0" b="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263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363E1" w14:textId="77777777" w:rsidR="00F3354E" w:rsidRPr="009C32B5" w:rsidRDefault="00F3354E" w:rsidP="009C32B5">
                            <w:pPr>
                              <w:rPr>
                                <w:rFonts w:ascii="Arial" w:hAnsi="Arial" w:cs="Arial"/>
                                <w:b/>
                                <w:sz w:val="24"/>
                                <w:szCs w:val="24"/>
                              </w:rPr>
                            </w:pPr>
                            <w:r w:rsidRPr="009C32B5">
                              <w:rPr>
                                <w:rFonts w:ascii="Arial" w:hAnsi="Arial" w:cs="Arial"/>
                                <w:b/>
                                <w:sz w:val="24"/>
                                <w:szCs w:val="24"/>
                              </w:rPr>
                              <w:t>Where the money comes from:-</w:t>
                            </w:r>
                          </w:p>
                          <w:p w14:paraId="4A2B9829" w14:textId="77777777" w:rsidR="00F3354E" w:rsidRPr="009C32B5" w:rsidRDefault="00F3354E" w:rsidP="009C32B5">
                            <w:pPr>
                              <w:rPr>
                                <w:rFonts w:ascii="Arial" w:hAnsi="Arial" w:cs="Arial"/>
                                <w:sz w:val="24"/>
                                <w:szCs w:val="24"/>
                              </w:rPr>
                            </w:pPr>
                          </w:p>
                          <w:tbl>
                            <w:tblPr>
                              <w:tblW w:w="0" w:type="auto"/>
                              <w:tblInd w:w="-34" w:type="dxa"/>
                              <w:tblLayout w:type="fixed"/>
                              <w:tblLook w:val="0000" w:firstRow="0" w:lastRow="0" w:firstColumn="0" w:lastColumn="0" w:noHBand="0" w:noVBand="0"/>
                            </w:tblPr>
                            <w:tblGrid>
                              <w:gridCol w:w="2127"/>
                              <w:gridCol w:w="1134"/>
                            </w:tblGrid>
                            <w:tr w:rsidR="00F3354E" w:rsidRPr="009C32B5" w14:paraId="69FE1A8E" w14:textId="77777777" w:rsidTr="00E34E41">
                              <w:tc>
                                <w:tcPr>
                                  <w:tcW w:w="2127" w:type="dxa"/>
                                </w:tcPr>
                                <w:p w14:paraId="05794C9E" w14:textId="77777777" w:rsidR="00F3354E" w:rsidRPr="009C32B5" w:rsidRDefault="00F3354E">
                                  <w:pPr>
                                    <w:rPr>
                                      <w:rFonts w:ascii="Arial" w:hAnsi="Arial" w:cs="Arial"/>
                                      <w:sz w:val="24"/>
                                      <w:szCs w:val="24"/>
                                    </w:rPr>
                                  </w:pPr>
                                </w:p>
                              </w:tc>
                              <w:tc>
                                <w:tcPr>
                                  <w:tcW w:w="1134" w:type="dxa"/>
                                </w:tcPr>
                                <w:p w14:paraId="197CF635" w14:textId="77777777" w:rsidR="00F3354E" w:rsidRPr="009C32B5" w:rsidRDefault="00F3354E">
                                  <w:pPr>
                                    <w:jc w:val="right"/>
                                    <w:rPr>
                                      <w:rFonts w:ascii="Arial" w:hAnsi="Arial" w:cs="Arial"/>
                                      <w:b/>
                                      <w:sz w:val="24"/>
                                      <w:szCs w:val="24"/>
                                    </w:rPr>
                                  </w:pPr>
                                  <w:r w:rsidRPr="009C32B5">
                                    <w:rPr>
                                      <w:rFonts w:ascii="Arial" w:hAnsi="Arial" w:cs="Arial"/>
                                      <w:b/>
                                      <w:sz w:val="24"/>
                                      <w:szCs w:val="24"/>
                                    </w:rPr>
                                    <w:t>£’000</w:t>
                                  </w:r>
                                </w:p>
                              </w:tc>
                            </w:tr>
                            <w:tr w:rsidR="00F3354E" w:rsidRPr="009C32B5" w14:paraId="4CA6EC73" w14:textId="77777777" w:rsidTr="00E34E41">
                              <w:trPr>
                                <w:trHeight w:val="556"/>
                              </w:trPr>
                              <w:tc>
                                <w:tcPr>
                                  <w:tcW w:w="2127" w:type="dxa"/>
                                </w:tcPr>
                                <w:p w14:paraId="544DA87B" w14:textId="77777777" w:rsidR="00F3354E" w:rsidRDefault="00F3354E">
                                  <w:pPr>
                                    <w:pStyle w:val="Footer"/>
                                    <w:tabs>
                                      <w:tab w:val="clear" w:pos="4153"/>
                                      <w:tab w:val="clear" w:pos="8306"/>
                                    </w:tabs>
                                    <w:rPr>
                                      <w:rFonts w:ascii="Arial" w:hAnsi="Arial" w:cs="Arial"/>
                                      <w:sz w:val="24"/>
                                      <w:szCs w:val="24"/>
                                    </w:rPr>
                                  </w:pPr>
                                </w:p>
                                <w:p w14:paraId="424549EE" w14:textId="77777777" w:rsidR="00F3354E" w:rsidRPr="009C32B5" w:rsidRDefault="00F3354E">
                                  <w:pPr>
                                    <w:pStyle w:val="Footer"/>
                                    <w:tabs>
                                      <w:tab w:val="clear" w:pos="4153"/>
                                      <w:tab w:val="clear" w:pos="8306"/>
                                    </w:tabs>
                                    <w:rPr>
                                      <w:rFonts w:ascii="Arial" w:hAnsi="Arial" w:cs="Arial"/>
                                      <w:sz w:val="24"/>
                                      <w:szCs w:val="24"/>
                                    </w:rPr>
                                  </w:pPr>
                                  <w:r w:rsidRPr="009C32B5">
                                    <w:rPr>
                                      <w:rFonts w:ascii="Arial" w:hAnsi="Arial" w:cs="Arial"/>
                                      <w:sz w:val="24"/>
                                      <w:szCs w:val="24"/>
                                    </w:rPr>
                                    <w:t>Contributions and transfers in</w:t>
                                  </w:r>
                                </w:p>
                              </w:tc>
                              <w:tc>
                                <w:tcPr>
                                  <w:tcW w:w="1134" w:type="dxa"/>
                                </w:tcPr>
                                <w:p w14:paraId="773201BB" w14:textId="77777777" w:rsidR="00F3354E" w:rsidRDefault="00F3354E">
                                  <w:pPr>
                                    <w:jc w:val="right"/>
                                    <w:rPr>
                                      <w:rFonts w:ascii="Arial" w:hAnsi="Arial" w:cs="Arial"/>
                                      <w:sz w:val="24"/>
                                      <w:szCs w:val="24"/>
                                    </w:rPr>
                                  </w:pPr>
                                </w:p>
                                <w:p w14:paraId="54794DB5" w14:textId="77777777" w:rsidR="00F3354E" w:rsidRPr="009C32B5" w:rsidRDefault="00565CFC" w:rsidP="00B7757E">
                                  <w:pPr>
                                    <w:jc w:val="right"/>
                                    <w:rPr>
                                      <w:rFonts w:ascii="Arial" w:hAnsi="Arial" w:cs="Arial"/>
                                      <w:sz w:val="24"/>
                                      <w:szCs w:val="24"/>
                                    </w:rPr>
                                  </w:pPr>
                                  <w:r>
                                    <w:rPr>
                                      <w:rFonts w:ascii="Arial" w:hAnsi="Arial" w:cs="Arial"/>
                                      <w:sz w:val="24"/>
                                      <w:szCs w:val="24"/>
                                    </w:rPr>
                                    <w:t>113,943</w:t>
                                  </w:r>
                                </w:p>
                              </w:tc>
                            </w:tr>
                            <w:tr w:rsidR="00F3354E" w:rsidRPr="009C32B5" w14:paraId="47CD07F1" w14:textId="77777777" w:rsidTr="00E34E41">
                              <w:trPr>
                                <w:trHeight w:val="886"/>
                              </w:trPr>
                              <w:tc>
                                <w:tcPr>
                                  <w:tcW w:w="2127" w:type="dxa"/>
                                </w:tcPr>
                                <w:p w14:paraId="3AC9CD7F" w14:textId="77777777" w:rsidR="00F3354E" w:rsidRPr="009C32B5" w:rsidRDefault="00F3354E">
                                  <w:pPr>
                                    <w:pStyle w:val="Footer"/>
                                    <w:tabs>
                                      <w:tab w:val="clear" w:pos="4153"/>
                                      <w:tab w:val="clear" w:pos="8306"/>
                                    </w:tabs>
                                    <w:rPr>
                                      <w:rFonts w:ascii="Arial" w:hAnsi="Arial" w:cs="Arial"/>
                                      <w:sz w:val="24"/>
                                      <w:szCs w:val="24"/>
                                    </w:rPr>
                                  </w:pPr>
                                </w:p>
                              </w:tc>
                              <w:tc>
                                <w:tcPr>
                                  <w:tcW w:w="1134" w:type="dxa"/>
                                </w:tcPr>
                                <w:p w14:paraId="6ADD532E" w14:textId="77777777" w:rsidR="00F3354E" w:rsidRPr="009C32B5" w:rsidRDefault="00F3354E" w:rsidP="00EF7D75">
                                  <w:pPr>
                                    <w:rPr>
                                      <w:rFonts w:ascii="Arial" w:hAnsi="Arial" w:cs="Arial"/>
                                      <w:sz w:val="24"/>
                                      <w:szCs w:val="24"/>
                                    </w:rPr>
                                  </w:pPr>
                                </w:p>
                              </w:tc>
                            </w:tr>
                            <w:tr w:rsidR="00F3354E" w:rsidRPr="009C32B5" w14:paraId="661B8034" w14:textId="77777777" w:rsidTr="00E34E41">
                              <w:tc>
                                <w:tcPr>
                                  <w:tcW w:w="2127" w:type="dxa"/>
                                </w:tcPr>
                                <w:p w14:paraId="1FB688B0" w14:textId="77777777" w:rsidR="00F3354E" w:rsidRPr="009C32B5" w:rsidRDefault="00F3354E">
                                  <w:pPr>
                                    <w:rPr>
                                      <w:rFonts w:ascii="Arial" w:hAnsi="Arial" w:cs="Arial"/>
                                      <w:sz w:val="24"/>
                                      <w:szCs w:val="24"/>
                                    </w:rPr>
                                  </w:pPr>
                                  <w:r w:rsidRPr="009C32B5">
                                    <w:rPr>
                                      <w:rFonts w:ascii="Arial" w:hAnsi="Arial" w:cs="Arial"/>
                                      <w:sz w:val="24"/>
                                      <w:szCs w:val="24"/>
                                    </w:rPr>
                                    <w:t>Other</w:t>
                                  </w:r>
                                </w:p>
                              </w:tc>
                              <w:tc>
                                <w:tcPr>
                                  <w:tcW w:w="1134" w:type="dxa"/>
                                </w:tcPr>
                                <w:p w14:paraId="38A67D23" w14:textId="77777777" w:rsidR="00F3354E" w:rsidRPr="009C32B5" w:rsidRDefault="00F3354E" w:rsidP="008C35C7">
                                  <w:pPr>
                                    <w:jc w:val="right"/>
                                    <w:rPr>
                                      <w:rFonts w:ascii="Arial" w:hAnsi="Arial" w:cs="Arial"/>
                                      <w:sz w:val="24"/>
                                      <w:szCs w:val="24"/>
                                    </w:rPr>
                                  </w:pPr>
                                  <w:r>
                                    <w:rPr>
                                      <w:rFonts w:ascii="Arial" w:hAnsi="Arial" w:cs="Arial"/>
                                      <w:sz w:val="24"/>
                                      <w:szCs w:val="24"/>
                                    </w:rPr>
                                    <w:t>5</w:t>
                                  </w:r>
                                </w:p>
                              </w:tc>
                            </w:tr>
                            <w:tr w:rsidR="00F3354E" w:rsidRPr="009C32B5" w14:paraId="069A0FBA" w14:textId="77777777" w:rsidTr="00E34E41">
                              <w:tc>
                                <w:tcPr>
                                  <w:tcW w:w="2127" w:type="dxa"/>
                                </w:tcPr>
                                <w:p w14:paraId="48123896" w14:textId="77777777" w:rsidR="00F3354E" w:rsidRPr="009C32B5" w:rsidRDefault="00F3354E">
                                  <w:pPr>
                                    <w:rPr>
                                      <w:rFonts w:ascii="Arial" w:hAnsi="Arial" w:cs="Arial"/>
                                      <w:sz w:val="24"/>
                                      <w:szCs w:val="24"/>
                                    </w:rPr>
                                  </w:pPr>
                                </w:p>
                              </w:tc>
                              <w:tc>
                                <w:tcPr>
                                  <w:tcW w:w="1134" w:type="dxa"/>
                                </w:tcPr>
                                <w:p w14:paraId="7E11A955" w14:textId="77777777" w:rsidR="00F3354E" w:rsidRPr="009C32B5" w:rsidRDefault="00F3354E">
                                  <w:pPr>
                                    <w:jc w:val="right"/>
                                    <w:rPr>
                                      <w:rFonts w:ascii="Arial" w:hAnsi="Arial" w:cs="Arial"/>
                                      <w:sz w:val="24"/>
                                      <w:szCs w:val="24"/>
                                    </w:rPr>
                                  </w:pPr>
                                </w:p>
                              </w:tc>
                            </w:tr>
                            <w:tr w:rsidR="00F3354E" w:rsidRPr="009C32B5" w14:paraId="29A3601E" w14:textId="77777777" w:rsidTr="00E34E41">
                              <w:tc>
                                <w:tcPr>
                                  <w:tcW w:w="2127" w:type="dxa"/>
                                </w:tcPr>
                                <w:p w14:paraId="5F5A1122" w14:textId="77777777" w:rsidR="00F3354E" w:rsidRPr="009C32B5" w:rsidRDefault="00F3354E">
                                  <w:pPr>
                                    <w:rPr>
                                      <w:rFonts w:ascii="Arial" w:hAnsi="Arial" w:cs="Arial"/>
                                      <w:sz w:val="24"/>
                                      <w:szCs w:val="24"/>
                                    </w:rPr>
                                  </w:pPr>
                                </w:p>
                              </w:tc>
                              <w:tc>
                                <w:tcPr>
                                  <w:tcW w:w="1134" w:type="dxa"/>
                                  <w:tcBorders>
                                    <w:bottom w:val="single" w:sz="4" w:space="0" w:color="auto"/>
                                  </w:tcBorders>
                                </w:tcPr>
                                <w:p w14:paraId="1D5038E5" w14:textId="77777777" w:rsidR="00F3354E" w:rsidRPr="009C32B5" w:rsidRDefault="00F3354E">
                                  <w:pPr>
                                    <w:rPr>
                                      <w:rFonts w:ascii="Arial" w:hAnsi="Arial" w:cs="Arial"/>
                                      <w:sz w:val="24"/>
                                      <w:szCs w:val="24"/>
                                    </w:rPr>
                                  </w:pPr>
                                </w:p>
                              </w:tc>
                            </w:tr>
                            <w:tr w:rsidR="00F3354E" w:rsidRPr="009C32B5" w14:paraId="436B0C58" w14:textId="77777777" w:rsidTr="00E34E41">
                              <w:trPr>
                                <w:trHeight w:val="341"/>
                              </w:trPr>
                              <w:tc>
                                <w:tcPr>
                                  <w:tcW w:w="2127" w:type="dxa"/>
                                </w:tcPr>
                                <w:p w14:paraId="7BAB17D7" w14:textId="77777777" w:rsidR="00F3354E" w:rsidRPr="009C32B5" w:rsidRDefault="00F3354E">
                                  <w:pPr>
                                    <w:rPr>
                                      <w:rFonts w:ascii="Arial" w:hAnsi="Arial" w:cs="Arial"/>
                                      <w:sz w:val="24"/>
                                      <w:szCs w:val="24"/>
                                    </w:rPr>
                                  </w:pPr>
                                </w:p>
                              </w:tc>
                              <w:tc>
                                <w:tcPr>
                                  <w:tcW w:w="1134" w:type="dxa"/>
                                  <w:tcBorders>
                                    <w:top w:val="single" w:sz="4" w:space="0" w:color="auto"/>
                                    <w:bottom w:val="single" w:sz="4" w:space="0" w:color="auto"/>
                                  </w:tcBorders>
                                </w:tcPr>
                                <w:p w14:paraId="6DBE951B" w14:textId="77777777" w:rsidR="00F3354E" w:rsidRPr="009C32B5" w:rsidRDefault="00F3354E" w:rsidP="00E34E41">
                                  <w:pPr>
                                    <w:jc w:val="right"/>
                                    <w:rPr>
                                      <w:rFonts w:ascii="Arial" w:hAnsi="Arial" w:cs="Arial"/>
                                      <w:b/>
                                      <w:sz w:val="24"/>
                                      <w:szCs w:val="24"/>
                                    </w:rPr>
                                  </w:pPr>
                                  <w:r>
                                    <w:rPr>
                                      <w:rFonts w:ascii="Arial" w:hAnsi="Arial" w:cs="Arial"/>
                                      <w:b/>
                                      <w:sz w:val="24"/>
                                      <w:szCs w:val="24"/>
                                    </w:rPr>
                                    <w:t>1</w:t>
                                  </w:r>
                                  <w:r w:rsidR="00565CFC">
                                    <w:rPr>
                                      <w:rFonts w:ascii="Arial" w:hAnsi="Arial" w:cs="Arial"/>
                                      <w:b/>
                                      <w:sz w:val="24"/>
                                      <w:szCs w:val="24"/>
                                    </w:rPr>
                                    <w:t>13</w:t>
                                  </w:r>
                                  <w:r>
                                    <w:rPr>
                                      <w:rFonts w:ascii="Arial" w:hAnsi="Arial" w:cs="Arial"/>
                                      <w:b/>
                                      <w:sz w:val="24"/>
                                      <w:szCs w:val="24"/>
                                    </w:rPr>
                                    <w:t>,</w:t>
                                  </w:r>
                                  <w:r w:rsidR="00565CFC">
                                    <w:rPr>
                                      <w:rFonts w:ascii="Arial" w:hAnsi="Arial" w:cs="Arial"/>
                                      <w:b/>
                                      <w:sz w:val="24"/>
                                      <w:szCs w:val="24"/>
                                    </w:rPr>
                                    <w:t>948</w:t>
                                  </w:r>
                                </w:p>
                              </w:tc>
                            </w:tr>
                          </w:tbl>
                          <w:p w14:paraId="7CC55638" w14:textId="77777777" w:rsidR="00F3354E" w:rsidRPr="009C32B5" w:rsidRDefault="00F3354E" w:rsidP="002516C2">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ABE94" id="Text Box 6" o:spid="_x0000_s1080" type="#_x0000_t202" style="position:absolute;margin-left:-37.4pt;margin-top:11.5pt;width:208.15pt;height:207.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" stroked="f">
                <v:textbox>
                  <w:txbxContent>
                    <w:p w14:paraId="705363E1" w14:textId="77777777" w:rsidR="00F3354E" w:rsidRPr="009C32B5" w:rsidRDefault="00F3354E" w:rsidP="009C32B5">
                      <w:pPr>
                        <w:rPr>
                          <w:rFonts w:ascii="Arial" w:hAnsi="Arial" w:cs="Arial"/>
                          <w:b/>
                          <w:sz w:val="24"/>
                          <w:szCs w:val="24"/>
                        </w:rPr>
                      </w:pPr>
                      <w:r w:rsidRPr="009C32B5">
                        <w:rPr>
                          <w:rFonts w:ascii="Arial" w:hAnsi="Arial" w:cs="Arial"/>
                          <w:b/>
                          <w:sz w:val="24"/>
                          <w:szCs w:val="24"/>
                        </w:rPr>
                        <w:t>Where the money comes from:-</w:t>
                      </w:r>
                    </w:p>
                    <w:p w14:paraId="4A2B9829" w14:textId="77777777" w:rsidR="00F3354E" w:rsidRPr="009C32B5" w:rsidRDefault="00F3354E" w:rsidP="009C32B5">
                      <w:pPr>
                        <w:rPr>
                          <w:rFonts w:ascii="Arial" w:hAnsi="Arial" w:cs="Arial"/>
                          <w:sz w:val="24"/>
                          <w:szCs w:val="24"/>
                        </w:rPr>
                      </w:pPr>
                    </w:p>
                    <w:tbl>
                      <w:tblPr>
                        <w:tblW w:w="0" w:type="auto"/>
                        <w:tblInd w:w="-34" w:type="dxa"/>
                        <w:tblLayout w:type="fixed"/>
                        <w:tblLook w:val="0000" w:firstRow="0" w:lastRow="0" w:firstColumn="0" w:lastColumn="0" w:noHBand="0" w:noVBand="0"/>
                      </w:tblPr>
                      <w:tblGrid>
                        <w:gridCol w:w="2127"/>
                        <w:gridCol w:w="1134"/>
                      </w:tblGrid>
                      <w:tr w:rsidR="00F3354E" w:rsidRPr="009C32B5" w14:paraId="69FE1A8E" w14:textId="77777777" w:rsidTr="00E34E41">
                        <w:tc>
                          <w:tcPr>
                            <w:tcW w:w="2127" w:type="dxa"/>
                          </w:tcPr>
                          <w:p w14:paraId="05794C9E" w14:textId="77777777" w:rsidR="00F3354E" w:rsidRPr="009C32B5" w:rsidRDefault="00F3354E">
                            <w:pPr>
                              <w:rPr>
                                <w:rFonts w:ascii="Arial" w:hAnsi="Arial" w:cs="Arial"/>
                                <w:sz w:val="24"/>
                                <w:szCs w:val="24"/>
                              </w:rPr>
                            </w:pPr>
                          </w:p>
                        </w:tc>
                        <w:tc>
                          <w:tcPr>
                            <w:tcW w:w="1134" w:type="dxa"/>
                          </w:tcPr>
                          <w:p w14:paraId="197CF635" w14:textId="77777777" w:rsidR="00F3354E" w:rsidRPr="009C32B5" w:rsidRDefault="00F3354E">
                            <w:pPr>
                              <w:jc w:val="right"/>
                              <w:rPr>
                                <w:rFonts w:ascii="Arial" w:hAnsi="Arial" w:cs="Arial"/>
                                <w:b/>
                                <w:sz w:val="24"/>
                                <w:szCs w:val="24"/>
                              </w:rPr>
                            </w:pPr>
                            <w:r w:rsidRPr="009C32B5">
                              <w:rPr>
                                <w:rFonts w:ascii="Arial" w:hAnsi="Arial" w:cs="Arial"/>
                                <w:b/>
                                <w:sz w:val="24"/>
                                <w:szCs w:val="24"/>
                              </w:rPr>
                              <w:t>£’000</w:t>
                            </w:r>
                          </w:p>
                        </w:tc>
                      </w:tr>
                      <w:tr w:rsidR="00F3354E" w:rsidRPr="009C32B5" w14:paraId="4CA6EC73" w14:textId="77777777" w:rsidTr="00E34E41">
                        <w:trPr>
                          <w:trHeight w:val="556"/>
                        </w:trPr>
                        <w:tc>
                          <w:tcPr>
                            <w:tcW w:w="2127" w:type="dxa"/>
                          </w:tcPr>
                          <w:p w14:paraId="544DA87B" w14:textId="77777777" w:rsidR="00F3354E" w:rsidRDefault="00F3354E">
                            <w:pPr>
                              <w:pStyle w:val="Footer"/>
                              <w:tabs>
                                <w:tab w:val="clear" w:pos="4153"/>
                                <w:tab w:val="clear" w:pos="8306"/>
                              </w:tabs>
                              <w:rPr>
                                <w:rFonts w:ascii="Arial" w:hAnsi="Arial" w:cs="Arial"/>
                                <w:sz w:val="24"/>
                                <w:szCs w:val="24"/>
                              </w:rPr>
                            </w:pPr>
                          </w:p>
                          <w:p w14:paraId="424549EE" w14:textId="77777777" w:rsidR="00F3354E" w:rsidRPr="009C32B5" w:rsidRDefault="00F3354E">
                            <w:pPr>
                              <w:pStyle w:val="Footer"/>
                              <w:tabs>
                                <w:tab w:val="clear" w:pos="4153"/>
                                <w:tab w:val="clear" w:pos="8306"/>
                              </w:tabs>
                              <w:rPr>
                                <w:rFonts w:ascii="Arial" w:hAnsi="Arial" w:cs="Arial"/>
                                <w:sz w:val="24"/>
                                <w:szCs w:val="24"/>
                              </w:rPr>
                            </w:pPr>
                            <w:r w:rsidRPr="009C32B5">
                              <w:rPr>
                                <w:rFonts w:ascii="Arial" w:hAnsi="Arial" w:cs="Arial"/>
                                <w:sz w:val="24"/>
                                <w:szCs w:val="24"/>
                              </w:rPr>
                              <w:t>Contributions and transfers in</w:t>
                            </w:r>
                          </w:p>
                        </w:tc>
                        <w:tc>
                          <w:tcPr>
                            <w:tcW w:w="1134" w:type="dxa"/>
                          </w:tcPr>
                          <w:p w14:paraId="773201BB" w14:textId="77777777" w:rsidR="00F3354E" w:rsidRDefault="00F3354E">
                            <w:pPr>
                              <w:jc w:val="right"/>
                              <w:rPr>
                                <w:rFonts w:ascii="Arial" w:hAnsi="Arial" w:cs="Arial"/>
                                <w:sz w:val="24"/>
                                <w:szCs w:val="24"/>
                              </w:rPr>
                            </w:pPr>
                          </w:p>
                          <w:p w14:paraId="54794DB5" w14:textId="77777777" w:rsidR="00F3354E" w:rsidRPr="009C32B5" w:rsidRDefault="00565CFC" w:rsidP="00B7757E">
                            <w:pPr>
                              <w:jc w:val="right"/>
                              <w:rPr>
                                <w:rFonts w:ascii="Arial" w:hAnsi="Arial" w:cs="Arial"/>
                                <w:sz w:val="24"/>
                                <w:szCs w:val="24"/>
                              </w:rPr>
                            </w:pPr>
                            <w:r>
                              <w:rPr>
                                <w:rFonts w:ascii="Arial" w:hAnsi="Arial" w:cs="Arial"/>
                                <w:sz w:val="24"/>
                                <w:szCs w:val="24"/>
                              </w:rPr>
                              <w:t>113,943</w:t>
                            </w:r>
                          </w:p>
                        </w:tc>
                      </w:tr>
                      <w:tr w:rsidR="00F3354E" w:rsidRPr="009C32B5" w14:paraId="47CD07F1" w14:textId="77777777" w:rsidTr="00E34E41">
                        <w:trPr>
                          <w:trHeight w:val="886"/>
                        </w:trPr>
                        <w:tc>
                          <w:tcPr>
                            <w:tcW w:w="2127" w:type="dxa"/>
                          </w:tcPr>
                          <w:p w14:paraId="3AC9CD7F" w14:textId="77777777" w:rsidR="00F3354E" w:rsidRPr="009C32B5" w:rsidRDefault="00F3354E">
                            <w:pPr>
                              <w:pStyle w:val="Footer"/>
                              <w:tabs>
                                <w:tab w:val="clear" w:pos="4153"/>
                                <w:tab w:val="clear" w:pos="8306"/>
                              </w:tabs>
                              <w:rPr>
                                <w:rFonts w:ascii="Arial" w:hAnsi="Arial" w:cs="Arial"/>
                                <w:sz w:val="24"/>
                                <w:szCs w:val="24"/>
                              </w:rPr>
                            </w:pPr>
                          </w:p>
                        </w:tc>
                        <w:tc>
                          <w:tcPr>
                            <w:tcW w:w="1134" w:type="dxa"/>
                          </w:tcPr>
                          <w:p w14:paraId="6ADD532E" w14:textId="77777777" w:rsidR="00F3354E" w:rsidRPr="009C32B5" w:rsidRDefault="00F3354E" w:rsidP="00EF7D75">
                            <w:pPr>
                              <w:rPr>
                                <w:rFonts w:ascii="Arial" w:hAnsi="Arial" w:cs="Arial"/>
                                <w:sz w:val="24"/>
                                <w:szCs w:val="24"/>
                              </w:rPr>
                            </w:pPr>
                          </w:p>
                        </w:tc>
                      </w:tr>
                      <w:tr w:rsidR="00F3354E" w:rsidRPr="009C32B5" w14:paraId="661B8034" w14:textId="77777777" w:rsidTr="00E34E41">
                        <w:tc>
                          <w:tcPr>
                            <w:tcW w:w="2127" w:type="dxa"/>
                          </w:tcPr>
                          <w:p w14:paraId="1FB688B0" w14:textId="77777777" w:rsidR="00F3354E" w:rsidRPr="009C32B5" w:rsidRDefault="00F3354E">
                            <w:pPr>
                              <w:rPr>
                                <w:rFonts w:ascii="Arial" w:hAnsi="Arial" w:cs="Arial"/>
                                <w:sz w:val="24"/>
                                <w:szCs w:val="24"/>
                              </w:rPr>
                            </w:pPr>
                            <w:r w:rsidRPr="009C32B5">
                              <w:rPr>
                                <w:rFonts w:ascii="Arial" w:hAnsi="Arial" w:cs="Arial"/>
                                <w:sz w:val="24"/>
                                <w:szCs w:val="24"/>
                              </w:rPr>
                              <w:t>Other</w:t>
                            </w:r>
                          </w:p>
                        </w:tc>
                        <w:tc>
                          <w:tcPr>
                            <w:tcW w:w="1134" w:type="dxa"/>
                          </w:tcPr>
                          <w:p w14:paraId="38A67D23" w14:textId="77777777" w:rsidR="00F3354E" w:rsidRPr="009C32B5" w:rsidRDefault="00F3354E" w:rsidP="008C35C7">
                            <w:pPr>
                              <w:jc w:val="right"/>
                              <w:rPr>
                                <w:rFonts w:ascii="Arial" w:hAnsi="Arial" w:cs="Arial"/>
                                <w:sz w:val="24"/>
                                <w:szCs w:val="24"/>
                              </w:rPr>
                            </w:pPr>
                            <w:r>
                              <w:rPr>
                                <w:rFonts w:ascii="Arial" w:hAnsi="Arial" w:cs="Arial"/>
                                <w:sz w:val="24"/>
                                <w:szCs w:val="24"/>
                              </w:rPr>
                              <w:t>5</w:t>
                            </w:r>
                          </w:p>
                        </w:tc>
                      </w:tr>
                      <w:tr w:rsidR="00F3354E" w:rsidRPr="009C32B5" w14:paraId="069A0FBA" w14:textId="77777777" w:rsidTr="00E34E41">
                        <w:tc>
                          <w:tcPr>
                            <w:tcW w:w="2127" w:type="dxa"/>
                          </w:tcPr>
                          <w:p w14:paraId="48123896" w14:textId="77777777" w:rsidR="00F3354E" w:rsidRPr="009C32B5" w:rsidRDefault="00F3354E">
                            <w:pPr>
                              <w:rPr>
                                <w:rFonts w:ascii="Arial" w:hAnsi="Arial" w:cs="Arial"/>
                                <w:sz w:val="24"/>
                                <w:szCs w:val="24"/>
                              </w:rPr>
                            </w:pPr>
                          </w:p>
                        </w:tc>
                        <w:tc>
                          <w:tcPr>
                            <w:tcW w:w="1134" w:type="dxa"/>
                          </w:tcPr>
                          <w:p w14:paraId="7E11A955" w14:textId="77777777" w:rsidR="00F3354E" w:rsidRPr="009C32B5" w:rsidRDefault="00F3354E">
                            <w:pPr>
                              <w:jc w:val="right"/>
                              <w:rPr>
                                <w:rFonts w:ascii="Arial" w:hAnsi="Arial" w:cs="Arial"/>
                                <w:sz w:val="24"/>
                                <w:szCs w:val="24"/>
                              </w:rPr>
                            </w:pPr>
                          </w:p>
                        </w:tc>
                      </w:tr>
                      <w:tr w:rsidR="00F3354E" w:rsidRPr="009C32B5" w14:paraId="29A3601E" w14:textId="77777777" w:rsidTr="00E34E41">
                        <w:tc>
                          <w:tcPr>
                            <w:tcW w:w="2127" w:type="dxa"/>
                          </w:tcPr>
                          <w:p w14:paraId="5F5A1122" w14:textId="77777777" w:rsidR="00F3354E" w:rsidRPr="009C32B5" w:rsidRDefault="00F3354E">
                            <w:pPr>
                              <w:rPr>
                                <w:rFonts w:ascii="Arial" w:hAnsi="Arial" w:cs="Arial"/>
                                <w:sz w:val="24"/>
                                <w:szCs w:val="24"/>
                              </w:rPr>
                            </w:pPr>
                          </w:p>
                        </w:tc>
                        <w:tc>
                          <w:tcPr>
                            <w:tcW w:w="1134" w:type="dxa"/>
                            <w:tcBorders>
                              <w:bottom w:val="single" w:sz="4" w:space="0" w:color="auto"/>
                            </w:tcBorders>
                          </w:tcPr>
                          <w:p w14:paraId="1D5038E5" w14:textId="77777777" w:rsidR="00F3354E" w:rsidRPr="009C32B5" w:rsidRDefault="00F3354E">
                            <w:pPr>
                              <w:rPr>
                                <w:rFonts w:ascii="Arial" w:hAnsi="Arial" w:cs="Arial"/>
                                <w:sz w:val="24"/>
                                <w:szCs w:val="24"/>
                              </w:rPr>
                            </w:pPr>
                          </w:p>
                        </w:tc>
                      </w:tr>
                      <w:tr w:rsidR="00F3354E" w:rsidRPr="009C32B5" w14:paraId="436B0C58" w14:textId="77777777" w:rsidTr="00E34E41">
                        <w:trPr>
                          <w:trHeight w:val="341"/>
                        </w:trPr>
                        <w:tc>
                          <w:tcPr>
                            <w:tcW w:w="2127" w:type="dxa"/>
                          </w:tcPr>
                          <w:p w14:paraId="7BAB17D7" w14:textId="77777777" w:rsidR="00F3354E" w:rsidRPr="009C32B5" w:rsidRDefault="00F3354E">
                            <w:pPr>
                              <w:rPr>
                                <w:rFonts w:ascii="Arial" w:hAnsi="Arial" w:cs="Arial"/>
                                <w:sz w:val="24"/>
                                <w:szCs w:val="24"/>
                              </w:rPr>
                            </w:pPr>
                          </w:p>
                        </w:tc>
                        <w:tc>
                          <w:tcPr>
                            <w:tcW w:w="1134" w:type="dxa"/>
                            <w:tcBorders>
                              <w:top w:val="single" w:sz="4" w:space="0" w:color="auto"/>
                              <w:bottom w:val="single" w:sz="4" w:space="0" w:color="auto"/>
                            </w:tcBorders>
                          </w:tcPr>
                          <w:p w14:paraId="6DBE951B" w14:textId="77777777" w:rsidR="00F3354E" w:rsidRPr="009C32B5" w:rsidRDefault="00F3354E" w:rsidP="00E34E41">
                            <w:pPr>
                              <w:jc w:val="right"/>
                              <w:rPr>
                                <w:rFonts w:ascii="Arial" w:hAnsi="Arial" w:cs="Arial"/>
                                <w:b/>
                                <w:sz w:val="24"/>
                                <w:szCs w:val="24"/>
                              </w:rPr>
                            </w:pPr>
                            <w:r>
                              <w:rPr>
                                <w:rFonts w:ascii="Arial" w:hAnsi="Arial" w:cs="Arial"/>
                                <w:b/>
                                <w:sz w:val="24"/>
                                <w:szCs w:val="24"/>
                              </w:rPr>
                              <w:t>1</w:t>
                            </w:r>
                            <w:r w:rsidR="00565CFC">
                              <w:rPr>
                                <w:rFonts w:ascii="Arial" w:hAnsi="Arial" w:cs="Arial"/>
                                <w:b/>
                                <w:sz w:val="24"/>
                                <w:szCs w:val="24"/>
                              </w:rPr>
                              <w:t>13</w:t>
                            </w:r>
                            <w:r>
                              <w:rPr>
                                <w:rFonts w:ascii="Arial" w:hAnsi="Arial" w:cs="Arial"/>
                                <w:b/>
                                <w:sz w:val="24"/>
                                <w:szCs w:val="24"/>
                              </w:rPr>
                              <w:t>,</w:t>
                            </w:r>
                            <w:r w:rsidR="00565CFC">
                              <w:rPr>
                                <w:rFonts w:ascii="Arial" w:hAnsi="Arial" w:cs="Arial"/>
                                <w:b/>
                                <w:sz w:val="24"/>
                                <w:szCs w:val="24"/>
                              </w:rPr>
                              <w:t>948</w:t>
                            </w:r>
                          </w:p>
                        </w:tc>
                      </w:tr>
                    </w:tbl>
                    <w:p w14:paraId="7CC55638" w14:textId="77777777" w:rsidR="00F3354E" w:rsidRPr="009C32B5" w:rsidRDefault="00F3354E" w:rsidP="002516C2">
                      <w:pPr>
                        <w:rPr>
                          <w:sz w:val="16"/>
                        </w:rPr>
                      </w:pPr>
                    </w:p>
                  </w:txbxContent>
                </v:textbox>
              </v:shape>
            </w:pict>
          </mc:Fallback>
        </mc:AlternateContent>
      </w:r>
    </w:p>
    <w:p w14:paraId="12B7C289" w14:textId="3111FE6A" w:rsidR="009C32B5" w:rsidRDefault="00516E75" w:rsidP="005E4F16">
      <w:pPr>
        <w:pStyle w:val="BodyText2"/>
        <w:tabs>
          <w:tab w:val="left" w:pos="6912"/>
          <w:tab w:val="left" w:pos="7776"/>
          <w:tab w:val="left" w:pos="8640"/>
          <w:tab w:val="left" w:pos="9504"/>
        </w:tabs>
        <w:rPr>
          <w:i/>
          <w:color w:val="000000"/>
        </w:rPr>
      </w:pPr>
      <w:r>
        <w:rPr>
          <w:i/>
          <w:noProof/>
          <w:color w:val="000000"/>
        </w:rPr>
        <mc:AlternateContent>
          <mc:Choice Requires="wps">
            <w:drawing>
              <wp:anchor distT="0" distB="0" distL="114300" distR="114300" simplePos="0" relativeHeight="251617280" behindDoc="0" locked="0" layoutInCell="0" allowOverlap="1" wp14:anchorId="25BE10D4" wp14:editId="32F661C8">
                <wp:simplePos x="0" y="0"/>
                <wp:positionH relativeFrom="column">
                  <wp:posOffset>3697605</wp:posOffset>
                </wp:positionH>
                <wp:positionV relativeFrom="paragraph">
                  <wp:posOffset>24130</wp:posOffset>
                </wp:positionV>
                <wp:extent cx="3157220" cy="2491740"/>
                <wp:effectExtent l="0" t="0" r="0" b="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49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6464A" w14:textId="77777777" w:rsidR="00F3354E" w:rsidRPr="009C32B5" w:rsidRDefault="00F3354E" w:rsidP="009C32B5">
                            <w:pPr>
                              <w:rPr>
                                <w:rFonts w:ascii="Arial" w:hAnsi="Arial" w:cs="Arial"/>
                                <w:b/>
                                <w:sz w:val="24"/>
                                <w:szCs w:val="24"/>
                              </w:rPr>
                            </w:pPr>
                            <w:r w:rsidRPr="009C32B5">
                              <w:rPr>
                                <w:rFonts w:ascii="Arial" w:hAnsi="Arial" w:cs="Arial"/>
                                <w:b/>
                                <w:sz w:val="24"/>
                                <w:szCs w:val="24"/>
                              </w:rPr>
                              <w:t>And where it goes……..</w:t>
                            </w:r>
                          </w:p>
                          <w:p w14:paraId="6D338635" w14:textId="77777777" w:rsidR="00F3354E" w:rsidRPr="009C32B5" w:rsidRDefault="00F3354E" w:rsidP="009C32B5">
                            <w:pPr>
                              <w:rPr>
                                <w:rFonts w:ascii="Arial" w:hAnsi="Arial" w:cs="Arial"/>
                                <w:sz w:val="24"/>
                                <w:szCs w:val="24"/>
                              </w:rPr>
                            </w:pPr>
                            <w:r>
                              <w:rPr>
                                <w:rFonts w:ascii="Arial" w:hAnsi="Arial" w:cs="Arial"/>
                                <w:sz w:val="24"/>
                                <w:szCs w:val="24"/>
                              </w:rPr>
                              <w:t xml:space="preserve">                                        </w:t>
                            </w:r>
                          </w:p>
                          <w:tbl>
                            <w:tblPr>
                              <w:tblW w:w="0" w:type="auto"/>
                              <w:tblInd w:w="198" w:type="dxa"/>
                              <w:tblLayout w:type="fixed"/>
                              <w:tblLook w:val="0000" w:firstRow="0" w:lastRow="0" w:firstColumn="0" w:lastColumn="0" w:noHBand="0" w:noVBand="0"/>
                            </w:tblPr>
                            <w:tblGrid>
                              <w:gridCol w:w="2887"/>
                              <w:gridCol w:w="1163"/>
                            </w:tblGrid>
                            <w:tr w:rsidR="00F3354E" w:rsidRPr="009C32B5" w14:paraId="7F526BCB" w14:textId="77777777" w:rsidTr="0096191F">
                              <w:tc>
                                <w:tcPr>
                                  <w:tcW w:w="2887" w:type="dxa"/>
                                </w:tcPr>
                                <w:p w14:paraId="6CB08CDF" w14:textId="77777777" w:rsidR="00F3354E" w:rsidRPr="009C32B5" w:rsidRDefault="00F3354E">
                                  <w:pPr>
                                    <w:pStyle w:val="Footer"/>
                                    <w:tabs>
                                      <w:tab w:val="clear" w:pos="4153"/>
                                      <w:tab w:val="clear" w:pos="8306"/>
                                    </w:tabs>
                                    <w:rPr>
                                      <w:rFonts w:ascii="Arial" w:hAnsi="Arial" w:cs="Arial"/>
                                      <w:sz w:val="24"/>
                                      <w:szCs w:val="24"/>
                                    </w:rPr>
                                  </w:pPr>
                                </w:p>
                              </w:tc>
                              <w:tc>
                                <w:tcPr>
                                  <w:tcW w:w="1163" w:type="dxa"/>
                                </w:tcPr>
                                <w:p w14:paraId="4C193D53" w14:textId="77777777" w:rsidR="00F3354E" w:rsidRPr="009C32B5" w:rsidRDefault="00F3354E" w:rsidP="00EA30DD">
                                  <w:pPr>
                                    <w:jc w:val="right"/>
                                    <w:rPr>
                                      <w:rFonts w:ascii="Arial" w:hAnsi="Arial" w:cs="Arial"/>
                                      <w:b/>
                                      <w:sz w:val="24"/>
                                      <w:szCs w:val="24"/>
                                    </w:rPr>
                                  </w:pPr>
                                  <w:r w:rsidRPr="009C32B5">
                                    <w:rPr>
                                      <w:rFonts w:ascii="Arial" w:hAnsi="Arial" w:cs="Arial"/>
                                      <w:b/>
                                      <w:sz w:val="24"/>
                                      <w:szCs w:val="24"/>
                                    </w:rPr>
                                    <w:t>£’000</w:t>
                                  </w:r>
                                </w:p>
                              </w:tc>
                            </w:tr>
                            <w:tr w:rsidR="00F3354E" w:rsidRPr="009C32B5" w14:paraId="23BE42F6" w14:textId="77777777" w:rsidTr="0096191F">
                              <w:tc>
                                <w:tcPr>
                                  <w:tcW w:w="2887" w:type="dxa"/>
                                </w:tcPr>
                                <w:p w14:paraId="17FE585D" w14:textId="77777777" w:rsidR="00F3354E" w:rsidRDefault="00F3354E">
                                  <w:pPr>
                                    <w:rPr>
                                      <w:rFonts w:ascii="Arial" w:hAnsi="Arial" w:cs="Arial"/>
                                      <w:sz w:val="24"/>
                                      <w:szCs w:val="24"/>
                                    </w:rPr>
                                  </w:pPr>
                                </w:p>
                                <w:p w14:paraId="1390A6F4" w14:textId="77777777" w:rsidR="00F3354E" w:rsidRDefault="00F3354E">
                                  <w:pPr>
                                    <w:rPr>
                                      <w:rFonts w:ascii="Arial" w:hAnsi="Arial" w:cs="Arial"/>
                                      <w:sz w:val="24"/>
                                      <w:szCs w:val="24"/>
                                    </w:rPr>
                                  </w:pPr>
                                  <w:r w:rsidRPr="009C32B5">
                                    <w:rPr>
                                      <w:rFonts w:ascii="Arial" w:hAnsi="Arial" w:cs="Arial"/>
                                      <w:sz w:val="24"/>
                                      <w:szCs w:val="24"/>
                                    </w:rPr>
                                    <w:t>Pensions payable</w:t>
                                  </w:r>
                                </w:p>
                                <w:p w14:paraId="2F6196D7" w14:textId="77777777" w:rsidR="00F3354E" w:rsidRPr="009C32B5" w:rsidRDefault="00F3354E">
                                  <w:pPr>
                                    <w:rPr>
                                      <w:rFonts w:ascii="Arial" w:hAnsi="Arial" w:cs="Arial"/>
                                      <w:sz w:val="24"/>
                                      <w:szCs w:val="24"/>
                                    </w:rPr>
                                  </w:pPr>
                                </w:p>
                              </w:tc>
                              <w:tc>
                                <w:tcPr>
                                  <w:tcW w:w="1163" w:type="dxa"/>
                                </w:tcPr>
                                <w:p w14:paraId="4DE4726C" w14:textId="77777777" w:rsidR="00F3354E" w:rsidRDefault="00F3354E" w:rsidP="00571417">
                                  <w:pPr>
                                    <w:jc w:val="right"/>
                                    <w:rPr>
                                      <w:rFonts w:ascii="Arial" w:hAnsi="Arial" w:cs="Arial"/>
                                      <w:sz w:val="24"/>
                                      <w:szCs w:val="24"/>
                                    </w:rPr>
                                  </w:pPr>
                                </w:p>
                                <w:p w14:paraId="50067B8A" w14:textId="77777777" w:rsidR="00F3354E" w:rsidRPr="009C32B5" w:rsidRDefault="00565CFC" w:rsidP="00571417">
                                  <w:pPr>
                                    <w:jc w:val="right"/>
                                    <w:rPr>
                                      <w:rFonts w:ascii="Arial" w:hAnsi="Arial" w:cs="Arial"/>
                                      <w:sz w:val="24"/>
                                      <w:szCs w:val="24"/>
                                    </w:rPr>
                                  </w:pPr>
                                  <w:r>
                                    <w:rPr>
                                      <w:rFonts w:ascii="Arial" w:hAnsi="Arial" w:cs="Arial"/>
                                      <w:sz w:val="24"/>
                                      <w:szCs w:val="24"/>
                                    </w:rPr>
                                    <w:t>72,012</w:t>
                                  </w:r>
                                </w:p>
                              </w:tc>
                            </w:tr>
                            <w:tr w:rsidR="00F3354E" w:rsidRPr="009C32B5" w14:paraId="2EC3F6E8" w14:textId="77777777" w:rsidTr="0096191F">
                              <w:tc>
                                <w:tcPr>
                                  <w:tcW w:w="2887" w:type="dxa"/>
                                </w:tcPr>
                                <w:p w14:paraId="551BAB70" w14:textId="77777777" w:rsidR="00F3354E" w:rsidRPr="009C32B5" w:rsidRDefault="00F3354E">
                                  <w:pPr>
                                    <w:rPr>
                                      <w:rFonts w:ascii="Arial" w:hAnsi="Arial" w:cs="Arial"/>
                                      <w:sz w:val="24"/>
                                      <w:szCs w:val="24"/>
                                    </w:rPr>
                                  </w:pPr>
                                  <w:r w:rsidRPr="009C32B5">
                                    <w:rPr>
                                      <w:rFonts w:ascii="Arial" w:hAnsi="Arial" w:cs="Arial"/>
                                      <w:sz w:val="24"/>
                                      <w:szCs w:val="24"/>
                                    </w:rPr>
                                    <w:t>Lump sum benefits</w:t>
                                  </w:r>
                                </w:p>
                              </w:tc>
                              <w:tc>
                                <w:tcPr>
                                  <w:tcW w:w="1163" w:type="dxa"/>
                                </w:tcPr>
                                <w:p w14:paraId="218CB9E3" w14:textId="77777777" w:rsidR="00F3354E" w:rsidRPr="009C32B5" w:rsidRDefault="00565CFC" w:rsidP="00C0412E">
                                  <w:pPr>
                                    <w:jc w:val="right"/>
                                    <w:rPr>
                                      <w:rFonts w:ascii="Arial" w:hAnsi="Arial" w:cs="Arial"/>
                                      <w:sz w:val="24"/>
                                      <w:szCs w:val="24"/>
                                    </w:rPr>
                                  </w:pPr>
                                  <w:r>
                                    <w:rPr>
                                      <w:rFonts w:ascii="Arial" w:hAnsi="Arial" w:cs="Arial"/>
                                      <w:sz w:val="24"/>
                                      <w:szCs w:val="24"/>
                                    </w:rPr>
                                    <w:t>17,880</w:t>
                                  </w:r>
                                </w:p>
                              </w:tc>
                            </w:tr>
                            <w:tr w:rsidR="00F3354E" w:rsidRPr="009C32B5" w14:paraId="42CD9A9A" w14:textId="77777777" w:rsidTr="0096191F">
                              <w:tc>
                                <w:tcPr>
                                  <w:tcW w:w="2887" w:type="dxa"/>
                                </w:tcPr>
                                <w:p w14:paraId="2EE3FA06" w14:textId="77777777" w:rsidR="00F3354E" w:rsidRPr="009C32B5" w:rsidRDefault="00F3354E">
                                  <w:pPr>
                                    <w:pStyle w:val="Footer"/>
                                    <w:tabs>
                                      <w:tab w:val="clear" w:pos="4153"/>
                                      <w:tab w:val="clear" w:pos="8306"/>
                                    </w:tabs>
                                    <w:rPr>
                                      <w:rFonts w:ascii="Arial" w:hAnsi="Arial" w:cs="Arial"/>
                                      <w:sz w:val="24"/>
                                      <w:szCs w:val="24"/>
                                    </w:rPr>
                                  </w:pPr>
                                  <w:r>
                                    <w:rPr>
                                      <w:rFonts w:ascii="Arial" w:hAnsi="Arial" w:cs="Arial"/>
                                      <w:sz w:val="24"/>
                                      <w:szCs w:val="24"/>
                                    </w:rPr>
                                    <w:t xml:space="preserve">Refunds and </w:t>
                                  </w:r>
                                  <w:r w:rsidRPr="009C32B5">
                                    <w:rPr>
                                      <w:rFonts w:ascii="Arial" w:hAnsi="Arial" w:cs="Arial"/>
                                      <w:sz w:val="24"/>
                                      <w:szCs w:val="24"/>
                                    </w:rPr>
                                    <w:t>transfers out</w:t>
                                  </w:r>
                                </w:p>
                              </w:tc>
                              <w:tc>
                                <w:tcPr>
                                  <w:tcW w:w="1163" w:type="dxa"/>
                                </w:tcPr>
                                <w:p w14:paraId="7AFB868D" w14:textId="77777777" w:rsidR="00F3354E" w:rsidRDefault="00F3354E">
                                  <w:pPr>
                                    <w:jc w:val="right"/>
                                    <w:rPr>
                                      <w:rFonts w:ascii="Arial" w:hAnsi="Arial" w:cs="Arial"/>
                                      <w:sz w:val="24"/>
                                      <w:szCs w:val="24"/>
                                    </w:rPr>
                                  </w:pPr>
                                </w:p>
                                <w:p w14:paraId="1E65CF47" w14:textId="77777777" w:rsidR="00F3354E" w:rsidRPr="009C32B5" w:rsidRDefault="00565CFC" w:rsidP="00E34E41">
                                  <w:pPr>
                                    <w:jc w:val="right"/>
                                    <w:rPr>
                                      <w:rFonts w:ascii="Arial" w:hAnsi="Arial" w:cs="Arial"/>
                                      <w:sz w:val="24"/>
                                      <w:szCs w:val="24"/>
                                    </w:rPr>
                                  </w:pPr>
                                  <w:r>
                                    <w:rPr>
                                      <w:rFonts w:ascii="Arial" w:hAnsi="Arial" w:cs="Arial"/>
                                      <w:sz w:val="24"/>
                                      <w:szCs w:val="24"/>
                                    </w:rPr>
                                    <w:t>2,806</w:t>
                                  </w:r>
                                </w:p>
                              </w:tc>
                            </w:tr>
                            <w:tr w:rsidR="00F3354E" w:rsidRPr="009C32B5" w14:paraId="3A122327" w14:textId="77777777" w:rsidTr="0096191F">
                              <w:tc>
                                <w:tcPr>
                                  <w:tcW w:w="2887" w:type="dxa"/>
                                </w:tcPr>
                                <w:p w14:paraId="64B0EE8B" w14:textId="77777777" w:rsidR="00F3354E" w:rsidRPr="009C32B5" w:rsidRDefault="00F3354E">
                                  <w:pPr>
                                    <w:rPr>
                                      <w:rFonts w:ascii="Arial" w:hAnsi="Arial" w:cs="Arial"/>
                                      <w:sz w:val="24"/>
                                      <w:szCs w:val="24"/>
                                    </w:rPr>
                                  </w:pPr>
                                </w:p>
                              </w:tc>
                              <w:tc>
                                <w:tcPr>
                                  <w:tcW w:w="1163" w:type="dxa"/>
                                </w:tcPr>
                                <w:p w14:paraId="72BC3A36" w14:textId="77777777" w:rsidR="00F3354E" w:rsidRPr="009C32B5" w:rsidRDefault="00F3354E" w:rsidP="00EF7D75">
                                  <w:pPr>
                                    <w:jc w:val="center"/>
                                    <w:rPr>
                                      <w:rFonts w:ascii="Arial" w:hAnsi="Arial" w:cs="Arial"/>
                                      <w:sz w:val="24"/>
                                      <w:szCs w:val="24"/>
                                    </w:rPr>
                                  </w:pPr>
                                </w:p>
                              </w:tc>
                            </w:tr>
                            <w:tr w:rsidR="00F3354E" w:rsidRPr="009C32B5" w14:paraId="304F0E70" w14:textId="77777777" w:rsidTr="0096191F">
                              <w:tc>
                                <w:tcPr>
                                  <w:tcW w:w="2887" w:type="dxa"/>
                                </w:tcPr>
                                <w:p w14:paraId="64DB5A9E" w14:textId="77777777" w:rsidR="00F3354E" w:rsidRPr="009C32B5" w:rsidRDefault="00F3354E">
                                  <w:pPr>
                                    <w:rPr>
                                      <w:rFonts w:ascii="Arial" w:hAnsi="Arial" w:cs="Arial"/>
                                      <w:sz w:val="24"/>
                                      <w:szCs w:val="24"/>
                                    </w:rPr>
                                  </w:pPr>
                                  <w:r>
                                    <w:rPr>
                                      <w:rFonts w:ascii="Arial" w:hAnsi="Arial" w:cs="Arial"/>
                                      <w:sz w:val="24"/>
                                      <w:szCs w:val="24"/>
                                    </w:rPr>
                                    <w:t>Management</w:t>
                                  </w:r>
                                  <w:r w:rsidRPr="009C32B5">
                                    <w:rPr>
                                      <w:rFonts w:ascii="Arial" w:hAnsi="Arial" w:cs="Arial"/>
                                      <w:sz w:val="24"/>
                                      <w:szCs w:val="24"/>
                                    </w:rPr>
                                    <w:t xml:space="preserve"> Expenses</w:t>
                                  </w:r>
                                </w:p>
                              </w:tc>
                              <w:tc>
                                <w:tcPr>
                                  <w:tcW w:w="1163" w:type="dxa"/>
                                </w:tcPr>
                                <w:p w14:paraId="4E305C3A" w14:textId="77777777" w:rsidR="00F3354E" w:rsidRPr="009C32B5" w:rsidRDefault="00F3354E" w:rsidP="00E34E41">
                                  <w:pPr>
                                    <w:jc w:val="right"/>
                                    <w:rPr>
                                      <w:rFonts w:ascii="Arial" w:hAnsi="Arial" w:cs="Arial"/>
                                      <w:sz w:val="24"/>
                                      <w:szCs w:val="24"/>
                                    </w:rPr>
                                  </w:pPr>
                                  <w:r>
                                    <w:rPr>
                                      <w:rFonts w:ascii="Arial" w:hAnsi="Arial" w:cs="Arial"/>
                                      <w:sz w:val="24"/>
                                      <w:szCs w:val="24"/>
                                    </w:rPr>
                                    <w:t>1</w:t>
                                  </w:r>
                                  <w:r w:rsidR="00565CFC">
                                    <w:rPr>
                                      <w:rFonts w:ascii="Arial" w:hAnsi="Arial" w:cs="Arial"/>
                                      <w:sz w:val="24"/>
                                      <w:szCs w:val="24"/>
                                    </w:rPr>
                                    <w:t>6,544</w:t>
                                  </w:r>
                                </w:p>
                              </w:tc>
                            </w:tr>
                            <w:tr w:rsidR="00F3354E" w14:paraId="724375D1" w14:textId="77777777" w:rsidTr="0096191F">
                              <w:tc>
                                <w:tcPr>
                                  <w:tcW w:w="2887" w:type="dxa"/>
                                </w:tcPr>
                                <w:p w14:paraId="63E9B1B5" w14:textId="77777777" w:rsidR="00F3354E" w:rsidRDefault="00F3354E">
                                  <w:pPr>
                                    <w:pStyle w:val="Footer"/>
                                    <w:tabs>
                                      <w:tab w:val="clear" w:pos="4153"/>
                                      <w:tab w:val="clear" w:pos="8306"/>
                                    </w:tabs>
                                    <w:rPr>
                                      <w:i/>
                                    </w:rPr>
                                  </w:pPr>
                                </w:p>
                              </w:tc>
                              <w:tc>
                                <w:tcPr>
                                  <w:tcW w:w="1163" w:type="dxa"/>
                                  <w:tcBorders>
                                    <w:bottom w:val="single" w:sz="4" w:space="0" w:color="auto"/>
                                  </w:tcBorders>
                                </w:tcPr>
                                <w:p w14:paraId="1753507C" w14:textId="77777777" w:rsidR="00F3354E" w:rsidRPr="00BB0C55" w:rsidRDefault="00F3354E" w:rsidP="00984B3C">
                                  <w:pPr>
                                    <w:rPr>
                                      <w:i/>
                                      <w:szCs w:val="24"/>
                                    </w:rPr>
                                  </w:pPr>
                                </w:p>
                              </w:tc>
                            </w:tr>
                            <w:tr w:rsidR="00F3354E" w14:paraId="76AA055E" w14:textId="77777777" w:rsidTr="0096191F">
                              <w:tc>
                                <w:tcPr>
                                  <w:tcW w:w="2887" w:type="dxa"/>
                                </w:tcPr>
                                <w:p w14:paraId="210BCBCA" w14:textId="77777777" w:rsidR="00F3354E" w:rsidRDefault="00F3354E">
                                  <w:pPr>
                                    <w:rPr>
                                      <w:i/>
                                    </w:rPr>
                                  </w:pPr>
                                </w:p>
                              </w:tc>
                              <w:tc>
                                <w:tcPr>
                                  <w:tcW w:w="1163" w:type="dxa"/>
                                  <w:tcBorders>
                                    <w:top w:val="single" w:sz="4" w:space="0" w:color="auto"/>
                                    <w:bottom w:val="single" w:sz="4" w:space="0" w:color="auto"/>
                                  </w:tcBorders>
                                </w:tcPr>
                                <w:p w14:paraId="5C95B768" w14:textId="77777777" w:rsidR="00F3354E" w:rsidRPr="000C1993" w:rsidRDefault="00565CFC" w:rsidP="00E34E41">
                                  <w:pPr>
                                    <w:jc w:val="right"/>
                                    <w:rPr>
                                      <w:rFonts w:ascii="Arial" w:hAnsi="Arial" w:cs="Arial"/>
                                      <w:b/>
                                      <w:sz w:val="24"/>
                                      <w:szCs w:val="24"/>
                                    </w:rPr>
                                  </w:pPr>
                                  <w:r>
                                    <w:rPr>
                                      <w:rFonts w:ascii="Arial" w:hAnsi="Arial" w:cs="Arial"/>
                                      <w:b/>
                                      <w:sz w:val="24"/>
                                      <w:szCs w:val="24"/>
                                    </w:rPr>
                                    <w:t>109,242</w:t>
                                  </w:r>
                                </w:p>
                              </w:tc>
                            </w:tr>
                          </w:tbl>
                          <w:p w14:paraId="739CD943" w14:textId="77777777" w:rsidR="00F3354E" w:rsidRDefault="00F3354E" w:rsidP="009C32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E10D4" id="Text Box 7" o:spid="_x0000_s1081" type="#_x0000_t202" style="position:absolute;margin-left:291.15pt;margin-top:1.9pt;width:248.6pt;height:196.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" o:allowincell="f" stroked="f">
                <v:textbox>
                  <w:txbxContent>
                    <w:p w14:paraId="7036464A" w14:textId="77777777" w:rsidR="00F3354E" w:rsidRPr="009C32B5" w:rsidRDefault="00F3354E" w:rsidP="009C32B5">
                      <w:pPr>
                        <w:rPr>
                          <w:rFonts w:ascii="Arial" w:hAnsi="Arial" w:cs="Arial"/>
                          <w:b/>
                          <w:sz w:val="24"/>
                          <w:szCs w:val="24"/>
                        </w:rPr>
                      </w:pPr>
                      <w:r w:rsidRPr="009C32B5">
                        <w:rPr>
                          <w:rFonts w:ascii="Arial" w:hAnsi="Arial" w:cs="Arial"/>
                          <w:b/>
                          <w:sz w:val="24"/>
                          <w:szCs w:val="24"/>
                        </w:rPr>
                        <w:t>And where it goes……..</w:t>
                      </w:r>
                    </w:p>
                    <w:p w14:paraId="6D338635" w14:textId="77777777" w:rsidR="00F3354E" w:rsidRPr="009C32B5" w:rsidRDefault="00F3354E" w:rsidP="009C32B5">
                      <w:pPr>
                        <w:rPr>
                          <w:rFonts w:ascii="Arial" w:hAnsi="Arial" w:cs="Arial"/>
                          <w:sz w:val="24"/>
                          <w:szCs w:val="24"/>
                        </w:rPr>
                      </w:pPr>
                      <w:r>
                        <w:rPr>
                          <w:rFonts w:ascii="Arial" w:hAnsi="Arial" w:cs="Arial"/>
                          <w:sz w:val="24"/>
                          <w:szCs w:val="24"/>
                        </w:rPr>
                        <w:t xml:space="preserve">                                        </w:t>
                      </w:r>
                    </w:p>
                    <w:tbl>
                      <w:tblPr>
                        <w:tblW w:w="0" w:type="auto"/>
                        <w:tblInd w:w="198" w:type="dxa"/>
                        <w:tblLayout w:type="fixed"/>
                        <w:tblLook w:val="0000" w:firstRow="0" w:lastRow="0" w:firstColumn="0" w:lastColumn="0" w:noHBand="0" w:noVBand="0"/>
                      </w:tblPr>
                      <w:tblGrid>
                        <w:gridCol w:w="2887"/>
                        <w:gridCol w:w="1163"/>
                      </w:tblGrid>
                      <w:tr w:rsidR="00F3354E" w:rsidRPr="009C32B5" w14:paraId="7F526BCB" w14:textId="77777777" w:rsidTr="0096191F">
                        <w:tc>
                          <w:tcPr>
                            <w:tcW w:w="2887" w:type="dxa"/>
                          </w:tcPr>
                          <w:p w14:paraId="6CB08CDF" w14:textId="77777777" w:rsidR="00F3354E" w:rsidRPr="009C32B5" w:rsidRDefault="00F3354E">
                            <w:pPr>
                              <w:pStyle w:val="Footer"/>
                              <w:tabs>
                                <w:tab w:val="clear" w:pos="4153"/>
                                <w:tab w:val="clear" w:pos="8306"/>
                              </w:tabs>
                              <w:rPr>
                                <w:rFonts w:ascii="Arial" w:hAnsi="Arial" w:cs="Arial"/>
                                <w:sz w:val="24"/>
                                <w:szCs w:val="24"/>
                              </w:rPr>
                            </w:pPr>
                          </w:p>
                        </w:tc>
                        <w:tc>
                          <w:tcPr>
                            <w:tcW w:w="1163" w:type="dxa"/>
                          </w:tcPr>
                          <w:p w14:paraId="4C193D53" w14:textId="77777777" w:rsidR="00F3354E" w:rsidRPr="009C32B5" w:rsidRDefault="00F3354E" w:rsidP="00EA30DD">
                            <w:pPr>
                              <w:jc w:val="right"/>
                              <w:rPr>
                                <w:rFonts w:ascii="Arial" w:hAnsi="Arial" w:cs="Arial"/>
                                <w:b/>
                                <w:sz w:val="24"/>
                                <w:szCs w:val="24"/>
                              </w:rPr>
                            </w:pPr>
                            <w:r w:rsidRPr="009C32B5">
                              <w:rPr>
                                <w:rFonts w:ascii="Arial" w:hAnsi="Arial" w:cs="Arial"/>
                                <w:b/>
                                <w:sz w:val="24"/>
                                <w:szCs w:val="24"/>
                              </w:rPr>
                              <w:t>£’000</w:t>
                            </w:r>
                          </w:p>
                        </w:tc>
                      </w:tr>
                      <w:tr w:rsidR="00F3354E" w:rsidRPr="009C32B5" w14:paraId="23BE42F6" w14:textId="77777777" w:rsidTr="0096191F">
                        <w:tc>
                          <w:tcPr>
                            <w:tcW w:w="2887" w:type="dxa"/>
                          </w:tcPr>
                          <w:p w14:paraId="17FE585D" w14:textId="77777777" w:rsidR="00F3354E" w:rsidRDefault="00F3354E">
                            <w:pPr>
                              <w:rPr>
                                <w:rFonts w:ascii="Arial" w:hAnsi="Arial" w:cs="Arial"/>
                                <w:sz w:val="24"/>
                                <w:szCs w:val="24"/>
                              </w:rPr>
                            </w:pPr>
                          </w:p>
                          <w:p w14:paraId="1390A6F4" w14:textId="77777777" w:rsidR="00F3354E" w:rsidRDefault="00F3354E">
                            <w:pPr>
                              <w:rPr>
                                <w:rFonts w:ascii="Arial" w:hAnsi="Arial" w:cs="Arial"/>
                                <w:sz w:val="24"/>
                                <w:szCs w:val="24"/>
                              </w:rPr>
                            </w:pPr>
                            <w:r w:rsidRPr="009C32B5">
                              <w:rPr>
                                <w:rFonts w:ascii="Arial" w:hAnsi="Arial" w:cs="Arial"/>
                                <w:sz w:val="24"/>
                                <w:szCs w:val="24"/>
                              </w:rPr>
                              <w:t>Pensions payable</w:t>
                            </w:r>
                          </w:p>
                          <w:p w14:paraId="2F6196D7" w14:textId="77777777" w:rsidR="00F3354E" w:rsidRPr="009C32B5" w:rsidRDefault="00F3354E">
                            <w:pPr>
                              <w:rPr>
                                <w:rFonts w:ascii="Arial" w:hAnsi="Arial" w:cs="Arial"/>
                                <w:sz w:val="24"/>
                                <w:szCs w:val="24"/>
                              </w:rPr>
                            </w:pPr>
                          </w:p>
                        </w:tc>
                        <w:tc>
                          <w:tcPr>
                            <w:tcW w:w="1163" w:type="dxa"/>
                          </w:tcPr>
                          <w:p w14:paraId="4DE4726C" w14:textId="77777777" w:rsidR="00F3354E" w:rsidRDefault="00F3354E" w:rsidP="00571417">
                            <w:pPr>
                              <w:jc w:val="right"/>
                              <w:rPr>
                                <w:rFonts w:ascii="Arial" w:hAnsi="Arial" w:cs="Arial"/>
                                <w:sz w:val="24"/>
                                <w:szCs w:val="24"/>
                              </w:rPr>
                            </w:pPr>
                          </w:p>
                          <w:p w14:paraId="50067B8A" w14:textId="77777777" w:rsidR="00F3354E" w:rsidRPr="009C32B5" w:rsidRDefault="00565CFC" w:rsidP="00571417">
                            <w:pPr>
                              <w:jc w:val="right"/>
                              <w:rPr>
                                <w:rFonts w:ascii="Arial" w:hAnsi="Arial" w:cs="Arial"/>
                                <w:sz w:val="24"/>
                                <w:szCs w:val="24"/>
                              </w:rPr>
                            </w:pPr>
                            <w:r>
                              <w:rPr>
                                <w:rFonts w:ascii="Arial" w:hAnsi="Arial" w:cs="Arial"/>
                                <w:sz w:val="24"/>
                                <w:szCs w:val="24"/>
                              </w:rPr>
                              <w:t>72,012</w:t>
                            </w:r>
                          </w:p>
                        </w:tc>
                      </w:tr>
                      <w:tr w:rsidR="00F3354E" w:rsidRPr="009C32B5" w14:paraId="2EC3F6E8" w14:textId="77777777" w:rsidTr="0096191F">
                        <w:tc>
                          <w:tcPr>
                            <w:tcW w:w="2887" w:type="dxa"/>
                          </w:tcPr>
                          <w:p w14:paraId="551BAB70" w14:textId="77777777" w:rsidR="00F3354E" w:rsidRPr="009C32B5" w:rsidRDefault="00F3354E">
                            <w:pPr>
                              <w:rPr>
                                <w:rFonts w:ascii="Arial" w:hAnsi="Arial" w:cs="Arial"/>
                                <w:sz w:val="24"/>
                                <w:szCs w:val="24"/>
                              </w:rPr>
                            </w:pPr>
                            <w:r w:rsidRPr="009C32B5">
                              <w:rPr>
                                <w:rFonts w:ascii="Arial" w:hAnsi="Arial" w:cs="Arial"/>
                                <w:sz w:val="24"/>
                                <w:szCs w:val="24"/>
                              </w:rPr>
                              <w:t>Lump sum benefits</w:t>
                            </w:r>
                          </w:p>
                        </w:tc>
                        <w:tc>
                          <w:tcPr>
                            <w:tcW w:w="1163" w:type="dxa"/>
                          </w:tcPr>
                          <w:p w14:paraId="218CB9E3" w14:textId="77777777" w:rsidR="00F3354E" w:rsidRPr="009C32B5" w:rsidRDefault="00565CFC" w:rsidP="00C0412E">
                            <w:pPr>
                              <w:jc w:val="right"/>
                              <w:rPr>
                                <w:rFonts w:ascii="Arial" w:hAnsi="Arial" w:cs="Arial"/>
                                <w:sz w:val="24"/>
                                <w:szCs w:val="24"/>
                              </w:rPr>
                            </w:pPr>
                            <w:r>
                              <w:rPr>
                                <w:rFonts w:ascii="Arial" w:hAnsi="Arial" w:cs="Arial"/>
                                <w:sz w:val="24"/>
                                <w:szCs w:val="24"/>
                              </w:rPr>
                              <w:t>17,880</w:t>
                            </w:r>
                          </w:p>
                        </w:tc>
                      </w:tr>
                      <w:tr w:rsidR="00F3354E" w:rsidRPr="009C32B5" w14:paraId="42CD9A9A" w14:textId="77777777" w:rsidTr="0096191F">
                        <w:tc>
                          <w:tcPr>
                            <w:tcW w:w="2887" w:type="dxa"/>
                          </w:tcPr>
                          <w:p w14:paraId="2EE3FA06" w14:textId="77777777" w:rsidR="00F3354E" w:rsidRPr="009C32B5" w:rsidRDefault="00F3354E">
                            <w:pPr>
                              <w:pStyle w:val="Footer"/>
                              <w:tabs>
                                <w:tab w:val="clear" w:pos="4153"/>
                                <w:tab w:val="clear" w:pos="8306"/>
                              </w:tabs>
                              <w:rPr>
                                <w:rFonts w:ascii="Arial" w:hAnsi="Arial" w:cs="Arial"/>
                                <w:sz w:val="24"/>
                                <w:szCs w:val="24"/>
                              </w:rPr>
                            </w:pPr>
                            <w:r>
                              <w:rPr>
                                <w:rFonts w:ascii="Arial" w:hAnsi="Arial" w:cs="Arial"/>
                                <w:sz w:val="24"/>
                                <w:szCs w:val="24"/>
                              </w:rPr>
                              <w:t xml:space="preserve">Refunds and </w:t>
                            </w:r>
                            <w:r w:rsidRPr="009C32B5">
                              <w:rPr>
                                <w:rFonts w:ascii="Arial" w:hAnsi="Arial" w:cs="Arial"/>
                                <w:sz w:val="24"/>
                                <w:szCs w:val="24"/>
                              </w:rPr>
                              <w:t>transfers out</w:t>
                            </w:r>
                          </w:p>
                        </w:tc>
                        <w:tc>
                          <w:tcPr>
                            <w:tcW w:w="1163" w:type="dxa"/>
                          </w:tcPr>
                          <w:p w14:paraId="7AFB868D" w14:textId="77777777" w:rsidR="00F3354E" w:rsidRDefault="00F3354E">
                            <w:pPr>
                              <w:jc w:val="right"/>
                              <w:rPr>
                                <w:rFonts w:ascii="Arial" w:hAnsi="Arial" w:cs="Arial"/>
                                <w:sz w:val="24"/>
                                <w:szCs w:val="24"/>
                              </w:rPr>
                            </w:pPr>
                          </w:p>
                          <w:p w14:paraId="1E65CF47" w14:textId="77777777" w:rsidR="00F3354E" w:rsidRPr="009C32B5" w:rsidRDefault="00565CFC" w:rsidP="00E34E41">
                            <w:pPr>
                              <w:jc w:val="right"/>
                              <w:rPr>
                                <w:rFonts w:ascii="Arial" w:hAnsi="Arial" w:cs="Arial"/>
                                <w:sz w:val="24"/>
                                <w:szCs w:val="24"/>
                              </w:rPr>
                            </w:pPr>
                            <w:r>
                              <w:rPr>
                                <w:rFonts w:ascii="Arial" w:hAnsi="Arial" w:cs="Arial"/>
                                <w:sz w:val="24"/>
                                <w:szCs w:val="24"/>
                              </w:rPr>
                              <w:t>2,806</w:t>
                            </w:r>
                          </w:p>
                        </w:tc>
                      </w:tr>
                      <w:tr w:rsidR="00F3354E" w:rsidRPr="009C32B5" w14:paraId="3A122327" w14:textId="77777777" w:rsidTr="0096191F">
                        <w:tc>
                          <w:tcPr>
                            <w:tcW w:w="2887" w:type="dxa"/>
                          </w:tcPr>
                          <w:p w14:paraId="64B0EE8B" w14:textId="77777777" w:rsidR="00F3354E" w:rsidRPr="009C32B5" w:rsidRDefault="00F3354E">
                            <w:pPr>
                              <w:rPr>
                                <w:rFonts w:ascii="Arial" w:hAnsi="Arial" w:cs="Arial"/>
                                <w:sz w:val="24"/>
                                <w:szCs w:val="24"/>
                              </w:rPr>
                            </w:pPr>
                          </w:p>
                        </w:tc>
                        <w:tc>
                          <w:tcPr>
                            <w:tcW w:w="1163" w:type="dxa"/>
                          </w:tcPr>
                          <w:p w14:paraId="72BC3A36" w14:textId="77777777" w:rsidR="00F3354E" w:rsidRPr="009C32B5" w:rsidRDefault="00F3354E" w:rsidP="00EF7D75">
                            <w:pPr>
                              <w:jc w:val="center"/>
                              <w:rPr>
                                <w:rFonts w:ascii="Arial" w:hAnsi="Arial" w:cs="Arial"/>
                                <w:sz w:val="24"/>
                                <w:szCs w:val="24"/>
                              </w:rPr>
                            </w:pPr>
                          </w:p>
                        </w:tc>
                      </w:tr>
                      <w:tr w:rsidR="00F3354E" w:rsidRPr="009C32B5" w14:paraId="304F0E70" w14:textId="77777777" w:rsidTr="0096191F">
                        <w:tc>
                          <w:tcPr>
                            <w:tcW w:w="2887" w:type="dxa"/>
                          </w:tcPr>
                          <w:p w14:paraId="64DB5A9E" w14:textId="77777777" w:rsidR="00F3354E" w:rsidRPr="009C32B5" w:rsidRDefault="00F3354E">
                            <w:pPr>
                              <w:rPr>
                                <w:rFonts w:ascii="Arial" w:hAnsi="Arial" w:cs="Arial"/>
                                <w:sz w:val="24"/>
                                <w:szCs w:val="24"/>
                              </w:rPr>
                            </w:pPr>
                            <w:r>
                              <w:rPr>
                                <w:rFonts w:ascii="Arial" w:hAnsi="Arial" w:cs="Arial"/>
                                <w:sz w:val="24"/>
                                <w:szCs w:val="24"/>
                              </w:rPr>
                              <w:t>Management</w:t>
                            </w:r>
                            <w:r w:rsidRPr="009C32B5">
                              <w:rPr>
                                <w:rFonts w:ascii="Arial" w:hAnsi="Arial" w:cs="Arial"/>
                                <w:sz w:val="24"/>
                                <w:szCs w:val="24"/>
                              </w:rPr>
                              <w:t xml:space="preserve"> Expenses</w:t>
                            </w:r>
                          </w:p>
                        </w:tc>
                        <w:tc>
                          <w:tcPr>
                            <w:tcW w:w="1163" w:type="dxa"/>
                          </w:tcPr>
                          <w:p w14:paraId="4E305C3A" w14:textId="77777777" w:rsidR="00F3354E" w:rsidRPr="009C32B5" w:rsidRDefault="00F3354E" w:rsidP="00E34E41">
                            <w:pPr>
                              <w:jc w:val="right"/>
                              <w:rPr>
                                <w:rFonts w:ascii="Arial" w:hAnsi="Arial" w:cs="Arial"/>
                                <w:sz w:val="24"/>
                                <w:szCs w:val="24"/>
                              </w:rPr>
                            </w:pPr>
                            <w:r>
                              <w:rPr>
                                <w:rFonts w:ascii="Arial" w:hAnsi="Arial" w:cs="Arial"/>
                                <w:sz w:val="24"/>
                                <w:szCs w:val="24"/>
                              </w:rPr>
                              <w:t>1</w:t>
                            </w:r>
                            <w:r w:rsidR="00565CFC">
                              <w:rPr>
                                <w:rFonts w:ascii="Arial" w:hAnsi="Arial" w:cs="Arial"/>
                                <w:sz w:val="24"/>
                                <w:szCs w:val="24"/>
                              </w:rPr>
                              <w:t>6,544</w:t>
                            </w:r>
                          </w:p>
                        </w:tc>
                      </w:tr>
                      <w:tr w:rsidR="00F3354E" w14:paraId="724375D1" w14:textId="77777777" w:rsidTr="0096191F">
                        <w:tc>
                          <w:tcPr>
                            <w:tcW w:w="2887" w:type="dxa"/>
                          </w:tcPr>
                          <w:p w14:paraId="63E9B1B5" w14:textId="77777777" w:rsidR="00F3354E" w:rsidRDefault="00F3354E">
                            <w:pPr>
                              <w:pStyle w:val="Footer"/>
                              <w:tabs>
                                <w:tab w:val="clear" w:pos="4153"/>
                                <w:tab w:val="clear" w:pos="8306"/>
                              </w:tabs>
                              <w:rPr>
                                <w:i/>
                              </w:rPr>
                            </w:pPr>
                          </w:p>
                        </w:tc>
                        <w:tc>
                          <w:tcPr>
                            <w:tcW w:w="1163" w:type="dxa"/>
                            <w:tcBorders>
                              <w:bottom w:val="single" w:sz="4" w:space="0" w:color="auto"/>
                            </w:tcBorders>
                          </w:tcPr>
                          <w:p w14:paraId="1753507C" w14:textId="77777777" w:rsidR="00F3354E" w:rsidRPr="00BB0C55" w:rsidRDefault="00F3354E" w:rsidP="00984B3C">
                            <w:pPr>
                              <w:rPr>
                                <w:i/>
                                <w:szCs w:val="24"/>
                              </w:rPr>
                            </w:pPr>
                          </w:p>
                        </w:tc>
                      </w:tr>
                      <w:tr w:rsidR="00F3354E" w14:paraId="76AA055E" w14:textId="77777777" w:rsidTr="0096191F">
                        <w:tc>
                          <w:tcPr>
                            <w:tcW w:w="2887" w:type="dxa"/>
                          </w:tcPr>
                          <w:p w14:paraId="210BCBCA" w14:textId="77777777" w:rsidR="00F3354E" w:rsidRDefault="00F3354E">
                            <w:pPr>
                              <w:rPr>
                                <w:i/>
                              </w:rPr>
                            </w:pPr>
                          </w:p>
                        </w:tc>
                        <w:tc>
                          <w:tcPr>
                            <w:tcW w:w="1163" w:type="dxa"/>
                            <w:tcBorders>
                              <w:top w:val="single" w:sz="4" w:space="0" w:color="auto"/>
                              <w:bottom w:val="single" w:sz="4" w:space="0" w:color="auto"/>
                            </w:tcBorders>
                          </w:tcPr>
                          <w:p w14:paraId="5C95B768" w14:textId="77777777" w:rsidR="00F3354E" w:rsidRPr="000C1993" w:rsidRDefault="00565CFC" w:rsidP="00E34E41">
                            <w:pPr>
                              <w:jc w:val="right"/>
                              <w:rPr>
                                <w:rFonts w:ascii="Arial" w:hAnsi="Arial" w:cs="Arial"/>
                                <w:b/>
                                <w:sz w:val="24"/>
                                <w:szCs w:val="24"/>
                              </w:rPr>
                            </w:pPr>
                            <w:r>
                              <w:rPr>
                                <w:rFonts w:ascii="Arial" w:hAnsi="Arial" w:cs="Arial"/>
                                <w:b/>
                                <w:sz w:val="24"/>
                                <w:szCs w:val="24"/>
                              </w:rPr>
                              <w:t>109,242</w:t>
                            </w:r>
                          </w:p>
                        </w:tc>
                      </w:tr>
                    </w:tbl>
                    <w:p w14:paraId="739CD943" w14:textId="77777777" w:rsidR="00F3354E" w:rsidRDefault="00F3354E" w:rsidP="009C32B5"/>
                  </w:txbxContent>
                </v:textbox>
              </v:shape>
            </w:pict>
          </mc:Fallback>
        </mc:AlternateContent>
      </w:r>
      <w:r w:rsidR="009C32B5">
        <w:rPr>
          <w:i/>
          <w:color w:val="000000"/>
        </w:rPr>
        <w:tab/>
      </w:r>
      <w:r w:rsidR="009C32B5">
        <w:rPr>
          <w:i/>
          <w:color w:val="000000"/>
        </w:rPr>
        <w:tab/>
        <w:t xml:space="preserve">  </w:t>
      </w:r>
    </w:p>
    <w:p w14:paraId="2EAEB5B2" w14:textId="77777777" w:rsidR="009C32B5" w:rsidRDefault="009C32B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outlineLvl w:val="0"/>
        <w:rPr>
          <w:rFonts w:ascii="Arial" w:hAnsi="Arial" w:cs="Arial"/>
          <w:color w:val="000000"/>
          <w:sz w:val="24"/>
          <w:szCs w:val="24"/>
        </w:rPr>
      </w:pPr>
    </w:p>
    <w:p w14:paraId="7F7D42C7" w14:textId="77777777" w:rsidR="00970E60" w:rsidRDefault="00970E60" w:rsidP="005E4F16">
      <w:pPr>
        <w:tabs>
          <w:tab w:val="left" w:pos="1872"/>
          <w:tab w:val="left" w:pos="8496"/>
          <w:tab w:val="right" w:pos="9504"/>
        </w:tabs>
        <w:jc w:val="center"/>
        <w:outlineLvl w:val="0"/>
        <w:rPr>
          <w:rFonts w:ascii="Arial" w:hAnsi="Arial"/>
          <w:b/>
          <w:color w:val="000000"/>
          <w:sz w:val="24"/>
          <w:szCs w:val="24"/>
          <w:u w:val="single"/>
        </w:rPr>
      </w:pPr>
    </w:p>
    <w:p w14:paraId="0377D9B0" w14:textId="77777777" w:rsidR="00A9011E" w:rsidRDefault="00A9011E" w:rsidP="005E4F16">
      <w:pPr>
        <w:tabs>
          <w:tab w:val="left" w:pos="1872"/>
          <w:tab w:val="left" w:pos="8496"/>
          <w:tab w:val="right" w:pos="9504"/>
        </w:tabs>
        <w:jc w:val="center"/>
        <w:outlineLvl w:val="0"/>
        <w:rPr>
          <w:rFonts w:ascii="Arial" w:hAnsi="Arial"/>
          <w:b/>
          <w:color w:val="000000"/>
          <w:sz w:val="24"/>
          <w:szCs w:val="24"/>
          <w:u w:val="single"/>
        </w:rPr>
      </w:pPr>
    </w:p>
    <w:p w14:paraId="27E6DF20" w14:textId="15C9901E" w:rsidR="00A9011E" w:rsidRDefault="00516E75" w:rsidP="005E4F16">
      <w:pPr>
        <w:tabs>
          <w:tab w:val="left" w:pos="1872"/>
          <w:tab w:val="left" w:pos="8496"/>
          <w:tab w:val="right" w:pos="9504"/>
        </w:tabs>
        <w:jc w:val="center"/>
        <w:outlineLvl w:val="0"/>
        <w:rPr>
          <w:rFonts w:ascii="Arial" w:hAnsi="Arial"/>
          <w:b/>
          <w:color w:val="000000"/>
          <w:sz w:val="24"/>
          <w:szCs w:val="24"/>
          <w:u w:val="single"/>
        </w:rPr>
      </w:pPr>
      <w:r>
        <w:rPr>
          <w:noProof/>
          <w:lang w:eastAsia="en-GB"/>
        </w:rPr>
        <w:drawing>
          <wp:inline distT="0" distB="0" distL="0" distR="0" wp14:anchorId="07985F6C" wp14:editId="110C0932">
            <wp:extent cx="2025015" cy="163258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5015" cy="1632585"/>
                    </a:xfrm>
                    <a:prstGeom prst="rect">
                      <a:avLst/>
                    </a:prstGeom>
                    <a:noFill/>
                    <a:ln>
                      <a:noFill/>
                    </a:ln>
                  </pic:spPr>
                </pic:pic>
              </a:graphicData>
            </a:graphic>
          </wp:inline>
        </w:drawing>
      </w:r>
    </w:p>
    <w:p w14:paraId="5F0A8C37" w14:textId="14B78163" w:rsidR="00A9011E" w:rsidRDefault="00516E75" w:rsidP="005E4F16">
      <w:pPr>
        <w:tabs>
          <w:tab w:val="left" w:pos="1872"/>
          <w:tab w:val="left" w:pos="8496"/>
          <w:tab w:val="right" w:pos="9504"/>
        </w:tabs>
        <w:jc w:val="center"/>
        <w:outlineLvl w:val="0"/>
        <w:rPr>
          <w:rFonts w:ascii="Arial" w:hAnsi="Arial"/>
          <w:b/>
          <w:color w:val="000000"/>
          <w:sz w:val="24"/>
          <w:szCs w:val="24"/>
          <w:u w:val="single"/>
        </w:rPr>
      </w:pPr>
      <w:r>
        <w:rPr>
          <w:i/>
          <w:noProof/>
          <w:color w:val="000000"/>
        </w:rPr>
        <mc:AlternateContent>
          <mc:Choice Requires="wps">
            <w:drawing>
              <wp:anchor distT="0" distB="0" distL="114300" distR="114300" simplePos="0" relativeHeight="251618304" behindDoc="0" locked="0" layoutInCell="1" allowOverlap="1" wp14:anchorId="7B9173DE" wp14:editId="2E588372">
                <wp:simplePos x="0" y="0"/>
                <wp:positionH relativeFrom="column">
                  <wp:posOffset>1675765</wp:posOffset>
                </wp:positionH>
                <wp:positionV relativeFrom="paragraph">
                  <wp:posOffset>41275</wp:posOffset>
                </wp:positionV>
                <wp:extent cx="2862580" cy="1988820"/>
                <wp:effectExtent l="0" t="0" r="0" b="0"/>
                <wp:wrapNone/>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988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953" w:type="dxa"/>
                              <w:tblInd w:w="-34" w:type="dxa"/>
                              <w:tblLayout w:type="fixed"/>
                              <w:tblLook w:val="0000" w:firstRow="0" w:lastRow="0" w:firstColumn="0" w:lastColumn="0" w:noHBand="0" w:noVBand="0"/>
                            </w:tblPr>
                            <w:tblGrid>
                              <w:gridCol w:w="2565"/>
                              <w:gridCol w:w="1388"/>
                            </w:tblGrid>
                            <w:tr w:rsidR="00F3354E" w:rsidRPr="009C32B5" w14:paraId="4036F5E6" w14:textId="77777777" w:rsidTr="00100EED">
                              <w:trPr>
                                <w:trHeight w:val="324"/>
                              </w:trPr>
                              <w:tc>
                                <w:tcPr>
                                  <w:tcW w:w="2565" w:type="dxa"/>
                                </w:tcPr>
                                <w:p w14:paraId="5546C10A" w14:textId="77777777" w:rsidR="00F3354E" w:rsidRPr="009C32B5" w:rsidRDefault="00F3354E">
                                  <w:pPr>
                                    <w:rPr>
                                      <w:rFonts w:ascii="Arial" w:hAnsi="Arial" w:cs="Arial"/>
                                      <w:sz w:val="24"/>
                                      <w:szCs w:val="24"/>
                                    </w:rPr>
                                  </w:pPr>
                                </w:p>
                              </w:tc>
                              <w:tc>
                                <w:tcPr>
                                  <w:tcW w:w="1388" w:type="dxa"/>
                                </w:tcPr>
                                <w:p w14:paraId="16687401" w14:textId="77777777" w:rsidR="00F3354E" w:rsidRPr="009C32B5" w:rsidRDefault="00F3354E">
                                  <w:pPr>
                                    <w:jc w:val="right"/>
                                    <w:rPr>
                                      <w:rFonts w:ascii="Arial" w:hAnsi="Arial" w:cs="Arial"/>
                                      <w:b/>
                                      <w:sz w:val="24"/>
                                      <w:szCs w:val="24"/>
                                    </w:rPr>
                                  </w:pPr>
                                  <w:r w:rsidRPr="009C32B5">
                                    <w:rPr>
                                      <w:rFonts w:ascii="Arial" w:hAnsi="Arial" w:cs="Arial"/>
                                      <w:b/>
                                      <w:sz w:val="24"/>
                                      <w:szCs w:val="24"/>
                                    </w:rPr>
                                    <w:t>£’000</w:t>
                                  </w:r>
                                </w:p>
                              </w:tc>
                            </w:tr>
                            <w:tr w:rsidR="00F3354E" w:rsidRPr="009C32B5" w14:paraId="5779250A" w14:textId="77777777" w:rsidTr="00100EED">
                              <w:trPr>
                                <w:trHeight w:val="931"/>
                              </w:trPr>
                              <w:tc>
                                <w:tcPr>
                                  <w:tcW w:w="2565" w:type="dxa"/>
                                </w:tcPr>
                                <w:p w14:paraId="1784407D" w14:textId="77777777" w:rsidR="00F3354E" w:rsidRPr="009C32B5" w:rsidRDefault="00F3354E" w:rsidP="006650DE">
                                  <w:pPr>
                                    <w:pStyle w:val="Footer"/>
                                    <w:tabs>
                                      <w:tab w:val="clear" w:pos="4153"/>
                                      <w:tab w:val="clear" w:pos="8306"/>
                                    </w:tabs>
                                    <w:rPr>
                                      <w:rFonts w:ascii="Arial" w:hAnsi="Arial" w:cs="Arial"/>
                                      <w:sz w:val="24"/>
                                      <w:szCs w:val="24"/>
                                    </w:rPr>
                                  </w:pPr>
                                  <w:r w:rsidRPr="009C32B5">
                                    <w:rPr>
                                      <w:rFonts w:ascii="Arial" w:hAnsi="Arial" w:cs="Arial"/>
                                      <w:sz w:val="24"/>
                                      <w:szCs w:val="24"/>
                                    </w:rPr>
                                    <w:t>Net new money into the Fund</w:t>
                                  </w:r>
                                </w:p>
                              </w:tc>
                              <w:tc>
                                <w:tcPr>
                                  <w:tcW w:w="1388" w:type="dxa"/>
                                </w:tcPr>
                                <w:p w14:paraId="47AABD46" w14:textId="77777777" w:rsidR="00F3354E" w:rsidRDefault="00F3354E">
                                  <w:pPr>
                                    <w:jc w:val="right"/>
                                    <w:rPr>
                                      <w:rFonts w:ascii="Arial" w:hAnsi="Arial" w:cs="Arial"/>
                                      <w:sz w:val="24"/>
                                      <w:szCs w:val="24"/>
                                    </w:rPr>
                                  </w:pPr>
                                </w:p>
                                <w:p w14:paraId="7C2BF34E" w14:textId="77777777" w:rsidR="00F3354E" w:rsidRDefault="00565CFC" w:rsidP="00C0412E">
                                  <w:pPr>
                                    <w:jc w:val="right"/>
                                    <w:rPr>
                                      <w:rFonts w:ascii="Arial" w:hAnsi="Arial" w:cs="Arial"/>
                                      <w:sz w:val="24"/>
                                      <w:szCs w:val="24"/>
                                    </w:rPr>
                                  </w:pPr>
                                  <w:r>
                                    <w:rPr>
                                      <w:rFonts w:ascii="Arial" w:hAnsi="Arial" w:cs="Arial"/>
                                      <w:sz w:val="24"/>
                                      <w:szCs w:val="24"/>
                                    </w:rPr>
                                    <w:t>4,706</w:t>
                                  </w:r>
                                </w:p>
                                <w:p w14:paraId="3D21DF1D" w14:textId="77777777" w:rsidR="00F3354E" w:rsidRPr="009C32B5" w:rsidRDefault="00F3354E" w:rsidP="00C0412E">
                                  <w:pPr>
                                    <w:jc w:val="right"/>
                                    <w:rPr>
                                      <w:rFonts w:ascii="Arial" w:hAnsi="Arial" w:cs="Arial"/>
                                      <w:sz w:val="24"/>
                                      <w:szCs w:val="24"/>
                                    </w:rPr>
                                  </w:pPr>
                                </w:p>
                              </w:tc>
                            </w:tr>
                            <w:tr w:rsidR="00F3354E" w:rsidRPr="009C32B5" w14:paraId="6C61FA45" w14:textId="77777777" w:rsidTr="00100EED">
                              <w:trPr>
                                <w:trHeight w:val="479"/>
                              </w:trPr>
                              <w:tc>
                                <w:tcPr>
                                  <w:tcW w:w="2565" w:type="dxa"/>
                                </w:tcPr>
                                <w:p w14:paraId="5D8ED1BD" w14:textId="77777777" w:rsidR="00F3354E" w:rsidRPr="009C32B5" w:rsidRDefault="00F3354E">
                                  <w:pPr>
                                    <w:pStyle w:val="Footer"/>
                                    <w:tabs>
                                      <w:tab w:val="clear" w:pos="4153"/>
                                      <w:tab w:val="clear" w:pos="8306"/>
                                    </w:tabs>
                                    <w:rPr>
                                      <w:rFonts w:ascii="Arial" w:hAnsi="Arial" w:cs="Arial"/>
                                      <w:sz w:val="24"/>
                                      <w:szCs w:val="24"/>
                                      <w:highlight w:val="red"/>
                                    </w:rPr>
                                  </w:pPr>
                                  <w:r>
                                    <w:rPr>
                                      <w:rFonts w:ascii="Arial" w:hAnsi="Arial" w:cs="Arial"/>
                                      <w:sz w:val="24"/>
                                      <w:szCs w:val="24"/>
                                    </w:rPr>
                                    <w:t>Net return on Investments</w:t>
                                  </w:r>
                                </w:p>
                              </w:tc>
                              <w:tc>
                                <w:tcPr>
                                  <w:tcW w:w="1388" w:type="dxa"/>
                                </w:tcPr>
                                <w:p w14:paraId="4B112915" w14:textId="77777777" w:rsidR="00F3354E" w:rsidRPr="009C32B5" w:rsidRDefault="00565CFC" w:rsidP="004D1358">
                                  <w:pPr>
                                    <w:jc w:val="right"/>
                                    <w:rPr>
                                      <w:rFonts w:ascii="Arial" w:hAnsi="Arial" w:cs="Arial"/>
                                      <w:sz w:val="24"/>
                                      <w:szCs w:val="24"/>
                                    </w:rPr>
                                  </w:pPr>
                                  <w:r>
                                    <w:rPr>
                                      <w:rFonts w:ascii="Arial" w:hAnsi="Arial" w:cs="Arial"/>
                                      <w:sz w:val="24"/>
                                      <w:szCs w:val="24"/>
                                    </w:rPr>
                                    <w:t>30</w:t>
                                  </w:r>
                                  <w:r w:rsidR="00C81FE9">
                                    <w:rPr>
                                      <w:rFonts w:ascii="Arial" w:hAnsi="Arial" w:cs="Arial"/>
                                      <w:sz w:val="24"/>
                                      <w:szCs w:val="24"/>
                                    </w:rPr>
                                    <w:t>5</w:t>
                                  </w:r>
                                  <w:r>
                                    <w:rPr>
                                      <w:rFonts w:ascii="Arial" w:hAnsi="Arial" w:cs="Arial"/>
                                      <w:sz w:val="24"/>
                                      <w:szCs w:val="24"/>
                                    </w:rPr>
                                    <w:t>,</w:t>
                                  </w:r>
                                  <w:r w:rsidR="00C81FE9">
                                    <w:rPr>
                                      <w:rFonts w:ascii="Arial" w:hAnsi="Arial" w:cs="Arial"/>
                                      <w:sz w:val="24"/>
                                      <w:szCs w:val="24"/>
                                    </w:rPr>
                                    <w:t>071</w:t>
                                  </w:r>
                                </w:p>
                              </w:tc>
                            </w:tr>
                            <w:tr w:rsidR="00F3354E" w:rsidRPr="009C32B5" w14:paraId="1D3E7CD2" w14:textId="77777777" w:rsidTr="00100EED">
                              <w:trPr>
                                <w:trHeight w:val="324"/>
                              </w:trPr>
                              <w:tc>
                                <w:tcPr>
                                  <w:tcW w:w="2565" w:type="dxa"/>
                                </w:tcPr>
                                <w:p w14:paraId="05CB1BA3" w14:textId="77777777" w:rsidR="00F3354E" w:rsidRPr="009C32B5" w:rsidRDefault="00F3354E">
                                  <w:pPr>
                                    <w:rPr>
                                      <w:rFonts w:ascii="Arial" w:hAnsi="Arial" w:cs="Arial"/>
                                      <w:sz w:val="24"/>
                                      <w:szCs w:val="24"/>
                                      <w:highlight w:val="red"/>
                                    </w:rPr>
                                  </w:pPr>
                                </w:p>
                              </w:tc>
                              <w:tc>
                                <w:tcPr>
                                  <w:tcW w:w="1388" w:type="dxa"/>
                                  <w:tcBorders>
                                    <w:bottom w:val="single" w:sz="4" w:space="0" w:color="auto"/>
                                  </w:tcBorders>
                                </w:tcPr>
                                <w:p w14:paraId="5BEFE559" w14:textId="77777777" w:rsidR="00F3354E" w:rsidRPr="009C32B5" w:rsidRDefault="00F3354E">
                                  <w:pPr>
                                    <w:rPr>
                                      <w:rFonts w:ascii="Arial" w:hAnsi="Arial" w:cs="Arial"/>
                                      <w:sz w:val="24"/>
                                      <w:szCs w:val="24"/>
                                    </w:rPr>
                                  </w:pPr>
                                </w:p>
                              </w:tc>
                            </w:tr>
                            <w:tr w:rsidR="00F3354E" w:rsidRPr="009C32B5" w14:paraId="02B0D249" w14:textId="77777777" w:rsidTr="00100EED">
                              <w:trPr>
                                <w:trHeight w:val="387"/>
                              </w:trPr>
                              <w:tc>
                                <w:tcPr>
                                  <w:tcW w:w="2565" w:type="dxa"/>
                                </w:tcPr>
                                <w:p w14:paraId="014756F0" w14:textId="77777777" w:rsidR="00F3354E" w:rsidRPr="009C32B5" w:rsidRDefault="00F3354E" w:rsidP="00C0412E">
                                  <w:pPr>
                                    <w:rPr>
                                      <w:rFonts w:ascii="Arial" w:hAnsi="Arial" w:cs="Arial"/>
                                      <w:b/>
                                      <w:sz w:val="24"/>
                                      <w:szCs w:val="24"/>
                                      <w:highlight w:val="red"/>
                                    </w:rPr>
                                  </w:pPr>
                                  <w:r>
                                    <w:rPr>
                                      <w:rFonts w:ascii="Arial" w:hAnsi="Arial" w:cs="Arial"/>
                                      <w:b/>
                                      <w:sz w:val="24"/>
                                      <w:szCs w:val="24"/>
                                    </w:rPr>
                                    <w:t>Increase</w:t>
                                  </w:r>
                                  <w:r w:rsidRPr="009C32B5">
                                    <w:rPr>
                                      <w:rFonts w:ascii="Arial" w:hAnsi="Arial" w:cs="Arial"/>
                                      <w:b/>
                                      <w:sz w:val="24"/>
                                      <w:szCs w:val="24"/>
                                    </w:rPr>
                                    <w:t xml:space="preserve"> in Fund value</w:t>
                                  </w:r>
                                </w:p>
                              </w:tc>
                              <w:tc>
                                <w:tcPr>
                                  <w:tcW w:w="1388" w:type="dxa"/>
                                  <w:tcBorders>
                                    <w:top w:val="single" w:sz="4" w:space="0" w:color="auto"/>
                                    <w:bottom w:val="double" w:sz="4" w:space="0" w:color="auto"/>
                                  </w:tcBorders>
                                </w:tcPr>
                                <w:p w14:paraId="28DEF614" w14:textId="77777777" w:rsidR="00F3354E" w:rsidRDefault="00F3354E" w:rsidP="002A70DD">
                                  <w:pPr>
                                    <w:jc w:val="right"/>
                                    <w:rPr>
                                      <w:rFonts w:ascii="Arial" w:hAnsi="Arial" w:cs="Arial"/>
                                      <w:b/>
                                      <w:sz w:val="24"/>
                                      <w:szCs w:val="24"/>
                                    </w:rPr>
                                  </w:pPr>
                                </w:p>
                                <w:p w14:paraId="0C931C49" w14:textId="77777777" w:rsidR="00F3354E" w:rsidRPr="009C32B5" w:rsidRDefault="00C81FE9" w:rsidP="008C35C7">
                                  <w:pPr>
                                    <w:jc w:val="right"/>
                                    <w:rPr>
                                      <w:rFonts w:ascii="Arial" w:hAnsi="Arial" w:cs="Arial"/>
                                      <w:b/>
                                      <w:sz w:val="24"/>
                                      <w:szCs w:val="24"/>
                                    </w:rPr>
                                  </w:pPr>
                                  <w:r>
                                    <w:rPr>
                                      <w:rFonts w:ascii="Arial" w:hAnsi="Arial" w:cs="Arial"/>
                                      <w:b/>
                                      <w:sz w:val="24"/>
                                      <w:szCs w:val="24"/>
                                    </w:rPr>
                                    <w:t>309,777</w:t>
                                  </w:r>
                                </w:p>
                              </w:tc>
                            </w:tr>
                          </w:tbl>
                          <w:p w14:paraId="547FE75D" w14:textId="77777777" w:rsidR="00F3354E" w:rsidRDefault="00F3354E" w:rsidP="002A70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73DE" id="Text Box 8" o:spid="_x0000_s1082" type="#_x0000_t202" style="position:absolute;left:0;text-align:left;margin-left:131.95pt;margin-top:3.25pt;width:225.4pt;height:156.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" stroked="f">
                <v:textbox>
                  <w:txbxContent>
                    <w:tbl>
                      <w:tblPr>
                        <w:tblW w:w="3953" w:type="dxa"/>
                        <w:tblInd w:w="-34" w:type="dxa"/>
                        <w:tblLayout w:type="fixed"/>
                        <w:tblLook w:val="0000" w:firstRow="0" w:lastRow="0" w:firstColumn="0" w:lastColumn="0" w:noHBand="0" w:noVBand="0"/>
                      </w:tblPr>
                      <w:tblGrid>
                        <w:gridCol w:w="2565"/>
                        <w:gridCol w:w="1388"/>
                      </w:tblGrid>
                      <w:tr w:rsidR="00F3354E" w:rsidRPr="009C32B5" w14:paraId="4036F5E6" w14:textId="77777777" w:rsidTr="00100EED">
                        <w:trPr>
                          <w:trHeight w:val="324"/>
                        </w:trPr>
                        <w:tc>
                          <w:tcPr>
                            <w:tcW w:w="2565" w:type="dxa"/>
                          </w:tcPr>
                          <w:p w14:paraId="5546C10A" w14:textId="77777777" w:rsidR="00F3354E" w:rsidRPr="009C32B5" w:rsidRDefault="00F3354E">
                            <w:pPr>
                              <w:rPr>
                                <w:rFonts w:ascii="Arial" w:hAnsi="Arial" w:cs="Arial"/>
                                <w:sz w:val="24"/>
                                <w:szCs w:val="24"/>
                              </w:rPr>
                            </w:pPr>
                          </w:p>
                        </w:tc>
                        <w:tc>
                          <w:tcPr>
                            <w:tcW w:w="1388" w:type="dxa"/>
                          </w:tcPr>
                          <w:p w14:paraId="16687401" w14:textId="77777777" w:rsidR="00F3354E" w:rsidRPr="009C32B5" w:rsidRDefault="00F3354E">
                            <w:pPr>
                              <w:jc w:val="right"/>
                              <w:rPr>
                                <w:rFonts w:ascii="Arial" w:hAnsi="Arial" w:cs="Arial"/>
                                <w:b/>
                                <w:sz w:val="24"/>
                                <w:szCs w:val="24"/>
                              </w:rPr>
                            </w:pPr>
                            <w:r w:rsidRPr="009C32B5">
                              <w:rPr>
                                <w:rFonts w:ascii="Arial" w:hAnsi="Arial" w:cs="Arial"/>
                                <w:b/>
                                <w:sz w:val="24"/>
                                <w:szCs w:val="24"/>
                              </w:rPr>
                              <w:t>£’000</w:t>
                            </w:r>
                          </w:p>
                        </w:tc>
                      </w:tr>
                      <w:tr w:rsidR="00F3354E" w:rsidRPr="009C32B5" w14:paraId="5779250A" w14:textId="77777777" w:rsidTr="00100EED">
                        <w:trPr>
                          <w:trHeight w:val="931"/>
                        </w:trPr>
                        <w:tc>
                          <w:tcPr>
                            <w:tcW w:w="2565" w:type="dxa"/>
                          </w:tcPr>
                          <w:p w14:paraId="1784407D" w14:textId="77777777" w:rsidR="00F3354E" w:rsidRPr="009C32B5" w:rsidRDefault="00F3354E" w:rsidP="006650DE">
                            <w:pPr>
                              <w:pStyle w:val="Footer"/>
                              <w:tabs>
                                <w:tab w:val="clear" w:pos="4153"/>
                                <w:tab w:val="clear" w:pos="8306"/>
                              </w:tabs>
                              <w:rPr>
                                <w:rFonts w:ascii="Arial" w:hAnsi="Arial" w:cs="Arial"/>
                                <w:sz w:val="24"/>
                                <w:szCs w:val="24"/>
                              </w:rPr>
                            </w:pPr>
                            <w:r w:rsidRPr="009C32B5">
                              <w:rPr>
                                <w:rFonts w:ascii="Arial" w:hAnsi="Arial" w:cs="Arial"/>
                                <w:sz w:val="24"/>
                                <w:szCs w:val="24"/>
                              </w:rPr>
                              <w:t>Net new money into the Fund</w:t>
                            </w:r>
                          </w:p>
                        </w:tc>
                        <w:tc>
                          <w:tcPr>
                            <w:tcW w:w="1388" w:type="dxa"/>
                          </w:tcPr>
                          <w:p w14:paraId="47AABD46" w14:textId="77777777" w:rsidR="00F3354E" w:rsidRDefault="00F3354E">
                            <w:pPr>
                              <w:jc w:val="right"/>
                              <w:rPr>
                                <w:rFonts w:ascii="Arial" w:hAnsi="Arial" w:cs="Arial"/>
                                <w:sz w:val="24"/>
                                <w:szCs w:val="24"/>
                              </w:rPr>
                            </w:pPr>
                          </w:p>
                          <w:p w14:paraId="7C2BF34E" w14:textId="77777777" w:rsidR="00F3354E" w:rsidRDefault="00565CFC" w:rsidP="00C0412E">
                            <w:pPr>
                              <w:jc w:val="right"/>
                              <w:rPr>
                                <w:rFonts w:ascii="Arial" w:hAnsi="Arial" w:cs="Arial"/>
                                <w:sz w:val="24"/>
                                <w:szCs w:val="24"/>
                              </w:rPr>
                            </w:pPr>
                            <w:r>
                              <w:rPr>
                                <w:rFonts w:ascii="Arial" w:hAnsi="Arial" w:cs="Arial"/>
                                <w:sz w:val="24"/>
                                <w:szCs w:val="24"/>
                              </w:rPr>
                              <w:t>4,706</w:t>
                            </w:r>
                          </w:p>
                          <w:p w14:paraId="3D21DF1D" w14:textId="77777777" w:rsidR="00F3354E" w:rsidRPr="009C32B5" w:rsidRDefault="00F3354E" w:rsidP="00C0412E">
                            <w:pPr>
                              <w:jc w:val="right"/>
                              <w:rPr>
                                <w:rFonts w:ascii="Arial" w:hAnsi="Arial" w:cs="Arial"/>
                                <w:sz w:val="24"/>
                                <w:szCs w:val="24"/>
                              </w:rPr>
                            </w:pPr>
                          </w:p>
                        </w:tc>
                      </w:tr>
                      <w:tr w:rsidR="00F3354E" w:rsidRPr="009C32B5" w14:paraId="6C61FA45" w14:textId="77777777" w:rsidTr="00100EED">
                        <w:trPr>
                          <w:trHeight w:val="479"/>
                        </w:trPr>
                        <w:tc>
                          <w:tcPr>
                            <w:tcW w:w="2565" w:type="dxa"/>
                          </w:tcPr>
                          <w:p w14:paraId="5D8ED1BD" w14:textId="77777777" w:rsidR="00F3354E" w:rsidRPr="009C32B5" w:rsidRDefault="00F3354E">
                            <w:pPr>
                              <w:pStyle w:val="Footer"/>
                              <w:tabs>
                                <w:tab w:val="clear" w:pos="4153"/>
                                <w:tab w:val="clear" w:pos="8306"/>
                              </w:tabs>
                              <w:rPr>
                                <w:rFonts w:ascii="Arial" w:hAnsi="Arial" w:cs="Arial"/>
                                <w:sz w:val="24"/>
                                <w:szCs w:val="24"/>
                                <w:highlight w:val="red"/>
                              </w:rPr>
                            </w:pPr>
                            <w:r>
                              <w:rPr>
                                <w:rFonts w:ascii="Arial" w:hAnsi="Arial" w:cs="Arial"/>
                                <w:sz w:val="24"/>
                                <w:szCs w:val="24"/>
                              </w:rPr>
                              <w:t>Net return on Investments</w:t>
                            </w:r>
                          </w:p>
                        </w:tc>
                        <w:tc>
                          <w:tcPr>
                            <w:tcW w:w="1388" w:type="dxa"/>
                          </w:tcPr>
                          <w:p w14:paraId="4B112915" w14:textId="77777777" w:rsidR="00F3354E" w:rsidRPr="009C32B5" w:rsidRDefault="00565CFC" w:rsidP="004D1358">
                            <w:pPr>
                              <w:jc w:val="right"/>
                              <w:rPr>
                                <w:rFonts w:ascii="Arial" w:hAnsi="Arial" w:cs="Arial"/>
                                <w:sz w:val="24"/>
                                <w:szCs w:val="24"/>
                              </w:rPr>
                            </w:pPr>
                            <w:r>
                              <w:rPr>
                                <w:rFonts w:ascii="Arial" w:hAnsi="Arial" w:cs="Arial"/>
                                <w:sz w:val="24"/>
                                <w:szCs w:val="24"/>
                              </w:rPr>
                              <w:t>30</w:t>
                            </w:r>
                            <w:r w:rsidR="00C81FE9">
                              <w:rPr>
                                <w:rFonts w:ascii="Arial" w:hAnsi="Arial" w:cs="Arial"/>
                                <w:sz w:val="24"/>
                                <w:szCs w:val="24"/>
                              </w:rPr>
                              <w:t>5</w:t>
                            </w:r>
                            <w:r>
                              <w:rPr>
                                <w:rFonts w:ascii="Arial" w:hAnsi="Arial" w:cs="Arial"/>
                                <w:sz w:val="24"/>
                                <w:szCs w:val="24"/>
                              </w:rPr>
                              <w:t>,</w:t>
                            </w:r>
                            <w:r w:rsidR="00C81FE9">
                              <w:rPr>
                                <w:rFonts w:ascii="Arial" w:hAnsi="Arial" w:cs="Arial"/>
                                <w:sz w:val="24"/>
                                <w:szCs w:val="24"/>
                              </w:rPr>
                              <w:t>071</w:t>
                            </w:r>
                          </w:p>
                        </w:tc>
                      </w:tr>
                      <w:tr w:rsidR="00F3354E" w:rsidRPr="009C32B5" w14:paraId="1D3E7CD2" w14:textId="77777777" w:rsidTr="00100EED">
                        <w:trPr>
                          <w:trHeight w:val="324"/>
                        </w:trPr>
                        <w:tc>
                          <w:tcPr>
                            <w:tcW w:w="2565" w:type="dxa"/>
                          </w:tcPr>
                          <w:p w14:paraId="05CB1BA3" w14:textId="77777777" w:rsidR="00F3354E" w:rsidRPr="009C32B5" w:rsidRDefault="00F3354E">
                            <w:pPr>
                              <w:rPr>
                                <w:rFonts w:ascii="Arial" w:hAnsi="Arial" w:cs="Arial"/>
                                <w:sz w:val="24"/>
                                <w:szCs w:val="24"/>
                                <w:highlight w:val="red"/>
                              </w:rPr>
                            </w:pPr>
                          </w:p>
                        </w:tc>
                        <w:tc>
                          <w:tcPr>
                            <w:tcW w:w="1388" w:type="dxa"/>
                            <w:tcBorders>
                              <w:bottom w:val="single" w:sz="4" w:space="0" w:color="auto"/>
                            </w:tcBorders>
                          </w:tcPr>
                          <w:p w14:paraId="5BEFE559" w14:textId="77777777" w:rsidR="00F3354E" w:rsidRPr="009C32B5" w:rsidRDefault="00F3354E">
                            <w:pPr>
                              <w:rPr>
                                <w:rFonts w:ascii="Arial" w:hAnsi="Arial" w:cs="Arial"/>
                                <w:sz w:val="24"/>
                                <w:szCs w:val="24"/>
                              </w:rPr>
                            </w:pPr>
                          </w:p>
                        </w:tc>
                      </w:tr>
                      <w:tr w:rsidR="00F3354E" w:rsidRPr="009C32B5" w14:paraId="02B0D249" w14:textId="77777777" w:rsidTr="00100EED">
                        <w:trPr>
                          <w:trHeight w:val="387"/>
                        </w:trPr>
                        <w:tc>
                          <w:tcPr>
                            <w:tcW w:w="2565" w:type="dxa"/>
                          </w:tcPr>
                          <w:p w14:paraId="014756F0" w14:textId="77777777" w:rsidR="00F3354E" w:rsidRPr="009C32B5" w:rsidRDefault="00F3354E" w:rsidP="00C0412E">
                            <w:pPr>
                              <w:rPr>
                                <w:rFonts w:ascii="Arial" w:hAnsi="Arial" w:cs="Arial"/>
                                <w:b/>
                                <w:sz w:val="24"/>
                                <w:szCs w:val="24"/>
                                <w:highlight w:val="red"/>
                              </w:rPr>
                            </w:pPr>
                            <w:r>
                              <w:rPr>
                                <w:rFonts w:ascii="Arial" w:hAnsi="Arial" w:cs="Arial"/>
                                <w:b/>
                                <w:sz w:val="24"/>
                                <w:szCs w:val="24"/>
                              </w:rPr>
                              <w:t>Increase</w:t>
                            </w:r>
                            <w:r w:rsidRPr="009C32B5">
                              <w:rPr>
                                <w:rFonts w:ascii="Arial" w:hAnsi="Arial" w:cs="Arial"/>
                                <w:b/>
                                <w:sz w:val="24"/>
                                <w:szCs w:val="24"/>
                              </w:rPr>
                              <w:t xml:space="preserve"> in Fund value</w:t>
                            </w:r>
                          </w:p>
                        </w:tc>
                        <w:tc>
                          <w:tcPr>
                            <w:tcW w:w="1388" w:type="dxa"/>
                            <w:tcBorders>
                              <w:top w:val="single" w:sz="4" w:space="0" w:color="auto"/>
                              <w:bottom w:val="double" w:sz="4" w:space="0" w:color="auto"/>
                            </w:tcBorders>
                          </w:tcPr>
                          <w:p w14:paraId="28DEF614" w14:textId="77777777" w:rsidR="00F3354E" w:rsidRDefault="00F3354E" w:rsidP="002A70DD">
                            <w:pPr>
                              <w:jc w:val="right"/>
                              <w:rPr>
                                <w:rFonts w:ascii="Arial" w:hAnsi="Arial" w:cs="Arial"/>
                                <w:b/>
                                <w:sz w:val="24"/>
                                <w:szCs w:val="24"/>
                              </w:rPr>
                            </w:pPr>
                          </w:p>
                          <w:p w14:paraId="0C931C49" w14:textId="77777777" w:rsidR="00F3354E" w:rsidRPr="009C32B5" w:rsidRDefault="00C81FE9" w:rsidP="008C35C7">
                            <w:pPr>
                              <w:jc w:val="right"/>
                              <w:rPr>
                                <w:rFonts w:ascii="Arial" w:hAnsi="Arial" w:cs="Arial"/>
                                <w:b/>
                                <w:sz w:val="24"/>
                                <w:szCs w:val="24"/>
                              </w:rPr>
                            </w:pPr>
                            <w:r>
                              <w:rPr>
                                <w:rFonts w:ascii="Arial" w:hAnsi="Arial" w:cs="Arial"/>
                                <w:b/>
                                <w:sz w:val="24"/>
                                <w:szCs w:val="24"/>
                              </w:rPr>
                              <w:t>309,777</w:t>
                            </w:r>
                          </w:p>
                        </w:tc>
                      </w:tr>
                    </w:tbl>
                    <w:p w14:paraId="547FE75D" w14:textId="77777777" w:rsidR="00F3354E" w:rsidRDefault="00F3354E" w:rsidP="002A70DD"/>
                  </w:txbxContent>
                </v:textbox>
              </v:shape>
            </w:pict>
          </mc:Fallback>
        </mc:AlternateContent>
      </w:r>
      <w:r>
        <w:rPr>
          <w:noProof/>
          <w:lang w:eastAsia="en-GB"/>
        </w:rPr>
        <w:drawing>
          <wp:inline distT="0" distB="0" distL="0" distR="0" wp14:anchorId="16171059" wp14:editId="70F8A06D">
            <wp:extent cx="1959610" cy="1632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9610" cy="1632585"/>
                    </a:xfrm>
                    <a:prstGeom prst="rect">
                      <a:avLst/>
                    </a:prstGeom>
                    <a:noFill/>
                    <a:ln>
                      <a:noFill/>
                    </a:ln>
                  </pic:spPr>
                </pic:pic>
              </a:graphicData>
            </a:graphic>
          </wp:inline>
        </w:drawing>
      </w:r>
    </w:p>
    <w:p w14:paraId="32B1FFA9" w14:textId="77777777" w:rsidR="00A9011E" w:rsidRDefault="00A9011E" w:rsidP="005E4F16">
      <w:pPr>
        <w:tabs>
          <w:tab w:val="left" w:pos="1872"/>
          <w:tab w:val="left" w:pos="8496"/>
          <w:tab w:val="right" w:pos="9504"/>
        </w:tabs>
        <w:jc w:val="center"/>
        <w:outlineLvl w:val="0"/>
        <w:rPr>
          <w:rFonts w:ascii="Arial" w:hAnsi="Arial"/>
          <w:b/>
          <w:color w:val="000000"/>
          <w:sz w:val="24"/>
          <w:szCs w:val="24"/>
          <w:u w:val="single"/>
        </w:rPr>
      </w:pPr>
    </w:p>
    <w:p w14:paraId="71A9BC86" w14:textId="77777777" w:rsidR="00A9011E" w:rsidRDefault="00A9011E" w:rsidP="005E4F16">
      <w:pPr>
        <w:tabs>
          <w:tab w:val="left" w:pos="1872"/>
          <w:tab w:val="left" w:pos="8496"/>
          <w:tab w:val="right" w:pos="9504"/>
        </w:tabs>
        <w:jc w:val="center"/>
        <w:outlineLvl w:val="0"/>
        <w:rPr>
          <w:rFonts w:ascii="Arial" w:hAnsi="Arial"/>
          <w:b/>
          <w:color w:val="000000"/>
          <w:sz w:val="24"/>
          <w:szCs w:val="24"/>
          <w:u w:val="single"/>
        </w:rPr>
      </w:pPr>
    </w:p>
    <w:p w14:paraId="17B2617C" w14:textId="77777777" w:rsidR="00A9011E" w:rsidRDefault="00A9011E" w:rsidP="005E4F16">
      <w:pPr>
        <w:tabs>
          <w:tab w:val="left" w:pos="1872"/>
          <w:tab w:val="left" w:pos="8496"/>
          <w:tab w:val="right" w:pos="9504"/>
        </w:tabs>
        <w:jc w:val="center"/>
        <w:outlineLvl w:val="0"/>
        <w:rPr>
          <w:rFonts w:ascii="Arial" w:hAnsi="Arial"/>
          <w:b/>
          <w:color w:val="000000"/>
          <w:sz w:val="24"/>
          <w:szCs w:val="24"/>
          <w:u w:val="single"/>
        </w:rPr>
      </w:pPr>
    </w:p>
    <w:p w14:paraId="31528ED1" w14:textId="77777777" w:rsidR="00A9011E" w:rsidRDefault="00A9011E" w:rsidP="005E4F16">
      <w:pPr>
        <w:tabs>
          <w:tab w:val="left" w:pos="1872"/>
          <w:tab w:val="left" w:pos="8496"/>
          <w:tab w:val="right" w:pos="9504"/>
        </w:tabs>
        <w:jc w:val="center"/>
        <w:outlineLvl w:val="0"/>
        <w:rPr>
          <w:rFonts w:ascii="Arial" w:hAnsi="Arial"/>
          <w:b/>
          <w:color w:val="000000"/>
          <w:sz w:val="24"/>
          <w:szCs w:val="24"/>
          <w:u w:val="single"/>
        </w:rPr>
      </w:pPr>
    </w:p>
    <w:p w14:paraId="473DA751" w14:textId="77777777" w:rsidR="0096191F" w:rsidRDefault="0096191F" w:rsidP="005E4F16">
      <w:pPr>
        <w:tabs>
          <w:tab w:val="left" w:pos="1872"/>
          <w:tab w:val="left" w:pos="8496"/>
          <w:tab w:val="right" w:pos="9504"/>
        </w:tabs>
        <w:jc w:val="center"/>
        <w:outlineLvl w:val="0"/>
        <w:rPr>
          <w:rFonts w:ascii="Arial" w:hAnsi="Arial"/>
          <w:b/>
          <w:color w:val="000000"/>
          <w:sz w:val="24"/>
          <w:szCs w:val="24"/>
          <w:u w:val="single"/>
        </w:rPr>
      </w:pPr>
    </w:p>
    <w:p w14:paraId="23489B87" w14:textId="77777777" w:rsidR="0096191F" w:rsidRDefault="0096191F" w:rsidP="005E4F16">
      <w:pPr>
        <w:tabs>
          <w:tab w:val="left" w:pos="1872"/>
          <w:tab w:val="left" w:pos="8496"/>
          <w:tab w:val="right" w:pos="9504"/>
        </w:tabs>
        <w:jc w:val="center"/>
        <w:outlineLvl w:val="0"/>
        <w:rPr>
          <w:rFonts w:ascii="Arial" w:hAnsi="Arial"/>
          <w:b/>
          <w:color w:val="000000"/>
          <w:sz w:val="24"/>
          <w:szCs w:val="24"/>
          <w:u w:val="single"/>
        </w:rPr>
      </w:pPr>
    </w:p>
    <w:p w14:paraId="3383605D" w14:textId="77777777" w:rsidR="002E24C5" w:rsidRPr="002E24C5" w:rsidRDefault="002E24C5" w:rsidP="005E4F16">
      <w:pPr>
        <w:tabs>
          <w:tab w:val="left" w:pos="1872"/>
          <w:tab w:val="left" w:pos="8496"/>
          <w:tab w:val="right" w:pos="9504"/>
        </w:tabs>
        <w:jc w:val="center"/>
        <w:outlineLvl w:val="0"/>
        <w:rPr>
          <w:rFonts w:ascii="Arial" w:hAnsi="Arial"/>
          <w:b/>
          <w:color w:val="000000"/>
          <w:sz w:val="24"/>
          <w:szCs w:val="24"/>
          <w:u w:val="single"/>
        </w:rPr>
      </w:pPr>
      <w:r w:rsidRPr="002E24C5">
        <w:rPr>
          <w:rFonts w:ascii="Arial" w:hAnsi="Arial"/>
          <w:b/>
          <w:color w:val="000000"/>
          <w:sz w:val="24"/>
          <w:szCs w:val="24"/>
          <w:u w:val="single"/>
        </w:rPr>
        <w:t>Fund Account</w:t>
      </w:r>
      <w:r w:rsidR="005B582A">
        <w:rPr>
          <w:rFonts w:ascii="Arial" w:hAnsi="Arial"/>
          <w:b/>
          <w:color w:val="000000"/>
          <w:sz w:val="24"/>
          <w:szCs w:val="24"/>
          <w:u w:val="single"/>
        </w:rPr>
        <w:t xml:space="preserve"> For The Year Ended 31</w:t>
      </w:r>
      <w:r w:rsidR="005B582A" w:rsidRPr="005B582A">
        <w:rPr>
          <w:rFonts w:ascii="Arial" w:hAnsi="Arial"/>
          <w:b/>
          <w:color w:val="000000"/>
          <w:sz w:val="24"/>
          <w:szCs w:val="24"/>
          <w:u w:val="single"/>
          <w:vertAlign w:val="superscript"/>
        </w:rPr>
        <w:t>st</w:t>
      </w:r>
      <w:r w:rsidR="005B582A">
        <w:rPr>
          <w:rFonts w:ascii="Arial" w:hAnsi="Arial"/>
          <w:b/>
          <w:color w:val="000000"/>
          <w:sz w:val="24"/>
          <w:szCs w:val="24"/>
          <w:u w:val="single"/>
        </w:rPr>
        <w:t xml:space="preserve"> March </w:t>
      </w:r>
    </w:p>
    <w:p w14:paraId="52148CDA" w14:textId="77777777" w:rsidR="002E24C5" w:rsidRDefault="002E24C5" w:rsidP="005E4F16">
      <w:pPr>
        <w:tabs>
          <w:tab w:val="left" w:pos="1872"/>
          <w:tab w:val="left" w:pos="8496"/>
          <w:tab w:val="right" w:pos="9504"/>
        </w:tabs>
        <w:outlineLvl w:val="0"/>
        <w:rPr>
          <w:rFonts w:ascii="Arial" w:hAnsi="Arial"/>
          <w:i/>
          <w:color w:val="000000"/>
          <w:sz w:val="24"/>
          <w:szCs w:val="24"/>
          <w:u w:val="single"/>
        </w:rPr>
      </w:pPr>
    </w:p>
    <w:p w14:paraId="796C6274" w14:textId="77777777" w:rsidR="00A9011E" w:rsidRDefault="00A9011E" w:rsidP="005E4F16">
      <w:pPr>
        <w:tabs>
          <w:tab w:val="left" w:pos="1872"/>
          <w:tab w:val="left" w:pos="8496"/>
          <w:tab w:val="right" w:pos="9504"/>
        </w:tabs>
        <w:outlineLvl w:val="0"/>
        <w:rPr>
          <w:rFonts w:ascii="Arial" w:hAnsi="Arial"/>
          <w:i/>
          <w:color w:val="000000"/>
          <w:sz w:val="24"/>
          <w:szCs w:val="24"/>
          <w:u w:val="single"/>
        </w:rPr>
      </w:pPr>
    </w:p>
    <w:tbl>
      <w:tblPr>
        <w:tblW w:w="9923" w:type="dxa"/>
        <w:tblInd w:w="-34" w:type="dxa"/>
        <w:tblLayout w:type="fixed"/>
        <w:tblLook w:val="0000" w:firstRow="0" w:lastRow="0" w:firstColumn="0" w:lastColumn="0" w:noHBand="0" w:noVBand="0"/>
      </w:tblPr>
      <w:tblGrid>
        <w:gridCol w:w="1418"/>
        <w:gridCol w:w="5103"/>
        <w:gridCol w:w="851"/>
        <w:gridCol w:w="1134"/>
        <w:gridCol w:w="1417"/>
      </w:tblGrid>
      <w:tr w:rsidR="006C304D" w:rsidRPr="002E24C5" w14:paraId="7DF5ADC2" w14:textId="77777777" w:rsidTr="006C50EB">
        <w:tc>
          <w:tcPr>
            <w:tcW w:w="1418" w:type="dxa"/>
          </w:tcPr>
          <w:p w14:paraId="4E0A057C" w14:textId="77777777" w:rsidR="006C304D" w:rsidRPr="002E24C5" w:rsidRDefault="00A570F5" w:rsidP="00C0412E">
            <w:pPr>
              <w:tabs>
                <w:tab w:val="left" w:pos="1347"/>
                <w:tab w:val="left" w:pos="6117"/>
                <w:tab w:val="right" w:pos="6842"/>
              </w:tabs>
              <w:jc w:val="center"/>
              <w:rPr>
                <w:rFonts w:ascii="Arial" w:hAnsi="Arial"/>
                <w:b/>
                <w:sz w:val="24"/>
                <w:szCs w:val="24"/>
              </w:rPr>
            </w:pPr>
            <w:r>
              <w:rPr>
                <w:rFonts w:ascii="Arial" w:hAnsi="Arial"/>
                <w:b/>
                <w:sz w:val="24"/>
                <w:szCs w:val="24"/>
              </w:rPr>
              <w:t>2020/21</w:t>
            </w:r>
          </w:p>
        </w:tc>
        <w:tc>
          <w:tcPr>
            <w:tcW w:w="5103" w:type="dxa"/>
          </w:tcPr>
          <w:p w14:paraId="71813DEF" w14:textId="77777777" w:rsidR="006C304D" w:rsidRPr="002E24C5" w:rsidRDefault="006C304D" w:rsidP="005E4F16">
            <w:pPr>
              <w:tabs>
                <w:tab w:val="left" w:pos="1347"/>
                <w:tab w:val="left" w:pos="6117"/>
                <w:tab w:val="right" w:pos="6842"/>
              </w:tabs>
              <w:jc w:val="center"/>
              <w:rPr>
                <w:rFonts w:ascii="Arial" w:hAnsi="Arial"/>
                <w:b/>
                <w:sz w:val="24"/>
                <w:szCs w:val="24"/>
              </w:rPr>
            </w:pPr>
          </w:p>
        </w:tc>
        <w:tc>
          <w:tcPr>
            <w:tcW w:w="851" w:type="dxa"/>
          </w:tcPr>
          <w:p w14:paraId="0631FC81" w14:textId="77777777" w:rsidR="006C304D" w:rsidRPr="002E24C5" w:rsidRDefault="006C304D" w:rsidP="005E4F16">
            <w:pPr>
              <w:tabs>
                <w:tab w:val="left" w:pos="1347"/>
                <w:tab w:val="left" w:pos="6117"/>
                <w:tab w:val="right" w:pos="6842"/>
              </w:tabs>
              <w:jc w:val="center"/>
              <w:rPr>
                <w:rFonts w:ascii="Arial" w:hAnsi="Arial"/>
                <w:b/>
                <w:sz w:val="24"/>
                <w:szCs w:val="24"/>
              </w:rPr>
            </w:pPr>
          </w:p>
        </w:tc>
        <w:tc>
          <w:tcPr>
            <w:tcW w:w="2551" w:type="dxa"/>
            <w:gridSpan w:val="2"/>
          </w:tcPr>
          <w:p w14:paraId="46B08BF2" w14:textId="77777777" w:rsidR="00A570F5" w:rsidRPr="002E24C5" w:rsidRDefault="006C304D" w:rsidP="00A570F5">
            <w:pPr>
              <w:tabs>
                <w:tab w:val="left" w:pos="1347"/>
                <w:tab w:val="left" w:pos="6117"/>
                <w:tab w:val="right" w:pos="6842"/>
              </w:tabs>
              <w:ind w:right="432"/>
              <w:jc w:val="center"/>
              <w:rPr>
                <w:rFonts w:ascii="Arial" w:hAnsi="Arial"/>
                <w:b/>
                <w:sz w:val="24"/>
                <w:szCs w:val="24"/>
              </w:rPr>
            </w:pPr>
            <w:r>
              <w:rPr>
                <w:rFonts w:ascii="Arial" w:hAnsi="Arial"/>
                <w:b/>
                <w:sz w:val="24"/>
                <w:szCs w:val="24"/>
              </w:rPr>
              <w:t xml:space="preserve">        </w:t>
            </w:r>
            <w:r w:rsidR="00A570F5">
              <w:rPr>
                <w:rFonts w:ascii="Arial" w:hAnsi="Arial"/>
                <w:b/>
                <w:sz w:val="24"/>
                <w:szCs w:val="24"/>
              </w:rPr>
              <w:t>2021/22</w:t>
            </w:r>
          </w:p>
        </w:tc>
      </w:tr>
      <w:tr w:rsidR="006C304D" w:rsidRPr="002E24C5" w14:paraId="6E786185" w14:textId="77777777" w:rsidTr="006C50EB">
        <w:tc>
          <w:tcPr>
            <w:tcW w:w="1418" w:type="dxa"/>
          </w:tcPr>
          <w:p w14:paraId="5517EC6D" w14:textId="77777777" w:rsidR="006C304D" w:rsidRPr="002E24C5" w:rsidRDefault="006C304D" w:rsidP="005E4F16">
            <w:pPr>
              <w:tabs>
                <w:tab w:val="left" w:pos="1347"/>
                <w:tab w:val="left" w:pos="6117"/>
                <w:tab w:val="right" w:pos="6842"/>
              </w:tabs>
              <w:jc w:val="center"/>
              <w:rPr>
                <w:rFonts w:ascii="Arial" w:hAnsi="Arial"/>
                <w:b/>
                <w:sz w:val="24"/>
                <w:szCs w:val="24"/>
              </w:rPr>
            </w:pPr>
            <w:r w:rsidRPr="002E24C5">
              <w:rPr>
                <w:rFonts w:ascii="Arial" w:hAnsi="Arial"/>
                <w:b/>
                <w:sz w:val="24"/>
                <w:szCs w:val="24"/>
              </w:rPr>
              <w:t>£’000</w:t>
            </w:r>
          </w:p>
        </w:tc>
        <w:tc>
          <w:tcPr>
            <w:tcW w:w="5103" w:type="dxa"/>
          </w:tcPr>
          <w:p w14:paraId="11D602AB" w14:textId="77777777" w:rsidR="006C304D" w:rsidRPr="002E24C5" w:rsidRDefault="006C304D" w:rsidP="005E4F16">
            <w:pPr>
              <w:tabs>
                <w:tab w:val="left" w:pos="1347"/>
                <w:tab w:val="left" w:pos="6117"/>
                <w:tab w:val="right" w:pos="6842"/>
              </w:tabs>
              <w:rPr>
                <w:rFonts w:ascii="Arial" w:hAnsi="Arial"/>
                <w:b/>
                <w:sz w:val="24"/>
                <w:szCs w:val="24"/>
              </w:rPr>
            </w:pPr>
            <w:r w:rsidRPr="002E24C5">
              <w:rPr>
                <w:rFonts w:ascii="Arial" w:hAnsi="Arial"/>
                <w:b/>
                <w:sz w:val="24"/>
                <w:szCs w:val="24"/>
              </w:rPr>
              <w:t>Contributions and benefits  :</w:t>
            </w:r>
          </w:p>
        </w:tc>
        <w:tc>
          <w:tcPr>
            <w:tcW w:w="851" w:type="dxa"/>
          </w:tcPr>
          <w:p w14:paraId="5A311144" w14:textId="77777777" w:rsidR="006C304D" w:rsidRPr="002E24C5" w:rsidRDefault="006C304D" w:rsidP="005E4F16">
            <w:pPr>
              <w:tabs>
                <w:tab w:val="left" w:pos="1347"/>
                <w:tab w:val="left" w:pos="6117"/>
                <w:tab w:val="right" w:pos="6842"/>
              </w:tabs>
              <w:jc w:val="center"/>
              <w:rPr>
                <w:rFonts w:ascii="Arial" w:hAnsi="Arial"/>
                <w:b/>
                <w:sz w:val="24"/>
                <w:szCs w:val="24"/>
              </w:rPr>
            </w:pPr>
          </w:p>
        </w:tc>
        <w:tc>
          <w:tcPr>
            <w:tcW w:w="1134" w:type="dxa"/>
          </w:tcPr>
          <w:p w14:paraId="277051EB" w14:textId="77777777" w:rsidR="006C304D" w:rsidRPr="002E24C5" w:rsidRDefault="006C304D" w:rsidP="005E4F16">
            <w:pPr>
              <w:tabs>
                <w:tab w:val="left" w:pos="1347"/>
                <w:tab w:val="left" w:pos="6117"/>
                <w:tab w:val="right" w:pos="6842"/>
              </w:tabs>
              <w:jc w:val="center"/>
              <w:rPr>
                <w:rFonts w:ascii="Arial" w:hAnsi="Arial"/>
                <w:b/>
                <w:sz w:val="24"/>
                <w:szCs w:val="24"/>
              </w:rPr>
            </w:pPr>
            <w:r w:rsidRPr="002E24C5">
              <w:rPr>
                <w:rFonts w:ascii="Arial" w:hAnsi="Arial"/>
                <w:b/>
                <w:sz w:val="24"/>
                <w:szCs w:val="24"/>
              </w:rPr>
              <w:t>£’000</w:t>
            </w:r>
          </w:p>
        </w:tc>
        <w:tc>
          <w:tcPr>
            <w:tcW w:w="1417" w:type="dxa"/>
          </w:tcPr>
          <w:p w14:paraId="1B0373A6" w14:textId="77777777" w:rsidR="006C304D" w:rsidRPr="002E24C5" w:rsidRDefault="006C304D" w:rsidP="005E4F16">
            <w:pPr>
              <w:tabs>
                <w:tab w:val="left" w:pos="1347"/>
                <w:tab w:val="left" w:pos="6117"/>
                <w:tab w:val="right" w:pos="6842"/>
              </w:tabs>
              <w:jc w:val="center"/>
              <w:rPr>
                <w:rFonts w:ascii="Arial" w:hAnsi="Arial"/>
                <w:b/>
                <w:sz w:val="24"/>
                <w:szCs w:val="24"/>
              </w:rPr>
            </w:pPr>
            <w:r w:rsidRPr="002E24C5">
              <w:rPr>
                <w:rFonts w:ascii="Arial" w:hAnsi="Arial"/>
                <w:b/>
                <w:sz w:val="24"/>
                <w:szCs w:val="24"/>
              </w:rPr>
              <w:t>£’000</w:t>
            </w:r>
          </w:p>
        </w:tc>
      </w:tr>
      <w:tr w:rsidR="006C304D" w:rsidRPr="002E24C5" w14:paraId="0E89F3AE" w14:textId="77777777" w:rsidTr="006C50EB">
        <w:trPr>
          <w:trHeight w:val="334"/>
        </w:trPr>
        <w:tc>
          <w:tcPr>
            <w:tcW w:w="1418" w:type="dxa"/>
          </w:tcPr>
          <w:p w14:paraId="1B4230B1" w14:textId="77777777" w:rsidR="006C304D" w:rsidRPr="002E24C5" w:rsidRDefault="006C304D" w:rsidP="005E4F16">
            <w:pPr>
              <w:tabs>
                <w:tab w:val="left" w:pos="1347"/>
                <w:tab w:val="left" w:pos="6117"/>
                <w:tab w:val="right" w:pos="6842"/>
              </w:tabs>
              <w:jc w:val="center"/>
              <w:rPr>
                <w:rFonts w:ascii="Arial" w:hAnsi="Arial"/>
                <w:sz w:val="24"/>
                <w:szCs w:val="24"/>
              </w:rPr>
            </w:pPr>
          </w:p>
        </w:tc>
        <w:tc>
          <w:tcPr>
            <w:tcW w:w="5103" w:type="dxa"/>
            <w:vAlign w:val="center"/>
          </w:tcPr>
          <w:p w14:paraId="5552B610" w14:textId="77777777" w:rsidR="006C304D" w:rsidRPr="002E24C5" w:rsidRDefault="006C304D" w:rsidP="005E4F16">
            <w:pPr>
              <w:tabs>
                <w:tab w:val="left" w:pos="1347"/>
                <w:tab w:val="left" w:pos="6117"/>
                <w:tab w:val="right" w:pos="6842"/>
              </w:tabs>
              <w:rPr>
                <w:rFonts w:ascii="Arial" w:hAnsi="Arial"/>
                <w:sz w:val="24"/>
                <w:szCs w:val="24"/>
              </w:rPr>
            </w:pPr>
            <w:r w:rsidRPr="002E24C5">
              <w:rPr>
                <w:rFonts w:ascii="Arial" w:hAnsi="Arial"/>
                <w:sz w:val="24"/>
                <w:szCs w:val="24"/>
              </w:rPr>
              <w:t>Contributions receivable :</w:t>
            </w:r>
          </w:p>
        </w:tc>
        <w:tc>
          <w:tcPr>
            <w:tcW w:w="851" w:type="dxa"/>
          </w:tcPr>
          <w:p w14:paraId="611F73C1" w14:textId="77777777" w:rsidR="006C304D" w:rsidRPr="002E24C5" w:rsidRDefault="006C304D" w:rsidP="005E4F16">
            <w:pPr>
              <w:tabs>
                <w:tab w:val="left" w:pos="1347"/>
                <w:tab w:val="left" w:pos="6117"/>
                <w:tab w:val="right" w:pos="6842"/>
              </w:tabs>
              <w:jc w:val="center"/>
              <w:rPr>
                <w:rFonts w:ascii="Arial" w:hAnsi="Arial"/>
                <w:sz w:val="24"/>
                <w:szCs w:val="24"/>
              </w:rPr>
            </w:pPr>
          </w:p>
        </w:tc>
        <w:tc>
          <w:tcPr>
            <w:tcW w:w="1134" w:type="dxa"/>
          </w:tcPr>
          <w:p w14:paraId="0EA89B31" w14:textId="77777777" w:rsidR="006C304D" w:rsidRPr="002E24C5" w:rsidRDefault="006C304D" w:rsidP="005E4F16">
            <w:pPr>
              <w:tabs>
                <w:tab w:val="left" w:pos="1347"/>
                <w:tab w:val="left" w:pos="6117"/>
                <w:tab w:val="right" w:pos="6842"/>
              </w:tabs>
              <w:jc w:val="center"/>
              <w:rPr>
                <w:rFonts w:ascii="Arial" w:hAnsi="Arial"/>
                <w:sz w:val="24"/>
                <w:szCs w:val="24"/>
              </w:rPr>
            </w:pPr>
          </w:p>
        </w:tc>
        <w:tc>
          <w:tcPr>
            <w:tcW w:w="1417" w:type="dxa"/>
          </w:tcPr>
          <w:p w14:paraId="755665BD" w14:textId="77777777" w:rsidR="006C304D" w:rsidRPr="002E24C5" w:rsidRDefault="006C304D" w:rsidP="005E4F16">
            <w:pPr>
              <w:tabs>
                <w:tab w:val="left" w:pos="1347"/>
                <w:tab w:val="left" w:pos="6117"/>
                <w:tab w:val="right" w:pos="6842"/>
              </w:tabs>
              <w:jc w:val="center"/>
              <w:rPr>
                <w:rFonts w:ascii="Arial" w:hAnsi="Arial"/>
                <w:sz w:val="24"/>
                <w:szCs w:val="24"/>
              </w:rPr>
            </w:pPr>
          </w:p>
        </w:tc>
      </w:tr>
      <w:tr w:rsidR="00A570F5" w:rsidRPr="00117F66" w14:paraId="47261A5F" w14:textId="77777777" w:rsidTr="006C50EB">
        <w:tc>
          <w:tcPr>
            <w:tcW w:w="1418" w:type="dxa"/>
          </w:tcPr>
          <w:p w14:paraId="5D5622F7"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81,813</w:t>
            </w:r>
          </w:p>
        </w:tc>
        <w:tc>
          <w:tcPr>
            <w:tcW w:w="5103" w:type="dxa"/>
          </w:tcPr>
          <w:p w14:paraId="4C8845E1" w14:textId="77777777" w:rsidR="00A570F5" w:rsidRPr="00117F66" w:rsidRDefault="00A570F5" w:rsidP="00A570F5">
            <w:pPr>
              <w:tabs>
                <w:tab w:val="left" w:pos="1347"/>
                <w:tab w:val="left" w:pos="6117"/>
                <w:tab w:val="right" w:pos="6842"/>
              </w:tabs>
              <w:rPr>
                <w:rFonts w:ascii="Arial" w:hAnsi="Arial"/>
                <w:sz w:val="24"/>
                <w:szCs w:val="24"/>
              </w:rPr>
            </w:pPr>
            <w:r>
              <w:rPr>
                <w:rFonts w:ascii="Arial" w:hAnsi="Arial"/>
                <w:sz w:val="24"/>
                <w:szCs w:val="24"/>
              </w:rPr>
              <w:t xml:space="preserve">Employers contribution                                        </w:t>
            </w:r>
          </w:p>
        </w:tc>
        <w:tc>
          <w:tcPr>
            <w:tcW w:w="851" w:type="dxa"/>
          </w:tcPr>
          <w:p w14:paraId="22EDB503" w14:textId="77777777" w:rsidR="00A570F5" w:rsidRDefault="00A570F5" w:rsidP="00A570F5">
            <w:pPr>
              <w:tabs>
                <w:tab w:val="left" w:pos="1347"/>
                <w:tab w:val="left" w:pos="6117"/>
                <w:tab w:val="right" w:pos="6842"/>
              </w:tabs>
              <w:jc w:val="center"/>
              <w:rPr>
                <w:rFonts w:ascii="Arial" w:hAnsi="Arial"/>
                <w:sz w:val="24"/>
                <w:szCs w:val="24"/>
              </w:rPr>
            </w:pPr>
            <w:r>
              <w:rPr>
                <w:rFonts w:ascii="Arial" w:hAnsi="Arial"/>
                <w:sz w:val="24"/>
                <w:szCs w:val="24"/>
              </w:rPr>
              <w:t>3</w:t>
            </w:r>
          </w:p>
        </w:tc>
        <w:tc>
          <w:tcPr>
            <w:tcW w:w="1134" w:type="dxa"/>
          </w:tcPr>
          <w:p w14:paraId="1445F9A0" w14:textId="77777777" w:rsidR="00A570F5" w:rsidRPr="00117F66" w:rsidRDefault="00565CFC" w:rsidP="00A570F5">
            <w:pPr>
              <w:tabs>
                <w:tab w:val="left" w:pos="1347"/>
                <w:tab w:val="left" w:pos="6117"/>
                <w:tab w:val="right" w:pos="6842"/>
              </w:tabs>
              <w:jc w:val="right"/>
              <w:rPr>
                <w:rFonts w:ascii="Arial" w:hAnsi="Arial"/>
                <w:sz w:val="24"/>
                <w:szCs w:val="24"/>
              </w:rPr>
            </w:pPr>
            <w:r>
              <w:rPr>
                <w:rFonts w:ascii="Arial" w:hAnsi="Arial"/>
                <w:sz w:val="24"/>
                <w:szCs w:val="24"/>
              </w:rPr>
              <w:t>86,043</w:t>
            </w:r>
          </w:p>
        </w:tc>
        <w:tc>
          <w:tcPr>
            <w:tcW w:w="1417" w:type="dxa"/>
          </w:tcPr>
          <w:p w14:paraId="5B86382E" w14:textId="77777777" w:rsidR="00A570F5" w:rsidRPr="00117F66" w:rsidRDefault="00A570F5" w:rsidP="00A570F5">
            <w:pPr>
              <w:tabs>
                <w:tab w:val="left" w:pos="1347"/>
                <w:tab w:val="left" w:pos="6117"/>
                <w:tab w:val="right" w:pos="6842"/>
              </w:tabs>
              <w:jc w:val="right"/>
              <w:rPr>
                <w:rFonts w:ascii="Arial" w:hAnsi="Arial"/>
                <w:sz w:val="24"/>
                <w:szCs w:val="24"/>
              </w:rPr>
            </w:pPr>
          </w:p>
        </w:tc>
      </w:tr>
      <w:tr w:rsidR="00A570F5" w:rsidRPr="00117F66" w14:paraId="294113E5" w14:textId="77777777" w:rsidTr="00A84F41">
        <w:tc>
          <w:tcPr>
            <w:tcW w:w="1418" w:type="dxa"/>
            <w:tcBorders>
              <w:bottom w:val="single" w:sz="4" w:space="0" w:color="auto"/>
            </w:tcBorders>
          </w:tcPr>
          <w:p w14:paraId="1BCE8A4D"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20,199</w:t>
            </w:r>
          </w:p>
        </w:tc>
        <w:tc>
          <w:tcPr>
            <w:tcW w:w="5103" w:type="dxa"/>
          </w:tcPr>
          <w:p w14:paraId="5D9C7301" w14:textId="77777777" w:rsidR="00A570F5" w:rsidRPr="00117F66" w:rsidRDefault="00A570F5" w:rsidP="00A570F5">
            <w:pPr>
              <w:tabs>
                <w:tab w:val="left" w:pos="1347"/>
                <w:tab w:val="left" w:pos="6117"/>
                <w:tab w:val="right" w:pos="6842"/>
              </w:tabs>
              <w:rPr>
                <w:rFonts w:ascii="Arial" w:hAnsi="Arial"/>
                <w:sz w:val="24"/>
                <w:szCs w:val="24"/>
              </w:rPr>
            </w:pPr>
            <w:r>
              <w:rPr>
                <w:rFonts w:ascii="Arial" w:hAnsi="Arial"/>
                <w:sz w:val="24"/>
                <w:szCs w:val="24"/>
              </w:rPr>
              <w:t>Members c</w:t>
            </w:r>
            <w:r w:rsidRPr="00117F66">
              <w:rPr>
                <w:rFonts w:ascii="Arial" w:hAnsi="Arial"/>
                <w:sz w:val="24"/>
                <w:szCs w:val="24"/>
              </w:rPr>
              <w:t xml:space="preserve">ontribution                                                        </w:t>
            </w:r>
          </w:p>
        </w:tc>
        <w:tc>
          <w:tcPr>
            <w:tcW w:w="851" w:type="dxa"/>
          </w:tcPr>
          <w:p w14:paraId="55F4CEB2" w14:textId="77777777" w:rsidR="00A570F5" w:rsidRPr="00117F66" w:rsidRDefault="00A570F5" w:rsidP="00A570F5">
            <w:pPr>
              <w:tabs>
                <w:tab w:val="left" w:pos="1347"/>
                <w:tab w:val="left" w:pos="6117"/>
                <w:tab w:val="right" w:pos="6842"/>
              </w:tabs>
              <w:jc w:val="center"/>
              <w:rPr>
                <w:rFonts w:ascii="Arial" w:hAnsi="Arial"/>
                <w:sz w:val="24"/>
                <w:szCs w:val="24"/>
              </w:rPr>
            </w:pPr>
            <w:r>
              <w:rPr>
                <w:rFonts w:ascii="Arial" w:hAnsi="Arial"/>
                <w:sz w:val="24"/>
                <w:szCs w:val="24"/>
              </w:rPr>
              <w:t>3</w:t>
            </w:r>
          </w:p>
        </w:tc>
        <w:tc>
          <w:tcPr>
            <w:tcW w:w="1134" w:type="dxa"/>
            <w:tcBorders>
              <w:bottom w:val="single" w:sz="4" w:space="0" w:color="auto"/>
            </w:tcBorders>
          </w:tcPr>
          <w:p w14:paraId="2BAA5AA2" w14:textId="77777777" w:rsidR="00A570F5" w:rsidRPr="00117F66" w:rsidRDefault="00565CFC" w:rsidP="00A570F5">
            <w:pPr>
              <w:tabs>
                <w:tab w:val="left" w:pos="1347"/>
                <w:tab w:val="left" w:pos="6117"/>
                <w:tab w:val="right" w:pos="6842"/>
              </w:tabs>
              <w:jc w:val="right"/>
              <w:rPr>
                <w:rFonts w:ascii="Arial" w:hAnsi="Arial"/>
                <w:sz w:val="24"/>
                <w:szCs w:val="24"/>
              </w:rPr>
            </w:pPr>
            <w:r>
              <w:rPr>
                <w:rFonts w:ascii="Arial" w:hAnsi="Arial"/>
                <w:sz w:val="24"/>
                <w:szCs w:val="24"/>
              </w:rPr>
              <w:t>21,485</w:t>
            </w:r>
          </w:p>
        </w:tc>
        <w:tc>
          <w:tcPr>
            <w:tcW w:w="1417" w:type="dxa"/>
          </w:tcPr>
          <w:p w14:paraId="4163B5C5" w14:textId="77777777" w:rsidR="00A570F5" w:rsidRPr="00117F66" w:rsidRDefault="00565CFC" w:rsidP="00A570F5">
            <w:pPr>
              <w:tabs>
                <w:tab w:val="left" w:pos="1347"/>
                <w:tab w:val="left" w:pos="6117"/>
                <w:tab w:val="right" w:pos="6842"/>
              </w:tabs>
              <w:jc w:val="right"/>
              <w:rPr>
                <w:rFonts w:ascii="Arial" w:hAnsi="Arial"/>
                <w:sz w:val="24"/>
                <w:szCs w:val="24"/>
              </w:rPr>
            </w:pPr>
            <w:r>
              <w:rPr>
                <w:rFonts w:ascii="Arial" w:hAnsi="Arial"/>
                <w:sz w:val="24"/>
                <w:szCs w:val="24"/>
              </w:rPr>
              <w:t>107,528</w:t>
            </w:r>
          </w:p>
        </w:tc>
      </w:tr>
      <w:tr w:rsidR="00A570F5" w:rsidRPr="00117F66" w14:paraId="0902589C" w14:textId="77777777" w:rsidTr="00FE5618">
        <w:tc>
          <w:tcPr>
            <w:tcW w:w="1418" w:type="dxa"/>
          </w:tcPr>
          <w:p w14:paraId="40A4FD0D"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3,092</w:t>
            </w:r>
          </w:p>
        </w:tc>
        <w:tc>
          <w:tcPr>
            <w:tcW w:w="5103" w:type="dxa"/>
          </w:tcPr>
          <w:p w14:paraId="148CB2CB" w14:textId="77777777" w:rsidR="00A570F5" w:rsidRPr="00117F66" w:rsidRDefault="00A570F5" w:rsidP="00A570F5">
            <w:pPr>
              <w:tabs>
                <w:tab w:val="left" w:pos="1347"/>
                <w:tab w:val="left" w:pos="6117"/>
                <w:tab w:val="right" w:pos="6842"/>
              </w:tabs>
              <w:rPr>
                <w:rFonts w:ascii="Arial" w:hAnsi="Arial"/>
                <w:sz w:val="24"/>
                <w:szCs w:val="24"/>
              </w:rPr>
            </w:pPr>
            <w:r w:rsidRPr="00117F66">
              <w:rPr>
                <w:rFonts w:ascii="Arial" w:hAnsi="Arial"/>
                <w:sz w:val="24"/>
                <w:szCs w:val="24"/>
              </w:rPr>
              <w:t xml:space="preserve">Transfers  in                                                                        </w:t>
            </w:r>
          </w:p>
        </w:tc>
        <w:tc>
          <w:tcPr>
            <w:tcW w:w="851" w:type="dxa"/>
          </w:tcPr>
          <w:p w14:paraId="74B3CBC4" w14:textId="77777777" w:rsidR="00A570F5" w:rsidRPr="00117F66" w:rsidRDefault="00A570F5" w:rsidP="00A570F5">
            <w:pPr>
              <w:tabs>
                <w:tab w:val="left" w:pos="1347"/>
                <w:tab w:val="left" w:pos="6117"/>
                <w:tab w:val="right" w:pos="6842"/>
              </w:tabs>
              <w:jc w:val="center"/>
              <w:rPr>
                <w:rFonts w:ascii="Arial" w:hAnsi="Arial"/>
                <w:sz w:val="24"/>
                <w:szCs w:val="24"/>
              </w:rPr>
            </w:pPr>
            <w:r>
              <w:rPr>
                <w:rFonts w:ascii="Arial" w:hAnsi="Arial"/>
                <w:sz w:val="24"/>
                <w:szCs w:val="24"/>
              </w:rPr>
              <w:t>4</w:t>
            </w:r>
          </w:p>
        </w:tc>
        <w:tc>
          <w:tcPr>
            <w:tcW w:w="1134" w:type="dxa"/>
            <w:tcBorders>
              <w:top w:val="single" w:sz="4" w:space="0" w:color="auto"/>
            </w:tcBorders>
          </w:tcPr>
          <w:p w14:paraId="309D1CFC"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 xml:space="preserve"> </w:t>
            </w:r>
          </w:p>
        </w:tc>
        <w:tc>
          <w:tcPr>
            <w:tcW w:w="1417" w:type="dxa"/>
          </w:tcPr>
          <w:p w14:paraId="166DAFEA" w14:textId="77777777" w:rsidR="00A570F5" w:rsidRPr="00117F66" w:rsidRDefault="00565CFC" w:rsidP="00A570F5">
            <w:pPr>
              <w:tabs>
                <w:tab w:val="left" w:pos="1347"/>
                <w:tab w:val="left" w:pos="6117"/>
                <w:tab w:val="right" w:pos="6842"/>
              </w:tabs>
              <w:jc w:val="right"/>
              <w:rPr>
                <w:rFonts w:ascii="Arial" w:hAnsi="Arial"/>
                <w:sz w:val="24"/>
                <w:szCs w:val="24"/>
              </w:rPr>
            </w:pPr>
            <w:r>
              <w:rPr>
                <w:rFonts w:ascii="Arial" w:hAnsi="Arial"/>
                <w:sz w:val="24"/>
                <w:szCs w:val="24"/>
              </w:rPr>
              <w:t>6,415</w:t>
            </w:r>
          </w:p>
        </w:tc>
      </w:tr>
      <w:tr w:rsidR="00A570F5" w:rsidRPr="00117F66" w14:paraId="6DCB5569" w14:textId="77777777" w:rsidTr="00A84F41">
        <w:tc>
          <w:tcPr>
            <w:tcW w:w="1418" w:type="dxa"/>
            <w:tcBorders>
              <w:bottom w:val="single" w:sz="4" w:space="0" w:color="auto"/>
            </w:tcBorders>
          </w:tcPr>
          <w:p w14:paraId="3A0E1FC8"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50</w:t>
            </w:r>
          </w:p>
        </w:tc>
        <w:tc>
          <w:tcPr>
            <w:tcW w:w="5103" w:type="dxa"/>
          </w:tcPr>
          <w:p w14:paraId="4AE5FD98" w14:textId="77777777" w:rsidR="00A570F5" w:rsidRPr="00117F66" w:rsidRDefault="00A570F5" w:rsidP="00A570F5">
            <w:pPr>
              <w:tabs>
                <w:tab w:val="left" w:pos="1347"/>
                <w:tab w:val="left" w:pos="6117"/>
                <w:tab w:val="right" w:pos="6842"/>
              </w:tabs>
              <w:rPr>
                <w:rFonts w:ascii="Arial" w:hAnsi="Arial"/>
                <w:sz w:val="24"/>
                <w:szCs w:val="24"/>
              </w:rPr>
            </w:pPr>
            <w:r w:rsidRPr="00117F66">
              <w:rPr>
                <w:rFonts w:ascii="Arial" w:hAnsi="Arial"/>
                <w:sz w:val="24"/>
                <w:szCs w:val="24"/>
              </w:rPr>
              <w:t xml:space="preserve">Other income                                            </w:t>
            </w:r>
          </w:p>
        </w:tc>
        <w:tc>
          <w:tcPr>
            <w:tcW w:w="851" w:type="dxa"/>
          </w:tcPr>
          <w:p w14:paraId="743E8410" w14:textId="77777777" w:rsidR="00A570F5" w:rsidRPr="00117F66" w:rsidRDefault="00A570F5" w:rsidP="00A570F5">
            <w:pPr>
              <w:tabs>
                <w:tab w:val="left" w:pos="1347"/>
                <w:tab w:val="left" w:pos="6117"/>
                <w:tab w:val="right" w:pos="6842"/>
              </w:tabs>
              <w:jc w:val="center"/>
              <w:rPr>
                <w:rFonts w:ascii="Arial" w:hAnsi="Arial"/>
                <w:sz w:val="24"/>
                <w:szCs w:val="24"/>
              </w:rPr>
            </w:pPr>
            <w:r>
              <w:rPr>
                <w:rFonts w:ascii="Arial" w:hAnsi="Arial"/>
                <w:sz w:val="24"/>
                <w:szCs w:val="24"/>
              </w:rPr>
              <w:t>5</w:t>
            </w:r>
          </w:p>
        </w:tc>
        <w:tc>
          <w:tcPr>
            <w:tcW w:w="1134" w:type="dxa"/>
          </w:tcPr>
          <w:p w14:paraId="1D5D3D78" w14:textId="77777777" w:rsidR="00A570F5" w:rsidRPr="00117F66" w:rsidRDefault="00A570F5" w:rsidP="00A570F5">
            <w:pPr>
              <w:tabs>
                <w:tab w:val="left" w:pos="1347"/>
                <w:tab w:val="left" w:pos="6117"/>
                <w:tab w:val="right" w:pos="6842"/>
              </w:tabs>
              <w:jc w:val="right"/>
              <w:rPr>
                <w:rFonts w:ascii="Arial" w:hAnsi="Arial"/>
                <w:sz w:val="24"/>
                <w:szCs w:val="24"/>
              </w:rPr>
            </w:pPr>
          </w:p>
        </w:tc>
        <w:tc>
          <w:tcPr>
            <w:tcW w:w="1417" w:type="dxa"/>
            <w:tcBorders>
              <w:bottom w:val="single" w:sz="4" w:space="0" w:color="auto"/>
            </w:tcBorders>
          </w:tcPr>
          <w:p w14:paraId="1D0BEE8D" w14:textId="77777777" w:rsidR="00A570F5" w:rsidRPr="00117F66" w:rsidRDefault="00565CFC" w:rsidP="00A570F5">
            <w:pPr>
              <w:tabs>
                <w:tab w:val="left" w:pos="1347"/>
                <w:tab w:val="left" w:pos="6117"/>
                <w:tab w:val="right" w:pos="6842"/>
              </w:tabs>
              <w:jc w:val="right"/>
              <w:rPr>
                <w:rFonts w:ascii="Arial" w:hAnsi="Arial"/>
                <w:sz w:val="24"/>
                <w:szCs w:val="24"/>
              </w:rPr>
            </w:pPr>
            <w:r>
              <w:rPr>
                <w:rFonts w:ascii="Arial" w:hAnsi="Arial"/>
                <w:sz w:val="24"/>
                <w:szCs w:val="24"/>
              </w:rPr>
              <w:t>5</w:t>
            </w:r>
          </w:p>
        </w:tc>
      </w:tr>
      <w:tr w:rsidR="00A570F5" w:rsidRPr="00117F66" w14:paraId="4B95F12F" w14:textId="77777777" w:rsidTr="00A84F41">
        <w:tc>
          <w:tcPr>
            <w:tcW w:w="1418" w:type="dxa"/>
          </w:tcPr>
          <w:p w14:paraId="2C989435"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105,154</w:t>
            </w:r>
          </w:p>
        </w:tc>
        <w:tc>
          <w:tcPr>
            <w:tcW w:w="5103" w:type="dxa"/>
          </w:tcPr>
          <w:p w14:paraId="747A80DB" w14:textId="77777777" w:rsidR="00A570F5" w:rsidRPr="00117F66" w:rsidRDefault="00A570F5" w:rsidP="00A570F5">
            <w:pPr>
              <w:tabs>
                <w:tab w:val="left" w:pos="1347"/>
                <w:tab w:val="left" w:pos="6117"/>
                <w:tab w:val="right" w:pos="6842"/>
              </w:tabs>
              <w:rPr>
                <w:rFonts w:ascii="Arial" w:hAnsi="Arial"/>
                <w:sz w:val="24"/>
                <w:szCs w:val="24"/>
              </w:rPr>
            </w:pPr>
          </w:p>
        </w:tc>
        <w:tc>
          <w:tcPr>
            <w:tcW w:w="851" w:type="dxa"/>
          </w:tcPr>
          <w:p w14:paraId="1AAE35F7"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2859077E" w14:textId="77777777" w:rsidR="00A570F5" w:rsidRPr="00117F66" w:rsidRDefault="00A570F5" w:rsidP="00A570F5">
            <w:pPr>
              <w:tabs>
                <w:tab w:val="left" w:pos="1347"/>
                <w:tab w:val="left" w:pos="6117"/>
                <w:tab w:val="right" w:pos="6842"/>
              </w:tabs>
              <w:jc w:val="right"/>
              <w:rPr>
                <w:rFonts w:ascii="Arial" w:hAnsi="Arial"/>
                <w:sz w:val="24"/>
                <w:szCs w:val="24"/>
              </w:rPr>
            </w:pPr>
          </w:p>
        </w:tc>
        <w:tc>
          <w:tcPr>
            <w:tcW w:w="1417" w:type="dxa"/>
          </w:tcPr>
          <w:p w14:paraId="7A81408A" w14:textId="77777777" w:rsidR="00A570F5" w:rsidRPr="00117F66" w:rsidRDefault="00565CFC" w:rsidP="00A570F5">
            <w:pPr>
              <w:tabs>
                <w:tab w:val="left" w:pos="1347"/>
                <w:tab w:val="left" w:pos="6117"/>
                <w:tab w:val="right" w:pos="6842"/>
              </w:tabs>
              <w:jc w:val="right"/>
              <w:rPr>
                <w:rFonts w:ascii="Arial" w:hAnsi="Arial"/>
                <w:sz w:val="24"/>
                <w:szCs w:val="24"/>
              </w:rPr>
            </w:pPr>
            <w:r>
              <w:rPr>
                <w:rFonts w:ascii="Arial" w:hAnsi="Arial"/>
                <w:sz w:val="24"/>
                <w:szCs w:val="24"/>
              </w:rPr>
              <w:t>113,948</w:t>
            </w:r>
          </w:p>
        </w:tc>
      </w:tr>
      <w:tr w:rsidR="00201E59" w:rsidRPr="00117F66" w14:paraId="4745F76B" w14:textId="77777777" w:rsidTr="006C50EB">
        <w:tc>
          <w:tcPr>
            <w:tcW w:w="1418" w:type="dxa"/>
          </w:tcPr>
          <w:p w14:paraId="52526613" w14:textId="77777777" w:rsidR="00201E59" w:rsidRPr="00117F66" w:rsidRDefault="00201E59" w:rsidP="006C50EB">
            <w:pPr>
              <w:tabs>
                <w:tab w:val="left" w:pos="1347"/>
                <w:tab w:val="left" w:pos="6117"/>
                <w:tab w:val="right" w:pos="6842"/>
              </w:tabs>
              <w:jc w:val="right"/>
              <w:rPr>
                <w:rFonts w:ascii="Arial" w:hAnsi="Arial"/>
                <w:sz w:val="24"/>
                <w:szCs w:val="24"/>
              </w:rPr>
            </w:pPr>
          </w:p>
        </w:tc>
        <w:tc>
          <w:tcPr>
            <w:tcW w:w="5103" w:type="dxa"/>
          </w:tcPr>
          <w:p w14:paraId="3E22C41D" w14:textId="77777777" w:rsidR="00201E59" w:rsidRPr="00117F66" w:rsidRDefault="00201E59" w:rsidP="005E4F16">
            <w:pPr>
              <w:tabs>
                <w:tab w:val="left" w:pos="1347"/>
                <w:tab w:val="left" w:pos="6117"/>
                <w:tab w:val="right" w:pos="6842"/>
              </w:tabs>
              <w:rPr>
                <w:rFonts w:ascii="Arial" w:hAnsi="Arial"/>
                <w:sz w:val="24"/>
                <w:szCs w:val="24"/>
              </w:rPr>
            </w:pPr>
            <w:r w:rsidRPr="00117F66">
              <w:rPr>
                <w:rFonts w:ascii="Arial" w:hAnsi="Arial"/>
                <w:sz w:val="24"/>
                <w:szCs w:val="24"/>
              </w:rPr>
              <w:t>Benefits payable :</w:t>
            </w:r>
          </w:p>
        </w:tc>
        <w:tc>
          <w:tcPr>
            <w:tcW w:w="851" w:type="dxa"/>
          </w:tcPr>
          <w:p w14:paraId="56CA64E0" w14:textId="77777777" w:rsidR="00201E59" w:rsidRPr="00117F66" w:rsidRDefault="00201E59" w:rsidP="005E4F16">
            <w:pPr>
              <w:tabs>
                <w:tab w:val="left" w:pos="1347"/>
                <w:tab w:val="left" w:pos="6117"/>
                <w:tab w:val="right" w:pos="6842"/>
              </w:tabs>
              <w:jc w:val="center"/>
              <w:rPr>
                <w:rFonts w:ascii="Arial" w:hAnsi="Arial"/>
                <w:sz w:val="24"/>
                <w:szCs w:val="24"/>
              </w:rPr>
            </w:pPr>
          </w:p>
        </w:tc>
        <w:tc>
          <w:tcPr>
            <w:tcW w:w="1134" w:type="dxa"/>
          </w:tcPr>
          <w:p w14:paraId="2D8CC523" w14:textId="77777777" w:rsidR="00201E59" w:rsidRPr="00117F66" w:rsidRDefault="00201E59" w:rsidP="006C50EB">
            <w:pPr>
              <w:tabs>
                <w:tab w:val="left" w:pos="1347"/>
                <w:tab w:val="left" w:pos="6117"/>
                <w:tab w:val="right" w:pos="6842"/>
              </w:tabs>
              <w:jc w:val="right"/>
              <w:rPr>
                <w:rFonts w:ascii="Arial" w:hAnsi="Arial"/>
                <w:sz w:val="24"/>
                <w:szCs w:val="24"/>
              </w:rPr>
            </w:pPr>
          </w:p>
        </w:tc>
        <w:tc>
          <w:tcPr>
            <w:tcW w:w="1417" w:type="dxa"/>
          </w:tcPr>
          <w:p w14:paraId="0C738870" w14:textId="77777777" w:rsidR="00201E59" w:rsidRPr="00117F66" w:rsidRDefault="00201E59" w:rsidP="006C50EB">
            <w:pPr>
              <w:tabs>
                <w:tab w:val="left" w:pos="1347"/>
                <w:tab w:val="left" w:pos="6117"/>
                <w:tab w:val="right" w:pos="6842"/>
              </w:tabs>
              <w:jc w:val="right"/>
              <w:rPr>
                <w:rFonts w:ascii="Arial" w:hAnsi="Arial"/>
                <w:sz w:val="24"/>
                <w:szCs w:val="24"/>
              </w:rPr>
            </w:pPr>
          </w:p>
        </w:tc>
      </w:tr>
      <w:tr w:rsidR="00A570F5" w:rsidRPr="00117F66" w14:paraId="7CAF580A" w14:textId="77777777" w:rsidTr="006C50EB">
        <w:tc>
          <w:tcPr>
            <w:tcW w:w="1418" w:type="dxa"/>
          </w:tcPr>
          <w:p w14:paraId="6231AFB1"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-70,195</w:t>
            </w:r>
          </w:p>
        </w:tc>
        <w:tc>
          <w:tcPr>
            <w:tcW w:w="5103" w:type="dxa"/>
          </w:tcPr>
          <w:p w14:paraId="272E01C1" w14:textId="77777777" w:rsidR="00A570F5" w:rsidRPr="00117F66" w:rsidRDefault="00A570F5" w:rsidP="00A570F5">
            <w:pPr>
              <w:tabs>
                <w:tab w:val="left" w:pos="1347"/>
                <w:tab w:val="left" w:pos="6117"/>
                <w:tab w:val="right" w:pos="6842"/>
              </w:tabs>
              <w:rPr>
                <w:rFonts w:ascii="Arial" w:hAnsi="Arial"/>
                <w:sz w:val="24"/>
                <w:szCs w:val="24"/>
              </w:rPr>
            </w:pPr>
            <w:r w:rsidRPr="00117F66">
              <w:rPr>
                <w:rFonts w:ascii="Arial" w:hAnsi="Arial"/>
                <w:sz w:val="24"/>
                <w:szCs w:val="24"/>
              </w:rPr>
              <w:t xml:space="preserve">                             Pensions payable</w:t>
            </w:r>
          </w:p>
        </w:tc>
        <w:tc>
          <w:tcPr>
            <w:tcW w:w="851" w:type="dxa"/>
          </w:tcPr>
          <w:p w14:paraId="2B060488" w14:textId="77777777" w:rsidR="00A570F5" w:rsidRPr="00117F66" w:rsidRDefault="00A570F5" w:rsidP="00A570F5">
            <w:pPr>
              <w:tabs>
                <w:tab w:val="left" w:pos="1347"/>
                <w:tab w:val="left" w:pos="6117"/>
                <w:tab w:val="right" w:pos="6842"/>
              </w:tabs>
              <w:jc w:val="center"/>
              <w:rPr>
                <w:rFonts w:ascii="Arial" w:hAnsi="Arial"/>
                <w:sz w:val="24"/>
                <w:szCs w:val="24"/>
              </w:rPr>
            </w:pPr>
            <w:r>
              <w:rPr>
                <w:rFonts w:ascii="Arial" w:hAnsi="Arial"/>
                <w:sz w:val="24"/>
                <w:szCs w:val="24"/>
              </w:rPr>
              <w:t>6</w:t>
            </w:r>
          </w:p>
        </w:tc>
        <w:tc>
          <w:tcPr>
            <w:tcW w:w="1134" w:type="dxa"/>
          </w:tcPr>
          <w:p w14:paraId="20E8B0D2" w14:textId="77777777" w:rsidR="00A570F5" w:rsidRPr="00117F66" w:rsidRDefault="00565CFC" w:rsidP="00A570F5">
            <w:pPr>
              <w:tabs>
                <w:tab w:val="left" w:pos="1347"/>
                <w:tab w:val="left" w:pos="6117"/>
                <w:tab w:val="right" w:pos="6842"/>
              </w:tabs>
              <w:jc w:val="right"/>
              <w:rPr>
                <w:rFonts w:ascii="Arial" w:hAnsi="Arial"/>
                <w:sz w:val="24"/>
                <w:szCs w:val="24"/>
              </w:rPr>
            </w:pPr>
            <w:r>
              <w:rPr>
                <w:rFonts w:ascii="Arial" w:hAnsi="Arial"/>
                <w:sz w:val="24"/>
                <w:szCs w:val="24"/>
              </w:rPr>
              <w:t>-72,012</w:t>
            </w:r>
          </w:p>
        </w:tc>
        <w:tc>
          <w:tcPr>
            <w:tcW w:w="1417" w:type="dxa"/>
          </w:tcPr>
          <w:p w14:paraId="19D432D8" w14:textId="77777777" w:rsidR="00A570F5" w:rsidRPr="00117F66" w:rsidRDefault="00A570F5" w:rsidP="00A570F5">
            <w:pPr>
              <w:tabs>
                <w:tab w:val="left" w:pos="1347"/>
                <w:tab w:val="left" w:pos="6117"/>
                <w:tab w:val="right" w:pos="6842"/>
              </w:tabs>
              <w:jc w:val="right"/>
              <w:rPr>
                <w:rFonts w:ascii="Arial" w:hAnsi="Arial"/>
                <w:sz w:val="24"/>
                <w:szCs w:val="24"/>
              </w:rPr>
            </w:pPr>
          </w:p>
        </w:tc>
      </w:tr>
      <w:tr w:rsidR="00A570F5" w:rsidRPr="00117F66" w14:paraId="0BB12460" w14:textId="77777777" w:rsidTr="00A84F41">
        <w:tc>
          <w:tcPr>
            <w:tcW w:w="1418" w:type="dxa"/>
            <w:tcBorders>
              <w:bottom w:val="single" w:sz="4" w:space="0" w:color="auto"/>
            </w:tcBorders>
          </w:tcPr>
          <w:p w14:paraId="6DD17416"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-14,544</w:t>
            </w:r>
          </w:p>
        </w:tc>
        <w:tc>
          <w:tcPr>
            <w:tcW w:w="5103" w:type="dxa"/>
          </w:tcPr>
          <w:p w14:paraId="175F64F5" w14:textId="77777777" w:rsidR="00A570F5" w:rsidRPr="00117F66" w:rsidRDefault="00A570F5" w:rsidP="00A570F5">
            <w:pPr>
              <w:tabs>
                <w:tab w:val="left" w:pos="1347"/>
                <w:tab w:val="left" w:pos="6117"/>
                <w:tab w:val="right" w:pos="6842"/>
              </w:tabs>
              <w:rPr>
                <w:rFonts w:ascii="Arial" w:hAnsi="Arial"/>
                <w:sz w:val="24"/>
                <w:szCs w:val="24"/>
              </w:rPr>
            </w:pPr>
            <w:r w:rsidRPr="00117F66">
              <w:rPr>
                <w:rFonts w:ascii="Arial" w:hAnsi="Arial"/>
                <w:sz w:val="24"/>
                <w:szCs w:val="24"/>
              </w:rPr>
              <w:t xml:space="preserve">                             Lump sum benefits                                  </w:t>
            </w:r>
          </w:p>
        </w:tc>
        <w:tc>
          <w:tcPr>
            <w:tcW w:w="851" w:type="dxa"/>
          </w:tcPr>
          <w:p w14:paraId="41B0D34F" w14:textId="77777777" w:rsidR="00A570F5" w:rsidRPr="00117F66" w:rsidRDefault="00A570F5" w:rsidP="00A570F5">
            <w:pPr>
              <w:tabs>
                <w:tab w:val="left" w:pos="1347"/>
                <w:tab w:val="left" w:pos="6117"/>
                <w:tab w:val="right" w:pos="6842"/>
              </w:tabs>
              <w:jc w:val="center"/>
              <w:rPr>
                <w:rFonts w:ascii="Arial" w:hAnsi="Arial"/>
                <w:sz w:val="24"/>
                <w:szCs w:val="24"/>
              </w:rPr>
            </w:pPr>
            <w:r>
              <w:rPr>
                <w:rFonts w:ascii="Arial" w:hAnsi="Arial"/>
                <w:sz w:val="24"/>
                <w:szCs w:val="24"/>
              </w:rPr>
              <w:t>6</w:t>
            </w:r>
          </w:p>
        </w:tc>
        <w:tc>
          <w:tcPr>
            <w:tcW w:w="1134" w:type="dxa"/>
            <w:tcBorders>
              <w:bottom w:val="single" w:sz="4" w:space="0" w:color="auto"/>
            </w:tcBorders>
          </w:tcPr>
          <w:p w14:paraId="37A76267" w14:textId="77777777" w:rsidR="00A570F5" w:rsidRPr="00117F66" w:rsidRDefault="00565CFC" w:rsidP="00A570F5">
            <w:pPr>
              <w:tabs>
                <w:tab w:val="left" w:pos="1347"/>
                <w:tab w:val="left" w:pos="6117"/>
                <w:tab w:val="right" w:pos="6842"/>
              </w:tabs>
              <w:jc w:val="right"/>
              <w:rPr>
                <w:rFonts w:ascii="Arial" w:hAnsi="Arial"/>
                <w:sz w:val="24"/>
                <w:szCs w:val="24"/>
              </w:rPr>
            </w:pPr>
            <w:r>
              <w:rPr>
                <w:rFonts w:ascii="Arial" w:hAnsi="Arial"/>
                <w:sz w:val="24"/>
                <w:szCs w:val="24"/>
              </w:rPr>
              <w:t>-17,880</w:t>
            </w:r>
          </w:p>
        </w:tc>
        <w:tc>
          <w:tcPr>
            <w:tcW w:w="1417" w:type="dxa"/>
          </w:tcPr>
          <w:p w14:paraId="2B76E80E" w14:textId="77777777" w:rsidR="00A570F5" w:rsidRPr="00117F66" w:rsidRDefault="00565CFC" w:rsidP="00A570F5">
            <w:pPr>
              <w:tabs>
                <w:tab w:val="left" w:pos="1347"/>
                <w:tab w:val="left" w:pos="6117"/>
                <w:tab w:val="right" w:pos="6842"/>
              </w:tabs>
              <w:jc w:val="right"/>
              <w:rPr>
                <w:rFonts w:ascii="Arial" w:hAnsi="Arial"/>
                <w:sz w:val="24"/>
                <w:szCs w:val="24"/>
              </w:rPr>
            </w:pPr>
            <w:r>
              <w:rPr>
                <w:rFonts w:ascii="Arial" w:hAnsi="Arial"/>
                <w:sz w:val="24"/>
                <w:szCs w:val="24"/>
              </w:rPr>
              <w:t>-89,892</w:t>
            </w:r>
          </w:p>
        </w:tc>
      </w:tr>
      <w:tr w:rsidR="00A570F5" w:rsidRPr="00117F66" w14:paraId="11BD6AE7" w14:textId="77777777" w:rsidTr="006C50EB">
        <w:tc>
          <w:tcPr>
            <w:tcW w:w="1418" w:type="dxa"/>
          </w:tcPr>
          <w:p w14:paraId="25CD2EB3" w14:textId="77777777" w:rsidR="00A570F5" w:rsidRPr="00117F66" w:rsidRDefault="00A570F5" w:rsidP="00A570F5">
            <w:pPr>
              <w:tabs>
                <w:tab w:val="left" w:pos="1347"/>
                <w:tab w:val="left" w:pos="6117"/>
                <w:tab w:val="right" w:pos="6842"/>
              </w:tabs>
              <w:jc w:val="right"/>
              <w:rPr>
                <w:rFonts w:ascii="Arial" w:hAnsi="Arial"/>
                <w:sz w:val="24"/>
                <w:szCs w:val="24"/>
              </w:rPr>
            </w:pPr>
          </w:p>
        </w:tc>
        <w:tc>
          <w:tcPr>
            <w:tcW w:w="5103" w:type="dxa"/>
          </w:tcPr>
          <w:p w14:paraId="4B8548DE" w14:textId="77777777" w:rsidR="00A570F5" w:rsidRPr="00117F66" w:rsidRDefault="00A570F5" w:rsidP="00A570F5">
            <w:pPr>
              <w:tabs>
                <w:tab w:val="left" w:pos="1347"/>
                <w:tab w:val="left" w:pos="6117"/>
                <w:tab w:val="right" w:pos="6842"/>
              </w:tabs>
              <w:rPr>
                <w:rFonts w:ascii="Arial" w:hAnsi="Arial"/>
                <w:sz w:val="24"/>
                <w:szCs w:val="24"/>
              </w:rPr>
            </w:pPr>
            <w:r w:rsidRPr="00117F66">
              <w:rPr>
                <w:rFonts w:ascii="Arial" w:hAnsi="Arial"/>
                <w:sz w:val="24"/>
                <w:szCs w:val="24"/>
              </w:rPr>
              <w:t>Payments to and on account of leavers :</w:t>
            </w:r>
          </w:p>
        </w:tc>
        <w:tc>
          <w:tcPr>
            <w:tcW w:w="851" w:type="dxa"/>
          </w:tcPr>
          <w:p w14:paraId="53493D32"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3BBD8B1E" w14:textId="77777777" w:rsidR="00A570F5" w:rsidRPr="00117F66" w:rsidRDefault="00A570F5" w:rsidP="00A570F5">
            <w:pPr>
              <w:tabs>
                <w:tab w:val="left" w:pos="1347"/>
                <w:tab w:val="left" w:pos="6117"/>
                <w:tab w:val="right" w:pos="6842"/>
              </w:tabs>
              <w:jc w:val="right"/>
              <w:rPr>
                <w:rFonts w:ascii="Arial" w:hAnsi="Arial"/>
                <w:sz w:val="24"/>
                <w:szCs w:val="24"/>
              </w:rPr>
            </w:pPr>
          </w:p>
        </w:tc>
        <w:tc>
          <w:tcPr>
            <w:tcW w:w="1417" w:type="dxa"/>
          </w:tcPr>
          <w:p w14:paraId="718EE393" w14:textId="77777777" w:rsidR="00A570F5" w:rsidRPr="00117F66" w:rsidRDefault="00A570F5" w:rsidP="00A570F5">
            <w:pPr>
              <w:tabs>
                <w:tab w:val="left" w:pos="1347"/>
                <w:tab w:val="left" w:pos="6117"/>
                <w:tab w:val="right" w:pos="6842"/>
              </w:tabs>
              <w:jc w:val="right"/>
              <w:rPr>
                <w:rFonts w:ascii="Arial" w:hAnsi="Arial"/>
                <w:sz w:val="24"/>
                <w:szCs w:val="24"/>
              </w:rPr>
            </w:pPr>
          </w:p>
        </w:tc>
      </w:tr>
      <w:tr w:rsidR="00A570F5" w:rsidRPr="00117F66" w14:paraId="3667ECC3" w14:textId="77777777" w:rsidTr="006C50EB">
        <w:tc>
          <w:tcPr>
            <w:tcW w:w="1418" w:type="dxa"/>
          </w:tcPr>
          <w:p w14:paraId="2ABAD3FF"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-113</w:t>
            </w:r>
          </w:p>
        </w:tc>
        <w:tc>
          <w:tcPr>
            <w:tcW w:w="5103" w:type="dxa"/>
          </w:tcPr>
          <w:p w14:paraId="5C639A54" w14:textId="77777777" w:rsidR="00A570F5" w:rsidRPr="00117F66" w:rsidRDefault="00A570F5" w:rsidP="00A570F5">
            <w:pPr>
              <w:tabs>
                <w:tab w:val="left" w:pos="1347"/>
                <w:tab w:val="left" w:pos="6117"/>
                <w:tab w:val="right" w:pos="6842"/>
              </w:tabs>
              <w:rPr>
                <w:rFonts w:ascii="Arial" w:hAnsi="Arial"/>
                <w:sz w:val="24"/>
                <w:szCs w:val="24"/>
              </w:rPr>
            </w:pPr>
            <w:r w:rsidRPr="00117F66">
              <w:rPr>
                <w:rFonts w:ascii="Arial" w:hAnsi="Arial"/>
                <w:sz w:val="24"/>
                <w:szCs w:val="24"/>
              </w:rPr>
              <w:t xml:space="preserve">                             Refunds of contributions</w:t>
            </w:r>
          </w:p>
        </w:tc>
        <w:tc>
          <w:tcPr>
            <w:tcW w:w="851" w:type="dxa"/>
          </w:tcPr>
          <w:p w14:paraId="7424674C" w14:textId="77777777" w:rsidR="00A570F5" w:rsidRPr="00117F66" w:rsidRDefault="00A570F5" w:rsidP="00A570F5">
            <w:pPr>
              <w:tabs>
                <w:tab w:val="left" w:pos="1347"/>
                <w:tab w:val="left" w:pos="6117"/>
                <w:tab w:val="right" w:pos="6842"/>
              </w:tabs>
              <w:jc w:val="center"/>
              <w:rPr>
                <w:rFonts w:ascii="Arial" w:hAnsi="Arial"/>
                <w:sz w:val="24"/>
                <w:szCs w:val="24"/>
              </w:rPr>
            </w:pPr>
            <w:r>
              <w:rPr>
                <w:rFonts w:ascii="Arial" w:hAnsi="Arial"/>
                <w:sz w:val="24"/>
                <w:szCs w:val="24"/>
              </w:rPr>
              <w:t>7</w:t>
            </w:r>
          </w:p>
        </w:tc>
        <w:tc>
          <w:tcPr>
            <w:tcW w:w="1134" w:type="dxa"/>
          </w:tcPr>
          <w:p w14:paraId="339BC632" w14:textId="77777777" w:rsidR="00A570F5" w:rsidRPr="00117F66" w:rsidRDefault="00565CFC" w:rsidP="00A570F5">
            <w:pPr>
              <w:tabs>
                <w:tab w:val="left" w:pos="1347"/>
                <w:tab w:val="left" w:pos="6117"/>
                <w:tab w:val="right" w:pos="6842"/>
              </w:tabs>
              <w:jc w:val="right"/>
              <w:rPr>
                <w:rFonts w:ascii="Arial" w:hAnsi="Arial"/>
                <w:sz w:val="24"/>
                <w:szCs w:val="24"/>
              </w:rPr>
            </w:pPr>
            <w:r>
              <w:rPr>
                <w:rFonts w:ascii="Arial" w:hAnsi="Arial"/>
                <w:sz w:val="24"/>
                <w:szCs w:val="24"/>
              </w:rPr>
              <w:t>-131</w:t>
            </w:r>
          </w:p>
        </w:tc>
        <w:tc>
          <w:tcPr>
            <w:tcW w:w="1417" w:type="dxa"/>
          </w:tcPr>
          <w:p w14:paraId="7A0F421B" w14:textId="77777777" w:rsidR="00A570F5" w:rsidRPr="00117F66" w:rsidRDefault="00A570F5" w:rsidP="00A570F5">
            <w:pPr>
              <w:tabs>
                <w:tab w:val="left" w:pos="1347"/>
                <w:tab w:val="left" w:pos="6117"/>
                <w:tab w:val="right" w:pos="6842"/>
              </w:tabs>
              <w:jc w:val="right"/>
              <w:rPr>
                <w:rFonts w:ascii="Arial" w:hAnsi="Arial"/>
                <w:sz w:val="24"/>
                <w:szCs w:val="24"/>
              </w:rPr>
            </w:pPr>
          </w:p>
        </w:tc>
      </w:tr>
      <w:tr w:rsidR="00A570F5" w:rsidRPr="00117F66" w14:paraId="0EE8A04D" w14:textId="77777777" w:rsidTr="00A84F41">
        <w:tc>
          <w:tcPr>
            <w:tcW w:w="1418" w:type="dxa"/>
            <w:tcBorders>
              <w:bottom w:val="single" w:sz="4" w:space="0" w:color="auto"/>
            </w:tcBorders>
          </w:tcPr>
          <w:p w14:paraId="4BF2BE7E"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-3,934</w:t>
            </w:r>
          </w:p>
        </w:tc>
        <w:tc>
          <w:tcPr>
            <w:tcW w:w="5103" w:type="dxa"/>
          </w:tcPr>
          <w:p w14:paraId="3A82D6D1" w14:textId="77777777" w:rsidR="00A570F5" w:rsidRPr="00117F66" w:rsidRDefault="00A570F5" w:rsidP="00A570F5">
            <w:pPr>
              <w:tabs>
                <w:tab w:val="left" w:pos="1347"/>
                <w:tab w:val="left" w:pos="6117"/>
                <w:tab w:val="right" w:pos="6842"/>
              </w:tabs>
              <w:rPr>
                <w:rFonts w:ascii="Arial" w:hAnsi="Arial"/>
                <w:sz w:val="24"/>
                <w:szCs w:val="24"/>
              </w:rPr>
            </w:pPr>
            <w:r w:rsidRPr="00117F66">
              <w:rPr>
                <w:rFonts w:ascii="Arial" w:hAnsi="Arial"/>
                <w:sz w:val="24"/>
                <w:szCs w:val="24"/>
              </w:rPr>
              <w:t xml:space="preserve">                             Transfers out                                        </w:t>
            </w:r>
          </w:p>
        </w:tc>
        <w:tc>
          <w:tcPr>
            <w:tcW w:w="851" w:type="dxa"/>
          </w:tcPr>
          <w:p w14:paraId="4877F11C" w14:textId="77777777" w:rsidR="00A570F5" w:rsidRPr="00117F66" w:rsidRDefault="00A570F5" w:rsidP="00A570F5">
            <w:pPr>
              <w:tabs>
                <w:tab w:val="left" w:pos="1347"/>
                <w:tab w:val="left" w:pos="6117"/>
                <w:tab w:val="right" w:pos="6842"/>
              </w:tabs>
              <w:jc w:val="center"/>
              <w:rPr>
                <w:rFonts w:ascii="Arial" w:hAnsi="Arial"/>
                <w:sz w:val="24"/>
                <w:szCs w:val="24"/>
              </w:rPr>
            </w:pPr>
            <w:r>
              <w:rPr>
                <w:rFonts w:ascii="Arial" w:hAnsi="Arial"/>
                <w:sz w:val="24"/>
                <w:szCs w:val="24"/>
              </w:rPr>
              <w:t>7</w:t>
            </w:r>
          </w:p>
        </w:tc>
        <w:tc>
          <w:tcPr>
            <w:tcW w:w="1134" w:type="dxa"/>
            <w:tcBorders>
              <w:bottom w:val="single" w:sz="4" w:space="0" w:color="auto"/>
            </w:tcBorders>
          </w:tcPr>
          <w:p w14:paraId="3C698934" w14:textId="77777777" w:rsidR="00A570F5" w:rsidRPr="00117F66" w:rsidRDefault="00565CFC" w:rsidP="00A570F5">
            <w:pPr>
              <w:tabs>
                <w:tab w:val="left" w:pos="1347"/>
                <w:tab w:val="left" w:pos="6117"/>
                <w:tab w:val="right" w:pos="6842"/>
              </w:tabs>
              <w:jc w:val="right"/>
              <w:rPr>
                <w:rFonts w:ascii="Arial" w:hAnsi="Arial"/>
                <w:sz w:val="24"/>
                <w:szCs w:val="24"/>
              </w:rPr>
            </w:pPr>
            <w:r>
              <w:rPr>
                <w:rFonts w:ascii="Arial" w:hAnsi="Arial"/>
                <w:sz w:val="24"/>
                <w:szCs w:val="24"/>
              </w:rPr>
              <w:t>-2,675</w:t>
            </w:r>
          </w:p>
        </w:tc>
        <w:tc>
          <w:tcPr>
            <w:tcW w:w="1417" w:type="dxa"/>
          </w:tcPr>
          <w:p w14:paraId="37C1550D" w14:textId="77777777" w:rsidR="00A570F5" w:rsidRPr="00117F66" w:rsidRDefault="00565CFC" w:rsidP="00A570F5">
            <w:pPr>
              <w:tabs>
                <w:tab w:val="left" w:pos="1347"/>
                <w:tab w:val="left" w:pos="6117"/>
                <w:tab w:val="right" w:pos="6842"/>
              </w:tabs>
              <w:jc w:val="right"/>
              <w:rPr>
                <w:rFonts w:ascii="Arial" w:hAnsi="Arial"/>
                <w:sz w:val="24"/>
                <w:szCs w:val="24"/>
              </w:rPr>
            </w:pPr>
            <w:r>
              <w:rPr>
                <w:rFonts w:ascii="Arial" w:hAnsi="Arial"/>
                <w:sz w:val="24"/>
                <w:szCs w:val="24"/>
              </w:rPr>
              <w:t>-2,806</w:t>
            </w:r>
          </w:p>
        </w:tc>
      </w:tr>
      <w:tr w:rsidR="00A570F5" w:rsidRPr="00117F66" w14:paraId="000DDFB7" w14:textId="77777777" w:rsidTr="006C50EB">
        <w:trPr>
          <w:trHeight w:val="90"/>
        </w:trPr>
        <w:tc>
          <w:tcPr>
            <w:tcW w:w="1418" w:type="dxa"/>
          </w:tcPr>
          <w:p w14:paraId="0D5A75E1"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-13,514</w:t>
            </w:r>
          </w:p>
        </w:tc>
        <w:tc>
          <w:tcPr>
            <w:tcW w:w="5103" w:type="dxa"/>
          </w:tcPr>
          <w:p w14:paraId="6268EC4A" w14:textId="77777777" w:rsidR="00A570F5" w:rsidRPr="00117F66" w:rsidRDefault="00A570F5" w:rsidP="00A570F5">
            <w:pPr>
              <w:tabs>
                <w:tab w:val="left" w:pos="1347"/>
                <w:tab w:val="left" w:pos="6117"/>
                <w:tab w:val="right" w:pos="6842"/>
              </w:tabs>
              <w:rPr>
                <w:rFonts w:ascii="Arial" w:hAnsi="Arial"/>
                <w:sz w:val="24"/>
                <w:szCs w:val="24"/>
              </w:rPr>
            </w:pPr>
            <w:r>
              <w:rPr>
                <w:rFonts w:ascii="Arial" w:hAnsi="Arial"/>
                <w:sz w:val="24"/>
                <w:szCs w:val="24"/>
              </w:rPr>
              <w:t>Management</w:t>
            </w:r>
            <w:r w:rsidRPr="00117F66">
              <w:rPr>
                <w:rFonts w:ascii="Arial" w:hAnsi="Arial"/>
                <w:sz w:val="24"/>
                <w:szCs w:val="24"/>
              </w:rPr>
              <w:t xml:space="preserve"> expenses </w:t>
            </w:r>
          </w:p>
        </w:tc>
        <w:tc>
          <w:tcPr>
            <w:tcW w:w="851" w:type="dxa"/>
          </w:tcPr>
          <w:p w14:paraId="6E3DAB85" w14:textId="77777777" w:rsidR="00A570F5" w:rsidRPr="00117F66" w:rsidRDefault="00A570F5" w:rsidP="00A570F5">
            <w:pPr>
              <w:tabs>
                <w:tab w:val="left" w:pos="1347"/>
                <w:tab w:val="left" w:pos="6117"/>
                <w:tab w:val="right" w:pos="6842"/>
              </w:tabs>
              <w:jc w:val="center"/>
              <w:rPr>
                <w:rFonts w:ascii="Arial" w:hAnsi="Arial"/>
                <w:sz w:val="24"/>
                <w:szCs w:val="24"/>
              </w:rPr>
            </w:pPr>
            <w:r>
              <w:rPr>
                <w:rFonts w:ascii="Arial" w:hAnsi="Arial"/>
                <w:sz w:val="24"/>
                <w:szCs w:val="24"/>
              </w:rPr>
              <w:t>8</w:t>
            </w:r>
          </w:p>
        </w:tc>
        <w:tc>
          <w:tcPr>
            <w:tcW w:w="1134" w:type="dxa"/>
          </w:tcPr>
          <w:p w14:paraId="4EEA08F3" w14:textId="77777777" w:rsidR="00A570F5" w:rsidRPr="00117F66" w:rsidRDefault="00A570F5" w:rsidP="00A570F5">
            <w:pPr>
              <w:tabs>
                <w:tab w:val="left" w:pos="1347"/>
                <w:tab w:val="left" w:pos="6117"/>
                <w:tab w:val="right" w:pos="6842"/>
              </w:tabs>
              <w:jc w:val="right"/>
              <w:rPr>
                <w:rFonts w:ascii="Arial" w:hAnsi="Arial"/>
                <w:sz w:val="24"/>
                <w:szCs w:val="24"/>
              </w:rPr>
            </w:pPr>
          </w:p>
        </w:tc>
        <w:tc>
          <w:tcPr>
            <w:tcW w:w="1417" w:type="dxa"/>
          </w:tcPr>
          <w:p w14:paraId="03662108" w14:textId="77777777" w:rsidR="00A570F5" w:rsidRPr="00117F66" w:rsidRDefault="00CF0CE3" w:rsidP="00A570F5">
            <w:pPr>
              <w:tabs>
                <w:tab w:val="left" w:pos="1347"/>
                <w:tab w:val="left" w:pos="6117"/>
                <w:tab w:val="right" w:pos="6842"/>
              </w:tabs>
              <w:jc w:val="right"/>
              <w:rPr>
                <w:rFonts w:ascii="Arial" w:hAnsi="Arial"/>
                <w:sz w:val="24"/>
                <w:szCs w:val="24"/>
              </w:rPr>
            </w:pPr>
            <w:r>
              <w:rPr>
                <w:rFonts w:ascii="Arial" w:hAnsi="Arial"/>
                <w:sz w:val="24"/>
                <w:szCs w:val="24"/>
              </w:rPr>
              <w:t>-16,544</w:t>
            </w:r>
          </w:p>
        </w:tc>
      </w:tr>
      <w:tr w:rsidR="00A570F5" w:rsidRPr="00117F66" w14:paraId="79201A26" w14:textId="77777777" w:rsidTr="006C50EB">
        <w:tc>
          <w:tcPr>
            <w:tcW w:w="1418" w:type="dxa"/>
            <w:tcBorders>
              <w:top w:val="single" w:sz="8" w:space="0" w:color="auto"/>
              <w:bottom w:val="double" w:sz="4" w:space="0" w:color="auto"/>
            </w:tcBorders>
            <w:vAlign w:val="center"/>
          </w:tcPr>
          <w:p w14:paraId="2F4C1E9D" w14:textId="77777777" w:rsidR="00A570F5" w:rsidRPr="00117F66" w:rsidRDefault="00A570F5" w:rsidP="00A570F5">
            <w:pPr>
              <w:tabs>
                <w:tab w:val="left" w:pos="1347"/>
                <w:tab w:val="left" w:pos="6117"/>
                <w:tab w:val="right" w:pos="6842"/>
              </w:tabs>
              <w:jc w:val="right"/>
              <w:rPr>
                <w:rFonts w:ascii="Arial" w:hAnsi="Arial"/>
                <w:b/>
                <w:sz w:val="24"/>
                <w:szCs w:val="24"/>
              </w:rPr>
            </w:pPr>
            <w:r>
              <w:rPr>
                <w:rFonts w:ascii="Arial" w:hAnsi="Arial"/>
                <w:b/>
                <w:sz w:val="24"/>
                <w:szCs w:val="24"/>
              </w:rPr>
              <w:t>2,854</w:t>
            </w:r>
          </w:p>
        </w:tc>
        <w:tc>
          <w:tcPr>
            <w:tcW w:w="5103" w:type="dxa"/>
          </w:tcPr>
          <w:p w14:paraId="163F2A2E" w14:textId="77777777" w:rsidR="00A570F5" w:rsidRPr="00117F66" w:rsidRDefault="00A570F5" w:rsidP="00A570F5">
            <w:pPr>
              <w:tabs>
                <w:tab w:val="left" w:pos="1347"/>
                <w:tab w:val="left" w:pos="6117"/>
                <w:tab w:val="right" w:pos="6842"/>
              </w:tabs>
              <w:rPr>
                <w:rFonts w:ascii="Arial" w:hAnsi="Arial"/>
                <w:b/>
                <w:sz w:val="24"/>
                <w:szCs w:val="24"/>
              </w:rPr>
            </w:pPr>
            <w:r w:rsidRPr="00117F66">
              <w:rPr>
                <w:rFonts w:ascii="Arial" w:hAnsi="Arial"/>
                <w:b/>
                <w:sz w:val="24"/>
                <w:szCs w:val="24"/>
              </w:rPr>
              <w:t>Net additions from dealing with members</w:t>
            </w:r>
          </w:p>
        </w:tc>
        <w:tc>
          <w:tcPr>
            <w:tcW w:w="851" w:type="dxa"/>
          </w:tcPr>
          <w:p w14:paraId="1041F038" w14:textId="77777777" w:rsidR="00A570F5" w:rsidRPr="00117F66" w:rsidRDefault="00A570F5" w:rsidP="00A570F5">
            <w:pPr>
              <w:tabs>
                <w:tab w:val="left" w:pos="1347"/>
                <w:tab w:val="left" w:pos="6117"/>
                <w:tab w:val="right" w:pos="6842"/>
              </w:tabs>
              <w:jc w:val="center"/>
              <w:rPr>
                <w:rFonts w:ascii="Arial" w:hAnsi="Arial"/>
                <w:b/>
                <w:sz w:val="24"/>
                <w:szCs w:val="24"/>
              </w:rPr>
            </w:pPr>
          </w:p>
        </w:tc>
        <w:tc>
          <w:tcPr>
            <w:tcW w:w="1134" w:type="dxa"/>
          </w:tcPr>
          <w:p w14:paraId="4CA94F16" w14:textId="77777777" w:rsidR="00A570F5" w:rsidRPr="00117F66" w:rsidRDefault="00A570F5" w:rsidP="00A570F5">
            <w:pPr>
              <w:tabs>
                <w:tab w:val="left" w:pos="1347"/>
                <w:tab w:val="left" w:pos="6117"/>
                <w:tab w:val="right" w:pos="6842"/>
              </w:tabs>
              <w:jc w:val="right"/>
              <w:rPr>
                <w:rFonts w:ascii="Arial" w:hAnsi="Arial"/>
                <w:b/>
                <w:sz w:val="24"/>
                <w:szCs w:val="24"/>
              </w:rPr>
            </w:pPr>
          </w:p>
        </w:tc>
        <w:tc>
          <w:tcPr>
            <w:tcW w:w="1417" w:type="dxa"/>
            <w:tcBorders>
              <w:top w:val="single" w:sz="8" w:space="0" w:color="auto"/>
              <w:bottom w:val="double" w:sz="4" w:space="0" w:color="auto"/>
            </w:tcBorders>
            <w:vAlign w:val="center"/>
          </w:tcPr>
          <w:p w14:paraId="164BE86B" w14:textId="77777777" w:rsidR="00A570F5" w:rsidRPr="00117F66" w:rsidRDefault="00CF0CE3" w:rsidP="00A570F5">
            <w:pPr>
              <w:tabs>
                <w:tab w:val="left" w:pos="1347"/>
                <w:tab w:val="left" w:pos="6117"/>
                <w:tab w:val="right" w:pos="6842"/>
              </w:tabs>
              <w:jc w:val="right"/>
              <w:rPr>
                <w:rFonts w:ascii="Arial" w:hAnsi="Arial"/>
                <w:b/>
                <w:sz w:val="24"/>
                <w:szCs w:val="24"/>
              </w:rPr>
            </w:pPr>
            <w:r>
              <w:rPr>
                <w:rFonts w:ascii="Arial" w:hAnsi="Arial"/>
                <w:b/>
                <w:sz w:val="24"/>
                <w:szCs w:val="24"/>
              </w:rPr>
              <w:t>4,706</w:t>
            </w:r>
          </w:p>
        </w:tc>
      </w:tr>
      <w:tr w:rsidR="00A570F5" w:rsidRPr="00117F66" w14:paraId="20F00968" w14:textId="77777777" w:rsidTr="006C50EB">
        <w:trPr>
          <w:trHeight w:val="115"/>
        </w:trPr>
        <w:tc>
          <w:tcPr>
            <w:tcW w:w="1418" w:type="dxa"/>
          </w:tcPr>
          <w:p w14:paraId="5F98165E"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5103" w:type="dxa"/>
          </w:tcPr>
          <w:p w14:paraId="689F0A02" w14:textId="77777777" w:rsidR="00A570F5" w:rsidRPr="00117F66" w:rsidRDefault="00A570F5" w:rsidP="00A570F5">
            <w:pPr>
              <w:tabs>
                <w:tab w:val="left" w:pos="1347"/>
                <w:tab w:val="left" w:pos="6117"/>
                <w:tab w:val="right" w:pos="6842"/>
              </w:tabs>
              <w:rPr>
                <w:rFonts w:ascii="Arial" w:hAnsi="Arial"/>
                <w:sz w:val="24"/>
                <w:szCs w:val="24"/>
              </w:rPr>
            </w:pPr>
          </w:p>
        </w:tc>
        <w:tc>
          <w:tcPr>
            <w:tcW w:w="851" w:type="dxa"/>
          </w:tcPr>
          <w:p w14:paraId="384FE437"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6BF2E4A0"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Pr>
          <w:p w14:paraId="6039B560" w14:textId="77777777" w:rsidR="00A570F5" w:rsidRPr="00117F66" w:rsidRDefault="00A570F5" w:rsidP="00A570F5">
            <w:pPr>
              <w:tabs>
                <w:tab w:val="left" w:pos="1347"/>
                <w:tab w:val="left" w:pos="6117"/>
                <w:tab w:val="right" w:pos="6842"/>
              </w:tabs>
              <w:jc w:val="center"/>
              <w:rPr>
                <w:rFonts w:ascii="Arial" w:hAnsi="Arial"/>
                <w:sz w:val="24"/>
                <w:szCs w:val="24"/>
              </w:rPr>
            </w:pPr>
          </w:p>
        </w:tc>
      </w:tr>
      <w:tr w:rsidR="00A570F5" w:rsidRPr="00117F66" w14:paraId="04F8D66D" w14:textId="77777777" w:rsidTr="006C50EB">
        <w:tc>
          <w:tcPr>
            <w:tcW w:w="1418" w:type="dxa"/>
          </w:tcPr>
          <w:p w14:paraId="33A592FB"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5103" w:type="dxa"/>
            <w:vAlign w:val="center"/>
          </w:tcPr>
          <w:p w14:paraId="72046380" w14:textId="77777777" w:rsidR="00A570F5" w:rsidRDefault="00A570F5" w:rsidP="00A570F5">
            <w:pPr>
              <w:tabs>
                <w:tab w:val="left" w:pos="1347"/>
                <w:tab w:val="left" w:pos="6117"/>
                <w:tab w:val="right" w:pos="6842"/>
              </w:tabs>
              <w:rPr>
                <w:rFonts w:ascii="Arial" w:hAnsi="Arial"/>
                <w:b/>
                <w:sz w:val="24"/>
                <w:szCs w:val="24"/>
              </w:rPr>
            </w:pPr>
            <w:r w:rsidRPr="00117F66">
              <w:rPr>
                <w:rFonts w:ascii="Arial" w:hAnsi="Arial"/>
                <w:b/>
                <w:sz w:val="24"/>
                <w:szCs w:val="24"/>
              </w:rPr>
              <w:t>Returns on investments</w:t>
            </w:r>
          </w:p>
          <w:p w14:paraId="2D6A07CF" w14:textId="77777777" w:rsidR="00A570F5" w:rsidRPr="001D7BE4" w:rsidRDefault="00A570F5" w:rsidP="00A570F5">
            <w:pPr>
              <w:tabs>
                <w:tab w:val="left" w:pos="1347"/>
                <w:tab w:val="left" w:pos="6117"/>
                <w:tab w:val="right" w:pos="6842"/>
              </w:tabs>
              <w:rPr>
                <w:rFonts w:ascii="Arial" w:hAnsi="Arial"/>
                <w:b/>
                <w:sz w:val="24"/>
                <w:szCs w:val="24"/>
              </w:rPr>
            </w:pPr>
          </w:p>
        </w:tc>
        <w:tc>
          <w:tcPr>
            <w:tcW w:w="851" w:type="dxa"/>
          </w:tcPr>
          <w:p w14:paraId="57BA4FAA"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218F00D4"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Pr>
          <w:p w14:paraId="061F9737" w14:textId="77777777" w:rsidR="00A570F5" w:rsidRPr="00117F66" w:rsidRDefault="00A570F5" w:rsidP="00A570F5">
            <w:pPr>
              <w:tabs>
                <w:tab w:val="left" w:pos="1347"/>
                <w:tab w:val="left" w:pos="6117"/>
                <w:tab w:val="right" w:pos="6842"/>
              </w:tabs>
              <w:jc w:val="center"/>
              <w:rPr>
                <w:rFonts w:ascii="Arial" w:hAnsi="Arial"/>
                <w:sz w:val="24"/>
                <w:szCs w:val="24"/>
              </w:rPr>
            </w:pPr>
          </w:p>
        </w:tc>
      </w:tr>
      <w:tr w:rsidR="00A570F5" w:rsidRPr="00117F66" w14:paraId="34CEE44A" w14:textId="77777777" w:rsidTr="006C50EB">
        <w:trPr>
          <w:trHeight w:val="320"/>
        </w:trPr>
        <w:tc>
          <w:tcPr>
            <w:tcW w:w="1418" w:type="dxa"/>
          </w:tcPr>
          <w:p w14:paraId="5946C4F9"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39,722</w:t>
            </w:r>
          </w:p>
        </w:tc>
        <w:tc>
          <w:tcPr>
            <w:tcW w:w="5103" w:type="dxa"/>
          </w:tcPr>
          <w:p w14:paraId="0AFF7933" w14:textId="77777777" w:rsidR="00A570F5" w:rsidRPr="00117F66" w:rsidRDefault="00A570F5" w:rsidP="00A570F5">
            <w:pPr>
              <w:tabs>
                <w:tab w:val="left" w:pos="1347"/>
                <w:tab w:val="left" w:pos="6117"/>
                <w:tab w:val="right" w:pos="6842"/>
              </w:tabs>
              <w:rPr>
                <w:rFonts w:ascii="Arial" w:hAnsi="Arial"/>
                <w:sz w:val="24"/>
                <w:szCs w:val="24"/>
              </w:rPr>
            </w:pPr>
            <w:r w:rsidRPr="00117F66">
              <w:rPr>
                <w:rFonts w:ascii="Arial" w:hAnsi="Arial"/>
                <w:sz w:val="24"/>
                <w:szCs w:val="24"/>
              </w:rPr>
              <w:t xml:space="preserve">Investment income </w:t>
            </w:r>
          </w:p>
        </w:tc>
        <w:tc>
          <w:tcPr>
            <w:tcW w:w="851" w:type="dxa"/>
          </w:tcPr>
          <w:p w14:paraId="05D94CDB" w14:textId="77777777" w:rsidR="00A570F5" w:rsidRPr="00117F66" w:rsidRDefault="00A570F5" w:rsidP="00A570F5">
            <w:pPr>
              <w:tabs>
                <w:tab w:val="left" w:pos="1347"/>
                <w:tab w:val="left" w:pos="6117"/>
                <w:tab w:val="right" w:pos="6842"/>
              </w:tabs>
              <w:jc w:val="center"/>
              <w:rPr>
                <w:rFonts w:ascii="Arial" w:hAnsi="Arial"/>
                <w:sz w:val="24"/>
                <w:szCs w:val="24"/>
              </w:rPr>
            </w:pPr>
            <w:r>
              <w:rPr>
                <w:rFonts w:ascii="Arial" w:hAnsi="Arial"/>
                <w:sz w:val="24"/>
                <w:szCs w:val="24"/>
              </w:rPr>
              <w:t>9</w:t>
            </w:r>
          </w:p>
        </w:tc>
        <w:tc>
          <w:tcPr>
            <w:tcW w:w="1134" w:type="dxa"/>
          </w:tcPr>
          <w:p w14:paraId="7C66314A"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Pr>
          <w:p w14:paraId="777DEBE0" w14:textId="77777777" w:rsidR="00A570F5" w:rsidRPr="00117F66" w:rsidRDefault="00CF0CE3" w:rsidP="00A570F5">
            <w:pPr>
              <w:tabs>
                <w:tab w:val="left" w:pos="1347"/>
                <w:tab w:val="left" w:pos="6117"/>
                <w:tab w:val="right" w:pos="6842"/>
              </w:tabs>
              <w:jc w:val="right"/>
              <w:rPr>
                <w:rFonts w:ascii="Arial" w:hAnsi="Arial"/>
                <w:sz w:val="24"/>
                <w:szCs w:val="24"/>
              </w:rPr>
            </w:pPr>
            <w:r>
              <w:rPr>
                <w:rFonts w:ascii="Arial" w:hAnsi="Arial"/>
                <w:sz w:val="24"/>
                <w:szCs w:val="24"/>
              </w:rPr>
              <w:t>27,164</w:t>
            </w:r>
          </w:p>
        </w:tc>
      </w:tr>
      <w:tr w:rsidR="00A570F5" w:rsidRPr="00117F66" w14:paraId="398F3860" w14:textId="77777777" w:rsidTr="006C50EB">
        <w:tc>
          <w:tcPr>
            <w:tcW w:w="1418" w:type="dxa"/>
          </w:tcPr>
          <w:p w14:paraId="0018C4BA"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583,857</w:t>
            </w:r>
          </w:p>
        </w:tc>
        <w:tc>
          <w:tcPr>
            <w:tcW w:w="5103" w:type="dxa"/>
          </w:tcPr>
          <w:p w14:paraId="513FBEE1" w14:textId="77777777" w:rsidR="00A570F5" w:rsidRPr="00117F66" w:rsidRDefault="00A570F5" w:rsidP="00A570F5">
            <w:pPr>
              <w:tabs>
                <w:tab w:val="left" w:pos="1347"/>
                <w:tab w:val="left" w:pos="6117"/>
                <w:tab w:val="right" w:pos="6842"/>
              </w:tabs>
              <w:rPr>
                <w:rFonts w:ascii="Arial" w:hAnsi="Arial"/>
                <w:sz w:val="24"/>
                <w:szCs w:val="24"/>
              </w:rPr>
            </w:pPr>
            <w:r w:rsidRPr="00117F66">
              <w:rPr>
                <w:rFonts w:ascii="Arial" w:hAnsi="Arial"/>
                <w:sz w:val="24"/>
                <w:szCs w:val="24"/>
              </w:rPr>
              <w:t>Change in market value of investments</w:t>
            </w:r>
          </w:p>
        </w:tc>
        <w:tc>
          <w:tcPr>
            <w:tcW w:w="851" w:type="dxa"/>
          </w:tcPr>
          <w:p w14:paraId="158A9722" w14:textId="77777777" w:rsidR="00A570F5" w:rsidRPr="00117F66" w:rsidRDefault="00A570F5" w:rsidP="00A570F5">
            <w:pPr>
              <w:tabs>
                <w:tab w:val="left" w:pos="1347"/>
                <w:tab w:val="left" w:pos="6117"/>
                <w:tab w:val="right" w:pos="6842"/>
              </w:tabs>
              <w:jc w:val="center"/>
              <w:rPr>
                <w:rFonts w:ascii="Arial" w:hAnsi="Arial"/>
                <w:sz w:val="24"/>
                <w:szCs w:val="24"/>
              </w:rPr>
            </w:pPr>
            <w:r>
              <w:rPr>
                <w:rFonts w:ascii="Arial" w:hAnsi="Arial"/>
                <w:sz w:val="24"/>
                <w:szCs w:val="24"/>
              </w:rPr>
              <w:t>12</w:t>
            </w:r>
          </w:p>
        </w:tc>
        <w:tc>
          <w:tcPr>
            <w:tcW w:w="1134" w:type="dxa"/>
          </w:tcPr>
          <w:p w14:paraId="00D4A8DB"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Pr>
          <w:p w14:paraId="795E8131" w14:textId="77777777" w:rsidR="00A570F5" w:rsidRPr="00117F66" w:rsidRDefault="00C81FE9" w:rsidP="00A570F5">
            <w:pPr>
              <w:tabs>
                <w:tab w:val="left" w:pos="1347"/>
                <w:tab w:val="left" w:pos="6117"/>
                <w:tab w:val="right" w:pos="6842"/>
              </w:tabs>
              <w:jc w:val="right"/>
              <w:rPr>
                <w:rFonts w:ascii="Arial" w:hAnsi="Arial"/>
                <w:sz w:val="24"/>
                <w:szCs w:val="24"/>
              </w:rPr>
            </w:pPr>
            <w:r>
              <w:rPr>
                <w:rFonts w:ascii="Arial" w:hAnsi="Arial"/>
                <w:sz w:val="24"/>
                <w:szCs w:val="24"/>
              </w:rPr>
              <w:t>277,907</w:t>
            </w:r>
          </w:p>
        </w:tc>
      </w:tr>
      <w:tr w:rsidR="00A570F5" w:rsidRPr="00117F66" w14:paraId="2B94CBA1" w14:textId="77777777" w:rsidTr="006C50EB">
        <w:tc>
          <w:tcPr>
            <w:tcW w:w="1418" w:type="dxa"/>
            <w:tcBorders>
              <w:top w:val="single" w:sz="6" w:space="0" w:color="auto"/>
              <w:bottom w:val="double" w:sz="4" w:space="0" w:color="auto"/>
            </w:tcBorders>
          </w:tcPr>
          <w:p w14:paraId="46729EC1" w14:textId="77777777" w:rsidR="00A570F5" w:rsidRPr="00117F66" w:rsidRDefault="00A570F5" w:rsidP="00A570F5">
            <w:pPr>
              <w:tabs>
                <w:tab w:val="left" w:pos="1347"/>
                <w:tab w:val="left" w:pos="6117"/>
                <w:tab w:val="right" w:pos="6842"/>
              </w:tabs>
              <w:jc w:val="right"/>
              <w:rPr>
                <w:rFonts w:ascii="Arial" w:hAnsi="Arial"/>
                <w:b/>
                <w:sz w:val="24"/>
                <w:szCs w:val="24"/>
              </w:rPr>
            </w:pPr>
            <w:r>
              <w:rPr>
                <w:rFonts w:ascii="Arial" w:hAnsi="Arial"/>
                <w:b/>
                <w:sz w:val="24"/>
                <w:szCs w:val="24"/>
              </w:rPr>
              <w:t>623,579</w:t>
            </w:r>
          </w:p>
        </w:tc>
        <w:tc>
          <w:tcPr>
            <w:tcW w:w="5103" w:type="dxa"/>
          </w:tcPr>
          <w:p w14:paraId="364130D3" w14:textId="77777777" w:rsidR="00A570F5" w:rsidRPr="00117F66" w:rsidRDefault="00A570F5" w:rsidP="00A570F5">
            <w:pPr>
              <w:tabs>
                <w:tab w:val="left" w:pos="1347"/>
                <w:tab w:val="left" w:pos="6117"/>
                <w:tab w:val="right" w:pos="6842"/>
              </w:tabs>
              <w:rPr>
                <w:rFonts w:ascii="Arial" w:hAnsi="Arial"/>
                <w:b/>
                <w:sz w:val="24"/>
                <w:szCs w:val="24"/>
              </w:rPr>
            </w:pPr>
            <w:r w:rsidRPr="00117F66">
              <w:rPr>
                <w:rFonts w:ascii="Arial" w:hAnsi="Arial"/>
                <w:b/>
                <w:sz w:val="24"/>
                <w:szCs w:val="24"/>
              </w:rPr>
              <w:t>Net returns on investments</w:t>
            </w:r>
          </w:p>
        </w:tc>
        <w:tc>
          <w:tcPr>
            <w:tcW w:w="851" w:type="dxa"/>
          </w:tcPr>
          <w:p w14:paraId="7DFAD8E7" w14:textId="77777777" w:rsidR="00A570F5" w:rsidRPr="00117F66" w:rsidRDefault="00A570F5" w:rsidP="00A570F5">
            <w:pPr>
              <w:tabs>
                <w:tab w:val="left" w:pos="1347"/>
                <w:tab w:val="left" w:pos="6117"/>
                <w:tab w:val="right" w:pos="6842"/>
              </w:tabs>
              <w:jc w:val="center"/>
              <w:rPr>
                <w:rFonts w:ascii="Arial" w:hAnsi="Arial"/>
                <w:b/>
                <w:sz w:val="24"/>
                <w:szCs w:val="24"/>
              </w:rPr>
            </w:pPr>
          </w:p>
        </w:tc>
        <w:tc>
          <w:tcPr>
            <w:tcW w:w="1134" w:type="dxa"/>
          </w:tcPr>
          <w:p w14:paraId="1B601659" w14:textId="77777777" w:rsidR="00A570F5" w:rsidRPr="00117F66" w:rsidRDefault="00A570F5" w:rsidP="00A570F5">
            <w:pPr>
              <w:tabs>
                <w:tab w:val="left" w:pos="1347"/>
                <w:tab w:val="left" w:pos="6117"/>
                <w:tab w:val="right" w:pos="6842"/>
              </w:tabs>
              <w:jc w:val="center"/>
              <w:rPr>
                <w:rFonts w:ascii="Arial" w:hAnsi="Arial"/>
                <w:b/>
                <w:sz w:val="24"/>
                <w:szCs w:val="24"/>
              </w:rPr>
            </w:pPr>
          </w:p>
        </w:tc>
        <w:tc>
          <w:tcPr>
            <w:tcW w:w="1417" w:type="dxa"/>
            <w:tcBorders>
              <w:top w:val="single" w:sz="6" w:space="0" w:color="auto"/>
              <w:bottom w:val="double" w:sz="4" w:space="0" w:color="auto"/>
            </w:tcBorders>
          </w:tcPr>
          <w:p w14:paraId="504614B2" w14:textId="77777777" w:rsidR="00A570F5" w:rsidRPr="00117F66" w:rsidRDefault="00CF0CE3" w:rsidP="00A570F5">
            <w:pPr>
              <w:tabs>
                <w:tab w:val="left" w:pos="1347"/>
                <w:tab w:val="left" w:pos="6117"/>
                <w:tab w:val="right" w:pos="6842"/>
              </w:tabs>
              <w:jc w:val="right"/>
              <w:rPr>
                <w:rFonts w:ascii="Arial" w:hAnsi="Arial"/>
                <w:b/>
                <w:sz w:val="24"/>
                <w:szCs w:val="24"/>
              </w:rPr>
            </w:pPr>
            <w:r>
              <w:rPr>
                <w:rFonts w:ascii="Arial" w:hAnsi="Arial"/>
                <w:b/>
                <w:sz w:val="24"/>
                <w:szCs w:val="24"/>
              </w:rPr>
              <w:t>30</w:t>
            </w:r>
            <w:r w:rsidR="00C81FE9">
              <w:rPr>
                <w:rFonts w:ascii="Arial" w:hAnsi="Arial"/>
                <w:b/>
                <w:sz w:val="24"/>
                <w:szCs w:val="24"/>
              </w:rPr>
              <w:t>5,071</w:t>
            </w:r>
          </w:p>
        </w:tc>
      </w:tr>
      <w:tr w:rsidR="00A570F5" w:rsidRPr="00117F66" w14:paraId="77664B0C" w14:textId="77777777" w:rsidTr="006C50EB">
        <w:tc>
          <w:tcPr>
            <w:tcW w:w="1418" w:type="dxa"/>
            <w:tcBorders>
              <w:top w:val="single" w:sz="6" w:space="0" w:color="auto"/>
              <w:bottom w:val="single" w:sz="6" w:space="0" w:color="auto"/>
            </w:tcBorders>
          </w:tcPr>
          <w:p w14:paraId="0654A699" w14:textId="77777777" w:rsidR="00A570F5" w:rsidRPr="00117F66" w:rsidRDefault="00A570F5" w:rsidP="00A570F5">
            <w:pPr>
              <w:tabs>
                <w:tab w:val="left" w:pos="1347"/>
                <w:tab w:val="left" w:pos="6117"/>
                <w:tab w:val="right" w:pos="6842"/>
              </w:tabs>
              <w:jc w:val="right"/>
              <w:rPr>
                <w:rFonts w:ascii="Arial" w:hAnsi="Arial"/>
                <w:sz w:val="24"/>
                <w:szCs w:val="24"/>
              </w:rPr>
            </w:pPr>
          </w:p>
        </w:tc>
        <w:tc>
          <w:tcPr>
            <w:tcW w:w="5103" w:type="dxa"/>
          </w:tcPr>
          <w:p w14:paraId="7887FD84" w14:textId="77777777" w:rsidR="00A570F5" w:rsidRPr="00117F66" w:rsidRDefault="00A570F5" w:rsidP="00A570F5">
            <w:pPr>
              <w:tabs>
                <w:tab w:val="left" w:pos="1347"/>
                <w:tab w:val="left" w:pos="6117"/>
                <w:tab w:val="right" w:pos="6842"/>
              </w:tabs>
              <w:rPr>
                <w:rFonts w:ascii="Arial" w:hAnsi="Arial"/>
                <w:sz w:val="24"/>
                <w:szCs w:val="24"/>
              </w:rPr>
            </w:pPr>
          </w:p>
        </w:tc>
        <w:tc>
          <w:tcPr>
            <w:tcW w:w="851" w:type="dxa"/>
          </w:tcPr>
          <w:p w14:paraId="1415AB2A"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1E5427A0"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Borders>
              <w:top w:val="single" w:sz="6" w:space="0" w:color="auto"/>
              <w:bottom w:val="single" w:sz="6" w:space="0" w:color="auto"/>
            </w:tcBorders>
          </w:tcPr>
          <w:p w14:paraId="1D80F5E6" w14:textId="77777777" w:rsidR="00A570F5" w:rsidRPr="00117F66" w:rsidRDefault="00A570F5" w:rsidP="00A570F5">
            <w:pPr>
              <w:tabs>
                <w:tab w:val="left" w:pos="1347"/>
                <w:tab w:val="left" w:pos="6117"/>
                <w:tab w:val="right" w:pos="6842"/>
              </w:tabs>
              <w:jc w:val="right"/>
              <w:rPr>
                <w:rFonts w:ascii="Arial" w:hAnsi="Arial"/>
                <w:sz w:val="24"/>
                <w:szCs w:val="24"/>
              </w:rPr>
            </w:pPr>
          </w:p>
        </w:tc>
      </w:tr>
      <w:tr w:rsidR="00A570F5" w:rsidRPr="00117F66" w14:paraId="244D74D8" w14:textId="77777777" w:rsidTr="00FE5618">
        <w:trPr>
          <w:trHeight w:val="399"/>
        </w:trPr>
        <w:tc>
          <w:tcPr>
            <w:tcW w:w="1418" w:type="dxa"/>
            <w:tcBorders>
              <w:top w:val="single" w:sz="6" w:space="0" w:color="auto"/>
              <w:bottom w:val="single" w:sz="6" w:space="0" w:color="auto"/>
            </w:tcBorders>
            <w:vAlign w:val="center"/>
          </w:tcPr>
          <w:p w14:paraId="2A5A0B0A" w14:textId="77777777" w:rsidR="00A570F5" w:rsidRPr="00117F66" w:rsidRDefault="00A570F5" w:rsidP="00A570F5">
            <w:pPr>
              <w:tabs>
                <w:tab w:val="left" w:pos="1347"/>
                <w:tab w:val="left" w:pos="6117"/>
                <w:tab w:val="right" w:pos="6842"/>
              </w:tabs>
              <w:jc w:val="right"/>
              <w:rPr>
                <w:rFonts w:ascii="Arial" w:hAnsi="Arial"/>
                <w:b/>
                <w:sz w:val="24"/>
                <w:szCs w:val="24"/>
              </w:rPr>
            </w:pPr>
            <w:r>
              <w:rPr>
                <w:rFonts w:ascii="Arial" w:hAnsi="Arial"/>
                <w:b/>
                <w:sz w:val="24"/>
                <w:szCs w:val="24"/>
              </w:rPr>
              <w:t>626,433</w:t>
            </w:r>
          </w:p>
        </w:tc>
        <w:tc>
          <w:tcPr>
            <w:tcW w:w="5103" w:type="dxa"/>
          </w:tcPr>
          <w:p w14:paraId="5B6645E3" w14:textId="77777777" w:rsidR="00A570F5" w:rsidRPr="00117F66" w:rsidRDefault="00A570F5" w:rsidP="00A570F5">
            <w:pPr>
              <w:tabs>
                <w:tab w:val="left" w:pos="1347"/>
                <w:tab w:val="left" w:pos="6117"/>
                <w:tab w:val="right" w:pos="6842"/>
              </w:tabs>
              <w:rPr>
                <w:rFonts w:ascii="Arial" w:hAnsi="Arial"/>
                <w:b/>
                <w:sz w:val="24"/>
                <w:szCs w:val="24"/>
              </w:rPr>
            </w:pPr>
            <w:r w:rsidRPr="00117F66">
              <w:rPr>
                <w:rFonts w:ascii="Arial" w:hAnsi="Arial"/>
                <w:b/>
                <w:sz w:val="24"/>
                <w:szCs w:val="24"/>
              </w:rPr>
              <w:t>Net</w:t>
            </w:r>
            <w:r>
              <w:rPr>
                <w:rFonts w:ascii="Arial" w:hAnsi="Arial"/>
                <w:b/>
                <w:sz w:val="24"/>
                <w:szCs w:val="24"/>
              </w:rPr>
              <w:t xml:space="preserve"> increase </w:t>
            </w:r>
            <w:r w:rsidRPr="00117F66">
              <w:rPr>
                <w:rFonts w:ascii="Arial" w:hAnsi="Arial"/>
                <w:b/>
                <w:sz w:val="24"/>
                <w:szCs w:val="24"/>
              </w:rPr>
              <w:t xml:space="preserve">in the </w:t>
            </w:r>
            <w:r>
              <w:rPr>
                <w:rFonts w:ascii="Arial" w:hAnsi="Arial"/>
                <w:b/>
                <w:sz w:val="24"/>
                <w:szCs w:val="24"/>
              </w:rPr>
              <w:t>F</w:t>
            </w:r>
            <w:r w:rsidRPr="00117F66">
              <w:rPr>
                <w:rFonts w:ascii="Arial" w:hAnsi="Arial"/>
                <w:b/>
                <w:sz w:val="24"/>
                <w:szCs w:val="24"/>
              </w:rPr>
              <w:t>und during the year</w:t>
            </w:r>
          </w:p>
        </w:tc>
        <w:tc>
          <w:tcPr>
            <w:tcW w:w="851" w:type="dxa"/>
          </w:tcPr>
          <w:p w14:paraId="7D940BB3" w14:textId="77777777" w:rsidR="00A570F5" w:rsidRPr="00117F66" w:rsidRDefault="00A570F5" w:rsidP="00A570F5">
            <w:pPr>
              <w:tabs>
                <w:tab w:val="left" w:pos="1347"/>
                <w:tab w:val="left" w:pos="6117"/>
                <w:tab w:val="right" w:pos="6842"/>
              </w:tabs>
              <w:jc w:val="center"/>
              <w:rPr>
                <w:rFonts w:ascii="Arial" w:hAnsi="Arial"/>
                <w:b/>
                <w:sz w:val="24"/>
                <w:szCs w:val="24"/>
              </w:rPr>
            </w:pPr>
          </w:p>
        </w:tc>
        <w:tc>
          <w:tcPr>
            <w:tcW w:w="1134" w:type="dxa"/>
          </w:tcPr>
          <w:p w14:paraId="3391C3FF" w14:textId="77777777" w:rsidR="00A570F5" w:rsidRPr="00117F66" w:rsidRDefault="00A570F5" w:rsidP="00A570F5">
            <w:pPr>
              <w:tabs>
                <w:tab w:val="left" w:pos="1347"/>
                <w:tab w:val="left" w:pos="6117"/>
                <w:tab w:val="right" w:pos="6842"/>
              </w:tabs>
              <w:jc w:val="center"/>
              <w:rPr>
                <w:rFonts w:ascii="Arial" w:hAnsi="Arial"/>
                <w:b/>
                <w:sz w:val="24"/>
                <w:szCs w:val="24"/>
              </w:rPr>
            </w:pPr>
          </w:p>
        </w:tc>
        <w:tc>
          <w:tcPr>
            <w:tcW w:w="1417" w:type="dxa"/>
            <w:tcBorders>
              <w:top w:val="single" w:sz="6" w:space="0" w:color="auto"/>
              <w:bottom w:val="single" w:sz="6" w:space="0" w:color="auto"/>
            </w:tcBorders>
            <w:vAlign w:val="center"/>
          </w:tcPr>
          <w:p w14:paraId="7A18CBC0" w14:textId="77777777" w:rsidR="00A570F5" w:rsidRPr="00117F66" w:rsidRDefault="00C81FE9" w:rsidP="00A570F5">
            <w:pPr>
              <w:tabs>
                <w:tab w:val="left" w:pos="1347"/>
                <w:tab w:val="left" w:pos="6117"/>
                <w:tab w:val="right" w:pos="6842"/>
              </w:tabs>
              <w:jc w:val="right"/>
              <w:rPr>
                <w:rFonts w:ascii="Arial" w:hAnsi="Arial"/>
                <w:b/>
                <w:sz w:val="24"/>
                <w:szCs w:val="24"/>
              </w:rPr>
            </w:pPr>
            <w:r>
              <w:rPr>
                <w:rFonts w:ascii="Arial" w:hAnsi="Arial"/>
                <w:b/>
                <w:sz w:val="24"/>
                <w:szCs w:val="24"/>
              </w:rPr>
              <w:t>309,777</w:t>
            </w:r>
          </w:p>
        </w:tc>
      </w:tr>
      <w:tr w:rsidR="00A570F5" w:rsidRPr="00117F66" w14:paraId="57C1E2DD" w14:textId="77777777" w:rsidTr="006C50EB">
        <w:tc>
          <w:tcPr>
            <w:tcW w:w="1418" w:type="dxa"/>
          </w:tcPr>
          <w:p w14:paraId="4A88521E"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5103" w:type="dxa"/>
          </w:tcPr>
          <w:p w14:paraId="6AC325F5" w14:textId="77777777" w:rsidR="00A570F5" w:rsidRPr="00117F66" w:rsidRDefault="00A570F5" w:rsidP="00A570F5">
            <w:pPr>
              <w:tabs>
                <w:tab w:val="left" w:pos="1347"/>
                <w:tab w:val="left" w:pos="6117"/>
                <w:tab w:val="right" w:pos="6842"/>
              </w:tabs>
              <w:rPr>
                <w:rFonts w:ascii="Arial" w:hAnsi="Arial"/>
                <w:sz w:val="24"/>
                <w:szCs w:val="24"/>
              </w:rPr>
            </w:pPr>
          </w:p>
        </w:tc>
        <w:tc>
          <w:tcPr>
            <w:tcW w:w="851" w:type="dxa"/>
          </w:tcPr>
          <w:p w14:paraId="5B9418C5"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5B872591"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Pr>
          <w:p w14:paraId="6AB90A02" w14:textId="77777777" w:rsidR="00A570F5" w:rsidRPr="00117F66" w:rsidRDefault="00A570F5" w:rsidP="00A570F5">
            <w:pPr>
              <w:tabs>
                <w:tab w:val="left" w:pos="1347"/>
                <w:tab w:val="left" w:pos="6117"/>
                <w:tab w:val="right" w:pos="6842"/>
              </w:tabs>
              <w:jc w:val="center"/>
              <w:rPr>
                <w:rFonts w:ascii="Arial" w:hAnsi="Arial"/>
                <w:sz w:val="24"/>
                <w:szCs w:val="24"/>
              </w:rPr>
            </w:pPr>
          </w:p>
        </w:tc>
      </w:tr>
      <w:tr w:rsidR="00A570F5" w:rsidRPr="00117F66" w14:paraId="1FC44E83" w14:textId="77777777" w:rsidTr="006C50EB">
        <w:tc>
          <w:tcPr>
            <w:tcW w:w="1418" w:type="dxa"/>
          </w:tcPr>
          <w:p w14:paraId="442926F4"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1,988,022</w:t>
            </w:r>
          </w:p>
        </w:tc>
        <w:tc>
          <w:tcPr>
            <w:tcW w:w="5103" w:type="dxa"/>
          </w:tcPr>
          <w:p w14:paraId="79C84357" w14:textId="77777777" w:rsidR="00A570F5" w:rsidRPr="00117F66" w:rsidRDefault="00A570F5" w:rsidP="00A570F5">
            <w:pPr>
              <w:tabs>
                <w:tab w:val="left" w:pos="1347"/>
                <w:tab w:val="left" w:pos="6117"/>
                <w:tab w:val="right" w:pos="6842"/>
              </w:tabs>
              <w:rPr>
                <w:rFonts w:ascii="Arial" w:hAnsi="Arial"/>
                <w:sz w:val="24"/>
                <w:szCs w:val="24"/>
              </w:rPr>
            </w:pPr>
            <w:r w:rsidRPr="00117F66">
              <w:rPr>
                <w:rFonts w:ascii="Arial" w:hAnsi="Arial"/>
                <w:sz w:val="24"/>
                <w:szCs w:val="24"/>
              </w:rPr>
              <w:t xml:space="preserve">Opening Net Assets of the Fund                            </w:t>
            </w:r>
          </w:p>
        </w:tc>
        <w:tc>
          <w:tcPr>
            <w:tcW w:w="851" w:type="dxa"/>
          </w:tcPr>
          <w:p w14:paraId="12CC659B"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4662AEAB"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Pr>
          <w:p w14:paraId="52D3BB46" w14:textId="77777777" w:rsidR="00A570F5" w:rsidRPr="00117F66" w:rsidRDefault="00CF0CE3" w:rsidP="00A570F5">
            <w:pPr>
              <w:tabs>
                <w:tab w:val="left" w:pos="1347"/>
                <w:tab w:val="left" w:pos="6117"/>
                <w:tab w:val="right" w:pos="6842"/>
              </w:tabs>
              <w:jc w:val="right"/>
              <w:rPr>
                <w:rFonts w:ascii="Arial" w:hAnsi="Arial"/>
                <w:sz w:val="24"/>
                <w:szCs w:val="24"/>
              </w:rPr>
            </w:pPr>
            <w:r>
              <w:rPr>
                <w:rFonts w:ascii="Arial" w:hAnsi="Arial"/>
                <w:sz w:val="24"/>
                <w:szCs w:val="24"/>
              </w:rPr>
              <w:t>2,614,455</w:t>
            </w:r>
          </w:p>
        </w:tc>
      </w:tr>
      <w:tr w:rsidR="00A570F5" w:rsidRPr="002E24C5" w14:paraId="1FD985FA" w14:textId="77777777" w:rsidTr="006C50EB">
        <w:tc>
          <w:tcPr>
            <w:tcW w:w="1418" w:type="dxa"/>
          </w:tcPr>
          <w:p w14:paraId="4904C883" w14:textId="77777777" w:rsidR="00A570F5" w:rsidRPr="00220515" w:rsidRDefault="00A570F5" w:rsidP="00A570F5">
            <w:pPr>
              <w:tabs>
                <w:tab w:val="left" w:pos="1347"/>
                <w:tab w:val="left" w:pos="6117"/>
                <w:tab w:val="right" w:pos="6842"/>
              </w:tabs>
              <w:jc w:val="right"/>
              <w:rPr>
                <w:rFonts w:ascii="Arial" w:hAnsi="Arial"/>
                <w:b/>
                <w:sz w:val="24"/>
                <w:szCs w:val="24"/>
              </w:rPr>
            </w:pPr>
            <w:r>
              <w:rPr>
                <w:rFonts w:ascii="Arial" w:hAnsi="Arial"/>
                <w:b/>
                <w:sz w:val="24"/>
                <w:szCs w:val="24"/>
              </w:rPr>
              <w:t>2,614,455</w:t>
            </w:r>
          </w:p>
        </w:tc>
        <w:tc>
          <w:tcPr>
            <w:tcW w:w="5103" w:type="dxa"/>
          </w:tcPr>
          <w:p w14:paraId="578D2A05" w14:textId="77777777" w:rsidR="00A570F5" w:rsidRPr="00117F66" w:rsidRDefault="00A570F5" w:rsidP="00A570F5">
            <w:pPr>
              <w:tabs>
                <w:tab w:val="left" w:pos="1347"/>
                <w:tab w:val="left" w:pos="6117"/>
                <w:tab w:val="right" w:pos="6842"/>
              </w:tabs>
              <w:rPr>
                <w:rFonts w:ascii="Arial" w:hAnsi="Arial"/>
                <w:sz w:val="24"/>
                <w:szCs w:val="24"/>
              </w:rPr>
            </w:pPr>
            <w:r w:rsidRPr="00117F66">
              <w:rPr>
                <w:rFonts w:ascii="Arial" w:hAnsi="Arial"/>
                <w:sz w:val="24"/>
                <w:szCs w:val="24"/>
              </w:rPr>
              <w:t>Closing Net Assets of  the Fund</w:t>
            </w:r>
          </w:p>
        </w:tc>
        <w:tc>
          <w:tcPr>
            <w:tcW w:w="851" w:type="dxa"/>
          </w:tcPr>
          <w:p w14:paraId="5D91F940"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4413FA9F"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Pr>
          <w:p w14:paraId="4D826E97" w14:textId="77777777" w:rsidR="00A570F5" w:rsidRPr="00220515" w:rsidRDefault="00CF0CE3" w:rsidP="00A570F5">
            <w:pPr>
              <w:tabs>
                <w:tab w:val="left" w:pos="1347"/>
                <w:tab w:val="left" w:pos="6117"/>
                <w:tab w:val="right" w:pos="6842"/>
              </w:tabs>
              <w:jc w:val="right"/>
              <w:rPr>
                <w:rFonts w:ascii="Arial" w:hAnsi="Arial"/>
                <w:b/>
                <w:sz w:val="24"/>
                <w:szCs w:val="24"/>
              </w:rPr>
            </w:pPr>
            <w:r>
              <w:rPr>
                <w:rFonts w:ascii="Arial" w:hAnsi="Arial"/>
                <w:b/>
                <w:sz w:val="24"/>
                <w:szCs w:val="24"/>
              </w:rPr>
              <w:t>2,</w:t>
            </w:r>
            <w:r w:rsidR="00C81FE9">
              <w:rPr>
                <w:rFonts w:ascii="Arial" w:hAnsi="Arial"/>
                <w:b/>
                <w:sz w:val="24"/>
                <w:szCs w:val="24"/>
              </w:rPr>
              <w:t>924,232</w:t>
            </w:r>
          </w:p>
        </w:tc>
      </w:tr>
    </w:tbl>
    <w:p w14:paraId="76F5899B" w14:textId="77777777" w:rsidR="002E24C5" w:rsidRPr="002E24C5" w:rsidRDefault="002E24C5" w:rsidP="005E4F16">
      <w:pPr>
        <w:rPr>
          <w:rFonts w:ascii="Arial" w:hAnsi="Arial"/>
          <w:sz w:val="24"/>
          <w:szCs w:val="24"/>
        </w:rPr>
      </w:pPr>
    </w:p>
    <w:p w14:paraId="44ACEB94" w14:textId="77777777" w:rsidR="002E24C5" w:rsidRDefault="002E24C5" w:rsidP="005E4F16">
      <w:pPr>
        <w:rPr>
          <w:rFonts w:ascii="Arial" w:hAnsi="Arial"/>
          <w:sz w:val="24"/>
          <w:szCs w:val="24"/>
        </w:rPr>
      </w:pPr>
    </w:p>
    <w:p w14:paraId="38D678BD" w14:textId="77777777" w:rsidR="00EF77AA" w:rsidRDefault="00997AE0" w:rsidP="005E4F16">
      <w:pPr>
        <w:rPr>
          <w:rFonts w:ascii="Arial" w:hAnsi="Arial"/>
          <w:sz w:val="24"/>
          <w:szCs w:val="24"/>
        </w:rPr>
      </w:pPr>
      <w:r>
        <w:rPr>
          <w:rFonts w:ascii="Arial" w:hAnsi="Arial"/>
          <w:sz w:val="24"/>
          <w:szCs w:val="24"/>
        </w:rPr>
        <w:br w:type="page"/>
      </w:r>
    </w:p>
    <w:p w14:paraId="16E2BAB0" w14:textId="77777777" w:rsidR="00EF77AA" w:rsidRDefault="00EF77AA" w:rsidP="005E4F16">
      <w:pPr>
        <w:rPr>
          <w:rFonts w:ascii="Arial" w:hAnsi="Arial"/>
          <w:sz w:val="24"/>
          <w:szCs w:val="24"/>
        </w:rPr>
      </w:pPr>
    </w:p>
    <w:p w14:paraId="1320A51E" w14:textId="77777777" w:rsidR="002E24C5" w:rsidRPr="002E24C5" w:rsidRDefault="002E24C5" w:rsidP="005E4F16">
      <w:pPr>
        <w:pStyle w:val="Heading4"/>
        <w:jc w:val="center"/>
        <w:rPr>
          <w:sz w:val="24"/>
          <w:szCs w:val="24"/>
          <w:u w:val="single"/>
        </w:rPr>
      </w:pPr>
      <w:r w:rsidRPr="002E24C5">
        <w:rPr>
          <w:sz w:val="24"/>
          <w:szCs w:val="24"/>
          <w:u w:val="single"/>
        </w:rPr>
        <w:t>Net Assets Statement</w:t>
      </w:r>
      <w:r w:rsidR="005B582A">
        <w:rPr>
          <w:sz w:val="24"/>
          <w:szCs w:val="24"/>
          <w:u w:val="single"/>
        </w:rPr>
        <w:t xml:space="preserve"> As A</w:t>
      </w:r>
      <w:r w:rsidR="008B43D2">
        <w:rPr>
          <w:sz w:val="24"/>
          <w:szCs w:val="24"/>
          <w:u w:val="single"/>
        </w:rPr>
        <w:t>t</w:t>
      </w:r>
      <w:r w:rsidR="005B582A">
        <w:rPr>
          <w:sz w:val="24"/>
          <w:szCs w:val="24"/>
          <w:u w:val="single"/>
        </w:rPr>
        <w:t xml:space="preserve"> 31</w:t>
      </w:r>
      <w:r w:rsidR="005B582A" w:rsidRPr="005B582A">
        <w:rPr>
          <w:sz w:val="24"/>
          <w:szCs w:val="24"/>
          <w:u w:val="single"/>
          <w:vertAlign w:val="superscript"/>
        </w:rPr>
        <w:t>st</w:t>
      </w:r>
      <w:r w:rsidR="005B582A">
        <w:rPr>
          <w:sz w:val="24"/>
          <w:szCs w:val="24"/>
          <w:u w:val="single"/>
        </w:rPr>
        <w:t xml:space="preserve"> March</w:t>
      </w:r>
    </w:p>
    <w:p w14:paraId="666B25B2" w14:textId="77777777" w:rsidR="002E24C5" w:rsidRPr="002E24C5" w:rsidRDefault="002E24C5" w:rsidP="005E4F16">
      <w:pPr>
        <w:pStyle w:val="Heading4"/>
        <w:jc w:val="center"/>
        <w:rPr>
          <w:sz w:val="24"/>
          <w:szCs w:val="24"/>
          <w:u w:val="single"/>
        </w:rPr>
      </w:pPr>
    </w:p>
    <w:tbl>
      <w:tblPr>
        <w:tblW w:w="0" w:type="auto"/>
        <w:tblInd w:w="392" w:type="dxa"/>
        <w:tblLayout w:type="fixed"/>
        <w:tblLook w:val="0000" w:firstRow="0" w:lastRow="0" w:firstColumn="0" w:lastColumn="0" w:noHBand="0" w:noVBand="0"/>
      </w:tblPr>
      <w:tblGrid>
        <w:gridCol w:w="1984"/>
        <w:gridCol w:w="5103"/>
        <w:gridCol w:w="1701"/>
      </w:tblGrid>
      <w:tr w:rsidR="002E24C5" w:rsidRPr="002E24C5" w14:paraId="4281E496" w14:textId="77777777" w:rsidTr="00FA02A6">
        <w:tc>
          <w:tcPr>
            <w:tcW w:w="1984" w:type="dxa"/>
          </w:tcPr>
          <w:p w14:paraId="3792078A" w14:textId="77777777" w:rsidR="002E24C5" w:rsidRPr="002E24C5" w:rsidRDefault="002E24C5" w:rsidP="005E4F16">
            <w:pPr>
              <w:tabs>
                <w:tab w:val="left" w:pos="1347"/>
                <w:tab w:val="left" w:pos="6117"/>
                <w:tab w:val="right" w:pos="6842"/>
              </w:tabs>
              <w:rPr>
                <w:rFonts w:ascii="Arial" w:hAnsi="Arial"/>
                <w:color w:val="000000"/>
                <w:sz w:val="24"/>
                <w:szCs w:val="24"/>
              </w:rPr>
            </w:pPr>
          </w:p>
        </w:tc>
        <w:tc>
          <w:tcPr>
            <w:tcW w:w="5103" w:type="dxa"/>
          </w:tcPr>
          <w:p w14:paraId="783805DB" w14:textId="77777777" w:rsidR="002E24C5" w:rsidRPr="002E24C5" w:rsidRDefault="002E24C5" w:rsidP="005E4F16">
            <w:pPr>
              <w:tabs>
                <w:tab w:val="left" w:pos="1347"/>
                <w:tab w:val="left" w:pos="6117"/>
                <w:tab w:val="right" w:pos="6842"/>
              </w:tabs>
              <w:rPr>
                <w:rFonts w:ascii="Arial" w:hAnsi="Arial"/>
                <w:color w:val="000000"/>
                <w:sz w:val="24"/>
                <w:szCs w:val="24"/>
              </w:rPr>
            </w:pPr>
          </w:p>
        </w:tc>
        <w:tc>
          <w:tcPr>
            <w:tcW w:w="1701" w:type="dxa"/>
          </w:tcPr>
          <w:p w14:paraId="1845A2C3" w14:textId="77777777" w:rsidR="002E24C5" w:rsidRPr="002E24C5" w:rsidRDefault="002E24C5" w:rsidP="005E4F16">
            <w:pPr>
              <w:tabs>
                <w:tab w:val="left" w:pos="1347"/>
                <w:tab w:val="left" w:pos="6117"/>
                <w:tab w:val="right" w:pos="6842"/>
              </w:tabs>
              <w:rPr>
                <w:rFonts w:ascii="Arial" w:hAnsi="Arial"/>
                <w:color w:val="000000"/>
                <w:sz w:val="24"/>
                <w:szCs w:val="24"/>
              </w:rPr>
            </w:pPr>
          </w:p>
        </w:tc>
      </w:tr>
      <w:tr w:rsidR="001012FB" w:rsidRPr="002E24C5" w14:paraId="6C78546D" w14:textId="77777777" w:rsidTr="00FA02A6">
        <w:tc>
          <w:tcPr>
            <w:tcW w:w="1984" w:type="dxa"/>
          </w:tcPr>
          <w:p w14:paraId="0C2B2EDA" w14:textId="77777777" w:rsidR="001012FB" w:rsidRDefault="001012FB" w:rsidP="005E4F16">
            <w:pPr>
              <w:tabs>
                <w:tab w:val="left" w:pos="1347"/>
                <w:tab w:val="left" w:pos="6117"/>
                <w:tab w:val="right" w:pos="6842"/>
              </w:tabs>
              <w:jc w:val="center"/>
              <w:rPr>
                <w:rFonts w:ascii="Arial" w:hAnsi="Arial"/>
                <w:b/>
                <w:color w:val="000000"/>
                <w:sz w:val="24"/>
                <w:szCs w:val="24"/>
              </w:rPr>
            </w:pPr>
            <w:r w:rsidRPr="002E24C5">
              <w:rPr>
                <w:rFonts w:ascii="Arial" w:hAnsi="Arial"/>
                <w:b/>
                <w:color w:val="000000"/>
                <w:sz w:val="24"/>
                <w:szCs w:val="24"/>
              </w:rPr>
              <w:t>31st March</w:t>
            </w:r>
          </w:p>
          <w:p w14:paraId="6FB12B4C" w14:textId="77777777" w:rsidR="00FA02A6" w:rsidRPr="002E24C5" w:rsidRDefault="00FA02A6" w:rsidP="00A570F5">
            <w:pPr>
              <w:tabs>
                <w:tab w:val="left" w:pos="1347"/>
                <w:tab w:val="left" w:pos="6117"/>
                <w:tab w:val="right" w:pos="6842"/>
              </w:tabs>
              <w:jc w:val="center"/>
              <w:rPr>
                <w:rFonts w:ascii="Arial" w:hAnsi="Arial"/>
                <w:b/>
                <w:color w:val="000000"/>
                <w:sz w:val="24"/>
                <w:szCs w:val="24"/>
              </w:rPr>
            </w:pPr>
            <w:r>
              <w:rPr>
                <w:rFonts w:ascii="Arial" w:hAnsi="Arial"/>
                <w:b/>
                <w:color w:val="000000"/>
                <w:sz w:val="24"/>
                <w:szCs w:val="24"/>
              </w:rPr>
              <w:t>20</w:t>
            </w:r>
            <w:r w:rsidR="00C0412E">
              <w:rPr>
                <w:rFonts w:ascii="Arial" w:hAnsi="Arial"/>
                <w:b/>
                <w:color w:val="000000"/>
                <w:sz w:val="24"/>
                <w:szCs w:val="24"/>
              </w:rPr>
              <w:t>2</w:t>
            </w:r>
            <w:r w:rsidR="00A570F5">
              <w:rPr>
                <w:rFonts w:ascii="Arial" w:hAnsi="Arial"/>
                <w:b/>
                <w:color w:val="000000"/>
                <w:sz w:val="24"/>
                <w:szCs w:val="24"/>
              </w:rPr>
              <w:t>1</w:t>
            </w:r>
          </w:p>
        </w:tc>
        <w:tc>
          <w:tcPr>
            <w:tcW w:w="5103" w:type="dxa"/>
          </w:tcPr>
          <w:p w14:paraId="7AD6F519" w14:textId="77777777" w:rsidR="001012FB" w:rsidRPr="002E24C5" w:rsidRDefault="001012FB" w:rsidP="005E4F16">
            <w:pPr>
              <w:tabs>
                <w:tab w:val="left" w:pos="1347"/>
                <w:tab w:val="left" w:pos="6117"/>
                <w:tab w:val="right" w:pos="6842"/>
              </w:tabs>
              <w:jc w:val="center"/>
              <w:rPr>
                <w:rFonts w:ascii="Arial" w:hAnsi="Arial"/>
                <w:b/>
                <w:color w:val="000000"/>
                <w:sz w:val="24"/>
                <w:szCs w:val="24"/>
              </w:rPr>
            </w:pPr>
          </w:p>
        </w:tc>
        <w:tc>
          <w:tcPr>
            <w:tcW w:w="1701" w:type="dxa"/>
          </w:tcPr>
          <w:p w14:paraId="2385AEE7" w14:textId="77777777" w:rsidR="001012FB" w:rsidRDefault="001012FB" w:rsidP="005E4F16">
            <w:pPr>
              <w:tabs>
                <w:tab w:val="left" w:pos="1347"/>
                <w:tab w:val="left" w:pos="6117"/>
                <w:tab w:val="right" w:pos="6842"/>
              </w:tabs>
              <w:jc w:val="center"/>
              <w:rPr>
                <w:rFonts w:ascii="Arial" w:hAnsi="Arial"/>
                <w:b/>
                <w:color w:val="000000"/>
                <w:sz w:val="24"/>
                <w:szCs w:val="24"/>
              </w:rPr>
            </w:pPr>
            <w:r w:rsidRPr="002E24C5">
              <w:rPr>
                <w:rFonts w:ascii="Arial" w:hAnsi="Arial"/>
                <w:b/>
                <w:color w:val="000000"/>
                <w:sz w:val="24"/>
                <w:szCs w:val="24"/>
              </w:rPr>
              <w:t>31st March</w:t>
            </w:r>
          </w:p>
          <w:p w14:paraId="5A93A045" w14:textId="77777777" w:rsidR="00FA02A6" w:rsidRPr="002E24C5" w:rsidRDefault="00FA02A6" w:rsidP="00A570F5">
            <w:pPr>
              <w:tabs>
                <w:tab w:val="left" w:pos="1347"/>
                <w:tab w:val="left" w:pos="6117"/>
                <w:tab w:val="right" w:pos="6842"/>
              </w:tabs>
              <w:jc w:val="center"/>
              <w:rPr>
                <w:rFonts w:ascii="Arial" w:hAnsi="Arial"/>
                <w:b/>
                <w:color w:val="000000"/>
                <w:sz w:val="24"/>
                <w:szCs w:val="24"/>
              </w:rPr>
            </w:pPr>
            <w:r>
              <w:rPr>
                <w:rFonts w:ascii="Arial" w:hAnsi="Arial"/>
                <w:b/>
                <w:color w:val="000000"/>
                <w:sz w:val="24"/>
                <w:szCs w:val="24"/>
              </w:rPr>
              <w:t>20</w:t>
            </w:r>
            <w:r w:rsidR="00E3543C">
              <w:rPr>
                <w:rFonts w:ascii="Arial" w:hAnsi="Arial"/>
                <w:b/>
                <w:color w:val="000000"/>
                <w:sz w:val="24"/>
                <w:szCs w:val="24"/>
              </w:rPr>
              <w:t>2</w:t>
            </w:r>
            <w:r w:rsidR="00A570F5">
              <w:rPr>
                <w:rFonts w:ascii="Arial" w:hAnsi="Arial"/>
                <w:b/>
                <w:color w:val="000000"/>
                <w:sz w:val="24"/>
                <w:szCs w:val="24"/>
              </w:rPr>
              <w:t>2</w:t>
            </w:r>
          </w:p>
        </w:tc>
      </w:tr>
      <w:tr w:rsidR="001012FB" w:rsidRPr="002E24C5" w14:paraId="56C456FB" w14:textId="77777777" w:rsidTr="00FA02A6">
        <w:tc>
          <w:tcPr>
            <w:tcW w:w="1984" w:type="dxa"/>
          </w:tcPr>
          <w:p w14:paraId="5F4BBFE0" w14:textId="77777777" w:rsidR="001012FB" w:rsidRPr="002E24C5" w:rsidRDefault="001012FB" w:rsidP="004933AC">
            <w:pPr>
              <w:tabs>
                <w:tab w:val="left" w:pos="1347"/>
                <w:tab w:val="left" w:pos="6117"/>
                <w:tab w:val="right" w:pos="6842"/>
              </w:tabs>
              <w:jc w:val="center"/>
              <w:rPr>
                <w:rFonts w:ascii="Arial" w:hAnsi="Arial"/>
                <w:b/>
                <w:color w:val="000000"/>
                <w:sz w:val="24"/>
                <w:szCs w:val="24"/>
              </w:rPr>
            </w:pPr>
            <w:r w:rsidRPr="002E24C5">
              <w:rPr>
                <w:rFonts w:ascii="Arial" w:hAnsi="Arial"/>
                <w:b/>
                <w:color w:val="000000"/>
                <w:sz w:val="24"/>
                <w:szCs w:val="24"/>
              </w:rPr>
              <w:t>£’000</w:t>
            </w:r>
          </w:p>
        </w:tc>
        <w:tc>
          <w:tcPr>
            <w:tcW w:w="5103" w:type="dxa"/>
          </w:tcPr>
          <w:p w14:paraId="780CCBF7" w14:textId="77777777" w:rsidR="001012FB" w:rsidRPr="002E24C5" w:rsidRDefault="001012FB" w:rsidP="005E4F16">
            <w:pPr>
              <w:tabs>
                <w:tab w:val="left" w:pos="1347"/>
                <w:tab w:val="left" w:pos="6117"/>
                <w:tab w:val="right" w:pos="6842"/>
              </w:tabs>
              <w:jc w:val="center"/>
              <w:rPr>
                <w:rFonts w:ascii="Arial" w:hAnsi="Arial"/>
                <w:b/>
                <w:color w:val="000000"/>
                <w:sz w:val="24"/>
                <w:szCs w:val="24"/>
              </w:rPr>
            </w:pPr>
          </w:p>
          <w:p w14:paraId="1DF9A989" w14:textId="77777777" w:rsidR="000B015E" w:rsidRDefault="000B015E" w:rsidP="00FA02A6">
            <w:pPr>
              <w:tabs>
                <w:tab w:val="left" w:pos="1347"/>
                <w:tab w:val="left" w:pos="6117"/>
                <w:tab w:val="right" w:pos="6842"/>
              </w:tabs>
              <w:jc w:val="right"/>
              <w:rPr>
                <w:rFonts w:ascii="Arial" w:hAnsi="Arial"/>
                <w:b/>
                <w:color w:val="000000"/>
                <w:sz w:val="24"/>
                <w:szCs w:val="24"/>
              </w:rPr>
            </w:pPr>
          </w:p>
          <w:p w14:paraId="0DE9A857" w14:textId="77777777" w:rsidR="001012FB" w:rsidRPr="002E24C5" w:rsidRDefault="001012FB" w:rsidP="00FA02A6">
            <w:pPr>
              <w:tabs>
                <w:tab w:val="left" w:pos="1347"/>
                <w:tab w:val="left" w:pos="6117"/>
                <w:tab w:val="right" w:pos="6842"/>
              </w:tabs>
              <w:jc w:val="right"/>
              <w:rPr>
                <w:rFonts w:ascii="Arial" w:hAnsi="Arial"/>
                <w:b/>
                <w:color w:val="000000"/>
                <w:sz w:val="24"/>
                <w:szCs w:val="24"/>
              </w:rPr>
            </w:pPr>
          </w:p>
        </w:tc>
        <w:tc>
          <w:tcPr>
            <w:tcW w:w="1701" w:type="dxa"/>
          </w:tcPr>
          <w:p w14:paraId="57EBD497" w14:textId="77777777" w:rsidR="00FA02A6" w:rsidRDefault="000B015E" w:rsidP="005E4F16">
            <w:pPr>
              <w:tabs>
                <w:tab w:val="left" w:pos="1347"/>
                <w:tab w:val="left" w:pos="6117"/>
                <w:tab w:val="right" w:pos="6842"/>
              </w:tabs>
              <w:jc w:val="center"/>
              <w:rPr>
                <w:rFonts w:ascii="Arial" w:hAnsi="Arial"/>
                <w:b/>
                <w:color w:val="000000"/>
                <w:sz w:val="24"/>
                <w:szCs w:val="24"/>
              </w:rPr>
            </w:pPr>
            <w:r>
              <w:rPr>
                <w:rFonts w:ascii="Arial" w:hAnsi="Arial"/>
                <w:b/>
                <w:color w:val="000000"/>
                <w:sz w:val="24"/>
                <w:szCs w:val="24"/>
              </w:rPr>
              <w:t>£’000</w:t>
            </w:r>
          </w:p>
          <w:p w14:paraId="0D478D89" w14:textId="77777777" w:rsidR="000B015E" w:rsidRDefault="000B015E" w:rsidP="005E4F16">
            <w:pPr>
              <w:tabs>
                <w:tab w:val="left" w:pos="1347"/>
                <w:tab w:val="left" w:pos="6117"/>
                <w:tab w:val="right" w:pos="6842"/>
              </w:tabs>
              <w:jc w:val="center"/>
              <w:rPr>
                <w:rFonts w:ascii="Arial" w:hAnsi="Arial"/>
                <w:b/>
                <w:color w:val="000000"/>
                <w:sz w:val="24"/>
                <w:szCs w:val="24"/>
              </w:rPr>
            </w:pPr>
          </w:p>
          <w:p w14:paraId="0D0D6ABC" w14:textId="77777777" w:rsidR="001012FB" w:rsidRPr="002E24C5" w:rsidRDefault="001012FB" w:rsidP="005E4F16">
            <w:pPr>
              <w:tabs>
                <w:tab w:val="left" w:pos="1347"/>
                <w:tab w:val="left" w:pos="6117"/>
                <w:tab w:val="right" w:pos="6842"/>
              </w:tabs>
              <w:jc w:val="center"/>
              <w:rPr>
                <w:rFonts w:ascii="Arial" w:hAnsi="Arial"/>
                <w:b/>
                <w:color w:val="000000"/>
                <w:sz w:val="24"/>
                <w:szCs w:val="24"/>
              </w:rPr>
            </w:pPr>
          </w:p>
        </w:tc>
      </w:tr>
      <w:tr w:rsidR="001012FB" w:rsidRPr="002E24C5" w14:paraId="6A063EDB" w14:textId="77777777" w:rsidTr="00FA02A6">
        <w:tc>
          <w:tcPr>
            <w:tcW w:w="1984" w:type="dxa"/>
          </w:tcPr>
          <w:p w14:paraId="4549CD39" w14:textId="77777777" w:rsidR="001012FB" w:rsidRPr="002E24C5" w:rsidRDefault="001012FB" w:rsidP="005E4F16">
            <w:pPr>
              <w:tabs>
                <w:tab w:val="left" w:pos="1347"/>
                <w:tab w:val="left" w:pos="6117"/>
                <w:tab w:val="right" w:pos="6842"/>
              </w:tabs>
              <w:jc w:val="center"/>
              <w:rPr>
                <w:rFonts w:ascii="Arial" w:hAnsi="Arial"/>
                <w:b/>
                <w:color w:val="000000"/>
                <w:sz w:val="24"/>
                <w:szCs w:val="24"/>
              </w:rPr>
            </w:pPr>
          </w:p>
        </w:tc>
        <w:tc>
          <w:tcPr>
            <w:tcW w:w="5103" w:type="dxa"/>
          </w:tcPr>
          <w:p w14:paraId="3B52EF14" w14:textId="77777777" w:rsidR="001012FB" w:rsidRPr="002E24C5" w:rsidRDefault="001012FB" w:rsidP="000B015E">
            <w:pPr>
              <w:tabs>
                <w:tab w:val="left" w:pos="1347"/>
                <w:tab w:val="left" w:pos="6117"/>
                <w:tab w:val="right" w:pos="6842"/>
              </w:tabs>
              <w:rPr>
                <w:rFonts w:ascii="Arial" w:hAnsi="Arial"/>
                <w:b/>
                <w:color w:val="000000"/>
                <w:sz w:val="24"/>
                <w:szCs w:val="24"/>
              </w:rPr>
            </w:pPr>
            <w:r w:rsidRPr="002E24C5">
              <w:rPr>
                <w:rFonts w:ascii="Arial" w:hAnsi="Arial"/>
                <w:b/>
                <w:color w:val="000000"/>
                <w:sz w:val="24"/>
                <w:szCs w:val="24"/>
              </w:rPr>
              <w:t>Investments at market value:</w:t>
            </w:r>
            <w:r w:rsidR="000B015E">
              <w:rPr>
                <w:rFonts w:ascii="Arial" w:hAnsi="Arial"/>
                <w:b/>
                <w:color w:val="000000"/>
                <w:sz w:val="24"/>
                <w:szCs w:val="24"/>
              </w:rPr>
              <w:t xml:space="preserve">               Note</w:t>
            </w:r>
          </w:p>
        </w:tc>
        <w:tc>
          <w:tcPr>
            <w:tcW w:w="1701" w:type="dxa"/>
          </w:tcPr>
          <w:p w14:paraId="77AAB744" w14:textId="77777777" w:rsidR="001012FB" w:rsidRDefault="001012FB" w:rsidP="005E4F16">
            <w:pPr>
              <w:tabs>
                <w:tab w:val="left" w:pos="1347"/>
                <w:tab w:val="left" w:pos="6117"/>
                <w:tab w:val="right" w:pos="6842"/>
              </w:tabs>
              <w:jc w:val="center"/>
              <w:rPr>
                <w:rFonts w:ascii="Arial" w:hAnsi="Arial"/>
                <w:b/>
                <w:color w:val="000000"/>
                <w:sz w:val="24"/>
                <w:szCs w:val="24"/>
              </w:rPr>
            </w:pPr>
          </w:p>
          <w:p w14:paraId="6B45A635" w14:textId="77777777" w:rsidR="000B015E" w:rsidRPr="002E24C5" w:rsidRDefault="000B015E" w:rsidP="005E4F16">
            <w:pPr>
              <w:tabs>
                <w:tab w:val="left" w:pos="1347"/>
                <w:tab w:val="left" w:pos="6117"/>
                <w:tab w:val="right" w:pos="6842"/>
              </w:tabs>
              <w:jc w:val="center"/>
              <w:rPr>
                <w:rFonts w:ascii="Arial" w:hAnsi="Arial"/>
                <w:b/>
                <w:color w:val="000000"/>
                <w:sz w:val="24"/>
                <w:szCs w:val="24"/>
              </w:rPr>
            </w:pPr>
          </w:p>
        </w:tc>
      </w:tr>
      <w:tr w:rsidR="00A570F5" w:rsidRPr="002E24C5" w14:paraId="3D878C58" w14:textId="77777777" w:rsidTr="00FA02A6">
        <w:tc>
          <w:tcPr>
            <w:tcW w:w="1984" w:type="dxa"/>
          </w:tcPr>
          <w:p w14:paraId="0CA63E4A" w14:textId="77777777" w:rsidR="00A570F5" w:rsidRPr="00117F66" w:rsidRDefault="00A570F5" w:rsidP="00A570F5">
            <w:pPr>
              <w:tabs>
                <w:tab w:val="left" w:pos="1347"/>
                <w:tab w:val="left" w:pos="6117"/>
                <w:tab w:val="right" w:pos="6842"/>
              </w:tabs>
              <w:jc w:val="right"/>
              <w:rPr>
                <w:rFonts w:ascii="Arial" w:hAnsi="Arial"/>
                <w:color w:val="000000"/>
                <w:sz w:val="24"/>
                <w:szCs w:val="24"/>
              </w:rPr>
            </w:pPr>
            <w:r>
              <w:rPr>
                <w:rFonts w:ascii="Arial" w:hAnsi="Arial"/>
                <w:color w:val="000000"/>
                <w:sz w:val="24"/>
                <w:szCs w:val="24"/>
              </w:rPr>
              <w:t>2,565,257</w:t>
            </w:r>
          </w:p>
        </w:tc>
        <w:tc>
          <w:tcPr>
            <w:tcW w:w="5103" w:type="dxa"/>
          </w:tcPr>
          <w:p w14:paraId="60B0517B" w14:textId="77777777" w:rsidR="00A570F5" w:rsidRDefault="00A570F5" w:rsidP="00A570F5">
            <w:pPr>
              <w:tabs>
                <w:tab w:val="left" w:pos="1028"/>
                <w:tab w:val="left" w:pos="1347"/>
                <w:tab w:val="left" w:pos="6117"/>
                <w:tab w:val="right" w:pos="6842"/>
              </w:tabs>
              <w:rPr>
                <w:rFonts w:ascii="Arial" w:hAnsi="Arial"/>
                <w:color w:val="000000"/>
                <w:sz w:val="24"/>
                <w:szCs w:val="24"/>
              </w:rPr>
            </w:pPr>
            <w:r>
              <w:rPr>
                <w:rFonts w:ascii="Arial" w:hAnsi="Arial"/>
                <w:color w:val="000000"/>
                <w:sz w:val="24"/>
                <w:szCs w:val="24"/>
              </w:rPr>
              <w:t>Investment Assets                                   11</w:t>
            </w:r>
          </w:p>
          <w:p w14:paraId="6732C927" w14:textId="77777777" w:rsidR="00A570F5" w:rsidRPr="00117F66" w:rsidRDefault="00A570F5" w:rsidP="00A570F5">
            <w:pPr>
              <w:tabs>
                <w:tab w:val="left" w:pos="1028"/>
                <w:tab w:val="left" w:pos="1347"/>
                <w:tab w:val="left" w:pos="6117"/>
                <w:tab w:val="right" w:pos="6842"/>
              </w:tabs>
              <w:rPr>
                <w:rFonts w:ascii="Arial" w:hAnsi="Arial"/>
                <w:color w:val="000000"/>
                <w:sz w:val="24"/>
                <w:szCs w:val="24"/>
              </w:rPr>
            </w:pPr>
          </w:p>
        </w:tc>
        <w:tc>
          <w:tcPr>
            <w:tcW w:w="1701" w:type="dxa"/>
          </w:tcPr>
          <w:p w14:paraId="225BC578" w14:textId="77777777" w:rsidR="00A570F5" w:rsidRDefault="001F0DD6" w:rsidP="00A570F5">
            <w:pPr>
              <w:tabs>
                <w:tab w:val="left" w:pos="1347"/>
                <w:tab w:val="left" w:pos="6117"/>
                <w:tab w:val="right" w:pos="6842"/>
              </w:tabs>
              <w:jc w:val="right"/>
              <w:rPr>
                <w:rFonts w:ascii="Arial" w:hAnsi="Arial"/>
                <w:color w:val="000000"/>
                <w:sz w:val="24"/>
                <w:szCs w:val="24"/>
              </w:rPr>
            </w:pPr>
            <w:r>
              <w:rPr>
                <w:rFonts w:ascii="Arial" w:hAnsi="Arial"/>
                <w:color w:val="000000"/>
                <w:sz w:val="24"/>
                <w:szCs w:val="24"/>
              </w:rPr>
              <w:t>2,</w:t>
            </w:r>
            <w:r w:rsidR="00C81FE9">
              <w:rPr>
                <w:rFonts w:ascii="Arial" w:hAnsi="Arial"/>
                <w:color w:val="000000"/>
                <w:sz w:val="24"/>
                <w:szCs w:val="24"/>
              </w:rPr>
              <w:t>889,534</w:t>
            </w:r>
          </w:p>
          <w:p w14:paraId="35B36071" w14:textId="77777777" w:rsidR="00C81FE9" w:rsidRPr="00117F66" w:rsidRDefault="00C81FE9" w:rsidP="00A570F5">
            <w:pPr>
              <w:tabs>
                <w:tab w:val="left" w:pos="1347"/>
                <w:tab w:val="left" w:pos="6117"/>
                <w:tab w:val="right" w:pos="6842"/>
              </w:tabs>
              <w:jc w:val="right"/>
              <w:rPr>
                <w:rFonts w:ascii="Arial" w:hAnsi="Arial"/>
                <w:color w:val="000000"/>
                <w:sz w:val="24"/>
                <w:szCs w:val="24"/>
              </w:rPr>
            </w:pPr>
          </w:p>
        </w:tc>
      </w:tr>
      <w:tr w:rsidR="00A570F5" w:rsidRPr="002E24C5" w14:paraId="02286541" w14:textId="77777777" w:rsidTr="00FA02A6">
        <w:trPr>
          <w:trHeight w:val="540"/>
        </w:trPr>
        <w:tc>
          <w:tcPr>
            <w:tcW w:w="1984" w:type="dxa"/>
          </w:tcPr>
          <w:p w14:paraId="141FD5C7" w14:textId="77777777" w:rsidR="00A570F5" w:rsidRPr="00117F66" w:rsidRDefault="00A570F5" w:rsidP="00A570F5">
            <w:pPr>
              <w:tabs>
                <w:tab w:val="left" w:pos="1347"/>
                <w:tab w:val="left" w:pos="6117"/>
                <w:tab w:val="right" w:pos="6842"/>
              </w:tabs>
              <w:jc w:val="right"/>
              <w:rPr>
                <w:rFonts w:ascii="Arial" w:hAnsi="Arial"/>
                <w:color w:val="000000"/>
                <w:sz w:val="24"/>
                <w:szCs w:val="24"/>
              </w:rPr>
            </w:pPr>
            <w:r>
              <w:rPr>
                <w:rFonts w:ascii="Arial" w:hAnsi="Arial"/>
                <w:color w:val="000000"/>
                <w:sz w:val="24"/>
                <w:szCs w:val="24"/>
              </w:rPr>
              <w:t>4,330</w:t>
            </w:r>
          </w:p>
        </w:tc>
        <w:tc>
          <w:tcPr>
            <w:tcW w:w="5103" w:type="dxa"/>
          </w:tcPr>
          <w:p w14:paraId="2458E38C" w14:textId="77777777" w:rsidR="00A570F5" w:rsidRPr="00117F66" w:rsidRDefault="00A570F5" w:rsidP="00A570F5">
            <w:pPr>
              <w:tabs>
                <w:tab w:val="left" w:pos="1347"/>
                <w:tab w:val="left" w:pos="6117"/>
                <w:tab w:val="right" w:pos="6842"/>
              </w:tabs>
              <w:rPr>
                <w:rFonts w:ascii="Arial" w:hAnsi="Arial"/>
                <w:color w:val="000000"/>
                <w:sz w:val="24"/>
                <w:szCs w:val="24"/>
              </w:rPr>
            </w:pPr>
            <w:r>
              <w:rPr>
                <w:rFonts w:ascii="Arial" w:hAnsi="Arial"/>
                <w:color w:val="000000"/>
                <w:sz w:val="24"/>
                <w:szCs w:val="24"/>
              </w:rPr>
              <w:t xml:space="preserve">Cash Funds                          </w:t>
            </w:r>
            <w:r w:rsidRPr="00117F66">
              <w:rPr>
                <w:rFonts w:ascii="Arial" w:hAnsi="Arial"/>
                <w:color w:val="000000"/>
                <w:sz w:val="24"/>
                <w:szCs w:val="24"/>
              </w:rPr>
              <w:t xml:space="preserve">                   1</w:t>
            </w:r>
            <w:r>
              <w:rPr>
                <w:rFonts w:ascii="Arial" w:hAnsi="Arial"/>
                <w:color w:val="000000"/>
                <w:sz w:val="24"/>
                <w:szCs w:val="24"/>
              </w:rPr>
              <w:t>2</w:t>
            </w:r>
          </w:p>
        </w:tc>
        <w:tc>
          <w:tcPr>
            <w:tcW w:w="1701" w:type="dxa"/>
          </w:tcPr>
          <w:p w14:paraId="011E4ACE" w14:textId="77777777" w:rsidR="00A570F5" w:rsidRPr="00117F66" w:rsidRDefault="001F0DD6" w:rsidP="00A570F5">
            <w:pPr>
              <w:tabs>
                <w:tab w:val="left" w:pos="1347"/>
                <w:tab w:val="left" w:pos="6117"/>
                <w:tab w:val="right" w:pos="6842"/>
              </w:tabs>
              <w:jc w:val="right"/>
              <w:rPr>
                <w:rFonts w:ascii="Arial" w:hAnsi="Arial"/>
                <w:color w:val="000000"/>
                <w:sz w:val="24"/>
                <w:szCs w:val="24"/>
              </w:rPr>
            </w:pPr>
            <w:r>
              <w:rPr>
                <w:rFonts w:ascii="Arial" w:hAnsi="Arial"/>
                <w:color w:val="000000"/>
                <w:sz w:val="24"/>
                <w:szCs w:val="24"/>
              </w:rPr>
              <w:t>0</w:t>
            </w:r>
          </w:p>
        </w:tc>
      </w:tr>
      <w:tr w:rsidR="00A570F5" w:rsidRPr="002E24C5" w14:paraId="4B442A82" w14:textId="77777777" w:rsidTr="00FA02A6">
        <w:tc>
          <w:tcPr>
            <w:tcW w:w="1984" w:type="dxa"/>
          </w:tcPr>
          <w:p w14:paraId="62C12CBA" w14:textId="77777777" w:rsidR="00A570F5" w:rsidRPr="00117F66" w:rsidRDefault="00A570F5" w:rsidP="00A570F5">
            <w:pPr>
              <w:tabs>
                <w:tab w:val="left" w:pos="1347"/>
                <w:tab w:val="left" w:pos="6117"/>
                <w:tab w:val="right" w:pos="6842"/>
              </w:tabs>
              <w:jc w:val="right"/>
              <w:rPr>
                <w:rFonts w:ascii="Arial" w:hAnsi="Arial"/>
                <w:color w:val="000000"/>
                <w:sz w:val="24"/>
                <w:szCs w:val="24"/>
              </w:rPr>
            </w:pPr>
            <w:r>
              <w:rPr>
                <w:rFonts w:ascii="Arial" w:hAnsi="Arial"/>
                <w:color w:val="000000"/>
                <w:sz w:val="24"/>
                <w:szCs w:val="24"/>
              </w:rPr>
              <w:t>40,346</w:t>
            </w:r>
          </w:p>
        </w:tc>
        <w:tc>
          <w:tcPr>
            <w:tcW w:w="5103" w:type="dxa"/>
          </w:tcPr>
          <w:p w14:paraId="27DDD72A" w14:textId="77777777" w:rsidR="00A570F5" w:rsidRPr="00117F66" w:rsidRDefault="00A570F5" w:rsidP="00A570F5">
            <w:pPr>
              <w:tabs>
                <w:tab w:val="left" w:pos="1347"/>
                <w:tab w:val="left" w:pos="6117"/>
                <w:tab w:val="right" w:pos="6842"/>
              </w:tabs>
              <w:rPr>
                <w:rFonts w:ascii="Arial" w:hAnsi="Arial"/>
                <w:color w:val="000000"/>
                <w:sz w:val="24"/>
                <w:szCs w:val="24"/>
              </w:rPr>
            </w:pPr>
            <w:r>
              <w:rPr>
                <w:rFonts w:ascii="Arial" w:hAnsi="Arial"/>
                <w:color w:val="000000"/>
                <w:sz w:val="24"/>
                <w:szCs w:val="24"/>
              </w:rPr>
              <w:t xml:space="preserve">Cash Deposits </w:t>
            </w:r>
            <w:r w:rsidRPr="00117F66">
              <w:rPr>
                <w:rFonts w:ascii="Arial" w:hAnsi="Arial"/>
                <w:color w:val="000000"/>
                <w:sz w:val="24"/>
                <w:szCs w:val="24"/>
              </w:rPr>
              <w:t xml:space="preserve">                                        1</w:t>
            </w:r>
            <w:r>
              <w:rPr>
                <w:rFonts w:ascii="Arial" w:hAnsi="Arial"/>
                <w:color w:val="000000"/>
                <w:sz w:val="24"/>
                <w:szCs w:val="24"/>
              </w:rPr>
              <w:t>2</w:t>
            </w:r>
          </w:p>
          <w:p w14:paraId="04942D98" w14:textId="77777777" w:rsidR="00A570F5" w:rsidRPr="00117F66" w:rsidRDefault="00A570F5" w:rsidP="00A570F5">
            <w:pPr>
              <w:tabs>
                <w:tab w:val="left" w:pos="1347"/>
                <w:tab w:val="left" w:pos="6117"/>
                <w:tab w:val="right" w:pos="6842"/>
              </w:tabs>
              <w:rPr>
                <w:rFonts w:ascii="Arial" w:hAnsi="Arial"/>
                <w:color w:val="000000"/>
                <w:sz w:val="24"/>
                <w:szCs w:val="24"/>
              </w:rPr>
            </w:pPr>
          </w:p>
        </w:tc>
        <w:tc>
          <w:tcPr>
            <w:tcW w:w="1701" w:type="dxa"/>
          </w:tcPr>
          <w:p w14:paraId="43A5D0B3" w14:textId="77777777" w:rsidR="00A570F5" w:rsidRPr="00117F66" w:rsidRDefault="001F0DD6" w:rsidP="00A570F5">
            <w:pPr>
              <w:tabs>
                <w:tab w:val="left" w:pos="1347"/>
                <w:tab w:val="left" w:pos="6117"/>
                <w:tab w:val="right" w:pos="6842"/>
              </w:tabs>
              <w:jc w:val="right"/>
              <w:rPr>
                <w:rFonts w:ascii="Arial" w:hAnsi="Arial"/>
                <w:color w:val="000000"/>
                <w:sz w:val="24"/>
                <w:szCs w:val="24"/>
              </w:rPr>
            </w:pPr>
            <w:r>
              <w:rPr>
                <w:rFonts w:ascii="Arial" w:hAnsi="Arial"/>
                <w:color w:val="000000"/>
                <w:sz w:val="24"/>
                <w:szCs w:val="24"/>
              </w:rPr>
              <w:t>31,832</w:t>
            </w:r>
          </w:p>
        </w:tc>
      </w:tr>
      <w:tr w:rsidR="00A570F5" w:rsidRPr="002E24C5" w14:paraId="1B414E74" w14:textId="77777777" w:rsidTr="00FA02A6">
        <w:tc>
          <w:tcPr>
            <w:tcW w:w="1984" w:type="dxa"/>
          </w:tcPr>
          <w:p w14:paraId="111FA202" w14:textId="77777777" w:rsidR="00A570F5" w:rsidRDefault="00A570F5" w:rsidP="00A570F5">
            <w:pPr>
              <w:tabs>
                <w:tab w:val="left" w:pos="1347"/>
                <w:tab w:val="left" w:pos="6117"/>
                <w:tab w:val="right" w:pos="6842"/>
              </w:tabs>
              <w:jc w:val="right"/>
              <w:rPr>
                <w:rFonts w:ascii="Arial" w:hAnsi="Arial"/>
                <w:color w:val="000000"/>
                <w:sz w:val="24"/>
                <w:szCs w:val="24"/>
              </w:rPr>
            </w:pPr>
            <w:r>
              <w:rPr>
                <w:rFonts w:ascii="Arial" w:hAnsi="Arial"/>
                <w:color w:val="000000"/>
                <w:sz w:val="24"/>
                <w:szCs w:val="24"/>
              </w:rPr>
              <w:t>40</w:t>
            </w:r>
          </w:p>
        </w:tc>
        <w:tc>
          <w:tcPr>
            <w:tcW w:w="5103" w:type="dxa"/>
          </w:tcPr>
          <w:p w14:paraId="0596E5F8" w14:textId="77777777" w:rsidR="00A570F5" w:rsidRDefault="00A570F5" w:rsidP="00A570F5">
            <w:pPr>
              <w:tabs>
                <w:tab w:val="left" w:pos="1347"/>
                <w:tab w:val="left" w:pos="6117"/>
                <w:tab w:val="right" w:pos="6842"/>
              </w:tabs>
              <w:rPr>
                <w:rFonts w:ascii="Arial" w:hAnsi="Arial"/>
                <w:color w:val="000000"/>
                <w:sz w:val="24"/>
                <w:szCs w:val="24"/>
              </w:rPr>
            </w:pPr>
            <w:r>
              <w:rPr>
                <w:rFonts w:ascii="Arial" w:hAnsi="Arial"/>
                <w:color w:val="000000"/>
                <w:sz w:val="24"/>
                <w:szCs w:val="24"/>
              </w:rPr>
              <w:t>Other Investment Balances –                  12</w:t>
            </w:r>
          </w:p>
          <w:p w14:paraId="09011A43" w14:textId="77777777" w:rsidR="00A570F5" w:rsidRDefault="00A570F5" w:rsidP="00A570F5">
            <w:pPr>
              <w:tabs>
                <w:tab w:val="left" w:pos="1347"/>
                <w:tab w:val="left" w:pos="6117"/>
                <w:tab w:val="right" w:pos="6842"/>
              </w:tabs>
              <w:rPr>
                <w:rFonts w:ascii="Arial" w:hAnsi="Arial"/>
                <w:color w:val="000000"/>
                <w:sz w:val="24"/>
                <w:szCs w:val="24"/>
              </w:rPr>
            </w:pPr>
            <w:r>
              <w:rPr>
                <w:rFonts w:ascii="Arial" w:hAnsi="Arial"/>
                <w:color w:val="000000"/>
                <w:sz w:val="24"/>
                <w:szCs w:val="24"/>
              </w:rPr>
              <w:t>Dividends Due</w:t>
            </w:r>
          </w:p>
        </w:tc>
        <w:tc>
          <w:tcPr>
            <w:tcW w:w="1701" w:type="dxa"/>
          </w:tcPr>
          <w:p w14:paraId="0A59348A" w14:textId="77777777" w:rsidR="00A570F5" w:rsidRDefault="001F0DD6" w:rsidP="00A570F5">
            <w:pPr>
              <w:tabs>
                <w:tab w:val="left" w:pos="1347"/>
                <w:tab w:val="left" w:pos="6117"/>
                <w:tab w:val="right" w:pos="6842"/>
              </w:tabs>
              <w:jc w:val="right"/>
              <w:rPr>
                <w:rFonts w:ascii="Arial" w:hAnsi="Arial"/>
                <w:color w:val="000000"/>
                <w:sz w:val="24"/>
                <w:szCs w:val="24"/>
              </w:rPr>
            </w:pPr>
            <w:r>
              <w:rPr>
                <w:rFonts w:ascii="Arial" w:hAnsi="Arial"/>
                <w:color w:val="000000"/>
                <w:sz w:val="24"/>
                <w:szCs w:val="24"/>
              </w:rPr>
              <w:t>301</w:t>
            </w:r>
          </w:p>
        </w:tc>
      </w:tr>
      <w:tr w:rsidR="00A570F5" w:rsidRPr="002E24C5" w14:paraId="53432C99" w14:textId="77777777" w:rsidTr="00FA02A6">
        <w:tc>
          <w:tcPr>
            <w:tcW w:w="1984" w:type="dxa"/>
          </w:tcPr>
          <w:p w14:paraId="336B7416" w14:textId="77777777" w:rsidR="00A570F5" w:rsidRDefault="00A570F5" w:rsidP="00A570F5">
            <w:pPr>
              <w:tabs>
                <w:tab w:val="left" w:pos="1347"/>
                <w:tab w:val="left" w:pos="6117"/>
                <w:tab w:val="right" w:pos="6842"/>
              </w:tabs>
              <w:jc w:val="right"/>
              <w:rPr>
                <w:rFonts w:ascii="Arial" w:hAnsi="Arial"/>
                <w:color w:val="000000"/>
                <w:sz w:val="24"/>
                <w:szCs w:val="24"/>
              </w:rPr>
            </w:pPr>
          </w:p>
        </w:tc>
        <w:tc>
          <w:tcPr>
            <w:tcW w:w="5103" w:type="dxa"/>
          </w:tcPr>
          <w:p w14:paraId="3C512F75" w14:textId="77777777" w:rsidR="00A570F5" w:rsidRDefault="00A570F5" w:rsidP="00A570F5">
            <w:pPr>
              <w:tabs>
                <w:tab w:val="left" w:pos="1347"/>
                <w:tab w:val="left" w:pos="6117"/>
                <w:tab w:val="right" w:pos="6842"/>
              </w:tabs>
              <w:rPr>
                <w:rFonts w:ascii="Arial" w:hAnsi="Arial"/>
                <w:color w:val="000000"/>
                <w:sz w:val="24"/>
                <w:szCs w:val="24"/>
              </w:rPr>
            </w:pPr>
          </w:p>
        </w:tc>
        <w:tc>
          <w:tcPr>
            <w:tcW w:w="1701" w:type="dxa"/>
          </w:tcPr>
          <w:p w14:paraId="11966F94" w14:textId="77777777" w:rsidR="00A570F5" w:rsidRPr="001F0DD6" w:rsidRDefault="001F0DD6" w:rsidP="00A570F5">
            <w:pPr>
              <w:tabs>
                <w:tab w:val="left" w:pos="1347"/>
                <w:tab w:val="left" w:pos="6117"/>
                <w:tab w:val="right" w:pos="6842"/>
              </w:tabs>
              <w:jc w:val="right"/>
              <w:rPr>
                <w:rFonts w:ascii="Arial" w:hAnsi="Arial"/>
                <w:b/>
                <w:bCs/>
                <w:color w:val="000000"/>
                <w:sz w:val="24"/>
                <w:szCs w:val="24"/>
              </w:rPr>
            </w:pPr>
            <w:r w:rsidRPr="001F0DD6">
              <w:rPr>
                <w:rFonts w:ascii="Arial" w:hAnsi="Arial"/>
                <w:b/>
                <w:bCs/>
                <w:color w:val="000000"/>
                <w:sz w:val="24"/>
                <w:szCs w:val="24"/>
              </w:rPr>
              <w:t>2,92</w:t>
            </w:r>
            <w:r w:rsidR="00C81FE9">
              <w:rPr>
                <w:rFonts w:ascii="Arial" w:hAnsi="Arial"/>
                <w:b/>
                <w:bCs/>
                <w:color w:val="000000"/>
                <w:sz w:val="24"/>
                <w:szCs w:val="24"/>
              </w:rPr>
              <w:t>1</w:t>
            </w:r>
            <w:r w:rsidRPr="001F0DD6">
              <w:rPr>
                <w:rFonts w:ascii="Arial" w:hAnsi="Arial"/>
                <w:b/>
                <w:bCs/>
                <w:color w:val="000000"/>
                <w:sz w:val="24"/>
                <w:szCs w:val="24"/>
              </w:rPr>
              <w:t>,</w:t>
            </w:r>
            <w:r w:rsidR="00C81FE9">
              <w:rPr>
                <w:rFonts w:ascii="Arial" w:hAnsi="Arial"/>
                <w:b/>
                <w:bCs/>
                <w:color w:val="000000"/>
                <w:sz w:val="24"/>
                <w:szCs w:val="24"/>
              </w:rPr>
              <w:t>667</w:t>
            </w:r>
          </w:p>
        </w:tc>
      </w:tr>
      <w:tr w:rsidR="00A570F5" w:rsidRPr="002E24C5" w14:paraId="76E117AD" w14:textId="77777777" w:rsidTr="00FA02A6">
        <w:trPr>
          <w:trHeight w:val="100"/>
        </w:trPr>
        <w:tc>
          <w:tcPr>
            <w:tcW w:w="1984" w:type="dxa"/>
          </w:tcPr>
          <w:p w14:paraId="5312CD63" w14:textId="77777777" w:rsidR="00A570F5" w:rsidRPr="004615A7" w:rsidRDefault="00A570F5" w:rsidP="00A570F5">
            <w:pPr>
              <w:tabs>
                <w:tab w:val="left" w:pos="1347"/>
                <w:tab w:val="left" w:pos="6117"/>
                <w:tab w:val="right" w:pos="6842"/>
              </w:tabs>
              <w:jc w:val="right"/>
              <w:rPr>
                <w:rFonts w:ascii="Arial" w:hAnsi="Arial"/>
                <w:b/>
                <w:color w:val="000000"/>
                <w:sz w:val="24"/>
                <w:szCs w:val="24"/>
              </w:rPr>
            </w:pPr>
            <w:r>
              <w:rPr>
                <w:rFonts w:ascii="Arial" w:hAnsi="Arial"/>
                <w:b/>
                <w:color w:val="000000"/>
                <w:sz w:val="24"/>
                <w:szCs w:val="24"/>
              </w:rPr>
              <w:t>2,609,973</w:t>
            </w:r>
          </w:p>
        </w:tc>
        <w:tc>
          <w:tcPr>
            <w:tcW w:w="5103" w:type="dxa"/>
          </w:tcPr>
          <w:p w14:paraId="135E26B5" w14:textId="77777777" w:rsidR="00A570F5" w:rsidRPr="004615A7" w:rsidRDefault="00A570F5" w:rsidP="00A570F5">
            <w:pPr>
              <w:tabs>
                <w:tab w:val="left" w:pos="1347"/>
                <w:tab w:val="left" w:pos="6117"/>
                <w:tab w:val="right" w:pos="6842"/>
              </w:tabs>
              <w:rPr>
                <w:rFonts w:ascii="Arial" w:hAnsi="Arial"/>
                <w:b/>
                <w:color w:val="000000"/>
                <w:sz w:val="24"/>
                <w:szCs w:val="24"/>
              </w:rPr>
            </w:pPr>
            <w:r w:rsidRPr="004615A7">
              <w:rPr>
                <w:rFonts w:ascii="Arial" w:hAnsi="Arial"/>
                <w:b/>
                <w:color w:val="000000"/>
                <w:sz w:val="24"/>
                <w:szCs w:val="24"/>
              </w:rPr>
              <w:t>Sub Total</w:t>
            </w:r>
          </w:p>
        </w:tc>
        <w:tc>
          <w:tcPr>
            <w:tcW w:w="1701" w:type="dxa"/>
          </w:tcPr>
          <w:p w14:paraId="1DFFBC22" w14:textId="77777777" w:rsidR="00A570F5" w:rsidRPr="004615A7" w:rsidRDefault="00A570F5" w:rsidP="00A570F5">
            <w:pPr>
              <w:tabs>
                <w:tab w:val="left" w:pos="1347"/>
                <w:tab w:val="left" w:pos="6117"/>
                <w:tab w:val="right" w:pos="6842"/>
              </w:tabs>
              <w:jc w:val="right"/>
              <w:rPr>
                <w:rFonts w:ascii="Arial" w:hAnsi="Arial"/>
                <w:b/>
                <w:color w:val="000000"/>
                <w:sz w:val="24"/>
                <w:szCs w:val="24"/>
              </w:rPr>
            </w:pPr>
          </w:p>
        </w:tc>
      </w:tr>
      <w:tr w:rsidR="00A570F5" w:rsidRPr="002E24C5" w14:paraId="75ED6009" w14:textId="77777777" w:rsidTr="00FA02A6">
        <w:trPr>
          <w:trHeight w:val="100"/>
        </w:trPr>
        <w:tc>
          <w:tcPr>
            <w:tcW w:w="1984" w:type="dxa"/>
          </w:tcPr>
          <w:p w14:paraId="345631F2" w14:textId="77777777" w:rsidR="00A570F5" w:rsidRDefault="00A570F5" w:rsidP="00A570F5">
            <w:pPr>
              <w:tabs>
                <w:tab w:val="left" w:pos="1347"/>
                <w:tab w:val="left" w:pos="6117"/>
                <w:tab w:val="right" w:pos="6842"/>
              </w:tabs>
              <w:jc w:val="right"/>
              <w:rPr>
                <w:rFonts w:ascii="Arial" w:hAnsi="Arial"/>
                <w:b/>
                <w:color w:val="000000"/>
                <w:sz w:val="24"/>
                <w:szCs w:val="24"/>
              </w:rPr>
            </w:pPr>
          </w:p>
        </w:tc>
        <w:tc>
          <w:tcPr>
            <w:tcW w:w="5103" w:type="dxa"/>
          </w:tcPr>
          <w:p w14:paraId="69C6F28B" w14:textId="77777777" w:rsidR="00A570F5" w:rsidRPr="004615A7" w:rsidRDefault="00A570F5" w:rsidP="00A570F5">
            <w:pPr>
              <w:tabs>
                <w:tab w:val="left" w:pos="1347"/>
                <w:tab w:val="left" w:pos="6117"/>
                <w:tab w:val="right" w:pos="6842"/>
              </w:tabs>
              <w:rPr>
                <w:rFonts w:ascii="Arial" w:hAnsi="Arial"/>
                <w:b/>
                <w:color w:val="000000"/>
                <w:sz w:val="24"/>
                <w:szCs w:val="24"/>
              </w:rPr>
            </w:pPr>
          </w:p>
        </w:tc>
        <w:tc>
          <w:tcPr>
            <w:tcW w:w="1701" w:type="dxa"/>
          </w:tcPr>
          <w:p w14:paraId="1053B257" w14:textId="77777777" w:rsidR="00A570F5" w:rsidRDefault="00A570F5" w:rsidP="00A570F5">
            <w:pPr>
              <w:tabs>
                <w:tab w:val="left" w:pos="1347"/>
                <w:tab w:val="left" w:pos="6117"/>
                <w:tab w:val="right" w:pos="6842"/>
              </w:tabs>
              <w:jc w:val="right"/>
              <w:rPr>
                <w:rFonts w:ascii="Arial" w:hAnsi="Arial"/>
                <w:b/>
                <w:color w:val="000000"/>
                <w:sz w:val="24"/>
                <w:szCs w:val="24"/>
              </w:rPr>
            </w:pPr>
          </w:p>
        </w:tc>
      </w:tr>
      <w:tr w:rsidR="00A570F5" w:rsidRPr="002E24C5" w14:paraId="31913E3E" w14:textId="77777777" w:rsidTr="00FA02A6">
        <w:trPr>
          <w:trHeight w:val="444"/>
        </w:trPr>
        <w:tc>
          <w:tcPr>
            <w:tcW w:w="1984" w:type="dxa"/>
          </w:tcPr>
          <w:p w14:paraId="2E8A2E75" w14:textId="77777777" w:rsidR="00A570F5" w:rsidRPr="00117F66" w:rsidRDefault="00A570F5" w:rsidP="00A570F5">
            <w:pPr>
              <w:tabs>
                <w:tab w:val="left" w:pos="1347"/>
                <w:tab w:val="left" w:pos="6117"/>
                <w:tab w:val="right" w:pos="6842"/>
              </w:tabs>
              <w:jc w:val="right"/>
              <w:rPr>
                <w:rFonts w:ascii="Arial" w:hAnsi="Arial"/>
                <w:color w:val="000000"/>
                <w:sz w:val="24"/>
                <w:szCs w:val="24"/>
              </w:rPr>
            </w:pPr>
            <w:r>
              <w:rPr>
                <w:rFonts w:ascii="Arial" w:hAnsi="Arial"/>
                <w:color w:val="000000"/>
                <w:sz w:val="24"/>
                <w:szCs w:val="24"/>
              </w:rPr>
              <w:t>7,256</w:t>
            </w:r>
          </w:p>
        </w:tc>
        <w:tc>
          <w:tcPr>
            <w:tcW w:w="5103" w:type="dxa"/>
          </w:tcPr>
          <w:p w14:paraId="06251BA5" w14:textId="77777777" w:rsidR="00A570F5" w:rsidRPr="00117F66" w:rsidRDefault="00A570F5" w:rsidP="00A570F5">
            <w:pPr>
              <w:tabs>
                <w:tab w:val="left" w:pos="1347"/>
                <w:tab w:val="left" w:pos="6117"/>
                <w:tab w:val="right" w:pos="6842"/>
              </w:tabs>
              <w:rPr>
                <w:rFonts w:ascii="Arial" w:hAnsi="Arial"/>
                <w:color w:val="000000"/>
                <w:sz w:val="24"/>
                <w:szCs w:val="24"/>
              </w:rPr>
            </w:pPr>
            <w:r w:rsidRPr="00117F66">
              <w:rPr>
                <w:rFonts w:ascii="Arial" w:hAnsi="Arial"/>
                <w:color w:val="000000"/>
                <w:sz w:val="24"/>
                <w:szCs w:val="24"/>
              </w:rPr>
              <w:t xml:space="preserve">Current Assets                                        </w:t>
            </w:r>
            <w:r w:rsidRPr="00460CEB">
              <w:rPr>
                <w:rFonts w:ascii="Arial" w:hAnsi="Arial"/>
                <w:color w:val="000000"/>
                <w:sz w:val="24"/>
                <w:szCs w:val="24"/>
              </w:rPr>
              <w:t>15</w:t>
            </w:r>
          </w:p>
          <w:p w14:paraId="58A233F3" w14:textId="77777777" w:rsidR="00A570F5" w:rsidRPr="00117F66" w:rsidRDefault="00A570F5" w:rsidP="00A570F5">
            <w:pPr>
              <w:tabs>
                <w:tab w:val="left" w:pos="1347"/>
                <w:tab w:val="left" w:pos="6117"/>
                <w:tab w:val="right" w:pos="6842"/>
              </w:tabs>
              <w:rPr>
                <w:rFonts w:ascii="Arial" w:hAnsi="Arial"/>
                <w:color w:val="000000"/>
                <w:sz w:val="24"/>
                <w:szCs w:val="24"/>
              </w:rPr>
            </w:pPr>
          </w:p>
        </w:tc>
        <w:tc>
          <w:tcPr>
            <w:tcW w:w="1701" w:type="dxa"/>
          </w:tcPr>
          <w:p w14:paraId="61AFD528" w14:textId="77777777" w:rsidR="00A570F5" w:rsidRPr="00117F66" w:rsidRDefault="001F0DD6" w:rsidP="00A570F5">
            <w:pPr>
              <w:tabs>
                <w:tab w:val="left" w:pos="1347"/>
                <w:tab w:val="left" w:pos="6117"/>
                <w:tab w:val="right" w:pos="6842"/>
              </w:tabs>
              <w:jc w:val="right"/>
              <w:rPr>
                <w:rFonts w:ascii="Arial" w:hAnsi="Arial"/>
                <w:color w:val="000000"/>
                <w:sz w:val="24"/>
                <w:szCs w:val="24"/>
              </w:rPr>
            </w:pPr>
            <w:r>
              <w:rPr>
                <w:rFonts w:ascii="Arial" w:hAnsi="Arial"/>
                <w:color w:val="000000"/>
                <w:sz w:val="24"/>
                <w:szCs w:val="24"/>
              </w:rPr>
              <w:t>6,686</w:t>
            </w:r>
          </w:p>
        </w:tc>
      </w:tr>
      <w:tr w:rsidR="00A570F5" w:rsidRPr="002E24C5" w14:paraId="6678D2DF" w14:textId="77777777" w:rsidTr="00FA02A6">
        <w:tc>
          <w:tcPr>
            <w:tcW w:w="1984" w:type="dxa"/>
            <w:tcBorders>
              <w:bottom w:val="single" w:sz="4" w:space="0" w:color="auto"/>
            </w:tcBorders>
          </w:tcPr>
          <w:p w14:paraId="2C0D9AC7" w14:textId="77777777" w:rsidR="00A570F5" w:rsidRPr="00117F66" w:rsidRDefault="00A570F5" w:rsidP="00A570F5">
            <w:pPr>
              <w:tabs>
                <w:tab w:val="left" w:pos="1347"/>
                <w:tab w:val="left" w:pos="6117"/>
                <w:tab w:val="right" w:pos="6842"/>
              </w:tabs>
              <w:jc w:val="right"/>
              <w:rPr>
                <w:rFonts w:ascii="Arial" w:hAnsi="Arial"/>
                <w:color w:val="000000"/>
                <w:sz w:val="24"/>
                <w:szCs w:val="24"/>
              </w:rPr>
            </w:pPr>
            <w:r>
              <w:rPr>
                <w:rFonts w:ascii="Arial" w:hAnsi="Arial"/>
                <w:color w:val="000000"/>
                <w:sz w:val="24"/>
                <w:szCs w:val="24"/>
              </w:rPr>
              <w:t>-2,774</w:t>
            </w:r>
          </w:p>
        </w:tc>
        <w:tc>
          <w:tcPr>
            <w:tcW w:w="5103" w:type="dxa"/>
          </w:tcPr>
          <w:p w14:paraId="20F79E5C" w14:textId="77777777" w:rsidR="00A570F5" w:rsidRPr="00117F66" w:rsidRDefault="00A570F5" w:rsidP="00A570F5">
            <w:pPr>
              <w:pStyle w:val="Heading2"/>
              <w:tabs>
                <w:tab w:val="left" w:pos="1347"/>
                <w:tab w:val="left" w:pos="6117"/>
                <w:tab w:val="right" w:pos="6842"/>
              </w:tabs>
              <w:rPr>
                <w:b w:val="0"/>
                <w:bCs/>
                <w:i/>
                <w:iCs/>
                <w:color w:val="000000"/>
                <w:sz w:val="24"/>
                <w:szCs w:val="24"/>
              </w:rPr>
            </w:pPr>
            <w:r w:rsidRPr="00117F66">
              <w:rPr>
                <w:b w:val="0"/>
                <w:bCs/>
                <w:iCs/>
                <w:color w:val="000000"/>
                <w:sz w:val="24"/>
                <w:szCs w:val="24"/>
              </w:rPr>
              <w:t xml:space="preserve">Current </w:t>
            </w:r>
            <w:r w:rsidRPr="00460CEB">
              <w:rPr>
                <w:b w:val="0"/>
                <w:bCs/>
                <w:iCs/>
                <w:color w:val="000000"/>
                <w:sz w:val="24"/>
                <w:szCs w:val="24"/>
              </w:rPr>
              <w:t>Liabilities</w:t>
            </w:r>
            <w:r w:rsidRPr="00460CEB">
              <w:rPr>
                <w:b w:val="0"/>
                <w:bCs/>
                <w:i/>
                <w:iCs/>
                <w:color w:val="000000"/>
                <w:sz w:val="24"/>
                <w:szCs w:val="24"/>
              </w:rPr>
              <w:t xml:space="preserve">                                    </w:t>
            </w:r>
            <w:r w:rsidRPr="00460CEB">
              <w:rPr>
                <w:b w:val="0"/>
                <w:bCs/>
                <w:iCs/>
                <w:color w:val="000000"/>
                <w:sz w:val="24"/>
                <w:szCs w:val="24"/>
              </w:rPr>
              <w:t>15</w:t>
            </w:r>
          </w:p>
          <w:p w14:paraId="5682EFA2" w14:textId="77777777" w:rsidR="00A570F5" w:rsidRPr="00117F66" w:rsidRDefault="00A570F5" w:rsidP="00A570F5">
            <w:pPr>
              <w:rPr>
                <w:rFonts w:ascii="Arial" w:hAnsi="Arial"/>
                <w:color w:val="000000"/>
                <w:sz w:val="24"/>
                <w:szCs w:val="24"/>
              </w:rPr>
            </w:pPr>
          </w:p>
        </w:tc>
        <w:tc>
          <w:tcPr>
            <w:tcW w:w="1701" w:type="dxa"/>
            <w:tcBorders>
              <w:bottom w:val="single" w:sz="4" w:space="0" w:color="auto"/>
            </w:tcBorders>
          </w:tcPr>
          <w:p w14:paraId="78300D3D" w14:textId="77777777" w:rsidR="00A570F5" w:rsidRPr="00117F66" w:rsidRDefault="001F0DD6" w:rsidP="00A570F5">
            <w:pPr>
              <w:tabs>
                <w:tab w:val="left" w:pos="1347"/>
                <w:tab w:val="left" w:pos="6117"/>
                <w:tab w:val="right" w:pos="6842"/>
              </w:tabs>
              <w:jc w:val="right"/>
              <w:rPr>
                <w:rFonts w:ascii="Arial" w:hAnsi="Arial"/>
                <w:color w:val="000000"/>
                <w:sz w:val="24"/>
                <w:szCs w:val="24"/>
              </w:rPr>
            </w:pPr>
            <w:r>
              <w:rPr>
                <w:rFonts w:ascii="Arial" w:hAnsi="Arial"/>
                <w:color w:val="000000"/>
                <w:sz w:val="24"/>
                <w:szCs w:val="24"/>
              </w:rPr>
              <w:t>-4,121</w:t>
            </w:r>
          </w:p>
        </w:tc>
      </w:tr>
      <w:tr w:rsidR="00A570F5" w:rsidRPr="002E24C5" w14:paraId="5F87FB2A" w14:textId="77777777" w:rsidTr="00FA02A6">
        <w:tc>
          <w:tcPr>
            <w:tcW w:w="1984" w:type="dxa"/>
            <w:tcBorders>
              <w:top w:val="single" w:sz="4" w:space="0" w:color="auto"/>
              <w:bottom w:val="double" w:sz="4" w:space="0" w:color="auto"/>
            </w:tcBorders>
          </w:tcPr>
          <w:p w14:paraId="443E9CA3" w14:textId="77777777" w:rsidR="00A570F5" w:rsidRPr="00117F66" w:rsidRDefault="00A570F5" w:rsidP="00A570F5">
            <w:pPr>
              <w:tabs>
                <w:tab w:val="left" w:pos="1347"/>
                <w:tab w:val="left" w:pos="6117"/>
                <w:tab w:val="right" w:pos="6842"/>
              </w:tabs>
              <w:jc w:val="right"/>
              <w:rPr>
                <w:rFonts w:ascii="Arial" w:hAnsi="Arial"/>
                <w:b/>
                <w:color w:val="000000"/>
                <w:sz w:val="24"/>
                <w:szCs w:val="24"/>
              </w:rPr>
            </w:pPr>
            <w:r>
              <w:rPr>
                <w:rFonts w:ascii="Arial" w:hAnsi="Arial"/>
                <w:b/>
                <w:color w:val="000000"/>
                <w:sz w:val="24"/>
                <w:szCs w:val="24"/>
              </w:rPr>
              <w:t>2,614,455</w:t>
            </w:r>
          </w:p>
        </w:tc>
        <w:tc>
          <w:tcPr>
            <w:tcW w:w="5103" w:type="dxa"/>
          </w:tcPr>
          <w:p w14:paraId="310BFB13" w14:textId="77777777" w:rsidR="00A570F5" w:rsidRPr="00117F66" w:rsidRDefault="00A570F5" w:rsidP="00A570F5">
            <w:pPr>
              <w:tabs>
                <w:tab w:val="left" w:pos="1347"/>
                <w:tab w:val="left" w:pos="6117"/>
                <w:tab w:val="right" w:pos="6842"/>
              </w:tabs>
              <w:rPr>
                <w:rFonts w:ascii="Arial" w:hAnsi="Arial"/>
                <w:b/>
                <w:color w:val="000000"/>
                <w:sz w:val="24"/>
                <w:szCs w:val="24"/>
              </w:rPr>
            </w:pPr>
            <w:r w:rsidRPr="00117F66">
              <w:rPr>
                <w:rFonts w:ascii="Arial" w:hAnsi="Arial"/>
                <w:b/>
                <w:color w:val="000000"/>
                <w:sz w:val="24"/>
                <w:szCs w:val="24"/>
              </w:rPr>
              <w:t>Net assets</w:t>
            </w:r>
            <w:r>
              <w:rPr>
                <w:rFonts w:ascii="Arial" w:hAnsi="Arial"/>
                <w:b/>
                <w:color w:val="000000"/>
                <w:sz w:val="24"/>
                <w:szCs w:val="24"/>
              </w:rPr>
              <w:t xml:space="preserve"> of the Scheme available to fund benefits at the period end</w:t>
            </w:r>
          </w:p>
        </w:tc>
        <w:tc>
          <w:tcPr>
            <w:tcW w:w="1701" w:type="dxa"/>
            <w:tcBorders>
              <w:top w:val="single" w:sz="4" w:space="0" w:color="auto"/>
              <w:bottom w:val="double" w:sz="4" w:space="0" w:color="auto"/>
            </w:tcBorders>
          </w:tcPr>
          <w:p w14:paraId="33ABC3EC" w14:textId="77777777" w:rsidR="00A570F5" w:rsidRPr="00117F66" w:rsidRDefault="001F0DD6" w:rsidP="00A570F5">
            <w:pPr>
              <w:tabs>
                <w:tab w:val="left" w:pos="1347"/>
                <w:tab w:val="left" w:pos="6117"/>
                <w:tab w:val="right" w:pos="6842"/>
              </w:tabs>
              <w:jc w:val="right"/>
              <w:rPr>
                <w:rFonts w:ascii="Arial" w:hAnsi="Arial"/>
                <w:b/>
                <w:color w:val="000000"/>
                <w:sz w:val="24"/>
                <w:szCs w:val="24"/>
              </w:rPr>
            </w:pPr>
            <w:r>
              <w:rPr>
                <w:rFonts w:ascii="Arial" w:hAnsi="Arial"/>
                <w:b/>
                <w:color w:val="000000"/>
                <w:sz w:val="24"/>
                <w:szCs w:val="24"/>
              </w:rPr>
              <w:t>2,92</w:t>
            </w:r>
            <w:r w:rsidR="00C81FE9">
              <w:rPr>
                <w:rFonts w:ascii="Arial" w:hAnsi="Arial"/>
                <w:b/>
                <w:color w:val="000000"/>
                <w:sz w:val="24"/>
                <w:szCs w:val="24"/>
              </w:rPr>
              <w:t>4</w:t>
            </w:r>
            <w:r>
              <w:rPr>
                <w:rFonts w:ascii="Arial" w:hAnsi="Arial"/>
                <w:b/>
                <w:color w:val="000000"/>
                <w:sz w:val="24"/>
                <w:szCs w:val="24"/>
              </w:rPr>
              <w:t>,</w:t>
            </w:r>
            <w:r w:rsidR="00C81FE9">
              <w:rPr>
                <w:rFonts w:ascii="Arial" w:hAnsi="Arial"/>
                <w:b/>
                <w:color w:val="000000"/>
                <w:sz w:val="24"/>
                <w:szCs w:val="24"/>
              </w:rPr>
              <w:t>232</w:t>
            </w:r>
          </w:p>
        </w:tc>
      </w:tr>
    </w:tbl>
    <w:p w14:paraId="7EBB7091" w14:textId="77777777" w:rsidR="002E24C5" w:rsidRDefault="002E24C5" w:rsidP="005E4F16">
      <w:pPr>
        <w:rPr>
          <w:rFonts w:ascii="Arial" w:hAnsi="Arial"/>
          <w:color w:val="000000"/>
          <w:sz w:val="24"/>
          <w:szCs w:val="24"/>
        </w:rPr>
      </w:pPr>
    </w:p>
    <w:p w14:paraId="77DA639B" w14:textId="77777777" w:rsidR="00CD7DAE" w:rsidRDefault="00CD7DAE" w:rsidP="005E4F16">
      <w:pPr>
        <w:rPr>
          <w:rFonts w:ascii="Arial" w:hAnsi="Arial"/>
          <w:color w:val="000000"/>
          <w:sz w:val="24"/>
          <w:szCs w:val="24"/>
        </w:rPr>
      </w:pPr>
    </w:p>
    <w:p w14:paraId="102C381C" w14:textId="77777777" w:rsidR="00CD7DAE" w:rsidRPr="002E24C5" w:rsidRDefault="00CD7DAE" w:rsidP="005E4F16">
      <w:pPr>
        <w:rPr>
          <w:rFonts w:ascii="Arial" w:hAnsi="Arial"/>
          <w:color w:val="000000"/>
          <w:sz w:val="24"/>
          <w:szCs w:val="24"/>
        </w:rPr>
      </w:pPr>
    </w:p>
    <w:p w14:paraId="0B7134F6" w14:textId="77777777" w:rsidR="002E24C5" w:rsidRPr="002E24C5" w:rsidRDefault="002E24C5" w:rsidP="005E4F16">
      <w:pPr>
        <w:tabs>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r w:rsidRPr="002E24C5">
        <w:rPr>
          <w:rFonts w:ascii="Arial" w:hAnsi="Arial"/>
          <w:color w:val="000000"/>
          <w:sz w:val="24"/>
          <w:szCs w:val="24"/>
        </w:rPr>
        <w:t xml:space="preserve">The financial statements </w:t>
      </w:r>
      <w:r w:rsidR="005B582A" w:rsidRPr="0032357B">
        <w:rPr>
          <w:rFonts w:ascii="Arial" w:hAnsi="Arial"/>
          <w:color w:val="000000"/>
          <w:sz w:val="24"/>
          <w:szCs w:val="24"/>
        </w:rPr>
        <w:t xml:space="preserve">on pages </w:t>
      </w:r>
      <w:r w:rsidR="00F54769" w:rsidRPr="0032357B">
        <w:rPr>
          <w:rFonts w:ascii="Arial" w:hAnsi="Arial"/>
          <w:color w:val="000000"/>
          <w:sz w:val="24"/>
          <w:szCs w:val="24"/>
        </w:rPr>
        <w:t>8</w:t>
      </w:r>
      <w:r w:rsidR="00AF2234">
        <w:rPr>
          <w:rFonts w:ascii="Arial" w:hAnsi="Arial"/>
          <w:color w:val="000000"/>
          <w:sz w:val="24"/>
          <w:szCs w:val="24"/>
        </w:rPr>
        <w:t>1</w:t>
      </w:r>
      <w:r w:rsidR="007A1E4B" w:rsidRPr="0032357B">
        <w:rPr>
          <w:rFonts w:ascii="Arial" w:hAnsi="Arial"/>
          <w:color w:val="000000"/>
          <w:sz w:val="24"/>
          <w:szCs w:val="24"/>
        </w:rPr>
        <w:t xml:space="preserve"> </w:t>
      </w:r>
      <w:r w:rsidR="00080F08" w:rsidRPr="0032357B">
        <w:rPr>
          <w:rFonts w:ascii="Arial" w:hAnsi="Arial"/>
          <w:sz w:val="24"/>
          <w:szCs w:val="24"/>
        </w:rPr>
        <w:t xml:space="preserve">to </w:t>
      </w:r>
      <w:r w:rsidR="00CC0670" w:rsidRPr="0032357B">
        <w:rPr>
          <w:rFonts w:ascii="Arial" w:hAnsi="Arial"/>
          <w:sz w:val="24"/>
          <w:szCs w:val="24"/>
        </w:rPr>
        <w:t>1</w:t>
      </w:r>
      <w:r w:rsidR="00D9324B">
        <w:rPr>
          <w:rFonts w:ascii="Arial" w:hAnsi="Arial"/>
          <w:sz w:val="24"/>
          <w:szCs w:val="24"/>
        </w:rPr>
        <w:t>18</w:t>
      </w:r>
      <w:r w:rsidR="00FD12AA" w:rsidRPr="0032357B">
        <w:rPr>
          <w:rFonts w:ascii="Arial" w:hAnsi="Arial"/>
          <w:color w:val="FF0000"/>
          <w:sz w:val="24"/>
          <w:szCs w:val="24"/>
        </w:rPr>
        <w:t xml:space="preserve"> </w:t>
      </w:r>
      <w:r w:rsidR="00920F2C" w:rsidRPr="0032357B">
        <w:rPr>
          <w:rFonts w:ascii="Arial" w:hAnsi="Arial"/>
          <w:sz w:val="24"/>
          <w:szCs w:val="24"/>
        </w:rPr>
        <w:t>summarise</w:t>
      </w:r>
      <w:r w:rsidR="00920F2C" w:rsidRPr="0032357B">
        <w:rPr>
          <w:rFonts w:ascii="Arial" w:hAnsi="Arial"/>
          <w:color w:val="000000"/>
          <w:sz w:val="24"/>
          <w:szCs w:val="24"/>
        </w:rPr>
        <w:t xml:space="preserve"> the transa</w:t>
      </w:r>
      <w:r w:rsidRPr="0032357B">
        <w:rPr>
          <w:rFonts w:ascii="Arial" w:hAnsi="Arial"/>
          <w:color w:val="000000"/>
          <w:sz w:val="24"/>
          <w:szCs w:val="24"/>
        </w:rPr>
        <w:t>ctions of the Fund and deal with the net assets at the disposal of the</w:t>
      </w:r>
      <w:r w:rsidR="00CA19E1" w:rsidRPr="0032357B">
        <w:rPr>
          <w:rFonts w:ascii="Arial" w:hAnsi="Arial"/>
          <w:color w:val="000000"/>
          <w:sz w:val="24"/>
          <w:szCs w:val="24"/>
        </w:rPr>
        <w:t xml:space="preserve"> Pensio</w:t>
      </w:r>
      <w:r w:rsidR="00CA19E1">
        <w:rPr>
          <w:rFonts w:ascii="Arial" w:hAnsi="Arial"/>
          <w:color w:val="000000"/>
          <w:sz w:val="24"/>
          <w:szCs w:val="24"/>
        </w:rPr>
        <w:t>n Fund Committee</w:t>
      </w:r>
      <w:r w:rsidRPr="002E24C5">
        <w:rPr>
          <w:rFonts w:ascii="Arial" w:hAnsi="Arial"/>
          <w:color w:val="000000"/>
          <w:sz w:val="24"/>
          <w:szCs w:val="24"/>
        </w:rPr>
        <w:t>. The</w:t>
      </w:r>
      <w:r w:rsidR="00CA19E1">
        <w:rPr>
          <w:rFonts w:ascii="Arial" w:hAnsi="Arial"/>
          <w:color w:val="000000"/>
          <w:sz w:val="24"/>
          <w:szCs w:val="24"/>
        </w:rPr>
        <w:t xml:space="preserve"> financial Statements</w:t>
      </w:r>
      <w:r w:rsidR="00220515">
        <w:rPr>
          <w:rFonts w:ascii="Arial" w:hAnsi="Arial"/>
          <w:color w:val="000000"/>
          <w:sz w:val="24"/>
          <w:szCs w:val="24"/>
        </w:rPr>
        <w:t xml:space="preserve"> </w:t>
      </w:r>
      <w:r w:rsidR="00920F2C">
        <w:rPr>
          <w:rFonts w:ascii="Arial" w:hAnsi="Arial"/>
          <w:color w:val="000000"/>
          <w:sz w:val="24"/>
          <w:szCs w:val="24"/>
        </w:rPr>
        <w:t>d</w:t>
      </w:r>
      <w:r w:rsidRPr="002E24C5">
        <w:rPr>
          <w:rFonts w:ascii="Arial" w:hAnsi="Arial"/>
          <w:color w:val="000000"/>
          <w:sz w:val="24"/>
          <w:szCs w:val="24"/>
        </w:rPr>
        <w:t>o not take account of liabilities and other benefits</w:t>
      </w:r>
      <w:r w:rsidR="00920F2C">
        <w:rPr>
          <w:rFonts w:ascii="Arial" w:hAnsi="Arial"/>
          <w:color w:val="000000"/>
          <w:sz w:val="24"/>
          <w:szCs w:val="24"/>
        </w:rPr>
        <w:t xml:space="preserve"> </w:t>
      </w:r>
      <w:r w:rsidR="0017799F">
        <w:rPr>
          <w:rFonts w:ascii="Arial" w:hAnsi="Arial"/>
          <w:color w:val="000000"/>
          <w:sz w:val="24"/>
          <w:szCs w:val="24"/>
        </w:rPr>
        <w:t xml:space="preserve">which fall due </w:t>
      </w:r>
      <w:r w:rsidR="00220515">
        <w:rPr>
          <w:rFonts w:ascii="Arial" w:hAnsi="Arial"/>
          <w:color w:val="000000"/>
          <w:sz w:val="24"/>
          <w:szCs w:val="24"/>
        </w:rPr>
        <w:t>af</w:t>
      </w:r>
      <w:r w:rsidRPr="002E24C5">
        <w:rPr>
          <w:rFonts w:ascii="Arial" w:hAnsi="Arial"/>
          <w:color w:val="000000"/>
          <w:sz w:val="24"/>
          <w:szCs w:val="24"/>
        </w:rPr>
        <w:t xml:space="preserve">ter the period end. The actuarial position of the Fund, which does take account of such liabilities, is dealt with in the Statement of the Actuary in the Annual Report of the Pension Fund and a summary is included </w:t>
      </w:r>
      <w:r w:rsidR="00D6238F">
        <w:rPr>
          <w:rFonts w:ascii="Arial" w:hAnsi="Arial"/>
          <w:color w:val="000000"/>
          <w:sz w:val="24"/>
          <w:szCs w:val="24"/>
        </w:rPr>
        <w:t xml:space="preserve">in </w:t>
      </w:r>
      <w:r w:rsidR="007F5263">
        <w:rPr>
          <w:rFonts w:ascii="Arial" w:hAnsi="Arial"/>
          <w:color w:val="000000"/>
          <w:sz w:val="24"/>
          <w:szCs w:val="24"/>
        </w:rPr>
        <w:t xml:space="preserve">Part D </w:t>
      </w:r>
      <w:r w:rsidR="005D3C69">
        <w:rPr>
          <w:rFonts w:ascii="Arial" w:hAnsi="Arial"/>
          <w:color w:val="000000"/>
          <w:sz w:val="24"/>
          <w:szCs w:val="24"/>
        </w:rPr>
        <w:t>of th</w:t>
      </w:r>
      <w:r w:rsidR="007F5263">
        <w:rPr>
          <w:rFonts w:ascii="Arial" w:hAnsi="Arial"/>
          <w:color w:val="000000"/>
          <w:sz w:val="24"/>
          <w:szCs w:val="24"/>
        </w:rPr>
        <w:t>is report and these accounts</w:t>
      </w:r>
      <w:r w:rsidRPr="002E24C5">
        <w:rPr>
          <w:rFonts w:ascii="Arial" w:hAnsi="Arial"/>
          <w:color w:val="000000"/>
          <w:sz w:val="24"/>
          <w:szCs w:val="24"/>
        </w:rPr>
        <w:t xml:space="preserve"> should be read in conjunction with this</w:t>
      </w:r>
      <w:r w:rsidR="00920F2C">
        <w:rPr>
          <w:rFonts w:ascii="Arial" w:hAnsi="Arial"/>
          <w:color w:val="000000"/>
          <w:sz w:val="24"/>
          <w:szCs w:val="24"/>
        </w:rPr>
        <w:t xml:space="preserve"> information</w:t>
      </w:r>
      <w:r w:rsidRPr="002E24C5">
        <w:rPr>
          <w:rFonts w:ascii="Arial" w:hAnsi="Arial"/>
          <w:i/>
          <w:color w:val="000000"/>
          <w:sz w:val="24"/>
          <w:szCs w:val="24"/>
        </w:rPr>
        <w:t>.</w:t>
      </w:r>
    </w:p>
    <w:p w14:paraId="110969FB" w14:textId="77777777" w:rsidR="008A275E" w:rsidRDefault="008A275E" w:rsidP="005E4F16">
      <w:pPr>
        <w:rPr>
          <w:rFonts w:ascii="Arial" w:hAnsi="Arial"/>
          <w:sz w:val="24"/>
          <w:szCs w:val="24"/>
        </w:rPr>
      </w:pPr>
    </w:p>
    <w:p w14:paraId="313386E5" w14:textId="77777777" w:rsidR="002E24C5" w:rsidRDefault="002E24C5" w:rsidP="005E4F16">
      <w:pPr>
        <w:rPr>
          <w:rFonts w:ascii="Arial" w:hAnsi="Arial"/>
          <w:sz w:val="24"/>
          <w:szCs w:val="24"/>
        </w:rPr>
      </w:pPr>
    </w:p>
    <w:p w14:paraId="20CAC853" w14:textId="77777777" w:rsidR="00CD7DAE" w:rsidRDefault="00CD7DAE" w:rsidP="005E4F16">
      <w:pPr>
        <w:rPr>
          <w:rFonts w:ascii="Arial" w:hAnsi="Arial"/>
          <w:sz w:val="24"/>
          <w:szCs w:val="24"/>
        </w:rPr>
      </w:pPr>
    </w:p>
    <w:p w14:paraId="1E73D66C" w14:textId="77777777" w:rsidR="00483A71" w:rsidRDefault="00483A71" w:rsidP="005E4F16">
      <w:pPr>
        <w:rPr>
          <w:rFonts w:ascii="Arial" w:hAnsi="Arial"/>
          <w:sz w:val="24"/>
          <w:szCs w:val="24"/>
        </w:rPr>
      </w:pPr>
    </w:p>
    <w:p w14:paraId="5CF59E89" w14:textId="77777777" w:rsidR="00CD7DAE" w:rsidRDefault="00CD7DAE" w:rsidP="005E4F16">
      <w:pPr>
        <w:rPr>
          <w:rFonts w:ascii="Arial" w:hAnsi="Arial"/>
          <w:sz w:val="24"/>
          <w:szCs w:val="24"/>
        </w:rPr>
      </w:pPr>
    </w:p>
    <w:p w14:paraId="55CFDB8A" w14:textId="77777777" w:rsidR="00233DE8" w:rsidRDefault="00233DE8" w:rsidP="005E4F16">
      <w:pPr>
        <w:rPr>
          <w:rFonts w:ascii="Arial" w:hAnsi="Arial"/>
          <w:sz w:val="24"/>
          <w:szCs w:val="24"/>
        </w:rPr>
      </w:pPr>
    </w:p>
    <w:p w14:paraId="22261AF2" w14:textId="77777777" w:rsidR="00233DE8" w:rsidRDefault="00233DE8" w:rsidP="005E4F16">
      <w:pPr>
        <w:rPr>
          <w:rFonts w:ascii="Arial" w:hAnsi="Arial"/>
          <w:sz w:val="24"/>
          <w:szCs w:val="24"/>
        </w:rPr>
      </w:pPr>
    </w:p>
    <w:p w14:paraId="2AE47947" w14:textId="77777777" w:rsidR="00CD7DAE" w:rsidRDefault="00CD7DAE" w:rsidP="005E4F16">
      <w:pPr>
        <w:rPr>
          <w:rFonts w:ascii="Arial" w:hAnsi="Arial"/>
          <w:sz w:val="24"/>
          <w:szCs w:val="24"/>
        </w:rPr>
      </w:pPr>
    </w:p>
    <w:p w14:paraId="1A0D5796" w14:textId="77777777" w:rsidR="00183858" w:rsidRDefault="00183858" w:rsidP="005E4F16">
      <w:pPr>
        <w:rPr>
          <w:rFonts w:ascii="Arial" w:hAnsi="Arial"/>
          <w:sz w:val="24"/>
          <w:szCs w:val="24"/>
        </w:rPr>
      </w:pPr>
    </w:p>
    <w:p w14:paraId="0CE5D137" w14:textId="77777777" w:rsidR="00183858" w:rsidRDefault="00183858" w:rsidP="005E4F16">
      <w:pPr>
        <w:rPr>
          <w:rFonts w:ascii="Arial" w:hAnsi="Arial"/>
          <w:sz w:val="24"/>
          <w:szCs w:val="24"/>
        </w:rPr>
      </w:pPr>
    </w:p>
    <w:p w14:paraId="6797D58A" w14:textId="77777777" w:rsidR="00CD7DAE" w:rsidRDefault="00CD7DAE" w:rsidP="005E4F16">
      <w:pPr>
        <w:rPr>
          <w:rFonts w:ascii="Arial" w:hAnsi="Arial"/>
          <w:sz w:val="24"/>
          <w:szCs w:val="24"/>
        </w:rPr>
      </w:pPr>
    </w:p>
    <w:p w14:paraId="46E7EF91" w14:textId="77777777" w:rsidR="00CD7DAE" w:rsidRDefault="00CD7DAE" w:rsidP="005E4F16">
      <w:pPr>
        <w:rPr>
          <w:rFonts w:ascii="Arial" w:hAnsi="Arial"/>
          <w:sz w:val="24"/>
          <w:szCs w:val="24"/>
        </w:rPr>
      </w:pPr>
    </w:p>
    <w:p w14:paraId="4ADE5EBF" w14:textId="77777777" w:rsidR="00CD7DAE" w:rsidRDefault="00CD7DAE" w:rsidP="005E4F16">
      <w:pPr>
        <w:rPr>
          <w:rFonts w:ascii="Arial" w:hAnsi="Arial"/>
          <w:sz w:val="24"/>
          <w:szCs w:val="24"/>
        </w:rPr>
      </w:pPr>
    </w:p>
    <w:p w14:paraId="4FE5B3C1" w14:textId="77777777" w:rsidR="002E24C5" w:rsidRDefault="00215333"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center"/>
        <w:outlineLvl w:val="0"/>
        <w:rPr>
          <w:rFonts w:ascii="Arial" w:hAnsi="Arial"/>
          <w:b/>
          <w:bCs/>
          <w:sz w:val="24"/>
          <w:szCs w:val="24"/>
          <w:u w:val="single"/>
        </w:rPr>
      </w:pPr>
      <w:r>
        <w:rPr>
          <w:rFonts w:ascii="Arial" w:hAnsi="Arial"/>
          <w:b/>
          <w:bCs/>
          <w:sz w:val="24"/>
          <w:szCs w:val="24"/>
          <w:u w:val="single"/>
        </w:rPr>
        <w:t>Not</w:t>
      </w:r>
      <w:r w:rsidR="002E24C5" w:rsidRPr="002E24C5">
        <w:rPr>
          <w:rFonts w:ascii="Arial" w:hAnsi="Arial"/>
          <w:b/>
          <w:bCs/>
          <w:sz w:val="24"/>
          <w:szCs w:val="24"/>
          <w:u w:val="single"/>
        </w:rPr>
        <w:t xml:space="preserve">es to the </w:t>
      </w:r>
      <w:r w:rsidR="00DA74F5">
        <w:rPr>
          <w:rFonts w:ascii="Arial" w:hAnsi="Arial"/>
          <w:b/>
          <w:bCs/>
          <w:sz w:val="24"/>
          <w:szCs w:val="24"/>
          <w:u w:val="single"/>
        </w:rPr>
        <w:t>Financial Statements</w:t>
      </w:r>
    </w:p>
    <w:p w14:paraId="3A2DE24F" w14:textId="77777777" w:rsidR="00233DE8" w:rsidRPr="002E24C5" w:rsidRDefault="00233DE8"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center"/>
        <w:outlineLvl w:val="0"/>
        <w:rPr>
          <w:rFonts w:ascii="Arial" w:hAnsi="Arial"/>
          <w:b/>
          <w:color w:val="000000"/>
          <w:sz w:val="24"/>
          <w:szCs w:val="24"/>
          <w:u w:val="single"/>
        </w:rPr>
      </w:pPr>
    </w:p>
    <w:p w14:paraId="0D4FB975" w14:textId="77777777" w:rsidR="002E24C5" w:rsidRPr="002E24C5" w:rsidRDefault="002E24C5" w:rsidP="009E72D7">
      <w:pPr>
        <w:numPr>
          <w:ilvl w:val="0"/>
          <w:numId w:val="5"/>
        </w:numPr>
        <w:tabs>
          <w:tab w:val="left" w:pos="864"/>
          <w:tab w:val="right" w:pos="5184"/>
          <w:tab w:val="right" w:pos="6624"/>
          <w:tab w:val="right" w:pos="8640"/>
          <w:tab w:val="right" w:pos="10080"/>
        </w:tabs>
        <w:jc w:val="both"/>
        <w:rPr>
          <w:rFonts w:ascii="Arial" w:hAnsi="Arial"/>
          <w:b/>
          <w:color w:val="000000"/>
          <w:sz w:val="24"/>
          <w:szCs w:val="24"/>
        </w:rPr>
      </w:pPr>
      <w:r w:rsidRPr="002E24C5">
        <w:rPr>
          <w:rFonts w:ascii="Arial" w:hAnsi="Arial"/>
          <w:b/>
          <w:color w:val="000000"/>
          <w:sz w:val="24"/>
          <w:szCs w:val="24"/>
        </w:rPr>
        <w:t>Basis of preparation</w:t>
      </w:r>
    </w:p>
    <w:p w14:paraId="468A7F4A" w14:textId="77777777" w:rsidR="00754C78" w:rsidRDefault="002E24C5" w:rsidP="005E4F16">
      <w:pPr>
        <w:tabs>
          <w:tab w:val="left" w:pos="864"/>
          <w:tab w:val="right" w:pos="5184"/>
          <w:tab w:val="right" w:pos="6624"/>
          <w:tab w:val="right" w:pos="8640"/>
          <w:tab w:val="right" w:pos="10080"/>
        </w:tabs>
        <w:jc w:val="both"/>
        <w:rPr>
          <w:rFonts w:ascii="Arial" w:hAnsi="Arial"/>
          <w:sz w:val="24"/>
          <w:szCs w:val="24"/>
        </w:rPr>
      </w:pPr>
      <w:r w:rsidRPr="002E24C5">
        <w:rPr>
          <w:rFonts w:ascii="Arial" w:hAnsi="Arial"/>
          <w:sz w:val="24"/>
          <w:szCs w:val="24"/>
        </w:rPr>
        <w:t xml:space="preserve">The </w:t>
      </w:r>
      <w:r w:rsidR="00DA74F5">
        <w:rPr>
          <w:rFonts w:ascii="Arial" w:hAnsi="Arial"/>
          <w:sz w:val="24"/>
          <w:szCs w:val="24"/>
        </w:rPr>
        <w:t>financial s</w:t>
      </w:r>
      <w:r w:rsidR="00D6238F">
        <w:rPr>
          <w:rFonts w:ascii="Arial" w:hAnsi="Arial"/>
          <w:sz w:val="24"/>
          <w:szCs w:val="24"/>
        </w:rPr>
        <w:t>tatement</w:t>
      </w:r>
      <w:r w:rsidR="00DA74F5">
        <w:rPr>
          <w:rFonts w:ascii="Arial" w:hAnsi="Arial"/>
          <w:sz w:val="24"/>
          <w:szCs w:val="24"/>
        </w:rPr>
        <w:t xml:space="preserve">s </w:t>
      </w:r>
      <w:r w:rsidR="00D6238F">
        <w:rPr>
          <w:rFonts w:ascii="Arial" w:hAnsi="Arial"/>
          <w:sz w:val="24"/>
          <w:szCs w:val="24"/>
        </w:rPr>
        <w:t xml:space="preserve">summarise the </w:t>
      </w:r>
      <w:r w:rsidR="00DA74F5">
        <w:rPr>
          <w:rFonts w:ascii="Arial" w:hAnsi="Arial"/>
          <w:sz w:val="24"/>
          <w:szCs w:val="24"/>
        </w:rPr>
        <w:t>f</w:t>
      </w:r>
      <w:r w:rsidR="00D6238F">
        <w:rPr>
          <w:rFonts w:ascii="Arial" w:hAnsi="Arial"/>
          <w:sz w:val="24"/>
          <w:szCs w:val="24"/>
        </w:rPr>
        <w:t xml:space="preserve">und’s transactions for the </w:t>
      </w:r>
      <w:r w:rsidR="00A570F5">
        <w:rPr>
          <w:rFonts w:ascii="Arial" w:hAnsi="Arial"/>
          <w:sz w:val="24"/>
          <w:szCs w:val="24"/>
        </w:rPr>
        <w:t>2021/22</w:t>
      </w:r>
      <w:r w:rsidR="007B6769">
        <w:rPr>
          <w:rFonts w:ascii="Arial" w:hAnsi="Arial"/>
          <w:sz w:val="24"/>
          <w:szCs w:val="24"/>
        </w:rPr>
        <w:t xml:space="preserve"> f</w:t>
      </w:r>
      <w:r w:rsidR="00D6238F">
        <w:rPr>
          <w:rFonts w:ascii="Arial" w:hAnsi="Arial"/>
          <w:sz w:val="24"/>
          <w:szCs w:val="24"/>
        </w:rPr>
        <w:t>inancial year and its position at year-end 31 March 20</w:t>
      </w:r>
      <w:r w:rsidR="00183858">
        <w:rPr>
          <w:rFonts w:ascii="Arial" w:hAnsi="Arial"/>
          <w:sz w:val="24"/>
          <w:szCs w:val="24"/>
        </w:rPr>
        <w:t>2</w:t>
      </w:r>
      <w:r w:rsidR="00A570F5">
        <w:rPr>
          <w:rFonts w:ascii="Arial" w:hAnsi="Arial"/>
          <w:sz w:val="24"/>
          <w:szCs w:val="24"/>
        </w:rPr>
        <w:t>2</w:t>
      </w:r>
      <w:r w:rsidR="00D6238F">
        <w:rPr>
          <w:rFonts w:ascii="Arial" w:hAnsi="Arial"/>
          <w:sz w:val="24"/>
          <w:szCs w:val="24"/>
        </w:rPr>
        <w:t xml:space="preserve">. The </w:t>
      </w:r>
      <w:r w:rsidR="00DA74F5">
        <w:rPr>
          <w:rFonts w:ascii="Arial" w:hAnsi="Arial"/>
          <w:sz w:val="24"/>
          <w:szCs w:val="24"/>
        </w:rPr>
        <w:t>financial statements</w:t>
      </w:r>
      <w:r w:rsidRPr="002E24C5">
        <w:rPr>
          <w:rFonts w:ascii="Arial" w:hAnsi="Arial"/>
          <w:sz w:val="24"/>
          <w:szCs w:val="24"/>
        </w:rPr>
        <w:t xml:space="preserve"> have been prepared </w:t>
      </w:r>
      <w:r w:rsidR="00D6238F">
        <w:rPr>
          <w:rFonts w:ascii="Arial" w:hAnsi="Arial"/>
          <w:sz w:val="24"/>
          <w:szCs w:val="24"/>
        </w:rPr>
        <w:t>in accordance</w:t>
      </w:r>
      <w:r w:rsidR="00754C78">
        <w:rPr>
          <w:rFonts w:ascii="Arial" w:hAnsi="Arial"/>
          <w:sz w:val="24"/>
          <w:szCs w:val="24"/>
        </w:rPr>
        <w:t xml:space="preserve"> with the</w:t>
      </w:r>
      <w:r w:rsidR="00E76C3A">
        <w:rPr>
          <w:rFonts w:ascii="Arial" w:hAnsi="Arial"/>
          <w:sz w:val="24"/>
          <w:szCs w:val="24"/>
        </w:rPr>
        <w:t xml:space="preserve"> </w:t>
      </w:r>
      <w:r w:rsidR="00E76C3A" w:rsidRPr="00754C78">
        <w:rPr>
          <w:rFonts w:ascii="Arial" w:hAnsi="Arial"/>
          <w:i/>
          <w:sz w:val="24"/>
          <w:szCs w:val="24"/>
        </w:rPr>
        <w:t xml:space="preserve">Code of Practice on Local Authority Accounting in the United Kingdom </w:t>
      </w:r>
      <w:r w:rsidR="00A570F5">
        <w:rPr>
          <w:rFonts w:ascii="Arial" w:hAnsi="Arial"/>
          <w:i/>
          <w:sz w:val="24"/>
          <w:szCs w:val="24"/>
        </w:rPr>
        <w:t>2021/22</w:t>
      </w:r>
      <w:r w:rsidR="00754C78">
        <w:rPr>
          <w:rFonts w:ascii="Arial" w:hAnsi="Arial"/>
          <w:sz w:val="24"/>
          <w:szCs w:val="24"/>
        </w:rPr>
        <w:t xml:space="preserve"> which is based upon International Financial Reporting Standards (IFRS), as amended for the UK public sector.</w:t>
      </w:r>
    </w:p>
    <w:p w14:paraId="4A422627" w14:textId="77777777" w:rsidR="008A275E" w:rsidRDefault="008A275E" w:rsidP="005E4F16">
      <w:pPr>
        <w:tabs>
          <w:tab w:val="left" w:pos="864"/>
          <w:tab w:val="right" w:pos="5184"/>
          <w:tab w:val="right" w:pos="6624"/>
          <w:tab w:val="right" w:pos="8640"/>
          <w:tab w:val="right" w:pos="10080"/>
        </w:tabs>
        <w:jc w:val="both"/>
        <w:rPr>
          <w:rFonts w:ascii="Arial" w:hAnsi="Arial"/>
          <w:sz w:val="24"/>
          <w:szCs w:val="24"/>
        </w:rPr>
      </w:pPr>
    </w:p>
    <w:p w14:paraId="66BE9210" w14:textId="77777777" w:rsidR="008A275E" w:rsidRDefault="008A275E" w:rsidP="005E4F16">
      <w:pPr>
        <w:tabs>
          <w:tab w:val="left" w:pos="864"/>
          <w:tab w:val="right" w:pos="5184"/>
          <w:tab w:val="right" w:pos="6624"/>
          <w:tab w:val="right" w:pos="8640"/>
          <w:tab w:val="right" w:pos="10080"/>
        </w:tabs>
        <w:jc w:val="both"/>
        <w:rPr>
          <w:rFonts w:ascii="Arial" w:hAnsi="Arial"/>
          <w:sz w:val="24"/>
          <w:szCs w:val="24"/>
        </w:rPr>
      </w:pPr>
      <w:r>
        <w:rPr>
          <w:rFonts w:ascii="Arial" w:hAnsi="Arial"/>
          <w:sz w:val="24"/>
          <w:szCs w:val="24"/>
        </w:rPr>
        <w:t>The financial statements do not take account of liabilities and other benefits which fall due after the period end.</w:t>
      </w:r>
    </w:p>
    <w:p w14:paraId="37F65F3B" w14:textId="77777777" w:rsidR="00754C78" w:rsidRDefault="00754C78" w:rsidP="005E4F16">
      <w:pPr>
        <w:tabs>
          <w:tab w:val="left" w:pos="864"/>
          <w:tab w:val="right" w:pos="5184"/>
          <w:tab w:val="right" w:pos="6624"/>
          <w:tab w:val="right" w:pos="8640"/>
          <w:tab w:val="right" w:pos="10080"/>
        </w:tabs>
        <w:jc w:val="both"/>
        <w:rPr>
          <w:rFonts w:ascii="Arial" w:hAnsi="Arial"/>
          <w:sz w:val="24"/>
          <w:szCs w:val="24"/>
        </w:rPr>
      </w:pPr>
    </w:p>
    <w:p w14:paraId="01B03819" w14:textId="77777777" w:rsidR="002E24C5" w:rsidRPr="002E24C5" w:rsidRDefault="002E24C5" w:rsidP="009E72D7">
      <w:pPr>
        <w:numPr>
          <w:ilvl w:val="0"/>
          <w:numId w:val="5"/>
        </w:numPr>
        <w:tabs>
          <w:tab w:val="left" w:pos="864"/>
          <w:tab w:val="right" w:pos="5184"/>
          <w:tab w:val="right" w:pos="6624"/>
          <w:tab w:val="right" w:pos="8640"/>
          <w:tab w:val="right" w:pos="10080"/>
        </w:tabs>
        <w:jc w:val="both"/>
        <w:rPr>
          <w:rFonts w:ascii="Arial" w:hAnsi="Arial"/>
          <w:b/>
          <w:sz w:val="24"/>
          <w:szCs w:val="24"/>
        </w:rPr>
      </w:pPr>
      <w:r w:rsidRPr="002E24C5">
        <w:rPr>
          <w:rFonts w:ascii="Arial" w:hAnsi="Arial"/>
          <w:b/>
          <w:sz w:val="24"/>
          <w:szCs w:val="24"/>
        </w:rPr>
        <w:t>Accounting Policies</w:t>
      </w:r>
    </w:p>
    <w:p w14:paraId="6064CC81" w14:textId="77777777" w:rsidR="002E24C5" w:rsidRPr="002E24C5" w:rsidRDefault="002E24C5" w:rsidP="005E4F16">
      <w:pPr>
        <w:pStyle w:val="BodyText"/>
        <w:rPr>
          <w:szCs w:val="24"/>
        </w:rPr>
      </w:pPr>
      <w:r w:rsidRPr="002E24C5">
        <w:rPr>
          <w:szCs w:val="24"/>
        </w:rPr>
        <w:t>The following princip</w:t>
      </w:r>
      <w:r w:rsidR="008B125A">
        <w:rPr>
          <w:szCs w:val="24"/>
        </w:rPr>
        <w:t>le</w:t>
      </w:r>
      <w:r w:rsidRPr="002E24C5">
        <w:rPr>
          <w:szCs w:val="24"/>
        </w:rPr>
        <w:t xml:space="preserve"> accounting policies, which have been applied consistently (except as noted below), have been adopted in the preparation of the financial statements:</w:t>
      </w:r>
    </w:p>
    <w:p w14:paraId="16065E44" w14:textId="77777777" w:rsidR="002E24C5" w:rsidRPr="002E24C5" w:rsidRDefault="002E24C5" w:rsidP="005E4F16">
      <w:pPr>
        <w:tabs>
          <w:tab w:val="right" w:pos="5184"/>
          <w:tab w:val="right" w:pos="6624"/>
          <w:tab w:val="right" w:pos="8640"/>
          <w:tab w:val="right" w:pos="10080"/>
        </w:tabs>
        <w:jc w:val="both"/>
        <w:rPr>
          <w:rFonts w:ascii="Arial" w:hAnsi="Arial"/>
          <w:sz w:val="24"/>
          <w:szCs w:val="24"/>
        </w:rPr>
      </w:pPr>
    </w:p>
    <w:p w14:paraId="0D5B0251" w14:textId="77777777" w:rsidR="002E24C5" w:rsidRPr="002E24C5" w:rsidRDefault="002E24C5" w:rsidP="005E4F16">
      <w:pPr>
        <w:tabs>
          <w:tab w:val="left" w:pos="630"/>
          <w:tab w:val="right" w:pos="5184"/>
          <w:tab w:val="right" w:pos="6624"/>
          <w:tab w:val="right" w:pos="8640"/>
          <w:tab w:val="right" w:pos="10080"/>
        </w:tabs>
        <w:jc w:val="both"/>
        <w:rPr>
          <w:rFonts w:ascii="Arial" w:hAnsi="Arial"/>
          <w:b/>
          <w:sz w:val="24"/>
          <w:szCs w:val="24"/>
        </w:rPr>
      </w:pPr>
      <w:r w:rsidRPr="002E24C5">
        <w:rPr>
          <w:rFonts w:ascii="Arial" w:hAnsi="Arial"/>
          <w:b/>
          <w:sz w:val="24"/>
          <w:szCs w:val="24"/>
        </w:rPr>
        <w:t>(a)</w:t>
      </w:r>
      <w:r w:rsidR="00997AE0">
        <w:rPr>
          <w:rFonts w:ascii="Arial" w:hAnsi="Arial"/>
          <w:b/>
          <w:sz w:val="24"/>
          <w:szCs w:val="24"/>
        </w:rPr>
        <w:tab/>
      </w:r>
      <w:r w:rsidRPr="002E24C5">
        <w:rPr>
          <w:rFonts w:ascii="Arial" w:hAnsi="Arial"/>
          <w:b/>
          <w:sz w:val="24"/>
          <w:szCs w:val="24"/>
        </w:rPr>
        <w:t>Contributions</w:t>
      </w:r>
    </w:p>
    <w:p w14:paraId="777485F5" w14:textId="77777777" w:rsidR="002E24C5" w:rsidRDefault="002E24C5" w:rsidP="005E4F16">
      <w:pPr>
        <w:pStyle w:val="BodyText"/>
        <w:rPr>
          <w:szCs w:val="24"/>
        </w:rPr>
      </w:pPr>
      <w:r w:rsidRPr="002E24C5">
        <w:rPr>
          <w:szCs w:val="24"/>
        </w:rPr>
        <w:t xml:space="preserve">Normal contributions, both from the </w:t>
      </w:r>
      <w:r w:rsidR="00BC258B">
        <w:rPr>
          <w:szCs w:val="24"/>
        </w:rPr>
        <w:t>employees</w:t>
      </w:r>
      <w:r w:rsidRPr="002E24C5">
        <w:rPr>
          <w:szCs w:val="24"/>
        </w:rPr>
        <w:t xml:space="preserve"> and from the employer, are accounted for on an accruals basis in the month employee contributions are deducted from the payroll.</w:t>
      </w:r>
    </w:p>
    <w:p w14:paraId="4C441279" w14:textId="77777777" w:rsidR="00FD778E" w:rsidRDefault="00FD778E" w:rsidP="005E4F16">
      <w:pPr>
        <w:pStyle w:val="BodyText"/>
        <w:rPr>
          <w:szCs w:val="24"/>
        </w:rPr>
      </w:pPr>
    </w:p>
    <w:p w14:paraId="6A857935" w14:textId="77777777" w:rsidR="002E24C5" w:rsidRDefault="002E24C5" w:rsidP="005E4F16">
      <w:pPr>
        <w:pStyle w:val="BodyText"/>
        <w:rPr>
          <w:szCs w:val="24"/>
        </w:rPr>
      </w:pPr>
      <w:r w:rsidRPr="002E24C5">
        <w:rPr>
          <w:szCs w:val="24"/>
        </w:rPr>
        <w:t xml:space="preserve">Early Access contributions from the employers are accounted for in accordance with the agreement under which they are paid, or in the absence of such an agreement, when received.  Under current rules, employers can exercise discretion to give access to a person’s pension rights early (other than for ill health). </w:t>
      </w:r>
      <w:r w:rsidR="00997AE0">
        <w:rPr>
          <w:szCs w:val="24"/>
        </w:rPr>
        <w:t xml:space="preserve"> </w:t>
      </w:r>
      <w:r w:rsidRPr="002E24C5">
        <w:rPr>
          <w:szCs w:val="24"/>
        </w:rPr>
        <w:t xml:space="preserve">Where this is done, the additional pension costs arising are recharged to the relevant employer and do not fall as a cost to the </w:t>
      </w:r>
      <w:r w:rsidR="00D87A9F">
        <w:rPr>
          <w:szCs w:val="24"/>
        </w:rPr>
        <w:t>F</w:t>
      </w:r>
      <w:r w:rsidRPr="002E24C5">
        <w:rPr>
          <w:szCs w:val="24"/>
        </w:rPr>
        <w:t>und.</w:t>
      </w:r>
      <w:r w:rsidR="00E76C3A">
        <w:rPr>
          <w:szCs w:val="24"/>
        </w:rPr>
        <w:t xml:space="preserve"> Under local agreements some Employers have exercised the right to make these repayments over three years incurring the relevant interest costs.</w:t>
      </w:r>
      <w:r w:rsidR="00BC258B">
        <w:rPr>
          <w:szCs w:val="24"/>
        </w:rPr>
        <w:t xml:space="preserve"> As a result total income is recognised in the Fund Account with amounts outstanding from Employers within debtors.</w:t>
      </w:r>
    </w:p>
    <w:p w14:paraId="1D87CA83" w14:textId="77777777" w:rsidR="00E76C3A" w:rsidRDefault="00E76C3A" w:rsidP="005E4F16">
      <w:pPr>
        <w:pStyle w:val="BodyText"/>
        <w:rPr>
          <w:szCs w:val="24"/>
        </w:rPr>
      </w:pPr>
    </w:p>
    <w:p w14:paraId="7D70B869" w14:textId="77777777" w:rsidR="00E76C3A" w:rsidRPr="002E24C5" w:rsidRDefault="00E76C3A" w:rsidP="005E4F16">
      <w:pPr>
        <w:pStyle w:val="BodyText"/>
        <w:rPr>
          <w:szCs w:val="24"/>
        </w:rPr>
      </w:pPr>
      <w:r>
        <w:rPr>
          <w:szCs w:val="24"/>
        </w:rPr>
        <w:t>Other Contributions relate to additional pension contributions paid in order to purchase additional pension benefits.</w:t>
      </w:r>
    </w:p>
    <w:p w14:paraId="685F9685" w14:textId="77777777" w:rsidR="002E24C5" w:rsidRPr="002E24C5" w:rsidRDefault="002E24C5" w:rsidP="005E4F16">
      <w:pPr>
        <w:tabs>
          <w:tab w:val="right" w:pos="5184"/>
          <w:tab w:val="right" w:pos="6624"/>
          <w:tab w:val="right" w:pos="8640"/>
          <w:tab w:val="right" w:pos="10080"/>
        </w:tabs>
        <w:jc w:val="both"/>
        <w:rPr>
          <w:rFonts w:ascii="Arial" w:hAnsi="Arial"/>
          <w:sz w:val="24"/>
          <w:szCs w:val="24"/>
        </w:rPr>
      </w:pPr>
    </w:p>
    <w:p w14:paraId="361E4841" w14:textId="77777777" w:rsidR="002E24C5" w:rsidRPr="002E24C5" w:rsidRDefault="002E24C5" w:rsidP="005E4F16">
      <w:pPr>
        <w:tabs>
          <w:tab w:val="left" w:pos="720"/>
          <w:tab w:val="right" w:pos="5184"/>
          <w:tab w:val="right" w:pos="6624"/>
          <w:tab w:val="right" w:pos="8640"/>
          <w:tab w:val="right" w:pos="10080"/>
        </w:tabs>
        <w:jc w:val="both"/>
        <w:rPr>
          <w:rFonts w:ascii="Arial" w:hAnsi="Arial"/>
          <w:b/>
          <w:sz w:val="24"/>
          <w:szCs w:val="24"/>
        </w:rPr>
      </w:pPr>
      <w:r w:rsidRPr="002E24C5">
        <w:rPr>
          <w:rFonts w:ascii="Arial" w:hAnsi="Arial"/>
          <w:b/>
          <w:sz w:val="24"/>
          <w:szCs w:val="24"/>
        </w:rPr>
        <w:t>(b)</w:t>
      </w:r>
      <w:r w:rsidR="00997AE0">
        <w:rPr>
          <w:rFonts w:ascii="Arial" w:hAnsi="Arial"/>
          <w:b/>
          <w:sz w:val="24"/>
          <w:szCs w:val="24"/>
        </w:rPr>
        <w:tab/>
      </w:r>
      <w:r w:rsidRPr="002E24C5">
        <w:rPr>
          <w:rFonts w:ascii="Arial" w:hAnsi="Arial"/>
          <w:b/>
          <w:sz w:val="24"/>
          <w:szCs w:val="24"/>
        </w:rPr>
        <w:t>Benefits</w:t>
      </w:r>
    </w:p>
    <w:p w14:paraId="42C6BA95" w14:textId="77777777" w:rsidR="002E24C5" w:rsidRPr="002E24C5" w:rsidRDefault="002E24C5" w:rsidP="005E4F16">
      <w:pPr>
        <w:pStyle w:val="BodyText"/>
        <w:rPr>
          <w:szCs w:val="24"/>
        </w:rPr>
      </w:pPr>
      <w:r w:rsidRPr="002E24C5">
        <w:rPr>
          <w:szCs w:val="24"/>
        </w:rPr>
        <w:t>Where members can choose whether to take their benefits as a full pension or as a lump sum with reduced pension, retirement benefits are accounted for on an accruals basis on the later of the date of retirement and th</w:t>
      </w:r>
      <w:r w:rsidR="00127363">
        <w:rPr>
          <w:szCs w:val="24"/>
        </w:rPr>
        <w:t>e date the option is exercised.</w:t>
      </w:r>
    </w:p>
    <w:p w14:paraId="5CF0BF38" w14:textId="77777777" w:rsidR="002E24C5" w:rsidRPr="002E24C5" w:rsidRDefault="002E24C5" w:rsidP="005E4F16">
      <w:pPr>
        <w:pStyle w:val="BodyText"/>
        <w:rPr>
          <w:szCs w:val="24"/>
        </w:rPr>
      </w:pPr>
    </w:p>
    <w:p w14:paraId="1AE4A010" w14:textId="77777777" w:rsidR="002E24C5" w:rsidRDefault="002E24C5" w:rsidP="005E4F16">
      <w:pPr>
        <w:pStyle w:val="BodyText"/>
        <w:rPr>
          <w:szCs w:val="24"/>
        </w:rPr>
      </w:pPr>
      <w:r w:rsidRPr="002E24C5">
        <w:rPr>
          <w:szCs w:val="24"/>
        </w:rPr>
        <w:t>Other benefits are accounted for on an accruals basis on the date of retirement, death or leaving the Fund as appropriate.</w:t>
      </w:r>
    </w:p>
    <w:p w14:paraId="4FDD3BAF" w14:textId="77777777" w:rsidR="00E76C3A" w:rsidRDefault="00E76C3A" w:rsidP="005E4F16">
      <w:pPr>
        <w:pStyle w:val="BodyText"/>
        <w:rPr>
          <w:szCs w:val="24"/>
        </w:rPr>
      </w:pPr>
    </w:p>
    <w:p w14:paraId="7547996A" w14:textId="77777777" w:rsidR="002E24C5" w:rsidRPr="00A2737A" w:rsidRDefault="002E24C5" w:rsidP="005E4F16">
      <w:pPr>
        <w:pStyle w:val="Heading2"/>
        <w:tabs>
          <w:tab w:val="left" w:pos="720"/>
        </w:tabs>
        <w:rPr>
          <w:bCs/>
          <w:iCs/>
          <w:sz w:val="24"/>
          <w:szCs w:val="24"/>
        </w:rPr>
      </w:pPr>
      <w:r w:rsidRPr="00A2737A">
        <w:rPr>
          <w:bCs/>
          <w:iCs/>
          <w:sz w:val="24"/>
          <w:szCs w:val="24"/>
        </w:rPr>
        <w:t>(c)</w:t>
      </w:r>
      <w:r w:rsidR="00997AE0">
        <w:rPr>
          <w:bCs/>
          <w:iCs/>
          <w:sz w:val="24"/>
          <w:szCs w:val="24"/>
        </w:rPr>
        <w:tab/>
      </w:r>
      <w:r w:rsidRPr="00A2737A">
        <w:rPr>
          <w:bCs/>
          <w:iCs/>
          <w:sz w:val="24"/>
          <w:szCs w:val="24"/>
        </w:rPr>
        <w:t>Transfers to and from other Schemes</w:t>
      </w:r>
    </w:p>
    <w:p w14:paraId="56D5667A" w14:textId="77777777" w:rsidR="002E24C5" w:rsidRDefault="002E24C5" w:rsidP="005E4F16">
      <w:pPr>
        <w:pStyle w:val="BodyText"/>
        <w:rPr>
          <w:szCs w:val="24"/>
        </w:rPr>
      </w:pPr>
      <w:r w:rsidRPr="002E24C5">
        <w:rPr>
          <w:szCs w:val="24"/>
        </w:rPr>
        <w:t xml:space="preserve">Transfer values represent the capital sums either receivable in respect of members from other pension schemes of previous employers or payable to the pension schemes of new employers for members who have left the Fund. </w:t>
      </w:r>
      <w:r w:rsidR="00127363">
        <w:rPr>
          <w:szCs w:val="24"/>
        </w:rPr>
        <w:t xml:space="preserve"> </w:t>
      </w:r>
      <w:r w:rsidRPr="002E24C5">
        <w:rPr>
          <w:szCs w:val="24"/>
        </w:rPr>
        <w:t>They are accounted for on a cash basis or where Trustees have agreed to accept the liability in advance of receipt of funds on an accruals basis from the date of the agreement.</w:t>
      </w:r>
    </w:p>
    <w:p w14:paraId="53C9309C" w14:textId="77777777" w:rsidR="005F608C" w:rsidRDefault="005F608C" w:rsidP="005E4F16">
      <w:pPr>
        <w:pStyle w:val="BodyText"/>
        <w:rPr>
          <w:szCs w:val="24"/>
        </w:rPr>
      </w:pPr>
    </w:p>
    <w:p w14:paraId="685AA5CA" w14:textId="77777777" w:rsidR="00A8195E" w:rsidRDefault="00A8195E" w:rsidP="00A8195E">
      <w:pPr>
        <w:pStyle w:val="BodyText"/>
        <w:rPr>
          <w:szCs w:val="24"/>
        </w:rPr>
      </w:pPr>
    </w:p>
    <w:p w14:paraId="78971D68" w14:textId="77777777" w:rsidR="00A8195E" w:rsidRDefault="00A8195E" w:rsidP="00A8195E">
      <w:pPr>
        <w:pStyle w:val="BodyText"/>
        <w:rPr>
          <w:szCs w:val="24"/>
        </w:rPr>
      </w:pPr>
    </w:p>
    <w:p w14:paraId="5850159E" w14:textId="77777777" w:rsidR="00A8195E" w:rsidRPr="002E24C5" w:rsidRDefault="00A8195E" w:rsidP="00A8195E">
      <w:pPr>
        <w:tabs>
          <w:tab w:val="right" w:pos="284"/>
          <w:tab w:val="right" w:pos="567"/>
          <w:tab w:val="right" w:pos="720"/>
          <w:tab w:val="right" w:pos="5184"/>
          <w:tab w:val="right" w:pos="6624"/>
          <w:tab w:val="right" w:pos="8640"/>
          <w:tab w:val="right" w:pos="10080"/>
        </w:tabs>
        <w:jc w:val="both"/>
        <w:rPr>
          <w:rFonts w:ascii="Arial" w:hAnsi="Arial"/>
          <w:b/>
          <w:color w:val="000000"/>
          <w:sz w:val="24"/>
          <w:szCs w:val="24"/>
          <w:u w:val="single"/>
        </w:rPr>
      </w:pPr>
      <w:r w:rsidRPr="00A57F49">
        <w:rPr>
          <w:rFonts w:ascii="Arial" w:hAnsi="Arial"/>
          <w:b/>
          <w:sz w:val="24"/>
          <w:szCs w:val="24"/>
        </w:rPr>
        <w:t>Accounting Policies cont’d</w:t>
      </w:r>
    </w:p>
    <w:p w14:paraId="135A2B8A" w14:textId="77777777" w:rsidR="00A8195E" w:rsidRDefault="00A8195E" w:rsidP="005E4F16">
      <w:pPr>
        <w:pStyle w:val="BodyText"/>
        <w:rPr>
          <w:szCs w:val="24"/>
        </w:rPr>
      </w:pPr>
    </w:p>
    <w:p w14:paraId="0544F825" w14:textId="77777777" w:rsidR="005F608C" w:rsidRDefault="005F608C" w:rsidP="005E4F16">
      <w:pPr>
        <w:pStyle w:val="BodyText"/>
        <w:rPr>
          <w:szCs w:val="24"/>
        </w:rPr>
      </w:pPr>
      <w:r>
        <w:rPr>
          <w:szCs w:val="24"/>
        </w:rPr>
        <w:t>A bulk transfer involves a group of employees changing to a new employer in a different Fund or moving along with their existing employer to a new Fund. It is usually triggered by a contract being transferred, a service being restructured or a merger or acquisition involving an LGPS employer. They are accounted for on a cash basis, or on an accrual basis where the liability hasn’t been settled before the date of agreement.</w:t>
      </w:r>
    </w:p>
    <w:p w14:paraId="41F060F5" w14:textId="77777777" w:rsidR="00215333" w:rsidRDefault="00215333" w:rsidP="005E4F16">
      <w:pPr>
        <w:pStyle w:val="BodyText"/>
        <w:rPr>
          <w:szCs w:val="24"/>
        </w:rPr>
      </w:pPr>
    </w:p>
    <w:p w14:paraId="3DC475B7" w14:textId="77777777" w:rsidR="00B318A5" w:rsidRDefault="002E24C5" w:rsidP="009E72D7">
      <w:pPr>
        <w:numPr>
          <w:ilvl w:val="0"/>
          <w:numId w:val="9"/>
        </w:numPr>
        <w:tabs>
          <w:tab w:val="left" w:pos="720"/>
          <w:tab w:val="right" w:pos="5184"/>
          <w:tab w:val="right" w:pos="6624"/>
          <w:tab w:val="right" w:pos="8640"/>
          <w:tab w:val="right" w:pos="10080"/>
        </w:tabs>
        <w:ind w:hanging="1080"/>
        <w:jc w:val="both"/>
        <w:rPr>
          <w:rFonts w:ascii="Arial" w:hAnsi="Arial"/>
          <w:b/>
          <w:sz w:val="24"/>
          <w:szCs w:val="24"/>
        </w:rPr>
      </w:pPr>
      <w:r w:rsidRPr="00117F66">
        <w:rPr>
          <w:rFonts w:ascii="Arial" w:hAnsi="Arial"/>
          <w:b/>
          <w:sz w:val="24"/>
          <w:szCs w:val="24"/>
        </w:rPr>
        <w:t>Investments</w:t>
      </w:r>
    </w:p>
    <w:p w14:paraId="34E4B7BC" w14:textId="77777777" w:rsidR="00215333" w:rsidRDefault="00215333" w:rsidP="00215333">
      <w:pPr>
        <w:tabs>
          <w:tab w:val="right" w:pos="284"/>
          <w:tab w:val="right" w:pos="567"/>
          <w:tab w:val="right" w:pos="720"/>
          <w:tab w:val="right" w:pos="5184"/>
          <w:tab w:val="right" w:pos="6624"/>
          <w:tab w:val="right" w:pos="8640"/>
          <w:tab w:val="right" w:pos="10080"/>
        </w:tabs>
        <w:rPr>
          <w:rFonts w:ascii="Arial" w:hAnsi="Arial"/>
          <w:sz w:val="24"/>
          <w:szCs w:val="24"/>
        </w:rPr>
      </w:pPr>
      <w:r>
        <w:rPr>
          <w:rFonts w:ascii="Arial" w:hAnsi="Arial"/>
          <w:sz w:val="24"/>
          <w:szCs w:val="24"/>
        </w:rPr>
        <w:t>i) The net assets statement includes all assets and liabilities of the Fund at the 31</w:t>
      </w:r>
      <w:r w:rsidRPr="00215333">
        <w:rPr>
          <w:rFonts w:ascii="Arial" w:hAnsi="Arial"/>
          <w:sz w:val="24"/>
          <w:szCs w:val="24"/>
          <w:vertAlign w:val="superscript"/>
        </w:rPr>
        <w:t>st</w:t>
      </w:r>
      <w:r>
        <w:rPr>
          <w:rFonts w:ascii="Arial" w:hAnsi="Arial"/>
          <w:sz w:val="24"/>
          <w:szCs w:val="24"/>
        </w:rPr>
        <w:t xml:space="preserve"> March</w:t>
      </w:r>
      <w:r w:rsidR="00975DB0">
        <w:rPr>
          <w:rFonts w:ascii="Arial" w:hAnsi="Arial"/>
          <w:sz w:val="24"/>
          <w:szCs w:val="24"/>
        </w:rPr>
        <w:t>.</w:t>
      </w:r>
    </w:p>
    <w:p w14:paraId="4569815C" w14:textId="77777777" w:rsidR="00975DB0" w:rsidRDefault="00975DB0" w:rsidP="00215333">
      <w:pPr>
        <w:tabs>
          <w:tab w:val="right" w:pos="284"/>
          <w:tab w:val="right" w:pos="567"/>
          <w:tab w:val="right" w:pos="720"/>
          <w:tab w:val="right" w:pos="5184"/>
          <w:tab w:val="right" w:pos="6624"/>
          <w:tab w:val="right" w:pos="8640"/>
          <w:tab w:val="right" w:pos="10080"/>
        </w:tabs>
        <w:rPr>
          <w:rFonts w:ascii="Arial" w:hAnsi="Arial"/>
          <w:sz w:val="24"/>
          <w:szCs w:val="24"/>
        </w:rPr>
      </w:pPr>
    </w:p>
    <w:p w14:paraId="7B948CFF" w14:textId="77777777" w:rsidR="00215333" w:rsidRDefault="007F62C6" w:rsidP="005E4F16">
      <w:pPr>
        <w:tabs>
          <w:tab w:val="left" w:pos="2592"/>
          <w:tab w:val="left" w:pos="3456"/>
          <w:tab w:val="left" w:pos="4320"/>
          <w:tab w:val="left" w:pos="5184"/>
          <w:tab w:val="left" w:pos="6048"/>
          <w:tab w:val="left" w:pos="6912"/>
          <w:tab w:val="left" w:pos="7776"/>
          <w:tab w:val="right" w:pos="8640"/>
          <w:tab w:val="right" w:pos="10224"/>
        </w:tabs>
        <w:ind w:hanging="284"/>
        <w:jc w:val="both"/>
        <w:rPr>
          <w:rFonts w:ascii="Arial" w:hAnsi="Arial"/>
          <w:sz w:val="24"/>
          <w:szCs w:val="24"/>
        </w:rPr>
      </w:pPr>
      <w:r>
        <w:rPr>
          <w:rFonts w:ascii="Arial" w:hAnsi="Arial"/>
          <w:sz w:val="24"/>
          <w:szCs w:val="24"/>
        </w:rPr>
        <w:t xml:space="preserve">     </w:t>
      </w:r>
      <w:r w:rsidR="002E24C5" w:rsidRPr="00117F66">
        <w:rPr>
          <w:rFonts w:ascii="Arial" w:hAnsi="Arial"/>
          <w:sz w:val="24"/>
          <w:szCs w:val="24"/>
        </w:rPr>
        <w:t>ii)</w:t>
      </w:r>
      <w:r w:rsidR="00A57F49">
        <w:rPr>
          <w:rFonts w:ascii="Arial" w:hAnsi="Arial"/>
          <w:sz w:val="24"/>
          <w:szCs w:val="24"/>
        </w:rPr>
        <w:t xml:space="preserve"> Listed investments are included at the quoted </w:t>
      </w:r>
      <w:r w:rsidR="00DA74F5">
        <w:rPr>
          <w:rFonts w:ascii="Arial" w:hAnsi="Arial"/>
          <w:sz w:val="24"/>
          <w:szCs w:val="24"/>
        </w:rPr>
        <w:t xml:space="preserve">bid </w:t>
      </w:r>
      <w:r w:rsidR="00A57F49">
        <w:rPr>
          <w:rFonts w:ascii="Arial" w:hAnsi="Arial"/>
          <w:sz w:val="24"/>
          <w:szCs w:val="24"/>
        </w:rPr>
        <w:t>price as at 31</w:t>
      </w:r>
      <w:r w:rsidR="00A57F49" w:rsidRPr="00A57F49">
        <w:rPr>
          <w:rFonts w:ascii="Arial" w:hAnsi="Arial"/>
          <w:sz w:val="24"/>
          <w:szCs w:val="24"/>
          <w:vertAlign w:val="superscript"/>
        </w:rPr>
        <w:t>st</w:t>
      </w:r>
      <w:r w:rsidR="00A57F49">
        <w:rPr>
          <w:rFonts w:ascii="Arial" w:hAnsi="Arial"/>
          <w:sz w:val="24"/>
          <w:szCs w:val="24"/>
        </w:rPr>
        <w:t xml:space="preserve"> March</w:t>
      </w:r>
      <w:r w:rsidR="005926EF">
        <w:rPr>
          <w:rFonts w:ascii="Arial" w:hAnsi="Arial"/>
          <w:sz w:val="24"/>
          <w:szCs w:val="24"/>
        </w:rPr>
        <w:t>.</w:t>
      </w:r>
    </w:p>
    <w:p w14:paraId="0CF20608" w14:textId="77777777" w:rsidR="00975DB0" w:rsidRDefault="00975DB0" w:rsidP="005E4F16">
      <w:pPr>
        <w:tabs>
          <w:tab w:val="left" w:pos="2592"/>
          <w:tab w:val="left" w:pos="3456"/>
          <w:tab w:val="left" w:pos="4320"/>
          <w:tab w:val="left" w:pos="5184"/>
          <w:tab w:val="left" w:pos="6048"/>
          <w:tab w:val="left" w:pos="6912"/>
          <w:tab w:val="left" w:pos="7776"/>
          <w:tab w:val="right" w:pos="8640"/>
          <w:tab w:val="right" w:pos="10224"/>
        </w:tabs>
        <w:ind w:hanging="284"/>
        <w:jc w:val="both"/>
        <w:rPr>
          <w:rFonts w:ascii="Arial" w:hAnsi="Arial"/>
          <w:sz w:val="24"/>
          <w:szCs w:val="24"/>
        </w:rPr>
      </w:pPr>
    </w:p>
    <w:p w14:paraId="3BDE09E5" w14:textId="77777777" w:rsidR="002E24C5" w:rsidRDefault="002E24C5" w:rsidP="005E4F16">
      <w:pPr>
        <w:tabs>
          <w:tab w:val="right" w:pos="5184"/>
          <w:tab w:val="right" w:pos="6624"/>
          <w:tab w:val="right" w:pos="8640"/>
          <w:tab w:val="right" w:pos="10080"/>
        </w:tabs>
        <w:jc w:val="both"/>
        <w:rPr>
          <w:rFonts w:ascii="Arial" w:hAnsi="Arial"/>
          <w:sz w:val="24"/>
          <w:szCs w:val="24"/>
        </w:rPr>
      </w:pPr>
      <w:r w:rsidRPr="00117F66">
        <w:rPr>
          <w:rFonts w:ascii="Arial" w:hAnsi="Arial"/>
          <w:sz w:val="24"/>
          <w:szCs w:val="24"/>
        </w:rPr>
        <w:t xml:space="preserve">iii) </w:t>
      </w:r>
      <w:r w:rsidR="00A57F49">
        <w:rPr>
          <w:rFonts w:ascii="Arial" w:hAnsi="Arial"/>
          <w:sz w:val="24"/>
          <w:szCs w:val="24"/>
        </w:rPr>
        <w:t>Investments held in quoted pooled investment vehicles are valued at the closing bid price at 31</w:t>
      </w:r>
      <w:r w:rsidR="00A57F49" w:rsidRPr="00A57F49">
        <w:rPr>
          <w:rFonts w:ascii="Arial" w:hAnsi="Arial"/>
          <w:sz w:val="24"/>
          <w:szCs w:val="24"/>
          <w:vertAlign w:val="superscript"/>
        </w:rPr>
        <w:t>st</w:t>
      </w:r>
      <w:r w:rsidR="00A57F49">
        <w:rPr>
          <w:rFonts w:ascii="Arial" w:hAnsi="Arial"/>
          <w:sz w:val="24"/>
          <w:szCs w:val="24"/>
        </w:rPr>
        <w:t xml:space="preserve"> March if both bid and offer price are published; or, if single priced, at the closing single price.</w:t>
      </w:r>
      <w:r w:rsidR="008A275E">
        <w:rPr>
          <w:rFonts w:ascii="Arial" w:hAnsi="Arial"/>
          <w:sz w:val="24"/>
          <w:szCs w:val="24"/>
        </w:rPr>
        <w:t xml:space="preserve"> In the case of pooled investment vehicles that are accumulation funds, change in market value also includes income which is reinvested in the fund, net of applicable withholding tax.</w:t>
      </w:r>
    </w:p>
    <w:p w14:paraId="502E5761" w14:textId="77777777" w:rsidR="002E24C5" w:rsidRPr="00117F66" w:rsidRDefault="002E24C5" w:rsidP="005E4F16">
      <w:pPr>
        <w:tabs>
          <w:tab w:val="right" w:pos="5184"/>
          <w:tab w:val="right" w:pos="6624"/>
          <w:tab w:val="right" w:pos="8640"/>
          <w:tab w:val="right" w:pos="10080"/>
        </w:tabs>
        <w:jc w:val="both"/>
        <w:rPr>
          <w:rFonts w:ascii="Arial" w:hAnsi="Arial"/>
          <w:sz w:val="24"/>
          <w:szCs w:val="24"/>
        </w:rPr>
      </w:pPr>
    </w:p>
    <w:p w14:paraId="1CDAFF21" w14:textId="77777777" w:rsidR="002E24C5" w:rsidRPr="00117F66" w:rsidRDefault="002E24C5" w:rsidP="005E4F16">
      <w:pPr>
        <w:tabs>
          <w:tab w:val="right" w:pos="5184"/>
          <w:tab w:val="right" w:pos="6624"/>
          <w:tab w:val="right" w:pos="8640"/>
          <w:tab w:val="right" w:pos="10080"/>
        </w:tabs>
        <w:jc w:val="both"/>
        <w:rPr>
          <w:rFonts w:ascii="Arial" w:hAnsi="Arial"/>
          <w:sz w:val="24"/>
          <w:szCs w:val="24"/>
        </w:rPr>
      </w:pPr>
      <w:r w:rsidRPr="00117F66">
        <w:rPr>
          <w:rFonts w:ascii="Arial" w:hAnsi="Arial"/>
          <w:sz w:val="24"/>
          <w:szCs w:val="24"/>
        </w:rPr>
        <w:t>iv) Unquoted securities are valued by the relevant investment managers</w:t>
      </w:r>
      <w:r w:rsidR="00A57F49">
        <w:rPr>
          <w:rFonts w:ascii="Arial" w:hAnsi="Arial"/>
          <w:sz w:val="24"/>
          <w:szCs w:val="24"/>
        </w:rPr>
        <w:t xml:space="preserve"> based on the Fund’s share of the net assets or a single price advised by the Fund Manager</w:t>
      </w:r>
      <w:r w:rsidR="008A275E">
        <w:rPr>
          <w:rFonts w:ascii="Arial" w:hAnsi="Arial"/>
          <w:sz w:val="24"/>
          <w:szCs w:val="24"/>
        </w:rPr>
        <w:t>, in accordance with generally accepted guidelines</w:t>
      </w:r>
      <w:r w:rsidR="005926EF">
        <w:rPr>
          <w:rFonts w:ascii="Arial" w:hAnsi="Arial"/>
          <w:sz w:val="24"/>
          <w:szCs w:val="24"/>
        </w:rPr>
        <w:t>.</w:t>
      </w:r>
    </w:p>
    <w:p w14:paraId="187A5521" w14:textId="77777777" w:rsidR="002E24C5" w:rsidRPr="00117F66" w:rsidRDefault="002E24C5" w:rsidP="005E4F16">
      <w:pPr>
        <w:tabs>
          <w:tab w:val="right" w:pos="5184"/>
          <w:tab w:val="right" w:pos="6624"/>
          <w:tab w:val="right" w:pos="8640"/>
          <w:tab w:val="right" w:pos="10080"/>
        </w:tabs>
        <w:jc w:val="both"/>
        <w:rPr>
          <w:rFonts w:ascii="Arial" w:hAnsi="Arial"/>
          <w:color w:val="000000"/>
          <w:sz w:val="24"/>
          <w:szCs w:val="24"/>
        </w:rPr>
      </w:pPr>
    </w:p>
    <w:p w14:paraId="2820990C" w14:textId="77777777" w:rsidR="00A57F49" w:rsidRDefault="002E24C5" w:rsidP="005E4F16">
      <w:pPr>
        <w:tabs>
          <w:tab w:val="right" w:pos="5184"/>
          <w:tab w:val="right" w:pos="6624"/>
          <w:tab w:val="right" w:pos="8640"/>
          <w:tab w:val="right" w:pos="10080"/>
        </w:tabs>
        <w:jc w:val="both"/>
        <w:rPr>
          <w:rFonts w:ascii="Arial" w:hAnsi="Arial"/>
          <w:sz w:val="24"/>
          <w:szCs w:val="24"/>
        </w:rPr>
      </w:pPr>
      <w:r w:rsidRPr="00117F66">
        <w:rPr>
          <w:rFonts w:ascii="Arial" w:hAnsi="Arial"/>
          <w:sz w:val="24"/>
          <w:szCs w:val="24"/>
        </w:rPr>
        <w:t xml:space="preserve">v) </w:t>
      </w:r>
      <w:r w:rsidR="00A57F49">
        <w:rPr>
          <w:rFonts w:ascii="Arial" w:hAnsi="Arial"/>
          <w:sz w:val="24"/>
          <w:szCs w:val="24"/>
        </w:rPr>
        <w:t>Unit trusts are valued at the Managers’ bid prices at 31</w:t>
      </w:r>
      <w:r w:rsidR="00A57F49" w:rsidRPr="00A57F49">
        <w:rPr>
          <w:rFonts w:ascii="Arial" w:hAnsi="Arial"/>
          <w:sz w:val="24"/>
          <w:szCs w:val="24"/>
          <w:vertAlign w:val="superscript"/>
        </w:rPr>
        <w:t>st</w:t>
      </w:r>
      <w:r w:rsidR="00A57F49">
        <w:rPr>
          <w:rFonts w:ascii="Arial" w:hAnsi="Arial"/>
          <w:sz w:val="24"/>
          <w:szCs w:val="24"/>
        </w:rPr>
        <w:t xml:space="preserve"> March.</w:t>
      </w:r>
    </w:p>
    <w:p w14:paraId="059C34D5" w14:textId="77777777" w:rsidR="002E24C5" w:rsidRPr="00117F66" w:rsidRDefault="002E24C5" w:rsidP="005E4F16">
      <w:pPr>
        <w:tabs>
          <w:tab w:val="right" w:pos="5184"/>
          <w:tab w:val="right" w:pos="6624"/>
          <w:tab w:val="right" w:pos="8640"/>
          <w:tab w:val="right" w:pos="10080"/>
        </w:tabs>
        <w:jc w:val="both"/>
        <w:rPr>
          <w:rFonts w:ascii="Arial" w:hAnsi="Arial"/>
          <w:i/>
          <w:sz w:val="24"/>
          <w:szCs w:val="24"/>
        </w:rPr>
      </w:pPr>
    </w:p>
    <w:p w14:paraId="54A39031" w14:textId="77777777" w:rsidR="00A57F49" w:rsidRDefault="002E24C5" w:rsidP="005E4F16">
      <w:pPr>
        <w:tabs>
          <w:tab w:val="right" w:pos="5184"/>
          <w:tab w:val="right" w:pos="6624"/>
          <w:tab w:val="right" w:pos="8640"/>
          <w:tab w:val="right" w:pos="10080"/>
        </w:tabs>
        <w:jc w:val="both"/>
        <w:rPr>
          <w:rFonts w:ascii="Arial" w:hAnsi="Arial"/>
          <w:sz w:val="24"/>
          <w:szCs w:val="24"/>
        </w:rPr>
      </w:pPr>
      <w:r w:rsidRPr="00117F66">
        <w:rPr>
          <w:rFonts w:ascii="Arial" w:hAnsi="Arial"/>
          <w:sz w:val="24"/>
          <w:szCs w:val="24"/>
        </w:rPr>
        <w:t xml:space="preserve">vi) </w:t>
      </w:r>
      <w:r w:rsidR="00A57F49">
        <w:rPr>
          <w:rFonts w:ascii="Arial" w:hAnsi="Arial"/>
          <w:sz w:val="24"/>
          <w:szCs w:val="24"/>
        </w:rPr>
        <w:t>Accrued interest is excluded from the market value of fixed interest securities but is included in accrued investment income.</w:t>
      </w:r>
    </w:p>
    <w:p w14:paraId="21DF8636" w14:textId="77777777" w:rsidR="005B582A" w:rsidRDefault="005B582A" w:rsidP="005E4F16">
      <w:pPr>
        <w:tabs>
          <w:tab w:val="right" w:pos="5184"/>
          <w:tab w:val="right" w:pos="6624"/>
          <w:tab w:val="right" w:pos="8640"/>
          <w:tab w:val="right" w:pos="10080"/>
        </w:tabs>
        <w:jc w:val="both"/>
        <w:rPr>
          <w:rFonts w:ascii="Arial" w:hAnsi="Arial"/>
          <w:sz w:val="24"/>
          <w:szCs w:val="24"/>
        </w:rPr>
      </w:pPr>
    </w:p>
    <w:p w14:paraId="172C9A5D" w14:textId="77777777" w:rsidR="00A57F49" w:rsidRDefault="005B582A" w:rsidP="005B582A">
      <w:pPr>
        <w:tabs>
          <w:tab w:val="right" w:pos="5184"/>
          <w:tab w:val="right" w:pos="6624"/>
          <w:tab w:val="right" w:pos="8640"/>
          <w:tab w:val="right" w:pos="10080"/>
        </w:tabs>
        <w:jc w:val="both"/>
        <w:rPr>
          <w:rFonts w:ascii="Arial" w:hAnsi="Arial"/>
          <w:sz w:val="24"/>
          <w:szCs w:val="24"/>
        </w:rPr>
      </w:pPr>
      <w:r>
        <w:rPr>
          <w:rFonts w:ascii="Arial" w:hAnsi="Arial"/>
          <w:sz w:val="24"/>
          <w:szCs w:val="24"/>
        </w:rPr>
        <w:t xml:space="preserve">vii)  </w:t>
      </w:r>
      <w:r w:rsidR="00A57F49">
        <w:rPr>
          <w:rFonts w:ascii="Arial" w:hAnsi="Arial"/>
          <w:sz w:val="24"/>
          <w:szCs w:val="24"/>
        </w:rPr>
        <w:t xml:space="preserve">Investment management fees are accounted for on an accrual basis. </w:t>
      </w:r>
    </w:p>
    <w:p w14:paraId="252AA5F9" w14:textId="77777777" w:rsidR="005B582A" w:rsidRDefault="005B582A" w:rsidP="005B582A">
      <w:pPr>
        <w:tabs>
          <w:tab w:val="right" w:pos="5184"/>
          <w:tab w:val="right" w:pos="6624"/>
          <w:tab w:val="right" w:pos="8640"/>
          <w:tab w:val="right" w:pos="10080"/>
        </w:tabs>
        <w:jc w:val="both"/>
        <w:rPr>
          <w:rFonts w:ascii="Arial" w:hAnsi="Arial"/>
          <w:sz w:val="24"/>
          <w:szCs w:val="24"/>
        </w:rPr>
      </w:pPr>
    </w:p>
    <w:p w14:paraId="702E002B" w14:textId="77777777" w:rsidR="002E24C5" w:rsidRPr="00117F66" w:rsidRDefault="002E24C5" w:rsidP="005E4F16">
      <w:pPr>
        <w:tabs>
          <w:tab w:val="right" w:pos="5184"/>
          <w:tab w:val="right" w:pos="6624"/>
          <w:tab w:val="right" w:pos="8640"/>
          <w:tab w:val="right" w:pos="10080"/>
        </w:tabs>
        <w:jc w:val="both"/>
        <w:rPr>
          <w:rFonts w:ascii="Arial" w:hAnsi="Arial"/>
          <w:sz w:val="24"/>
          <w:szCs w:val="24"/>
        </w:rPr>
      </w:pPr>
      <w:r w:rsidRPr="00117F66">
        <w:rPr>
          <w:rFonts w:ascii="Arial" w:hAnsi="Arial"/>
          <w:sz w:val="24"/>
          <w:szCs w:val="24"/>
        </w:rPr>
        <w:t>vii</w:t>
      </w:r>
      <w:r w:rsidR="00A57F49">
        <w:rPr>
          <w:rFonts w:ascii="Arial" w:hAnsi="Arial"/>
          <w:sz w:val="24"/>
          <w:szCs w:val="24"/>
        </w:rPr>
        <w:t>i</w:t>
      </w:r>
      <w:r w:rsidRPr="00117F66">
        <w:rPr>
          <w:rFonts w:ascii="Arial" w:hAnsi="Arial"/>
          <w:sz w:val="24"/>
          <w:szCs w:val="24"/>
        </w:rPr>
        <w:t xml:space="preserve">) Transaction costs are </w:t>
      </w:r>
      <w:r w:rsidR="005F608C">
        <w:rPr>
          <w:rFonts w:ascii="Arial" w:hAnsi="Arial"/>
          <w:sz w:val="24"/>
          <w:szCs w:val="24"/>
        </w:rPr>
        <w:t>disclosed in Note 8 – Administrative and Investment Management Expenses</w:t>
      </w:r>
      <w:r w:rsidRPr="00117F66">
        <w:rPr>
          <w:rFonts w:ascii="Arial" w:hAnsi="Arial"/>
          <w:sz w:val="24"/>
          <w:szCs w:val="24"/>
        </w:rPr>
        <w:t>.</w:t>
      </w:r>
    </w:p>
    <w:p w14:paraId="2FC97319" w14:textId="77777777" w:rsidR="002E24C5" w:rsidRPr="00117F66" w:rsidRDefault="002E24C5" w:rsidP="005E4F16">
      <w:pPr>
        <w:tabs>
          <w:tab w:val="right" w:pos="5184"/>
          <w:tab w:val="right" w:pos="6624"/>
          <w:tab w:val="right" w:pos="8640"/>
          <w:tab w:val="right" w:pos="10080"/>
        </w:tabs>
        <w:jc w:val="both"/>
        <w:rPr>
          <w:rFonts w:ascii="Arial" w:hAnsi="Arial"/>
          <w:sz w:val="24"/>
          <w:szCs w:val="24"/>
        </w:rPr>
      </w:pPr>
    </w:p>
    <w:p w14:paraId="5E515B20" w14:textId="77777777" w:rsidR="002E24C5" w:rsidRDefault="00A57F49" w:rsidP="005E4F16">
      <w:pPr>
        <w:tabs>
          <w:tab w:val="right" w:pos="5184"/>
          <w:tab w:val="right" w:pos="6624"/>
          <w:tab w:val="right" w:pos="8640"/>
          <w:tab w:val="right" w:pos="10080"/>
        </w:tabs>
        <w:jc w:val="both"/>
        <w:rPr>
          <w:rFonts w:ascii="Arial" w:hAnsi="Arial"/>
          <w:sz w:val="24"/>
          <w:szCs w:val="24"/>
        </w:rPr>
      </w:pPr>
      <w:r>
        <w:rPr>
          <w:rFonts w:ascii="Arial" w:hAnsi="Arial"/>
          <w:sz w:val="24"/>
          <w:szCs w:val="24"/>
        </w:rPr>
        <w:t>ix</w:t>
      </w:r>
      <w:r w:rsidR="002E24C5" w:rsidRPr="00117F66">
        <w:rPr>
          <w:rFonts w:ascii="Arial" w:hAnsi="Arial"/>
          <w:sz w:val="24"/>
          <w:szCs w:val="24"/>
        </w:rPr>
        <w:t>) Investments held in foreign currencies have been translated into sterling values at the relevant rate ruling as at 31st March.</w:t>
      </w:r>
    </w:p>
    <w:p w14:paraId="7221BAAE" w14:textId="77777777" w:rsidR="00744BD8" w:rsidRDefault="00744BD8" w:rsidP="005E4F16">
      <w:pPr>
        <w:tabs>
          <w:tab w:val="right" w:pos="5184"/>
          <w:tab w:val="right" w:pos="6624"/>
          <w:tab w:val="right" w:pos="8640"/>
          <w:tab w:val="right" w:pos="10080"/>
        </w:tabs>
        <w:jc w:val="both"/>
        <w:rPr>
          <w:rFonts w:ascii="Arial" w:hAnsi="Arial"/>
          <w:sz w:val="24"/>
          <w:szCs w:val="24"/>
        </w:rPr>
      </w:pPr>
    </w:p>
    <w:p w14:paraId="1303A02C" w14:textId="77777777" w:rsidR="002E24C5" w:rsidRDefault="00744BD8" w:rsidP="005E4F16">
      <w:pPr>
        <w:tabs>
          <w:tab w:val="right" w:pos="5184"/>
          <w:tab w:val="right" w:pos="6624"/>
          <w:tab w:val="right" w:pos="8640"/>
          <w:tab w:val="right" w:pos="10080"/>
        </w:tabs>
        <w:jc w:val="both"/>
        <w:rPr>
          <w:rFonts w:ascii="Arial" w:hAnsi="Arial"/>
          <w:sz w:val="24"/>
          <w:szCs w:val="24"/>
        </w:rPr>
      </w:pPr>
      <w:r>
        <w:rPr>
          <w:rFonts w:ascii="Arial" w:hAnsi="Arial"/>
          <w:sz w:val="24"/>
          <w:szCs w:val="24"/>
        </w:rPr>
        <w:t xml:space="preserve">x) </w:t>
      </w:r>
      <w:r w:rsidR="00936DC6">
        <w:rPr>
          <w:rFonts w:ascii="Arial" w:hAnsi="Arial"/>
          <w:sz w:val="24"/>
          <w:szCs w:val="24"/>
        </w:rPr>
        <w:t>Property Funds/</w:t>
      </w:r>
      <w:r w:rsidR="005B582A">
        <w:rPr>
          <w:rFonts w:ascii="Arial" w:hAnsi="Arial"/>
          <w:sz w:val="24"/>
          <w:szCs w:val="24"/>
        </w:rPr>
        <w:t>U</w:t>
      </w:r>
      <w:r w:rsidR="00936DC6">
        <w:rPr>
          <w:rFonts w:ascii="Arial" w:hAnsi="Arial"/>
          <w:sz w:val="24"/>
          <w:szCs w:val="24"/>
        </w:rPr>
        <w:t>nit Trusts are valued at the bid market price, which is based upon regular independent valuation of the underlying property holdings of the Fund/Unit Trust.</w:t>
      </w:r>
    </w:p>
    <w:p w14:paraId="0D246E50" w14:textId="77777777" w:rsidR="00FD1AB1" w:rsidRDefault="00FD1AB1" w:rsidP="005E4F16">
      <w:pPr>
        <w:tabs>
          <w:tab w:val="right" w:pos="5184"/>
          <w:tab w:val="right" w:pos="6624"/>
          <w:tab w:val="right" w:pos="8640"/>
          <w:tab w:val="right" w:pos="10080"/>
        </w:tabs>
        <w:jc w:val="both"/>
        <w:rPr>
          <w:rFonts w:ascii="Arial" w:hAnsi="Arial"/>
          <w:sz w:val="24"/>
          <w:szCs w:val="24"/>
        </w:rPr>
      </w:pPr>
    </w:p>
    <w:p w14:paraId="49A89AA0" w14:textId="77777777" w:rsidR="00936DC6" w:rsidRDefault="00936DC6" w:rsidP="005E4F16">
      <w:pPr>
        <w:tabs>
          <w:tab w:val="right" w:pos="5184"/>
          <w:tab w:val="right" w:pos="6624"/>
          <w:tab w:val="right" w:pos="8640"/>
          <w:tab w:val="right" w:pos="10080"/>
        </w:tabs>
        <w:jc w:val="both"/>
        <w:rPr>
          <w:rFonts w:ascii="Arial" w:hAnsi="Arial"/>
          <w:b/>
          <w:sz w:val="24"/>
          <w:szCs w:val="24"/>
        </w:rPr>
      </w:pPr>
      <w:r w:rsidRPr="00D049FB">
        <w:rPr>
          <w:rFonts w:ascii="Arial" w:hAnsi="Arial"/>
          <w:b/>
          <w:sz w:val="24"/>
          <w:szCs w:val="24"/>
        </w:rPr>
        <w:t>(e)</w:t>
      </w:r>
      <w:r>
        <w:rPr>
          <w:rFonts w:ascii="Arial" w:hAnsi="Arial"/>
          <w:sz w:val="24"/>
          <w:szCs w:val="24"/>
        </w:rPr>
        <w:t xml:space="preserve"> </w:t>
      </w:r>
      <w:r w:rsidR="00FC044A">
        <w:rPr>
          <w:rFonts w:ascii="Arial" w:hAnsi="Arial"/>
          <w:sz w:val="24"/>
          <w:szCs w:val="24"/>
        </w:rPr>
        <w:t xml:space="preserve">    </w:t>
      </w:r>
      <w:r w:rsidRPr="00936DC6">
        <w:rPr>
          <w:rFonts w:ascii="Arial" w:hAnsi="Arial"/>
          <w:b/>
          <w:sz w:val="24"/>
          <w:szCs w:val="24"/>
        </w:rPr>
        <w:t>Financial Instruments</w:t>
      </w:r>
    </w:p>
    <w:p w14:paraId="6440C25E" w14:textId="77777777" w:rsidR="005F608C" w:rsidRDefault="00936DC6" w:rsidP="005F608C">
      <w:pPr>
        <w:tabs>
          <w:tab w:val="right" w:pos="5184"/>
          <w:tab w:val="right" w:pos="6624"/>
          <w:tab w:val="right" w:pos="8640"/>
          <w:tab w:val="right" w:pos="10080"/>
        </w:tabs>
        <w:jc w:val="both"/>
        <w:rPr>
          <w:rFonts w:ascii="Arial" w:hAnsi="Arial"/>
          <w:sz w:val="24"/>
          <w:szCs w:val="24"/>
        </w:rPr>
      </w:pPr>
      <w:r w:rsidRPr="00936DC6">
        <w:rPr>
          <w:rFonts w:ascii="Arial" w:hAnsi="Arial"/>
          <w:sz w:val="24"/>
          <w:szCs w:val="24"/>
        </w:rPr>
        <w:t>Pension Fund assets have been assessed as fair value through profit and loss in line with IAS19.</w:t>
      </w:r>
    </w:p>
    <w:p w14:paraId="236D6C9D" w14:textId="77777777" w:rsidR="00936DC6" w:rsidRDefault="00936DC6" w:rsidP="005E4F16">
      <w:pPr>
        <w:tabs>
          <w:tab w:val="right" w:pos="5184"/>
          <w:tab w:val="right" w:pos="6624"/>
          <w:tab w:val="right" w:pos="8640"/>
          <w:tab w:val="right" w:pos="10080"/>
        </w:tabs>
        <w:jc w:val="both"/>
        <w:rPr>
          <w:rFonts w:ascii="Arial" w:hAnsi="Arial"/>
          <w:sz w:val="24"/>
          <w:szCs w:val="24"/>
        </w:rPr>
      </w:pPr>
    </w:p>
    <w:p w14:paraId="37EC7C0E" w14:textId="77777777" w:rsidR="005F608C" w:rsidRDefault="00936DC6" w:rsidP="005E4F16">
      <w:pPr>
        <w:tabs>
          <w:tab w:val="right" w:pos="5184"/>
          <w:tab w:val="right" w:pos="6624"/>
          <w:tab w:val="right" w:pos="8640"/>
          <w:tab w:val="right" w:pos="10080"/>
        </w:tabs>
        <w:jc w:val="both"/>
        <w:rPr>
          <w:rFonts w:ascii="Arial" w:hAnsi="Arial"/>
          <w:b/>
          <w:sz w:val="24"/>
          <w:szCs w:val="24"/>
        </w:rPr>
      </w:pPr>
      <w:r w:rsidRPr="00936DC6">
        <w:rPr>
          <w:rFonts w:ascii="Arial" w:hAnsi="Arial"/>
          <w:b/>
          <w:sz w:val="24"/>
          <w:szCs w:val="24"/>
        </w:rPr>
        <w:t xml:space="preserve">(f) </w:t>
      </w:r>
      <w:r w:rsidR="00FC044A">
        <w:rPr>
          <w:rFonts w:ascii="Arial" w:hAnsi="Arial"/>
          <w:b/>
          <w:sz w:val="24"/>
          <w:szCs w:val="24"/>
        </w:rPr>
        <w:t xml:space="preserve">     </w:t>
      </w:r>
      <w:r w:rsidR="005F608C">
        <w:rPr>
          <w:rFonts w:ascii="Arial" w:hAnsi="Arial"/>
          <w:b/>
          <w:sz w:val="24"/>
          <w:szCs w:val="24"/>
        </w:rPr>
        <w:t>Management Expenses</w:t>
      </w:r>
    </w:p>
    <w:p w14:paraId="066007B2" w14:textId="77777777" w:rsidR="005F608C" w:rsidRPr="005F608C" w:rsidRDefault="005F608C" w:rsidP="005E4F16">
      <w:pPr>
        <w:tabs>
          <w:tab w:val="right" w:pos="5184"/>
          <w:tab w:val="right" w:pos="6624"/>
          <w:tab w:val="right" w:pos="8640"/>
          <w:tab w:val="right" w:pos="10080"/>
        </w:tabs>
        <w:jc w:val="both"/>
        <w:rPr>
          <w:rFonts w:ascii="Arial" w:hAnsi="Arial"/>
          <w:sz w:val="24"/>
          <w:szCs w:val="24"/>
        </w:rPr>
      </w:pPr>
      <w:r w:rsidRPr="005F608C">
        <w:rPr>
          <w:rFonts w:ascii="Arial" w:hAnsi="Arial"/>
          <w:sz w:val="24"/>
          <w:szCs w:val="24"/>
        </w:rPr>
        <w:t xml:space="preserve">The Fund discloses its pension fund management expenses in accordance with CIPFA guidance Accounting for Local Government Pension Scheme Management Expenses (2016). All items of expenditure are charged to the </w:t>
      </w:r>
      <w:r>
        <w:rPr>
          <w:rFonts w:ascii="Arial" w:hAnsi="Arial"/>
          <w:sz w:val="24"/>
          <w:szCs w:val="24"/>
        </w:rPr>
        <w:t>F</w:t>
      </w:r>
      <w:r w:rsidRPr="005F608C">
        <w:rPr>
          <w:rFonts w:ascii="Arial" w:hAnsi="Arial"/>
          <w:sz w:val="24"/>
          <w:szCs w:val="24"/>
        </w:rPr>
        <w:t>und on an accrual basis.</w:t>
      </w:r>
    </w:p>
    <w:p w14:paraId="2D13ECA4" w14:textId="77777777" w:rsidR="005F608C" w:rsidRPr="005F608C" w:rsidRDefault="005F608C" w:rsidP="005E4F16">
      <w:pPr>
        <w:tabs>
          <w:tab w:val="right" w:pos="5184"/>
          <w:tab w:val="right" w:pos="6624"/>
          <w:tab w:val="right" w:pos="8640"/>
          <w:tab w:val="right" w:pos="10080"/>
        </w:tabs>
        <w:jc w:val="both"/>
        <w:rPr>
          <w:rFonts w:ascii="Arial" w:hAnsi="Arial"/>
          <w:sz w:val="24"/>
          <w:szCs w:val="24"/>
        </w:rPr>
      </w:pPr>
    </w:p>
    <w:p w14:paraId="706A1329" w14:textId="77777777" w:rsidR="00A8195E" w:rsidRDefault="00A8195E" w:rsidP="005E4F16">
      <w:pPr>
        <w:tabs>
          <w:tab w:val="right" w:pos="5184"/>
          <w:tab w:val="right" w:pos="6624"/>
          <w:tab w:val="right" w:pos="8640"/>
          <w:tab w:val="right" w:pos="10080"/>
        </w:tabs>
        <w:jc w:val="both"/>
        <w:rPr>
          <w:rFonts w:ascii="Arial" w:hAnsi="Arial"/>
          <w:b/>
          <w:sz w:val="24"/>
          <w:szCs w:val="24"/>
        </w:rPr>
      </w:pPr>
    </w:p>
    <w:p w14:paraId="306E05F4" w14:textId="77777777" w:rsidR="00A8195E" w:rsidRDefault="00A8195E" w:rsidP="005E4F16">
      <w:pPr>
        <w:tabs>
          <w:tab w:val="right" w:pos="5184"/>
          <w:tab w:val="right" w:pos="6624"/>
          <w:tab w:val="right" w:pos="8640"/>
          <w:tab w:val="right" w:pos="10080"/>
        </w:tabs>
        <w:jc w:val="both"/>
        <w:rPr>
          <w:rFonts w:ascii="Arial" w:hAnsi="Arial"/>
          <w:b/>
          <w:sz w:val="24"/>
          <w:szCs w:val="24"/>
        </w:rPr>
      </w:pPr>
    </w:p>
    <w:p w14:paraId="07E73770" w14:textId="77777777" w:rsidR="00936DC6" w:rsidRDefault="005F608C" w:rsidP="005E4F16">
      <w:pPr>
        <w:tabs>
          <w:tab w:val="right" w:pos="5184"/>
          <w:tab w:val="right" w:pos="6624"/>
          <w:tab w:val="right" w:pos="8640"/>
          <w:tab w:val="right" w:pos="10080"/>
        </w:tabs>
        <w:jc w:val="both"/>
        <w:rPr>
          <w:rFonts w:ascii="Arial" w:hAnsi="Arial"/>
          <w:b/>
          <w:sz w:val="24"/>
          <w:szCs w:val="24"/>
        </w:rPr>
      </w:pPr>
      <w:r>
        <w:rPr>
          <w:rFonts w:ascii="Arial" w:hAnsi="Arial"/>
          <w:b/>
          <w:sz w:val="24"/>
          <w:szCs w:val="24"/>
        </w:rPr>
        <w:t xml:space="preserve">(g) </w:t>
      </w:r>
      <w:r w:rsidR="00B908F8">
        <w:rPr>
          <w:rFonts w:ascii="Arial" w:hAnsi="Arial"/>
          <w:b/>
          <w:sz w:val="24"/>
          <w:szCs w:val="24"/>
        </w:rPr>
        <w:t xml:space="preserve">    </w:t>
      </w:r>
      <w:r w:rsidR="00FC044A">
        <w:rPr>
          <w:rFonts w:ascii="Arial" w:hAnsi="Arial"/>
          <w:b/>
          <w:sz w:val="24"/>
          <w:szCs w:val="24"/>
        </w:rPr>
        <w:t>Cash and Cash Funds</w:t>
      </w:r>
    </w:p>
    <w:p w14:paraId="4C467657" w14:textId="77777777" w:rsidR="00936DC6" w:rsidRDefault="00FC044A" w:rsidP="005E4F16">
      <w:pPr>
        <w:tabs>
          <w:tab w:val="right" w:pos="5184"/>
          <w:tab w:val="right" w:pos="6624"/>
          <w:tab w:val="right" w:pos="8640"/>
          <w:tab w:val="right" w:pos="10080"/>
        </w:tabs>
        <w:jc w:val="both"/>
        <w:rPr>
          <w:rFonts w:ascii="Arial" w:hAnsi="Arial"/>
          <w:sz w:val="24"/>
          <w:szCs w:val="24"/>
        </w:rPr>
      </w:pPr>
      <w:r w:rsidRPr="00FC044A">
        <w:rPr>
          <w:rFonts w:ascii="Arial" w:hAnsi="Arial"/>
          <w:sz w:val="24"/>
          <w:szCs w:val="24"/>
        </w:rPr>
        <w:t xml:space="preserve">Cash comprises cash in hand and cash deposits. Cash funds are highly liquid </w:t>
      </w:r>
      <w:r w:rsidR="00B908F8">
        <w:rPr>
          <w:rFonts w:ascii="Arial" w:hAnsi="Arial"/>
          <w:sz w:val="24"/>
          <w:szCs w:val="24"/>
        </w:rPr>
        <w:t>investments that mature in three months from date of acquisition and that are readily convertible to known amounts of cash with insignificant risk of change in value.</w:t>
      </w:r>
    </w:p>
    <w:p w14:paraId="4636B95A" w14:textId="77777777" w:rsidR="00B908F8" w:rsidRPr="00117F66" w:rsidRDefault="00B908F8" w:rsidP="005E4F16">
      <w:pPr>
        <w:tabs>
          <w:tab w:val="right" w:pos="5184"/>
          <w:tab w:val="right" w:pos="6624"/>
          <w:tab w:val="right" w:pos="8640"/>
          <w:tab w:val="right" w:pos="10080"/>
        </w:tabs>
        <w:jc w:val="both"/>
        <w:rPr>
          <w:rFonts w:ascii="Arial" w:hAnsi="Arial"/>
          <w:sz w:val="24"/>
          <w:szCs w:val="24"/>
        </w:rPr>
      </w:pPr>
    </w:p>
    <w:p w14:paraId="3C71920E" w14:textId="77777777" w:rsidR="002E24C5" w:rsidRPr="00117F66" w:rsidRDefault="00127363" w:rsidP="005E4F16">
      <w:pPr>
        <w:tabs>
          <w:tab w:val="left" w:pos="720"/>
          <w:tab w:val="right" w:pos="5184"/>
          <w:tab w:val="right" w:pos="6624"/>
          <w:tab w:val="right" w:pos="8640"/>
          <w:tab w:val="right" w:pos="10080"/>
        </w:tabs>
        <w:jc w:val="both"/>
        <w:rPr>
          <w:rFonts w:ascii="Arial" w:hAnsi="Arial"/>
          <w:b/>
          <w:sz w:val="24"/>
          <w:szCs w:val="24"/>
        </w:rPr>
      </w:pPr>
      <w:r w:rsidRPr="00117F66">
        <w:rPr>
          <w:rFonts w:ascii="Arial" w:hAnsi="Arial"/>
          <w:b/>
          <w:sz w:val="24"/>
          <w:szCs w:val="24"/>
        </w:rPr>
        <w:t>(</w:t>
      </w:r>
      <w:r w:rsidR="005F608C">
        <w:rPr>
          <w:rFonts w:ascii="Arial" w:hAnsi="Arial"/>
          <w:b/>
          <w:sz w:val="24"/>
          <w:szCs w:val="24"/>
        </w:rPr>
        <w:t>h</w:t>
      </w:r>
      <w:r w:rsidR="00FC044A">
        <w:rPr>
          <w:rFonts w:ascii="Arial" w:hAnsi="Arial"/>
          <w:b/>
          <w:sz w:val="24"/>
          <w:szCs w:val="24"/>
        </w:rPr>
        <w:t xml:space="preserve">)     </w:t>
      </w:r>
      <w:r w:rsidR="002E24C5" w:rsidRPr="00117F66">
        <w:rPr>
          <w:rFonts w:ascii="Arial" w:hAnsi="Arial"/>
          <w:b/>
          <w:sz w:val="24"/>
          <w:szCs w:val="24"/>
        </w:rPr>
        <w:t xml:space="preserve"> </w:t>
      </w:r>
      <w:r w:rsidR="00C50D6E">
        <w:rPr>
          <w:rFonts w:ascii="Arial" w:hAnsi="Arial"/>
          <w:b/>
          <w:sz w:val="24"/>
          <w:szCs w:val="24"/>
        </w:rPr>
        <w:t xml:space="preserve">Investment </w:t>
      </w:r>
      <w:r w:rsidR="002E24C5" w:rsidRPr="00117F66">
        <w:rPr>
          <w:rFonts w:ascii="Arial" w:hAnsi="Arial"/>
          <w:b/>
          <w:sz w:val="24"/>
          <w:szCs w:val="24"/>
        </w:rPr>
        <w:t>Income</w:t>
      </w:r>
    </w:p>
    <w:p w14:paraId="6BFCED30" w14:textId="77777777" w:rsidR="002E24C5" w:rsidRDefault="002E24C5" w:rsidP="005E4F16">
      <w:pPr>
        <w:autoSpaceDE w:val="0"/>
        <w:autoSpaceDN w:val="0"/>
        <w:adjustRightInd w:val="0"/>
        <w:jc w:val="both"/>
        <w:rPr>
          <w:rFonts w:ascii="Arial" w:hAnsi="Arial"/>
          <w:sz w:val="24"/>
          <w:szCs w:val="24"/>
        </w:rPr>
      </w:pPr>
      <w:r w:rsidRPr="00117F66">
        <w:rPr>
          <w:rFonts w:ascii="Arial" w:hAnsi="Arial"/>
          <w:sz w:val="24"/>
          <w:szCs w:val="24"/>
        </w:rPr>
        <w:t>Investment income and interest received are accounted for on an accruals basis. When an investment is valued ex dividend, the dividend is included in the</w:t>
      </w:r>
      <w:r w:rsidR="00936DC6">
        <w:rPr>
          <w:rFonts w:ascii="Arial" w:hAnsi="Arial"/>
          <w:sz w:val="24"/>
          <w:szCs w:val="24"/>
        </w:rPr>
        <w:t xml:space="preserve"> Fund</w:t>
      </w:r>
      <w:r w:rsidRPr="00117F66">
        <w:rPr>
          <w:rFonts w:ascii="Arial" w:hAnsi="Arial"/>
          <w:sz w:val="24"/>
          <w:szCs w:val="24"/>
        </w:rPr>
        <w:t xml:space="preserve"> account.</w:t>
      </w:r>
      <w:r w:rsidR="00BC258B">
        <w:rPr>
          <w:rFonts w:ascii="Arial" w:hAnsi="Arial"/>
          <w:sz w:val="24"/>
          <w:szCs w:val="24"/>
        </w:rPr>
        <w:t xml:space="preserve"> Distributions from pooled investment vehicles are automatically reinvested in the relevant fund.</w:t>
      </w:r>
    </w:p>
    <w:p w14:paraId="61243CED" w14:textId="77777777" w:rsidR="002E24C5" w:rsidRPr="00117F66" w:rsidRDefault="002E24C5" w:rsidP="005E4F16">
      <w:pPr>
        <w:tabs>
          <w:tab w:val="right" w:pos="5184"/>
          <w:tab w:val="right" w:pos="6624"/>
          <w:tab w:val="right" w:pos="8640"/>
          <w:tab w:val="right" w:pos="10080"/>
        </w:tabs>
        <w:jc w:val="both"/>
        <w:rPr>
          <w:rFonts w:ascii="Arial" w:hAnsi="Arial"/>
          <w:sz w:val="24"/>
          <w:szCs w:val="24"/>
        </w:rPr>
      </w:pPr>
    </w:p>
    <w:p w14:paraId="46423EEB" w14:textId="77777777" w:rsidR="002E24C5" w:rsidRDefault="00127363" w:rsidP="005E4F16">
      <w:pPr>
        <w:tabs>
          <w:tab w:val="left" w:pos="720"/>
          <w:tab w:val="right" w:pos="5184"/>
          <w:tab w:val="right" w:pos="6624"/>
          <w:tab w:val="right" w:pos="8640"/>
          <w:tab w:val="right" w:pos="10080"/>
        </w:tabs>
        <w:jc w:val="both"/>
        <w:rPr>
          <w:rFonts w:ascii="Arial" w:hAnsi="Arial"/>
          <w:b/>
          <w:sz w:val="24"/>
          <w:szCs w:val="24"/>
        </w:rPr>
      </w:pPr>
      <w:r w:rsidRPr="00117F66">
        <w:rPr>
          <w:rFonts w:ascii="Arial" w:hAnsi="Arial"/>
          <w:b/>
          <w:sz w:val="24"/>
          <w:szCs w:val="24"/>
        </w:rPr>
        <w:t>(</w:t>
      </w:r>
      <w:r w:rsidR="005F608C">
        <w:rPr>
          <w:rFonts w:ascii="Arial" w:hAnsi="Arial"/>
          <w:b/>
          <w:sz w:val="24"/>
          <w:szCs w:val="24"/>
        </w:rPr>
        <w:t>i</w:t>
      </w:r>
      <w:r w:rsidRPr="00117F66">
        <w:rPr>
          <w:rFonts w:ascii="Arial" w:hAnsi="Arial"/>
          <w:b/>
          <w:sz w:val="24"/>
          <w:szCs w:val="24"/>
        </w:rPr>
        <w:t>)</w:t>
      </w:r>
      <w:r w:rsidR="00FC044A">
        <w:rPr>
          <w:rFonts w:ascii="Arial" w:hAnsi="Arial"/>
          <w:b/>
          <w:sz w:val="24"/>
          <w:szCs w:val="24"/>
        </w:rPr>
        <w:t xml:space="preserve">  </w:t>
      </w:r>
      <w:r w:rsidR="000F5313">
        <w:rPr>
          <w:rFonts w:ascii="Arial" w:hAnsi="Arial"/>
          <w:b/>
          <w:sz w:val="24"/>
          <w:szCs w:val="24"/>
        </w:rPr>
        <w:t>Assumptions made about the future and other major sources of estimation uncertainty</w:t>
      </w:r>
    </w:p>
    <w:p w14:paraId="767489A5" w14:textId="77777777" w:rsidR="000F5313" w:rsidRDefault="000F5313" w:rsidP="005E4F16">
      <w:pPr>
        <w:tabs>
          <w:tab w:val="left" w:pos="720"/>
          <w:tab w:val="right" w:pos="5184"/>
          <w:tab w:val="right" w:pos="6624"/>
          <w:tab w:val="right" w:pos="8640"/>
          <w:tab w:val="right" w:pos="10080"/>
        </w:tabs>
        <w:jc w:val="both"/>
        <w:rPr>
          <w:rFonts w:ascii="Arial" w:hAnsi="Arial"/>
          <w:b/>
          <w:sz w:val="24"/>
          <w:szCs w:val="24"/>
        </w:rPr>
      </w:pPr>
    </w:p>
    <w:p w14:paraId="6FD17BB2" w14:textId="77777777" w:rsidR="00E37B8A" w:rsidRPr="00135E52" w:rsidRDefault="000F5313" w:rsidP="00E37B8A">
      <w:pPr>
        <w:jc w:val="both"/>
        <w:rPr>
          <w:rFonts w:ascii="Arial" w:hAnsi="Arial" w:cs="Arial"/>
          <w:sz w:val="24"/>
          <w:szCs w:val="24"/>
          <w:lang w:eastAsia="en-GB"/>
        </w:rPr>
      </w:pPr>
      <w:r w:rsidRPr="00F86797">
        <w:rPr>
          <w:rFonts w:ascii="Arial" w:hAnsi="Arial"/>
          <w:sz w:val="24"/>
          <w:szCs w:val="24"/>
        </w:rPr>
        <w:t xml:space="preserve">The </w:t>
      </w:r>
      <w:r w:rsidR="00DA74F5">
        <w:rPr>
          <w:rFonts w:ascii="Arial" w:hAnsi="Arial"/>
          <w:sz w:val="24"/>
          <w:szCs w:val="24"/>
        </w:rPr>
        <w:t>S</w:t>
      </w:r>
      <w:r w:rsidRPr="00F86797">
        <w:rPr>
          <w:rFonts w:ascii="Arial" w:hAnsi="Arial"/>
          <w:sz w:val="24"/>
          <w:szCs w:val="24"/>
        </w:rPr>
        <w:t xml:space="preserve">tatement of Accounts contains estimated figures that are based on assumptions made by the </w:t>
      </w:r>
      <w:r w:rsidR="00F86797">
        <w:rPr>
          <w:rFonts w:ascii="Arial" w:hAnsi="Arial"/>
          <w:sz w:val="24"/>
          <w:szCs w:val="24"/>
        </w:rPr>
        <w:t>c</w:t>
      </w:r>
      <w:r w:rsidRPr="00F86797">
        <w:rPr>
          <w:rFonts w:ascii="Arial" w:hAnsi="Arial"/>
          <w:sz w:val="24"/>
          <w:szCs w:val="24"/>
        </w:rPr>
        <w:t xml:space="preserve">ouncil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 </w:t>
      </w:r>
      <w:r w:rsidR="00E37B8A" w:rsidRPr="00AF2234">
        <w:rPr>
          <w:rFonts w:ascii="Arial" w:hAnsi="Arial" w:cs="Arial"/>
          <w:sz w:val="24"/>
          <w:szCs w:val="24"/>
          <w:lang w:eastAsia="en-GB"/>
        </w:rPr>
        <w:t>As permitted under the code, the Fund has opted to disclose the actuarial present value of promised retirement benefits by the way of a note to the net asset statement in Part D of this report.</w:t>
      </w:r>
    </w:p>
    <w:p w14:paraId="52834623" w14:textId="77777777" w:rsidR="00A8195E" w:rsidRPr="00F86797" w:rsidRDefault="00A8195E" w:rsidP="005E4F16">
      <w:pPr>
        <w:tabs>
          <w:tab w:val="left" w:pos="720"/>
          <w:tab w:val="right" w:pos="5184"/>
          <w:tab w:val="right" w:pos="6624"/>
          <w:tab w:val="right" w:pos="8640"/>
          <w:tab w:val="right" w:pos="10080"/>
        </w:tabs>
        <w:jc w:val="both"/>
        <w:rPr>
          <w:rFonts w:ascii="Arial" w:hAnsi="Arial"/>
          <w:sz w:val="24"/>
          <w:szCs w:val="24"/>
        </w:rPr>
      </w:pPr>
    </w:p>
    <w:p w14:paraId="11268AE7" w14:textId="77777777" w:rsidR="00F86797" w:rsidRDefault="00F86797" w:rsidP="005E4F16">
      <w:pPr>
        <w:tabs>
          <w:tab w:val="left" w:pos="720"/>
          <w:tab w:val="right" w:pos="5184"/>
          <w:tab w:val="right" w:pos="6624"/>
          <w:tab w:val="right" w:pos="8640"/>
          <w:tab w:val="right" w:pos="10080"/>
        </w:tabs>
        <w:jc w:val="both"/>
        <w:rPr>
          <w:rFonts w:ascii="Arial" w:hAnsi="Arial"/>
          <w:b/>
          <w:sz w:val="24"/>
          <w:szCs w:val="24"/>
        </w:rPr>
      </w:pPr>
    </w:p>
    <w:p w14:paraId="0EAB7FC3" w14:textId="77777777" w:rsidR="00F86797" w:rsidRDefault="00F86797" w:rsidP="005E4F16">
      <w:pPr>
        <w:tabs>
          <w:tab w:val="left" w:pos="720"/>
          <w:tab w:val="right" w:pos="5184"/>
          <w:tab w:val="right" w:pos="6624"/>
          <w:tab w:val="right" w:pos="8640"/>
          <w:tab w:val="right" w:pos="10080"/>
        </w:tabs>
        <w:jc w:val="both"/>
        <w:rPr>
          <w:rFonts w:ascii="Arial" w:hAnsi="Arial"/>
          <w:b/>
          <w:sz w:val="24"/>
          <w:szCs w:val="24"/>
        </w:rPr>
      </w:pPr>
      <w:r>
        <w:rPr>
          <w:rFonts w:ascii="Arial" w:hAnsi="Arial"/>
          <w:b/>
          <w:sz w:val="24"/>
          <w:szCs w:val="24"/>
        </w:rPr>
        <w:t>(</w:t>
      </w:r>
      <w:r w:rsidR="005F608C">
        <w:rPr>
          <w:rFonts w:ascii="Arial" w:hAnsi="Arial"/>
          <w:b/>
          <w:sz w:val="24"/>
          <w:szCs w:val="24"/>
        </w:rPr>
        <w:t>j</w:t>
      </w:r>
      <w:r>
        <w:rPr>
          <w:rFonts w:ascii="Arial" w:hAnsi="Arial"/>
          <w:b/>
          <w:sz w:val="24"/>
          <w:szCs w:val="24"/>
        </w:rPr>
        <w:t>)     Critical judgements in applying accounting policies</w:t>
      </w:r>
    </w:p>
    <w:p w14:paraId="64510606" w14:textId="77777777" w:rsidR="00F86797" w:rsidRDefault="00F86797" w:rsidP="005E4F16">
      <w:pPr>
        <w:tabs>
          <w:tab w:val="left" w:pos="720"/>
          <w:tab w:val="right" w:pos="5184"/>
          <w:tab w:val="right" w:pos="6624"/>
          <w:tab w:val="right" w:pos="8640"/>
          <w:tab w:val="right" w:pos="10080"/>
        </w:tabs>
        <w:jc w:val="both"/>
        <w:rPr>
          <w:rFonts w:ascii="Arial" w:hAnsi="Arial"/>
          <w:b/>
          <w:sz w:val="24"/>
          <w:szCs w:val="24"/>
        </w:rPr>
      </w:pPr>
    </w:p>
    <w:p w14:paraId="1360F823" w14:textId="77777777" w:rsidR="00F86797" w:rsidRPr="00F86797" w:rsidRDefault="00F86797" w:rsidP="005E4F16">
      <w:pPr>
        <w:tabs>
          <w:tab w:val="left" w:pos="720"/>
          <w:tab w:val="right" w:pos="5184"/>
          <w:tab w:val="right" w:pos="6624"/>
          <w:tab w:val="right" w:pos="8640"/>
          <w:tab w:val="right" w:pos="10080"/>
        </w:tabs>
        <w:jc w:val="both"/>
        <w:rPr>
          <w:rFonts w:ascii="Arial" w:hAnsi="Arial"/>
          <w:sz w:val="24"/>
          <w:szCs w:val="24"/>
        </w:rPr>
      </w:pPr>
      <w:r w:rsidRPr="00D66A79">
        <w:rPr>
          <w:rFonts w:ascii="Arial" w:hAnsi="Arial"/>
          <w:sz w:val="24"/>
          <w:szCs w:val="24"/>
        </w:rPr>
        <w:t xml:space="preserve">The </w:t>
      </w:r>
      <w:r w:rsidR="006D7A0B" w:rsidRPr="00D66A79">
        <w:rPr>
          <w:rFonts w:ascii="Arial" w:hAnsi="Arial"/>
          <w:sz w:val="24"/>
          <w:szCs w:val="24"/>
        </w:rPr>
        <w:t>F</w:t>
      </w:r>
      <w:r w:rsidRPr="00D66A79">
        <w:rPr>
          <w:rFonts w:ascii="Arial" w:hAnsi="Arial"/>
          <w:sz w:val="24"/>
          <w:szCs w:val="24"/>
        </w:rPr>
        <w:t>und</w:t>
      </w:r>
      <w:r w:rsidR="006D7A0B" w:rsidRPr="00D66A79">
        <w:rPr>
          <w:rFonts w:ascii="Arial" w:hAnsi="Arial"/>
          <w:sz w:val="24"/>
          <w:szCs w:val="24"/>
        </w:rPr>
        <w:t>’</w:t>
      </w:r>
      <w:r w:rsidRPr="00D66A79">
        <w:rPr>
          <w:rFonts w:ascii="Arial" w:hAnsi="Arial"/>
          <w:sz w:val="24"/>
          <w:szCs w:val="24"/>
        </w:rPr>
        <w:t>s liability is</w:t>
      </w:r>
      <w:r w:rsidRPr="00F86797">
        <w:rPr>
          <w:rFonts w:ascii="Arial" w:hAnsi="Arial"/>
          <w:sz w:val="24"/>
          <w:szCs w:val="24"/>
        </w:rPr>
        <w:t xml:space="preserve"> calculated every three years by the appointed actuary. The methodology used is in line with accepted guidelines and in accordance with IAS19. Assumptions underpinning the valuations are agreed with the actuary. The estimate is subject to significant variances based on changes to the underlying assumptions.</w:t>
      </w:r>
    </w:p>
    <w:p w14:paraId="0A1C1608" w14:textId="77777777" w:rsidR="00F86797" w:rsidRDefault="00F86797" w:rsidP="005E4F16">
      <w:pPr>
        <w:tabs>
          <w:tab w:val="left" w:pos="720"/>
          <w:tab w:val="right" w:pos="5184"/>
          <w:tab w:val="right" w:pos="6624"/>
          <w:tab w:val="right" w:pos="8640"/>
          <w:tab w:val="right" w:pos="10080"/>
        </w:tabs>
        <w:jc w:val="both"/>
        <w:rPr>
          <w:rFonts w:ascii="Arial" w:hAnsi="Arial"/>
          <w:sz w:val="24"/>
          <w:szCs w:val="24"/>
        </w:rPr>
      </w:pPr>
    </w:p>
    <w:p w14:paraId="7285F709" w14:textId="77777777" w:rsidR="00EE04F7" w:rsidRDefault="00EE04F7" w:rsidP="005E4F16">
      <w:pPr>
        <w:tabs>
          <w:tab w:val="left" w:pos="720"/>
          <w:tab w:val="right" w:pos="5184"/>
          <w:tab w:val="right" w:pos="6624"/>
          <w:tab w:val="right" w:pos="8640"/>
          <w:tab w:val="right" w:pos="10080"/>
        </w:tabs>
        <w:jc w:val="both"/>
        <w:rPr>
          <w:rFonts w:ascii="Arial" w:hAnsi="Arial"/>
          <w:sz w:val="24"/>
          <w:szCs w:val="24"/>
        </w:rPr>
      </w:pPr>
      <w:r>
        <w:rPr>
          <w:rFonts w:ascii="Arial" w:hAnsi="Arial"/>
          <w:sz w:val="24"/>
          <w:szCs w:val="24"/>
        </w:rPr>
        <w:t>Unquoted private equity investments – these are inherently based on forward looking estimates and judgements valued by the investment managers using two main sets of valuation guidelines that apply to private equity; the Private Equity Valuation Guidelines (PEVG) in the US and the international Private Equity and Venture Capital Guidelines (IPEVCG) outside the US</w:t>
      </w:r>
      <w:r w:rsidRPr="00AF2234">
        <w:rPr>
          <w:rFonts w:ascii="Arial" w:hAnsi="Arial"/>
          <w:sz w:val="24"/>
          <w:szCs w:val="24"/>
        </w:rPr>
        <w:t>. The value of the unquoted private equities as at 31</w:t>
      </w:r>
      <w:r w:rsidRPr="00AF2234">
        <w:rPr>
          <w:rFonts w:ascii="Arial" w:hAnsi="Arial"/>
          <w:sz w:val="24"/>
          <w:szCs w:val="24"/>
          <w:vertAlign w:val="superscript"/>
        </w:rPr>
        <w:t>st</w:t>
      </w:r>
      <w:r w:rsidRPr="00AF2234">
        <w:rPr>
          <w:rFonts w:ascii="Arial" w:hAnsi="Arial"/>
          <w:sz w:val="24"/>
          <w:szCs w:val="24"/>
        </w:rPr>
        <w:t xml:space="preserve"> March 20</w:t>
      </w:r>
      <w:r w:rsidR="00183858" w:rsidRPr="00AF2234">
        <w:rPr>
          <w:rFonts w:ascii="Arial" w:hAnsi="Arial"/>
          <w:sz w:val="24"/>
          <w:szCs w:val="24"/>
        </w:rPr>
        <w:t>2</w:t>
      </w:r>
      <w:r w:rsidR="005B2E34" w:rsidRPr="00AF2234">
        <w:rPr>
          <w:rFonts w:ascii="Arial" w:hAnsi="Arial"/>
          <w:sz w:val="24"/>
          <w:szCs w:val="24"/>
        </w:rPr>
        <w:t>2</w:t>
      </w:r>
      <w:r w:rsidRPr="00AF2234">
        <w:rPr>
          <w:rFonts w:ascii="Arial" w:hAnsi="Arial"/>
          <w:sz w:val="24"/>
          <w:szCs w:val="24"/>
        </w:rPr>
        <w:t xml:space="preserve"> was £</w:t>
      </w:r>
      <w:r w:rsidR="006E0BDB" w:rsidRPr="00AF2234">
        <w:rPr>
          <w:rFonts w:ascii="Arial" w:hAnsi="Arial"/>
          <w:sz w:val="24"/>
          <w:szCs w:val="24"/>
        </w:rPr>
        <w:t>197</w:t>
      </w:r>
      <w:r w:rsidR="005B2E34" w:rsidRPr="00AF2234">
        <w:rPr>
          <w:rFonts w:ascii="Arial" w:hAnsi="Arial"/>
          <w:sz w:val="24"/>
          <w:szCs w:val="24"/>
        </w:rPr>
        <w:t>.</w:t>
      </w:r>
      <w:r w:rsidR="00CB4084" w:rsidRPr="00AF2234">
        <w:rPr>
          <w:rFonts w:ascii="Arial" w:hAnsi="Arial"/>
          <w:sz w:val="24"/>
          <w:szCs w:val="24"/>
        </w:rPr>
        <w:t>9</w:t>
      </w:r>
      <w:r w:rsidRPr="00AF2234">
        <w:rPr>
          <w:rFonts w:ascii="Arial" w:hAnsi="Arial"/>
          <w:sz w:val="24"/>
          <w:szCs w:val="24"/>
        </w:rPr>
        <w:t xml:space="preserve"> million (£</w:t>
      </w:r>
      <w:r w:rsidR="005B2E34" w:rsidRPr="00AF2234">
        <w:rPr>
          <w:rFonts w:ascii="Arial" w:hAnsi="Arial"/>
          <w:sz w:val="24"/>
          <w:szCs w:val="24"/>
        </w:rPr>
        <w:t>14</w:t>
      </w:r>
      <w:r w:rsidR="00CB4084" w:rsidRPr="00AF2234">
        <w:rPr>
          <w:rFonts w:ascii="Arial" w:hAnsi="Arial"/>
          <w:sz w:val="24"/>
          <w:szCs w:val="24"/>
        </w:rPr>
        <w:t>6.8</w:t>
      </w:r>
      <w:r w:rsidRPr="00AF2234">
        <w:rPr>
          <w:rFonts w:ascii="Arial" w:hAnsi="Arial"/>
          <w:sz w:val="24"/>
          <w:szCs w:val="24"/>
        </w:rPr>
        <w:t xml:space="preserve"> million as at 31</w:t>
      </w:r>
      <w:r w:rsidRPr="00AF2234">
        <w:rPr>
          <w:rFonts w:ascii="Arial" w:hAnsi="Arial"/>
          <w:sz w:val="24"/>
          <w:szCs w:val="24"/>
          <w:vertAlign w:val="superscript"/>
        </w:rPr>
        <w:t>st</w:t>
      </w:r>
      <w:r w:rsidRPr="00AF2234">
        <w:rPr>
          <w:rFonts w:ascii="Arial" w:hAnsi="Arial"/>
          <w:sz w:val="24"/>
          <w:szCs w:val="24"/>
        </w:rPr>
        <w:t xml:space="preserve"> March 20</w:t>
      </w:r>
      <w:r w:rsidR="00B23C5F" w:rsidRPr="00AF2234">
        <w:rPr>
          <w:rFonts w:ascii="Arial" w:hAnsi="Arial"/>
          <w:sz w:val="24"/>
          <w:szCs w:val="24"/>
        </w:rPr>
        <w:t>2</w:t>
      </w:r>
      <w:r w:rsidR="005B2E34" w:rsidRPr="00AF2234">
        <w:rPr>
          <w:rFonts w:ascii="Arial" w:hAnsi="Arial"/>
          <w:sz w:val="24"/>
          <w:szCs w:val="24"/>
        </w:rPr>
        <w:t>1</w:t>
      </w:r>
      <w:r w:rsidRPr="00AF2234">
        <w:rPr>
          <w:rFonts w:ascii="Arial" w:hAnsi="Arial"/>
          <w:sz w:val="24"/>
          <w:szCs w:val="24"/>
        </w:rPr>
        <w:t>).</w:t>
      </w:r>
    </w:p>
    <w:p w14:paraId="18631513" w14:textId="77777777" w:rsidR="007A1E4B" w:rsidRDefault="007A1E4B" w:rsidP="005E4F16">
      <w:pPr>
        <w:tabs>
          <w:tab w:val="left" w:pos="720"/>
          <w:tab w:val="right" w:pos="5184"/>
          <w:tab w:val="right" w:pos="6624"/>
          <w:tab w:val="right" w:pos="8640"/>
          <w:tab w:val="right" w:pos="10080"/>
        </w:tabs>
        <w:jc w:val="both"/>
        <w:rPr>
          <w:rFonts w:ascii="Arial" w:hAnsi="Arial"/>
          <w:b/>
          <w:sz w:val="24"/>
          <w:szCs w:val="24"/>
        </w:rPr>
      </w:pPr>
    </w:p>
    <w:p w14:paraId="2C2C36AC" w14:textId="77777777" w:rsidR="00F86797" w:rsidRDefault="00F86797" w:rsidP="005E4F16">
      <w:pPr>
        <w:tabs>
          <w:tab w:val="left" w:pos="720"/>
          <w:tab w:val="right" w:pos="5184"/>
          <w:tab w:val="right" w:pos="6624"/>
          <w:tab w:val="right" w:pos="8640"/>
          <w:tab w:val="right" w:pos="10080"/>
        </w:tabs>
        <w:jc w:val="both"/>
        <w:rPr>
          <w:rFonts w:ascii="Arial" w:hAnsi="Arial"/>
          <w:b/>
          <w:sz w:val="24"/>
          <w:szCs w:val="24"/>
        </w:rPr>
      </w:pPr>
      <w:r>
        <w:rPr>
          <w:rFonts w:ascii="Arial" w:hAnsi="Arial"/>
          <w:b/>
          <w:sz w:val="24"/>
          <w:szCs w:val="24"/>
        </w:rPr>
        <w:t>(</w:t>
      </w:r>
      <w:r w:rsidR="00A8195E">
        <w:rPr>
          <w:rFonts w:ascii="Arial" w:hAnsi="Arial"/>
          <w:b/>
          <w:sz w:val="24"/>
          <w:szCs w:val="24"/>
        </w:rPr>
        <w:t>k</w:t>
      </w:r>
      <w:r>
        <w:rPr>
          <w:rFonts w:ascii="Arial" w:hAnsi="Arial"/>
          <w:b/>
          <w:sz w:val="24"/>
          <w:szCs w:val="24"/>
        </w:rPr>
        <w:t>)     Other</w:t>
      </w:r>
    </w:p>
    <w:p w14:paraId="373A23E0" w14:textId="77777777" w:rsidR="00F86797" w:rsidRPr="00117F66" w:rsidRDefault="00F86797" w:rsidP="005E4F16">
      <w:pPr>
        <w:tabs>
          <w:tab w:val="left" w:pos="720"/>
          <w:tab w:val="right" w:pos="5184"/>
          <w:tab w:val="right" w:pos="6624"/>
          <w:tab w:val="right" w:pos="8640"/>
          <w:tab w:val="right" w:pos="10080"/>
        </w:tabs>
        <w:jc w:val="both"/>
        <w:rPr>
          <w:rFonts w:ascii="Arial" w:hAnsi="Arial"/>
          <w:b/>
          <w:sz w:val="24"/>
          <w:szCs w:val="24"/>
        </w:rPr>
      </w:pPr>
    </w:p>
    <w:p w14:paraId="4C7F157A" w14:textId="77777777" w:rsidR="002E24C5" w:rsidRDefault="002E24C5" w:rsidP="005E4F16">
      <w:pPr>
        <w:tabs>
          <w:tab w:val="left" w:pos="851"/>
          <w:tab w:val="right" w:pos="5184"/>
          <w:tab w:val="right" w:pos="6624"/>
          <w:tab w:val="right" w:pos="8640"/>
          <w:tab w:val="right" w:pos="10080"/>
        </w:tabs>
        <w:jc w:val="both"/>
        <w:rPr>
          <w:rFonts w:ascii="Arial" w:hAnsi="Arial"/>
          <w:sz w:val="24"/>
          <w:szCs w:val="24"/>
        </w:rPr>
      </w:pPr>
      <w:r w:rsidRPr="00117F66">
        <w:rPr>
          <w:rFonts w:ascii="Arial" w:hAnsi="Arial"/>
          <w:sz w:val="24"/>
          <w:szCs w:val="24"/>
        </w:rPr>
        <w:t>Other expenses, assets and liabilities are accounted for on an accruals basis</w:t>
      </w:r>
      <w:r w:rsidR="00127363" w:rsidRPr="00117F66">
        <w:rPr>
          <w:rFonts w:ascii="Arial" w:hAnsi="Arial"/>
          <w:sz w:val="24"/>
          <w:szCs w:val="24"/>
        </w:rPr>
        <w:t>.</w:t>
      </w:r>
    </w:p>
    <w:p w14:paraId="4267BFA3" w14:textId="77777777" w:rsidR="00B908F8" w:rsidRDefault="00B908F8" w:rsidP="00B908F8">
      <w:pPr>
        <w:tabs>
          <w:tab w:val="left" w:pos="851"/>
          <w:tab w:val="right" w:pos="5184"/>
          <w:tab w:val="right" w:pos="6624"/>
          <w:tab w:val="right" w:pos="8640"/>
          <w:tab w:val="right" w:pos="10080"/>
        </w:tabs>
        <w:ind w:left="708"/>
        <w:jc w:val="both"/>
        <w:rPr>
          <w:rFonts w:ascii="Arial" w:hAnsi="Arial"/>
          <w:sz w:val="24"/>
          <w:szCs w:val="24"/>
        </w:rPr>
      </w:pPr>
      <w:r>
        <w:rPr>
          <w:rFonts w:ascii="Arial" w:hAnsi="Arial"/>
          <w:sz w:val="24"/>
          <w:szCs w:val="24"/>
        </w:rPr>
        <w:t xml:space="preserve"> </w:t>
      </w:r>
    </w:p>
    <w:p w14:paraId="212FB3A6" w14:textId="77777777" w:rsidR="002109FF" w:rsidRDefault="002109FF" w:rsidP="00B908F8">
      <w:pPr>
        <w:jc w:val="both"/>
        <w:rPr>
          <w:rFonts w:ascii="Arial" w:hAnsi="Arial"/>
          <w:b/>
          <w:sz w:val="24"/>
          <w:szCs w:val="24"/>
        </w:rPr>
      </w:pPr>
    </w:p>
    <w:p w14:paraId="3E0B9C34" w14:textId="77777777" w:rsidR="00B908F8" w:rsidRPr="00135E52" w:rsidRDefault="00B908F8" w:rsidP="00B908F8">
      <w:pPr>
        <w:jc w:val="both"/>
        <w:rPr>
          <w:rFonts w:ascii="Arial" w:hAnsi="Arial" w:cs="Arial"/>
          <w:b/>
          <w:bCs/>
          <w:sz w:val="24"/>
          <w:szCs w:val="24"/>
          <w:lang w:eastAsia="en-GB"/>
        </w:rPr>
      </w:pPr>
      <w:r w:rsidRPr="00135E52">
        <w:rPr>
          <w:rFonts w:ascii="Arial" w:hAnsi="Arial" w:cs="Arial"/>
          <w:b/>
          <w:sz w:val="24"/>
          <w:szCs w:val="24"/>
        </w:rPr>
        <w:t xml:space="preserve">(l) </w:t>
      </w:r>
      <w:r w:rsidRPr="00135E52">
        <w:rPr>
          <w:rFonts w:ascii="Arial" w:hAnsi="Arial" w:cs="Arial"/>
          <w:b/>
          <w:bCs/>
          <w:sz w:val="24"/>
          <w:szCs w:val="24"/>
          <w:lang w:eastAsia="en-GB"/>
        </w:rPr>
        <w:t>Additional Voluntary Contributions (AVC's)</w:t>
      </w:r>
    </w:p>
    <w:p w14:paraId="5E7459DF" w14:textId="77777777" w:rsidR="00BB21F4" w:rsidRDefault="00BB21F4" w:rsidP="005E4F16">
      <w:pPr>
        <w:tabs>
          <w:tab w:val="left" w:pos="851"/>
          <w:tab w:val="right" w:pos="5184"/>
          <w:tab w:val="right" w:pos="6624"/>
          <w:tab w:val="right" w:pos="8640"/>
          <w:tab w:val="right" w:pos="10080"/>
        </w:tabs>
        <w:jc w:val="both"/>
        <w:rPr>
          <w:rFonts w:ascii="Arial" w:hAnsi="Arial"/>
          <w:sz w:val="24"/>
          <w:szCs w:val="24"/>
        </w:rPr>
      </w:pPr>
    </w:p>
    <w:p w14:paraId="30A897D4" w14:textId="77777777" w:rsidR="00B908F8" w:rsidRPr="00135E52" w:rsidRDefault="00B908F8" w:rsidP="00B908F8">
      <w:pPr>
        <w:jc w:val="both"/>
        <w:rPr>
          <w:rFonts w:ascii="Arial" w:hAnsi="Arial" w:cs="Arial"/>
          <w:sz w:val="24"/>
          <w:szCs w:val="24"/>
          <w:lang w:eastAsia="en-GB"/>
        </w:rPr>
      </w:pPr>
      <w:r w:rsidRPr="00135E52">
        <w:rPr>
          <w:rFonts w:ascii="Arial" w:hAnsi="Arial" w:cs="Arial"/>
          <w:sz w:val="24"/>
          <w:szCs w:val="24"/>
          <w:lang w:eastAsia="en-GB"/>
        </w:rPr>
        <w:t xml:space="preserve">City &amp; County of Swansea Pension Fund provides an additional voluntary contributions (AVC) scheme for its members, the assets of which are invested separately from those of the pension fund. The fund has appointed Prudential as its AVC provider. Some AVC contributions from prior years are also held with Aegon and </w:t>
      </w:r>
      <w:r w:rsidR="00B23C5F" w:rsidRPr="00135E52">
        <w:rPr>
          <w:rFonts w:ascii="Arial" w:hAnsi="Arial" w:cs="Arial"/>
          <w:sz w:val="24"/>
          <w:szCs w:val="24"/>
          <w:lang w:eastAsia="en-GB"/>
        </w:rPr>
        <w:t>Utmost</w:t>
      </w:r>
      <w:r w:rsidRPr="00135E52">
        <w:rPr>
          <w:rFonts w:ascii="Arial" w:hAnsi="Arial" w:cs="Arial"/>
          <w:sz w:val="24"/>
          <w:szCs w:val="24"/>
          <w:lang w:eastAsia="en-GB"/>
        </w:rPr>
        <w:t xml:space="preserve"> (</w:t>
      </w:r>
      <w:r w:rsidR="00B23C5F" w:rsidRPr="00135E52">
        <w:rPr>
          <w:rFonts w:ascii="Arial" w:hAnsi="Arial" w:cs="Arial"/>
          <w:sz w:val="24"/>
          <w:szCs w:val="24"/>
          <w:lang w:eastAsia="en-GB"/>
        </w:rPr>
        <w:t>previously known as Equitable Life)</w:t>
      </w:r>
      <w:r w:rsidRPr="00135E52">
        <w:rPr>
          <w:rFonts w:ascii="Arial" w:hAnsi="Arial" w:cs="Arial"/>
          <w:sz w:val="24"/>
          <w:szCs w:val="24"/>
          <w:lang w:eastAsia="en-GB"/>
        </w:rPr>
        <w:t xml:space="preserve">. AVC's </w:t>
      </w:r>
      <w:r w:rsidRPr="00135E52">
        <w:rPr>
          <w:rFonts w:ascii="Arial" w:hAnsi="Arial" w:cs="Arial"/>
          <w:sz w:val="24"/>
          <w:szCs w:val="24"/>
          <w:lang w:eastAsia="en-GB"/>
        </w:rPr>
        <w:lastRenderedPageBreak/>
        <w:t>are paid to the AVC provider by employers and are specifically for providing addit</w:t>
      </w:r>
      <w:r w:rsidR="00B23C5F" w:rsidRPr="00135E52">
        <w:rPr>
          <w:rFonts w:ascii="Arial" w:hAnsi="Arial" w:cs="Arial"/>
          <w:sz w:val="24"/>
          <w:szCs w:val="24"/>
          <w:lang w:eastAsia="en-GB"/>
        </w:rPr>
        <w:t>i</w:t>
      </w:r>
      <w:r w:rsidRPr="00135E52">
        <w:rPr>
          <w:rFonts w:ascii="Arial" w:hAnsi="Arial" w:cs="Arial"/>
          <w:sz w:val="24"/>
          <w:szCs w:val="24"/>
          <w:lang w:eastAsia="en-GB"/>
        </w:rPr>
        <w:t>onal benefits for individual contributors. AVC's are not included in the accounts in accordance with the Local Government Pension Scheme (Management and Investment of Funds) Regulations 2016 (SI 2016/946) but are disclosed for information in Note 20.</w:t>
      </w:r>
    </w:p>
    <w:p w14:paraId="4ED5755C" w14:textId="77777777" w:rsidR="00B908F8" w:rsidRPr="00135E52" w:rsidRDefault="00B908F8" w:rsidP="005E4F16">
      <w:pPr>
        <w:tabs>
          <w:tab w:val="left" w:pos="851"/>
          <w:tab w:val="right" w:pos="5184"/>
          <w:tab w:val="right" w:pos="6624"/>
          <w:tab w:val="right" w:pos="8640"/>
          <w:tab w:val="right" w:pos="10080"/>
        </w:tabs>
        <w:jc w:val="both"/>
        <w:rPr>
          <w:rFonts w:ascii="Arial" w:hAnsi="Arial" w:cs="Arial"/>
          <w:sz w:val="24"/>
          <w:szCs w:val="24"/>
        </w:rPr>
      </w:pPr>
    </w:p>
    <w:p w14:paraId="6E041FFD" w14:textId="77777777" w:rsidR="00233DE8" w:rsidRPr="00135E52" w:rsidRDefault="00233DE8" w:rsidP="005E4F16">
      <w:pPr>
        <w:tabs>
          <w:tab w:val="left" w:pos="851"/>
          <w:tab w:val="right" w:pos="5184"/>
          <w:tab w:val="right" w:pos="6624"/>
          <w:tab w:val="right" w:pos="8640"/>
          <w:tab w:val="right" w:pos="10080"/>
        </w:tabs>
        <w:jc w:val="both"/>
        <w:rPr>
          <w:rFonts w:ascii="Arial" w:hAnsi="Arial" w:cs="Arial"/>
          <w:sz w:val="24"/>
          <w:szCs w:val="24"/>
        </w:rPr>
      </w:pPr>
    </w:p>
    <w:p w14:paraId="2F4C1762" w14:textId="77777777" w:rsidR="00B908F8" w:rsidRPr="00135E52" w:rsidRDefault="00B908F8" w:rsidP="00B908F8">
      <w:pPr>
        <w:jc w:val="both"/>
        <w:rPr>
          <w:rFonts w:ascii="Arial" w:hAnsi="Arial" w:cs="Arial"/>
          <w:b/>
          <w:bCs/>
          <w:sz w:val="24"/>
          <w:szCs w:val="24"/>
          <w:lang w:eastAsia="en-GB"/>
        </w:rPr>
      </w:pPr>
      <w:r w:rsidRPr="00135E52">
        <w:rPr>
          <w:rFonts w:ascii="Arial" w:hAnsi="Arial" w:cs="Arial"/>
          <w:b/>
          <w:bCs/>
          <w:sz w:val="24"/>
          <w:szCs w:val="24"/>
          <w:lang w:eastAsia="en-GB"/>
        </w:rPr>
        <w:t>(m) Actuarial Present Value of Retirement Benefits</w:t>
      </w:r>
    </w:p>
    <w:p w14:paraId="1529E8CA" w14:textId="77777777" w:rsidR="00A8195E" w:rsidRPr="00135E52" w:rsidRDefault="00A8195E" w:rsidP="005E4F16">
      <w:pPr>
        <w:tabs>
          <w:tab w:val="left" w:pos="851"/>
          <w:tab w:val="right" w:pos="5184"/>
          <w:tab w:val="right" w:pos="6624"/>
          <w:tab w:val="right" w:pos="8640"/>
          <w:tab w:val="right" w:pos="10080"/>
        </w:tabs>
        <w:jc w:val="both"/>
        <w:rPr>
          <w:rFonts w:ascii="Arial" w:hAnsi="Arial" w:cs="Arial"/>
          <w:sz w:val="24"/>
          <w:szCs w:val="24"/>
        </w:rPr>
      </w:pPr>
    </w:p>
    <w:p w14:paraId="03D44D3A" w14:textId="77777777" w:rsidR="00B908F8" w:rsidRPr="00135E52" w:rsidRDefault="00B908F8" w:rsidP="00B908F8">
      <w:pPr>
        <w:jc w:val="both"/>
        <w:rPr>
          <w:rFonts w:ascii="Arial" w:hAnsi="Arial" w:cs="Arial"/>
          <w:sz w:val="24"/>
          <w:szCs w:val="24"/>
          <w:lang w:eastAsia="en-GB"/>
        </w:rPr>
      </w:pPr>
      <w:r w:rsidRPr="00135E52">
        <w:rPr>
          <w:rFonts w:ascii="Arial" w:hAnsi="Arial" w:cs="Arial"/>
          <w:sz w:val="24"/>
          <w:szCs w:val="24"/>
          <w:lang w:eastAsia="en-GB"/>
        </w:rPr>
        <w:t>The actuarial present value of promised retirement benefits is assessed on a triennial basis by the scheme actuary in accordance with the requirements of International Accounting Standard (IAS19</w:t>
      </w:r>
      <w:r w:rsidR="006D7A0B" w:rsidRPr="00135E52">
        <w:rPr>
          <w:rFonts w:ascii="Arial" w:hAnsi="Arial" w:cs="Arial"/>
          <w:sz w:val="24"/>
          <w:szCs w:val="24"/>
          <w:lang w:eastAsia="en-GB"/>
        </w:rPr>
        <w:t>)</w:t>
      </w:r>
      <w:r w:rsidRPr="00135E52">
        <w:rPr>
          <w:rFonts w:ascii="Arial" w:hAnsi="Arial" w:cs="Arial"/>
          <w:sz w:val="24"/>
          <w:szCs w:val="24"/>
          <w:lang w:eastAsia="en-GB"/>
        </w:rPr>
        <w:t xml:space="preserve"> and relevant actuarial standards. As permitted under the code, the Fund has opted to disclose the actuarial present value of promised retirement benefits by the way of a note to the net asset statement </w:t>
      </w:r>
      <w:r w:rsidR="00C57283" w:rsidRPr="00135E52">
        <w:rPr>
          <w:rFonts w:ascii="Arial" w:hAnsi="Arial" w:cs="Arial"/>
          <w:sz w:val="24"/>
          <w:szCs w:val="24"/>
          <w:lang w:eastAsia="en-GB"/>
        </w:rPr>
        <w:t>in Part D of this report.</w:t>
      </w:r>
    </w:p>
    <w:p w14:paraId="02A35442" w14:textId="77777777" w:rsidR="00B908F8" w:rsidRPr="00135E52" w:rsidRDefault="00B908F8" w:rsidP="005E4F16">
      <w:pPr>
        <w:tabs>
          <w:tab w:val="left" w:pos="851"/>
          <w:tab w:val="right" w:pos="5184"/>
          <w:tab w:val="right" w:pos="6624"/>
          <w:tab w:val="right" w:pos="8640"/>
          <w:tab w:val="right" w:pos="10080"/>
        </w:tabs>
        <w:jc w:val="both"/>
        <w:rPr>
          <w:rFonts w:ascii="Arial" w:hAnsi="Arial" w:cs="Arial"/>
          <w:sz w:val="24"/>
          <w:szCs w:val="24"/>
        </w:rPr>
      </w:pPr>
    </w:p>
    <w:p w14:paraId="4EE42591" w14:textId="77777777" w:rsidR="00437B8E" w:rsidRPr="00135E52" w:rsidRDefault="00437B8E" w:rsidP="00437B8E">
      <w:pPr>
        <w:jc w:val="both"/>
        <w:rPr>
          <w:rFonts w:ascii="Arial" w:hAnsi="Arial" w:cs="Arial"/>
          <w:b/>
          <w:bCs/>
          <w:sz w:val="24"/>
          <w:szCs w:val="24"/>
          <w:lang w:eastAsia="en-GB"/>
        </w:rPr>
      </w:pPr>
      <w:r w:rsidRPr="00135E52">
        <w:rPr>
          <w:rFonts w:ascii="Arial" w:hAnsi="Arial" w:cs="Arial"/>
          <w:b/>
          <w:sz w:val="24"/>
          <w:szCs w:val="24"/>
        </w:rPr>
        <w:t xml:space="preserve">(n) </w:t>
      </w:r>
      <w:r w:rsidRPr="00135E52">
        <w:rPr>
          <w:rFonts w:ascii="Arial" w:hAnsi="Arial" w:cs="Arial"/>
          <w:b/>
          <w:bCs/>
          <w:sz w:val="24"/>
          <w:szCs w:val="24"/>
          <w:lang w:eastAsia="en-GB"/>
        </w:rPr>
        <w:t>Taxation</w:t>
      </w:r>
    </w:p>
    <w:p w14:paraId="2182115C" w14:textId="77777777" w:rsidR="00A8195E" w:rsidRPr="00135E52" w:rsidRDefault="00A8195E" w:rsidP="005E4F16">
      <w:pPr>
        <w:tabs>
          <w:tab w:val="left" w:pos="851"/>
          <w:tab w:val="right" w:pos="5184"/>
          <w:tab w:val="right" w:pos="6624"/>
          <w:tab w:val="right" w:pos="8640"/>
          <w:tab w:val="right" w:pos="10080"/>
        </w:tabs>
        <w:jc w:val="both"/>
        <w:rPr>
          <w:rFonts w:ascii="Arial" w:hAnsi="Arial" w:cs="Arial"/>
          <w:sz w:val="24"/>
          <w:szCs w:val="24"/>
        </w:rPr>
      </w:pPr>
    </w:p>
    <w:p w14:paraId="15E0AD33" w14:textId="77777777" w:rsidR="00437B8E" w:rsidRPr="00135E52" w:rsidRDefault="00437B8E" w:rsidP="00437B8E">
      <w:pPr>
        <w:jc w:val="both"/>
        <w:rPr>
          <w:rFonts w:ascii="Arial" w:hAnsi="Arial" w:cs="Arial"/>
          <w:sz w:val="24"/>
          <w:szCs w:val="24"/>
          <w:lang w:eastAsia="en-GB"/>
        </w:rPr>
      </w:pPr>
      <w:r w:rsidRPr="00135E52">
        <w:rPr>
          <w:rFonts w:ascii="Arial" w:hAnsi="Arial" w:cs="Arial"/>
          <w:sz w:val="24"/>
          <w:szCs w:val="24"/>
          <w:lang w:eastAsia="en-GB"/>
        </w:rPr>
        <w:t>The fund is a registered public service scheme under Section 1(1) of Schedule 36 of the Finance Act 2004 and as such is exempt from UK income tax on interest received and from capital gains tax on the proceeds of investments sold. Income from overseas investments suffers withholding tax in the country of origin, unless exemption is permitted. Irrecoverable tax is accounted for as a fund expense as it arises. The Fund operates in the VAT registration for Swansea Council and the accounts are shown exclusive of VAT. The Fund can recover VAT input tax on all Fund activities.</w:t>
      </w:r>
    </w:p>
    <w:p w14:paraId="67612889" w14:textId="77777777" w:rsidR="00437B8E" w:rsidRPr="00135E52" w:rsidRDefault="00437B8E" w:rsidP="005E4F16">
      <w:pPr>
        <w:tabs>
          <w:tab w:val="left" w:pos="851"/>
          <w:tab w:val="right" w:pos="5184"/>
          <w:tab w:val="right" w:pos="6624"/>
          <w:tab w:val="right" w:pos="8640"/>
          <w:tab w:val="right" w:pos="10080"/>
        </w:tabs>
        <w:jc w:val="both"/>
        <w:rPr>
          <w:rFonts w:ascii="Arial" w:hAnsi="Arial" w:cs="Arial"/>
          <w:sz w:val="24"/>
          <w:szCs w:val="24"/>
        </w:rPr>
      </w:pPr>
    </w:p>
    <w:p w14:paraId="155CF3A7" w14:textId="77777777" w:rsidR="00437B8E" w:rsidRPr="00135E52" w:rsidRDefault="00437B8E" w:rsidP="005E4F16">
      <w:pPr>
        <w:tabs>
          <w:tab w:val="left" w:pos="851"/>
          <w:tab w:val="right" w:pos="5184"/>
          <w:tab w:val="right" w:pos="6624"/>
          <w:tab w:val="right" w:pos="8640"/>
          <w:tab w:val="right" w:pos="10080"/>
        </w:tabs>
        <w:jc w:val="both"/>
        <w:rPr>
          <w:rFonts w:ascii="Arial" w:hAnsi="Arial" w:cs="Arial"/>
          <w:sz w:val="24"/>
          <w:szCs w:val="24"/>
        </w:rPr>
      </w:pPr>
    </w:p>
    <w:p w14:paraId="29FC0604" w14:textId="77777777" w:rsidR="00437B8E" w:rsidRPr="00135E52" w:rsidRDefault="00437B8E" w:rsidP="005E4F16">
      <w:pPr>
        <w:tabs>
          <w:tab w:val="left" w:pos="851"/>
          <w:tab w:val="right" w:pos="5184"/>
          <w:tab w:val="right" w:pos="6624"/>
          <w:tab w:val="right" w:pos="8640"/>
          <w:tab w:val="right" w:pos="10080"/>
        </w:tabs>
        <w:jc w:val="both"/>
        <w:rPr>
          <w:rFonts w:ascii="Arial" w:hAnsi="Arial" w:cs="Arial"/>
          <w:sz w:val="24"/>
          <w:szCs w:val="24"/>
        </w:rPr>
      </w:pPr>
    </w:p>
    <w:p w14:paraId="447F91B5"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6D05A6D1"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0CDD8682"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297DCFF7"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5AA00D0C"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492168CA"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21BDE8A6"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0D92E4ED"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5765098D"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5A2C3B91"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6DF5FF3E"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114DD800"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72642FD2"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088B717F"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688DBF52"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20F190BF" w14:textId="77777777" w:rsidR="00A8195E" w:rsidRDefault="00A8195E" w:rsidP="005E4F16">
      <w:pPr>
        <w:tabs>
          <w:tab w:val="left" w:pos="851"/>
          <w:tab w:val="right" w:pos="5184"/>
          <w:tab w:val="right" w:pos="6624"/>
          <w:tab w:val="right" w:pos="8640"/>
          <w:tab w:val="right" w:pos="10080"/>
        </w:tabs>
        <w:jc w:val="both"/>
        <w:rPr>
          <w:rFonts w:ascii="Arial" w:hAnsi="Arial"/>
          <w:sz w:val="24"/>
          <w:szCs w:val="24"/>
        </w:rPr>
      </w:pPr>
    </w:p>
    <w:p w14:paraId="6E4AAEB3" w14:textId="77777777" w:rsidR="008E66A5" w:rsidRDefault="008E66A5" w:rsidP="005E4F16">
      <w:pPr>
        <w:tabs>
          <w:tab w:val="left" w:pos="851"/>
          <w:tab w:val="right" w:pos="5184"/>
          <w:tab w:val="right" w:pos="6624"/>
          <w:tab w:val="right" w:pos="8640"/>
          <w:tab w:val="right" w:pos="10080"/>
        </w:tabs>
        <w:jc w:val="both"/>
        <w:rPr>
          <w:rFonts w:ascii="Arial" w:hAnsi="Arial"/>
          <w:sz w:val="24"/>
          <w:szCs w:val="24"/>
        </w:rPr>
      </w:pPr>
    </w:p>
    <w:p w14:paraId="421CF586" w14:textId="77777777" w:rsidR="008E66A5" w:rsidRDefault="008E66A5" w:rsidP="005E4F16">
      <w:pPr>
        <w:tabs>
          <w:tab w:val="left" w:pos="851"/>
          <w:tab w:val="right" w:pos="5184"/>
          <w:tab w:val="right" w:pos="6624"/>
          <w:tab w:val="right" w:pos="8640"/>
          <w:tab w:val="right" w:pos="10080"/>
        </w:tabs>
        <w:jc w:val="both"/>
        <w:rPr>
          <w:rFonts w:ascii="Arial" w:hAnsi="Arial"/>
          <w:sz w:val="24"/>
          <w:szCs w:val="24"/>
        </w:rPr>
      </w:pPr>
    </w:p>
    <w:p w14:paraId="6C03F01E" w14:textId="77777777" w:rsidR="008E66A5" w:rsidRDefault="008E66A5" w:rsidP="005E4F16">
      <w:pPr>
        <w:tabs>
          <w:tab w:val="left" w:pos="851"/>
          <w:tab w:val="right" w:pos="5184"/>
          <w:tab w:val="right" w:pos="6624"/>
          <w:tab w:val="right" w:pos="8640"/>
          <w:tab w:val="right" w:pos="10080"/>
        </w:tabs>
        <w:jc w:val="both"/>
        <w:rPr>
          <w:rFonts w:ascii="Arial" w:hAnsi="Arial"/>
          <w:sz w:val="24"/>
          <w:szCs w:val="24"/>
        </w:rPr>
      </w:pPr>
    </w:p>
    <w:p w14:paraId="6E1F91F3" w14:textId="77777777" w:rsidR="008E66A5" w:rsidRDefault="008E66A5" w:rsidP="005E4F16">
      <w:pPr>
        <w:tabs>
          <w:tab w:val="left" w:pos="851"/>
          <w:tab w:val="right" w:pos="5184"/>
          <w:tab w:val="right" w:pos="6624"/>
          <w:tab w:val="right" w:pos="8640"/>
          <w:tab w:val="right" w:pos="10080"/>
        </w:tabs>
        <w:jc w:val="both"/>
        <w:rPr>
          <w:rFonts w:ascii="Arial" w:hAnsi="Arial"/>
          <w:sz w:val="24"/>
          <w:szCs w:val="24"/>
        </w:rPr>
      </w:pPr>
    </w:p>
    <w:p w14:paraId="4C2F1C93" w14:textId="77777777" w:rsidR="00E26883" w:rsidRDefault="00E26883" w:rsidP="005E4F16">
      <w:pPr>
        <w:tabs>
          <w:tab w:val="left" w:pos="851"/>
          <w:tab w:val="right" w:pos="5184"/>
          <w:tab w:val="right" w:pos="6624"/>
          <w:tab w:val="right" w:pos="8640"/>
          <w:tab w:val="right" w:pos="10080"/>
        </w:tabs>
        <w:jc w:val="both"/>
        <w:rPr>
          <w:rFonts w:ascii="Arial" w:hAnsi="Arial"/>
          <w:sz w:val="24"/>
          <w:szCs w:val="24"/>
        </w:rPr>
      </w:pPr>
    </w:p>
    <w:p w14:paraId="466812A3" w14:textId="77777777" w:rsidR="00E26883" w:rsidRDefault="00E26883" w:rsidP="005E4F16">
      <w:pPr>
        <w:tabs>
          <w:tab w:val="left" w:pos="851"/>
          <w:tab w:val="right" w:pos="5184"/>
          <w:tab w:val="right" w:pos="6624"/>
          <w:tab w:val="right" w:pos="8640"/>
          <w:tab w:val="right" w:pos="10080"/>
        </w:tabs>
        <w:jc w:val="both"/>
        <w:rPr>
          <w:rFonts w:ascii="Arial" w:hAnsi="Arial"/>
          <w:sz w:val="24"/>
          <w:szCs w:val="24"/>
        </w:rPr>
      </w:pPr>
    </w:p>
    <w:p w14:paraId="219FCBE3" w14:textId="77777777" w:rsidR="00A8195E" w:rsidRDefault="00A8195E" w:rsidP="005E4F16">
      <w:pPr>
        <w:tabs>
          <w:tab w:val="left" w:pos="851"/>
          <w:tab w:val="right" w:pos="5184"/>
          <w:tab w:val="right" w:pos="6624"/>
          <w:tab w:val="right" w:pos="8640"/>
          <w:tab w:val="right" w:pos="10080"/>
        </w:tabs>
        <w:jc w:val="both"/>
        <w:rPr>
          <w:rFonts w:ascii="Arial" w:hAnsi="Arial"/>
          <w:sz w:val="24"/>
          <w:szCs w:val="24"/>
        </w:rPr>
      </w:pPr>
    </w:p>
    <w:p w14:paraId="0A5D80AF" w14:textId="77777777" w:rsidR="002E24C5" w:rsidRPr="002E24C5" w:rsidRDefault="00A8195E" w:rsidP="009E72D7">
      <w:pPr>
        <w:numPr>
          <w:ilvl w:val="0"/>
          <w:numId w:val="5"/>
        </w:numPr>
        <w:tabs>
          <w:tab w:val="left" w:pos="864"/>
          <w:tab w:val="right" w:pos="5184"/>
          <w:tab w:val="right" w:pos="6624"/>
          <w:tab w:val="right" w:pos="8640"/>
          <w:tab w:val="right" w:pos="10080"/>
        </w:tabs>
        <w:jc w:val="both"/>
        <w:rPr>
          <w:rFonts w:ascii="Arial" w:hAnsi="Arial"/>
          <w:b/>
          <w:sz w:val="24"/>
          <w:szCs w:val="24"/>
        </w:rPr>
      </w:pPr>
      <w:r>
        <w:rPr>
          <w:rFonts w:ascii="Arial" w:hAnsi="Arial"/>
          <w:b/>
          <w:sz w:val="24"/>
          <w:szCs w:val="24"/>
        </w:rPr>
        <w:lastRenderedPageBreak/>
        <w:t>A</w:t>
      </w:r>
      <w:r w:rsidR="00127363">
        <w:rPr>
          <w:rFonts w:ascii="Arial" w:hAnsi="Arial"/>
          <w:b/>
          <w:sz w:val="24"/>
          <w:szCs w:val="24"/>
        </w:rPr>
        <w:t>nalysis of Contributions</w:t>
      </w:r>
    </w:p>
    <w:p w14:paraId="401E7C69" w14:textId="77777777" w:rsidR="002E24C5" w:rsidRPr="002E24C5" w:rsidRDefault="002E24C5" w:rsidP="005E4F16">
      <w:pPr>
        <w:pStyle w:val="Header"/>
        <w:tabs>
          <w:tab w:val="clear" w:pos="4153"/>
          <w:tab w:val="clear" w:pos="8306"/>
          <w:tab w:val="left" w:pos="709"/>
          <w:tab w:val="right" w:pos="5184"/>
          <w:tab w:val="right" w:pos="6624"/>
          <w:tab w:val="right" w:pos="8640"/>
          <w:tab w:val="right" w:pos="10080"/>
        </w:tabs>
        <w:rPr>
          <w:rFonts w:ascii="Arial" w:hAnsi="Arial"/>
          <w:i/>
          <w:color w:val="000000"/>
          <w:sz w:val="24"/>
          <w:szCs w:val="24"/>
        </w:rPr>
      </w:pPr>
    </w:p>
    <w:tbl>
      <w:tblPr>
        <w:tblW w:w="0" w:type="auto"/>
        <w:jc w:val="center"/>
        <w:tblBorders>
          <w:top w:val="single" w:sz="12" w:space="0" w:color="auto"/>
          <w:bottom w:val="double" w:sz="4" w:space="0" w:color="auto"/>
        </w:tblBorders>
        <w:tblLayout w:type="fixed"/>
        <w:tblLook w:val="0000" w:firstRow="0" w:lastRow="0" w:firstColumn="0" w:lastColumn="0" w:noHBand="0" w:noVBand="0"/>
      </w:tblPr>
      <w:tblGrid>
        <w:gridCol w:w="1843"/>
        <w:gridCol w:w="5129"/>
        <w:gridCol w:w="1817"/>
      </w:tblGrid>
      <w:tr w:rsidR="006911D7" w:rsidRPr="00970E60" w14:paraId="41637E53" w14:textId="77777777" w:rsidTr="00B4415D">
        <w:trPr>
          <w:jc w:val="center"/>
        </w:trPr>
        <w:tc>
          <w:tcPr>
            <w:tcW w:w="1843" w:type="dxa"/>
            <w:tcBorders>
              <w:top w:val="nil"/>
              <w:bottom w:val="nil"/>
            </w:tcBorders>
          </w:tcPr>
          <w:p w14:paraId="6C97A2E1" w14:textId="77777777" w:rsidR="006911D7" w:rsidRPr="00970E60" w:rsidRDefault="006911D7" w:rsidP="005E4F16">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970E60">
              <w:rPr>
                <w:rFonts w:ascii="Arial" w:hAnsi="Arial"/>
                <w:b/>
                <w:sz w:val="24"/>
                <w:szCs w:val="24"/>
              </w:rPr>
              <w:t>Total Contributions</w:t>
            </w:r>
          </w:p>
          <w:p w14:paraId="105090AC" w14:textId="77777777" w:rsidR="006911D7" w:rsidRPr="00970E60" w:rsidRDefault="000E67B8" w:rsidP="00183858">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hAnsi="Arial"/>
                <w:b/>
                <w:sz w:val="24"/>
                <w:szCs w:val="24"/>
              </w:rPr>
              <w:t>2020/21</w:t>
            </w:r>
          </w:p>
        </w:tc>
        <w:tc>
          <w:tcPr>
            <w:tcW w:w="5129" w:type="dxa"/>
            <w:tcBorders>
              <w:top w:val="nil"/>
              <w:bottom w:val="nil"/>
            </w:tcBorders>
          </w:tcPr>
          <w:p w14:paraId="7DCABE91" w14:textId="77777777" w:rsidR="006911D7" w:rsidRPr="00970E60" w:rsidRDefault="006911D7" w:rsidP="005E4F16">
            <w:pPr>
              <w:pStyle w:val="Header"/>
              <w:tabs>
                <w:tab w:val="clear" w:pos="4153"/>
                <w:tab w:val="clear" w:pos="8306"/>
                <w:tab w:val="right" w:pos="3732"/>
                <w:tab w:val="right" w:pos="4769"/>
                <w:tab w:val="right" w:pos="6220"/>
                <w:tab w:val="right" w:pos="7257"/>
              </w:tabs>
              <w:rPr>
                <w:rFonts w:ascii="Arial" w:hAnsi="Arial"/>
                <w:b/>
                <w:sz w:val="24"/>
                <w:szCs w:val="24"/>
              </w:rPr>
            </w:pPr>
          </w:p>
        </w:tc>
        <w:tc>
          <w:tcPr>
            <w:tcW w:w="1817" w:type="dxa"/>
            <w:tcBorders>
              <w:top w:val="nil"/>
              <w:bottom w:val="nil"/>
            </w:tcBorders>
          </w:tcPr>
          <w:p w14:paraId="65FDC7B2" w14:textId="77777777" w:rsidR="006911D7" w:rsidRPr="00970E60" w:rsidRDefault="006911D7" w:rsidP="005E4F16">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970E60">
              <w:rPr>
                <w:rFonts w:ascii="Arial" w:hAnsi="Arial"/>
                <w:b/>
                <w:sz w:val="24"/>
                <w:szCs w:val="24"/>
              </w:rPr>
              <w:t>Total Contributions</w:t>
            </w:r>
          </w:p>
          <w:p w14:paraId="53E2DDCA" w14:textId="77777777" w:rsidR="00183858" w:rsidRPr="00970E60" w:rsidRDefault="00F82707" w:rsidP="000E67B8">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hAnsi="Arial"/>
                <w:b/>
                <w:sz w:val="24"/>
                <w:szCs w:val="24"/>
              </w:rPr>
              <w:t>202</w:t>
            </w:r>
            <w:r w:rsidR="000E67B8">
              <w:rPr>
                <w:rFonts w:ascii="Arial" w:hAnsi="Arial"/>
                <w:b/>
                <w:sz w:val="24"/>
                <w:szCs w:val="24"/>
              </w:rPr>
              <w:t>1/22</w:t>
            </w:r>
          </w:p>
        </w:tc>
      </w:tr>
      <w:tr w:rsidR="006911D7" w:rsidRPr="002A758A" w14:paraId="20638217" w14:textId="77777777" w:rsidTr="00B4415D">
        <w:trPr>
          <w:jc w:val="center"/>
        </w:trPr>
        <w:tc>
          <w:tcPr>
            <w:tcW w:w="1843" w:type="dxa"/>
            <w:tcBorders>
              <w:top w:val="nil"/>
            </w:tcBorders>
          </w:tcPr>
          <w:p w14:paraId="20F21E3B" w14:textId="77777777" w:rsidR="006911D7" w:rsidRPr="00117F66" w:rsidRDefault="006911D7" w:rsidP="005E4F16">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117F66">
              <w:rPr>
                <w:rFonts w:ascii="Arial" w:hAnsi="Arial"/>
                <w:b/>
                <w:sz w:val="24"/>
                <w:szCs w:val="24"/>
              </w:rPr>
              <w:t>£’000</w:t>
            </w:r>
          </w:p>
        </w:tc>
        <w:tc>
          <w:tcPr>
            <w:tcW w:w="5129" w:type="dxa"/>
            <w:tcBorders>
              <w:top w:val="nil"/>
            </w:tcBorders>
          </w:tcPr>
          <w:p w14:paraId="037E7C61" w14:textId="77777777" w:rsidR="006911D7" w:rsidRPr="00117F66" w:rsidRDefault="006911D7" w:rsidP="005E4F16">
            <w:pPr>
              <w:pStyle w:val="Header"/>
              <w:tabs>
                <w:tab w:val="clear" w:pos="4153"/>
                <w:tab w:val="clear" w:pos="8306"/>
                <w:tab w:val="right" w:pos="3732"/>
                <w:tab w:val="right" w:pos="4769"/>
                <w:tab w:val="right" w:pos="6220"/>
                <w:tab w:val="right" w:pos="7257"/>
              </w:tabs>
              <w:rPr>
                <w:rFonts w:ascii="Arial" w:hAnsi="Arial"/>
                <w:b/>
                <w:sz w:val="24"/>
                <w:szCs w:val="24"/>
                <w:u w:val="single"/>
              </w:rPr>
            </w:pPr>
          </w:p>
        </w:tc>
        <w:tc>
          <w:tcPr>
            <w:tcW w:w="1817" w:type="dxa"/>
            <w:tcBorders>
              <w:top w:val="nil"/>
            </w:tcBorders>
          </w:tcPr>
          <w:p w14:paraId="26763888" w14:textId="77777777" w:rsidR="006911D7" w:rsidRPr="00117F66" w:rsidRDefault="006911D7" w:rsidP="005E4F16">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117F66">
              <w:rPr>
                <w:rFonts w:ascii="Arial" w:hAnsi="Arial"/>
                <w:b/>
                <w:sz w:val="24"/>
                <w:szCs w:val="24"/>
              </w:rPr>
              <w:t>£’000</w:t>
            </w:r>
          </w:p>
        </w:tc>
      </w:tr>
      <w:tr w:rsidR="00C34067" w:rsidRPr="002A758A" w14:paraId="235D36A2" w14:textId="77777777" w:rsidTr="00B4415D">
        <w:trPr>
          <w:jc w:val="center"/>
        </w:trPr>
        <w:tc>
          <w:tcPr>
            <w:tcW w:w="1843" w:type="dxa"/>
            <w:tcBorders>
              <w:bottom w:val="single" w:sz="2" w:space="0" w:color="auto"/>
            </w:tcBorders>
          </w:tcPr>
          <w:p w14:paraId="2482672D" w14:textId="77777777" w:rsidR="00C34067" w:rsidRPr="00117F66" w:rsidRDefault="00C34067" w:rsidP="005E4F16">
            <w:pPr>
              <w:pStyle w:val="Header"/>
              <w:tabs>
                <w:tab w:val="clear" w:pos="4153"/>
                <w:tab w:val="clear" w:pos="8306"/>
                <w:tab w:val="right" w:pos="3732"/>
                <w:tab w:val="right" w:pos="4769"/>
                <w:tab w:val="right" w:pos="6220"/>
                <w:tab w:val="right" w:pos="7257"/>
              </w:tabs>
              <w:jc w:val="center"/>
              <w:rPr>
                <w:rFonts w:ascii="Arial" w:hAnsi="Arial"/>
                <w:b/>
                <w:sz w:val="24"/>
                <w:szCs w:val="24"/>
              </w:rPr>
            </w:pPr>
          </w:p>
        </w:tc>
        <w:tc>
          <w:tcPr>
            <w:tcW w:w="5129" w:type="dxa"/>
          </w:tcPr>
          <w:p w14:paraId="39BCF361" w14:textId="77777777" w:rsidR="00C34067" w:rsidRPr="00117F66" w:rsidRDefault="00C34067" w:rsidP="005E4F16">
            <w:pPr>
              <w:pStyle w:val="Header"/>
              <w:tabs>
                <w:tab w:val="clear" w:pos="4153"/>
                <w:tab w:val="clear" w:pos="8306"/>
                <w:tab w:val="right" w:pos="3732"/>
                <w:tab w:val="right" w:pos="4769"/>
                <w:tab w:val="right" w:pos="6220"/>
                <w:tab w:val="right" w:pos="7257"/>
              </w:tabs>
              <w:rPr>
                <w:rFonts w:ascii="Arial" w:hAnsi="Arial"/>
                <w:b/>
                <w:sz w:val="24"/>
                <w:szCs w:val="24"/>
                <w:u w:val="single"/>
              </w:rPr>
            </w:pPr>
            <w:r>
              <w:rPr>
                <w:rFonts w:ascii="Arial" w:hAnsi="Arial"/>
                <w:b/>
                <w:sz w:val="24"/>
                <w:szCs w:val="24"/>
                <w:u w:val="single"/>
              </w:rPr>
              <w:t>Administering Authority</w:t>
            </w:r>
          </w:p>
        </w:tc>
        <w:tc>
          <w:tcPr>
            <w:tcW w:w="1817" w:type="dxa"/>
            <w:tcBorders>
              <w:bottom w:val="single" w:sz="2" w:space="0" w:color="auto"/>
            </w:tcBorders>
          </w:tcPr>
          <w:p w14:paraId="20D19566" w14:textId="77777777" w:rsidR="00C34067" w:rsidRPr="00117F66" w:rsidRDefault="00C34067" w:rsidP="005E4F16">
            <w:pPr>
              <w:pStyle w:val="Header"/>
              <w:tabs>
                <w:tab w:val="clear" w:pos="4153"/>
                <w:tab w:val="clear" w:pos="8306"/>
                <w:tab w:val="right" w:pos="3732"/>
                <w:tab w:val="right" w:pos="4769"/>
                <w:tab w:val="right" w:pos="6220"/>
                <w:tab w:val="right" w:pos="7257"/>
              </w:tabs>
              <w:jc w:val="center"/>
              <w:rPr>
                <w:rFonts w:ascii="Arial" w:hAnsi="Arial"/>
                <w:b/>
                <w:sz w:val="24"/>
                <w:szCs w:val="24"/>
              </w:rPr>
            </w:pPr>
          </w:p>
        </w:tc>
      </w:tr>
      <w:tr w:rsidR="000E67B8" w:rsidRPr="002A758A" w14:paraId="57B4F757" w14:textId="77777777" w:rsidTr="00B4415D">
        <w:trPr>
          <w:jc w:val="center"/>
        </w:trPr>
        <w:tc>
          <w:tcPr>
            <w:tcW w:w="1843" w:type="dxa"/>
            <w:tcBorders>
              <w:top w:val="single" w:sz="2" w:space="0" w:color="auto"/>
              <w:bottom w:val="double" w:sz="4" w:space="0" w:color="auto"/>
            </w:tcBorders>
          </w:tcPr>
          <w:p w14:paraId="4A05B0C1" w14:textId="77777777" w:rsidR="000E67B8" w:rsidRPr="00CE72F7" w:rsidRDefault="000E67B8"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r w:rsidRPr="00CC1F82">
              <w:rPr>
                <w:rFonts w:ascii="Arial" w:hAnsi="Arial"/>
                <w:b/>
                <w:sz w:val="24"/>
                <w:szCs w:val="24"/>
              </w:rPr>
              <w:t>55,</w:t>
            </w:r>
            <w:r>
              <w:rPr>
                <w:rFonts w:ascii="Arial" w:hAnsi="Arial"/>
                <w:b/>
                <w:sz w:val="24"/>
                <w:szCs w:val="24"/>
              </w:rPr>
              <w:t>453</w:t>
            </w:r>
          </w:p>
        </w:tc>
        <w:tc>
          <w:tcPr>
            <w:tcW w:w="5129" w:type="dxa"/>
          </w:tcPr>
          <w:p w14:paraId="575AB607" w14:textId="77777777" w:rsidR="000E67B8" w:rsidRPr="00C34067" w:rsidRDefault="000E67B8"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C34067">
              <w:rPr>
                <w:rFonts w:ascii="Arial" w:hAnsi="Arial"/>
                <w:sz w:val="24"/>
                <w:szCs w:val="24"/>
              </w:rPr>
              <w:t>City &amp; County of Swansea</w:t>
            </w:r>
          </w:p>
        </w:tc>
        <w:tc>
          <w:tcPr>
            <w:tcW w:w="1817" w:type="dxa"/>
            <w:tcBorders>
              <w:top w:val="single" w:sz="2" w:space="0" w:color="auto"/>
              <w:bottom w:val="double" w:sz="4" w:space="0" w:color="auto"/>
            </w:tcBorders>
          </w:tcPr>
          <w:p w14:paraId="4E06032F" w14:textId="77777777" w:rsidR="000E67B8" w:rsidRPr="00CE72F7"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hAnsi="Arial"/>
                <w:b/>
                <w:sz w:val="24"/>
                <w:szCs w:val="24"/>
              </w:rPr>
              <w:t>59,167</w:t>
            </w:r>
          </w:p>
        </w:tc>
      </w:tr>
      <w:tr w:rsidR="000E67B8" w:rsidRPr="002A758A" w14:paraId="5A5DCD3A" w14:textId="77777777" w:rsidTr="00B4415D">
        <w:trPr>
          <w:jc w:val="center"/>
        </w:trPr>
        <w:tc>
          <w:tcPr>
            <w:tcW w:w="1843" w:type="dxa"/>
            <w:tcBorders>
              <w:top w:val="double" w:sz="4" w:space="0" w:color="auto"/>
            </w:tcBorders>
          </w:tcPr>
          <w:p w14:paraId="5481B991" w14:textId="77777777" w:rsidR="000E67B8" w:rsidRPr="00117F66" w:rsidRDefault="000E67B8" w:rsidP="000E67B8">
            <w:pPr>
              <w:pStyle w:val="Header"/>
              <w:tabs>
                <w:tab w:val="clear" w:pos="4153"/>
                <w:tab w:val="clear" w:pos="8306"/>
                <w:tab w:val="right" w:pos="3732"/>
                <w:tab w:val="right" w:pos="4769"/>
                <w:tab w:val="right" w:pos="6220"/>
                <w:tab w:val="right" w:pos="7257"/>
              </w:tabs>
              <w:jc w:val="center"/>
              <w:rPr>
                <w:rFonts w:ascii="Arial" w:hAnsi="Arial"/>
                <w:b/>
                <w:sz w:val="24"/>
                <w:szCs w:val="24"/>
              </w:rPr>
            </w:pPr>
          </w:p>
        </w:tc>
        <w:tc>
          <w:tcPr>
            <w:tcW w:w="5129" w:type="dxa"/>
          </w:tcPr>
          <w:p w14:paraId="0FB8DE46" w14:textId="77777777" w:rsidR="000E67B8" w:rsidRPr="00117F66" w:rsidRDefault="000E67B8" w:rsidP="000E67B8">
            <w:pPr>
              <w:pStyle w:val="Header"/>
              <w:tabs>
                <w:tab w:val="clear" w:pos="4153"/>
                <w:tab w:val="clear" w:pos="8306"/>
                <w:tab w:val="right" w:pos="3732"/>
                <w:tab w:val="right" w:pos="4769"/>
                <w:tab w:val="right" w:pos="6220"/>
                <w:tab w:val="right" w:pos="7257"/>
              </w:tabs>
              <w:rPr>
                <w:rFonts w:ascii="Arial" w:hAnsi="Arial"/>
                <w:b/>
                <w:sz w:val="24"/>
                <w:szCs w:val="24"/>
                <w:u w:val="single"/>
              </w:rPr>
            </w:pPr>
          </w:p>
        </w:tc>
        <w:tc>
          <w:tcPr>
            <w:tcW w:w="1817" w:type="dxa"/>
            <w:tcBorders>
              <w:top w:val="double" w:sz="4" w:space="0" w:color="auto"/>
            </w:tcBorders>
          </w:tcPr>
          <w:p w14:paraId="4233DACD" w14:textId="77777777" w:rsidR="000E67B8" w:rsidRPr="00117F66" w:rsidRDefault="000E67B8" w:rsidP="000E67B8">
            <w:pPr>
              <w:pStyle w:val="Header"/>
              <w:tabs>
                <w:tab w:val="clear" w:pos="4153"/>
                <w:tab w:val="clear" w:pos="8306"/>
                <w:tab w:val="right" w:pos="3732"/>
                <w:tab w:val="right" w:pos="4769"/>
                <w:tab w:val="right" w:pos="6220"/>
                <w:tab w:val="right" w:pos="7257"/>
              </w:tabs>
              <w:jc w:val="center"/>
              <w:rPr>
                <w:rFonts w:ascii="Arial" w:hAnsi="Arial"/>
                <w:b/>
                <w:sz w:val="24"/>
                <w:szCs w:val="24"/>
              </w:rPr>
            </w:pPr>
          </w:p>
        </w:tc>
      </w:tr>
      <w:tr w:rsidR="000E67B8" w:rsidRPr="002A758A" w14:paraId="67A1E0EB" w14:textId="77777777" w:rsidTr="00B4415D">
        <w:trPr>
          <w:jc w:val="center"/>
        </w:trPr>
        <w:tc>
          <w:tcPr>
            <w:tcW w:w="1843" w:type="dxa"/>
          </w:tcPr>
          <w:p w14:paraId="5B971358" w14:textId="77777777" w:rsidR="000E67B8" w:rsidRPr="00117F66" w:rsidRDefault="000E67B8"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5129" w:type="dxa"/>
          </w:tcPr>
          <w:p w14:paraId="4DCDF8AD" w14:textId="77777777" w:rsidR="000E67B8" w:rsidRPr="00117F66" w:rsidRDefault="000E67B8" w:rsidP="000E67B8">
            <w:pPr>
              <w:pStyle w:val="Header"/>
              <w:tabs>
                <w:tab w:val="clear" w:pos="4153"/>
                <w:tab w:val="clear" w:pos="8306"/>
                <w:tab w:val="right" w:pos="3732"/>
                <w:tab w:val="right" w:pos="4769"/>
                <w:tab w:val="right" w:pos="6220"/>
                <w:tab w:val="right" w:pos="7257"/>
              </w:tabs>
              <w:rPr>
                <w:rFonts w:ascii="Arial" w:hAnsi="Arial"/>
                <w:b/>
                <w:sz w:val="24"/>
                <w:szCs w:val="24"/>
                <w:u w:val="single"/>
              </w:rPr>
            </w:pPr>
            <w:r w:rsidRPr="00117F66">
              <w:rPr>
                <w:rFonts w:ascii="Arial" w:hAnsi="Arial"/>
                <w:b/>
                <w:sz w:val="24"/>
                <w:szCs w:val="24"/>
                <w:u w:val="single"/>
              </w:rPr>
              <w:t>Admitted Bodies</w:t>
            </w:r>
          </w:p>
        </w:tc>
        <w:tc>
          <w:tcPr>
            <w:tcW w:w="1817" w:type="dxa"/>
          </w:tcPr>
          <w:p w14:paraId="71C9D94A" w14:textId="77777777" w:rsidR="000E67B8" w:rsidRPr="00117F66" w:rsidRDefault="000E67B8"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p>
        </w:tc>
      </w:tr>
      <w:tr w:rsidR="000E67B8" w:rsidRPr="002A758A" w14:paraId="2A3E2D16" w14:textId="77777777" w:rsidTr="00B4415D">
        <w:trPr>
          <w:trHeight w:val="252"/>
          <w:jc w:val="center"/>
        </w:trPr>
        <w:tc>
          <w:tcPr>
            <w:tcW w:w="1843" w:type="dxa"/>
          </w:tcPr>
          <w:p w14:paraId="483E8D15" w14:textId="77777777" w:rsidR="000E67B8" w:rsidRPr="00117F66" w:rsidRDefault="000E67B8"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378</w:t>
            </w:r>
          </w:p>
        </w:tc>
        <w:tc>
          <w:tcPr>
            <w:tcW w:w="5129" w:type="dxa"/>
          </w:tcPr>
          <w:p w14:paraId="22B7462F" w14:textId="77777777" w:rsidR="000E67B8" w:rsidRPr="00117F66" w:rsidRDefault="000E67B8"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 xml:space="preserve">Celtic Community Leisure </w:t>
            </w:r>
          </w:p>
        </w:tc>
        <w:tc>
          <w:tcPr>
            <w:tcW w:w="1817" w:type="dxa"/>
          </w:tcPr>
          <w:p w14:paraId="6C0C2D99" w14:textId="77777777" w:rsidR="000E67B8" w:rsidRPr="00117F66"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358</w:t>
            </w:r>
          </w:p>
        </w:tc>
      </w:tr>
      <w:tr w:rsidR="00B4415D" w:rsidRPr="002A758A" w14:paraId="5FC6684E" w14:textId="77777777" w:rsidTr="00B4415D">
        <w:trPr>
          <w:jc w:val="center"/>
        </w:trPr>
        <w:tc>
          <w:tcPr>
            <w:tcW w:w="1843" w:type="dxa"/>
          </w:tcPr>
          <w:p w14:paraId="2E546B0D" w14:textId="77777777" w:rsidR="00B4415D" w:rsidRPr="00117F66"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sidRPr="00B4415D">
              <w:rPr>
                <w:rFonts w:ascii="Arial" w:hAnsi="Arial"/>
                <w:sz w:val="24"/>
                <w:szCs w:val="24"/>
              </w:rPr>
              <w:t>127</w:t>
            </w:r>
          </w:p>
        </w:tc>
        <w:tc>
          <w:tcPr>
            <w:tcW w:w="5129" w:type="dxa"/>
          </w:tcPr>
          <w:p w14:paraId="779BA531"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B4415D">
              <w:rPr>
                <w:rFonts w:ascii="Arial" w:hAnsi="Arial"/>
                <w:sz w:val="24"/>
                <w:szCs w:val="24"/>
              </w:rPr>
              <w:t>Wales National Pool</w:t>
            </w:r>
          </w:p>
        </w:tc>
        <w:tc>
          <w:tcPr>
            <w:tcW w:w="1817" w:type="dxa"/>
          </w:tcPr>
          <w:p w14:paraId="291D2FFB" w14:textId="77777777" w:rsidR="00B4415D" w:rsidRPr="00117F66"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131</w:t>
            </w:r>
          </w:p>
        </w:tc>
      </w:tr>
      <w:tr w:rsidR="00B4415D" w:rsidRPr="00B4415D" w14:paraId="01436281" w14:textId="77777777" w:rsidTr="00E0571E">
        <w:trPr>
          <w:jc w:val="center"/>
        </w:trPr>
        <w:tc>
          <w:tcPr>
            <w:tcW w:w="1843" w:type="dxa"/>
            <w:shd w:val="clear" w:color="auto" w:fill="FFFFFF"/>
          </w:tcPr>
          <w:p w14:paraId="599C540C" w14:textId="77777777" w:rsidR="00B4415D" w:rsidRPr="00674855"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sidRPr="00674855">
              <w:rPr>
                <w:rFonts w:ascii="Arial" w:hAnsi="Arial"/>
                <w:sz w:val="24"/>
                <w:szCs w:val="24"/>
              </w:rPr>
              <w:t>2,994</w:t>
            </w:r>
          </w:p>
          <w:p w14:paraId="5D5136C9" w14:textId="77777777" w:rsidR="00B4415D" w:rsidRPr="00674855"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sidRPr="00674855">
              <w:rPr>
                <w:rFonts w:ascii="Arial" w:hAnsi="Arial"/>
                <w:sz w:val="24"/>
                <w:szCs w:val="24"/>
              </w:rPr>
              <w:t>1,609</w:t>
            </w:r>
          </w:p>
        </w:tc>
        <w:tc>
          <w:tcPr>
            <w:tcW w:w="5129" w:type="dxa"/>
            <w:shd w:val="clear" w:color="auto" w:fill="FFFFFF"/>
          </w:tcPr>
          <w:p w14:paraId="0FAFA27A" w14:textId="77777777" w:rsidR="00B4415D" w:rsidRPr="00674855"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674855">
              <w:rPr>
                <w:rFonts w:ascii="Arial" w:hAnsi="Arial"/>
                <w:sz w:val="24"/>
                <w:szCs w:val="24"/>
              </w:rPr>
              <w:t>Tai Tarian</w:t>
            </w:r>
          </w:p>
          <w:p w14:paraId="5FF8D38C" w14:textId="77777777" w:rsidR="00B4415D" w:rsidRPr="00674855"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674855">
              <w:rPr>
                <w:rFonts w:ascii="Arial" w:hAnsi="Arial"/>
                <w:sz w:val="24"/>
                <w:szCs w:val="24"/>
              </w:rPr>
              <w:t>University of Wales Trinity St Davids</w:t>
            </w:r>
          </w:p>
        </w:tc>
        <w:tc>
          <w:tcPr>
            <w:tcW w:w="1817" w:type="dxa"/>
            <w:shd w:val="clear" w:color="auto" w:fill="FFFFFF"/>
          </w:tcPr>
          <w:p w14:paraId="67D888A9" w14:textId="77777777" w:rsidR="00B4415D" w:rsidRPr="00674855"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sidRPr="00674855">
              <w:rPr>
                <w:rFonts w:ascii="Arial" w:hAnsi="Arial"/>
                <w:sz w:val="24"/>
                <w:szCs w:val="24"/>
              </w:rPr>
              <w:t>2,552</w:t>
            </w:r>
          </w:p>
          <w:p w14:paraId="78FF9D53" w14:textId="77777777" w:rsidR="00674855" w:rsidRPr="00674855" w:rsidRDefault="00674855"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sidRPr="00674855">
              <w:rPr>
                <w:rFonts w:ascii="Arial" w:hAnsi="Arial"/>
                <w:sz w:val="24"/>
                <w:szCs w:val="24"/>
              </w:rPr>
              <w:t>1,691</w:t>
            </w:r>
          </w:p>
        </w:tc>
      </w:tr>
      <w:tr w:rsidR="00B4415D" w:rsidRPr="002A758A" w14:paraId="48DE8953" w14:textId="77777777" w:rsidTr="00B4415D">
        <w:trPr>
          <w:jc w:val="center"/>
        </w:trPr>
        <w:tc>
          <w:tcPr>
            <w:tcW w:w="1843" w:type="dxa"/>
            <w:tcBorders>
              <w:top w:val="nil"/>
              <w:bottom w:val="single" w:sz="4" w:space="0" w:color="auto"/>
            </w:tcBorders>
          </w:tcPr>
          <w:p w14:paraId="1126B154" w14:textId="77777777" w:rsidR="00B4415D" w:rsidRPr="00D66A79"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303</w:t>
            </w:r>
          </w:p>
          <w:p w14:paraId="146D9B6B" w14:textId="77777777" w:rsidR="00B4415D" w:rsidRPr="00D66A79" w:rsidRDefault="00674855"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446</w:t>
            </w:r>
          </w:p>
          <w:p w14:paraId="4BF003D1" w14:textId="77777777" w:rsidR="00B4415D" w:rsidRPr="00D66A79" w:rsidRDefault="00674855"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31</w:t>
            </w:r>
          </w:p>
          <w:p w14:paraId="51CF4400" w14:textId="77777777" w:rsidR="00B4415D" w:rsidRPr="00D66A79" w:rsidRDefault="00674855" w:rsidP="00674855">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98</w:t>
            </w:r>
          </w:p>
        </w:tc>
        <w:tc>
          <w:tcPr>
            <w:tcW w:w="5129" w:type="dxa"/>
            <w:tcBorders>
              <w:top w:val="nil"/>
              <w:bottom w:val="nil"/>
            </w:tcBorders>
          </w:tcPr>
          <w:p w14:paraId="177098B5" w14:textId="77777777" w:rsidR="00B4415D" w:rsidRPr="00407671"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407671">
              <w:rPr>
                <w:rFonts w:ascii="Arial" w:hAnsi="Arial"/>
                <w:sz w:val="24"/>
                <w:szCs w:val="24"/>
              </w:rPr>
              <w:t>Pobl Group</w:t>
            </w:r>
          </w:p>
          <w:p w14:paraId="559F1006" w14:textId="77777777" w:rsidR="00B4415D" w:rsidRPr="00407671"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407671">
              <w:rPr>
                <w:rFonts w:ascii="Arial" w:hAnsi="Arial"/>
                <w:sz w:val="24"/>
                <w:szCs w:val="24"/>
              </w:rPr>
              <w:t>Wealdon Leisure</w:t>
            </w:r>
          </w:p>
          <w:p w14:paraId="52369FD4" w14:textId="77777777" w:rsidR="00B4415D" w:rsidRPr="00407671"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407671">
              <w:rPr>
                <w:rFonts w:ascii="Arial" w:hAnsi="Arial"/>
                <w:sz w:val="24"/>
                <w:szCs w:val="24"/>
              </w:rPr>
              <w:t xml:space="preserve">Parkwood </w:t>
            </w:r>
            <w:r w:rsidR="00CB4084" w:rsidRPr="00407671">
              <w:rPr>
                <w:rFonts w:ascii="Arial" w:hAnsi="Arial"/>
                <w:sz w:val="24"/>
                <w:szCs w:val="24"/>
              </w:rPr>
              <w:t>Holdings</w:t>
            </w:r>
          </w:p>
          <w:p w14:paraId="149E6634" w14:textId="77777777" w:rsidR="00B4415D" w:rsidRPr="00407671"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407671">
              <w:rPr>
                <w:rFonts w:ascii="Arial" w:hAnsi="Arial"/>
                <w:sz w:val="24"/>
                <w:szCs w:val="24"/>
              </w:rPr>
              <w:t>The Wallich</w:t>
            </w:r>
          </w:p>
        </w:tc>
        <w:tc>
          <w:tcPr>
            <w:tcW w:w="1817" w:type="dxa"/>
            <w:tcBorders>
              <w:top w:val="nil"/>
              <w:bottom w:val="single" w:sz="4" w:space="0" w:color="auto"/>
            </w:tcBorders>
          </w:tcPr>
          <w:p w14:paraId="1BC398BB" w14:textId="77777777" w:rsidR="00B4415D" w:rsidRDefault="00674855"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286</w:t>
            </w:r>
          </w:p>
          <w:p w14:paraId="39C70E7B" w14:textId="77777777" w:rsidR="00674855" w:rsidRDefault="00674855"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417</w:t>
            </w:r>
          </w:p>
          <w:p w14:paraId="248368A4" w14:textId="77777777" w:rsidR="00674855" w:rsidRDefault="00674855"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20</w:t>
            </w:r>
          </w:p>
          <w:p w14:paraId="60521AE4" w14:textId="77777777" w:rsidR="00674855" w:rsidRPr="00D66A79" w:rsidRDefault="00674855"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7</w:t>
            </w:r>
          </w:p>
        </w:tc>
      </w:tr>
      <w:tr w:rsidR="00B4415D" w:rsidRPr="002A758A" w14:paraId="45037842" w14:textId="77777777" w:rsidTr="00B4415D">
        <w:trPr>
          <w:jc w:val="center"/>
        </w:trPr>
        <w:tc>
          <w:tcPr>
            <w:tcW w:w="1843" w:type="dxa"/>
            <w:tcBorders>
              <w:top w:val="single" w:sz="4" w:space="0" w:color="auto"/>
              <w:bottom w:val="double" w:sz="4" w:space="0" w:color="auto"/>
            </w:tcBorders>
          </w:tcPr>
          <w:p w14:paraId="1C470F98" w14:textId="77777777" w:rsidR="00B4415D" w:rsidRPr="00D66A79"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b/>
                <w:sz w:val="24"/>
                <w:szCs w:val="24"/>
              </w:rPr>
              <w:t>5,986</w:t>
            </w:r>
          </w:p>
        </w:tc>
        <w:tc>
          <w:tcPr>
            <w:tcW w:w="5129" w:type="dxa"/>
            <w:tcBorders>
              <w:top w:val="nil"/>
            </w:tcBorders>
          </w:tcPr>
          <w:p w14:paraId="6D2DF6E9" w14:textId="77777777" w:rsidR="00B4415D"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854891">
              <w:rPr>
                <w:rFonts w:ascii="Arial" w:hAnsi="Arial"/>
                <w:b/>
                <w:sz w:val="24"/>
                <w:szCs w:val="24"/>
              </w:rPr>
              <w:t>Total Admitted Bodies</w:t>
            </w:r>
          </w:p>
        </w:tc>
        <w:tc>
          <w:tcPr>
            <w:tcW w:w="1817" w:type="dxa"/>
            <w:tcBorders>
              <w:top w:val="single" w:sz="4" w:space="0" w:color="auto"/>
              <w:bottom w:val="double" w:sz="4" w:space="0" w:color="auto"/>
            </w:tcBorders>
          </w:tcPr>
          <w:p w14:paraId="1766276E" w14:textId="77777777" w:rsidR="00B4415D" w:rsidRPr="000700F0" w:rsidRDefault="00674855" w:rsidP="000E67B8">
            <w:pPr>
              <w:pStyle w:val="Header"/>
              <w:tabs>
                <w:tab w:val="clear" w:pos="4153"/>
                <w:tab w:val="clear" w:pos="8306"/>
                <w:tab w:val="right" w:pos="3732"/>
                <w:tab w:val="right" w:pos="4769"/>
                <w:tab w:val="right" w:pos="6220"/>
                <w:tab w:val="right" w:pos="7257"/>
              </w:tabs>
              <w:jc w:val="right"/>
              <w:rPr>
                <w:rFonts w:ascii="Arial" w:hAnsi="Arial"/>
                <w:b/>
                <w:bCs/>
                <w:sz w:val="24"/>
                <w:szCs w:val="24"/>
              </w:rPr>
            </w:pPr>
            <w:r w:rsidRPr="000700F0">
              <w:rPr>
                <w:rFonts w:ascii="Arial" w:hAnsi="Arial"/>
                <w:b/>
                <w:bCs/>
                <w:sz w:val="24"/>
                <w:szCs w:val="24"/>
              </w:rPr>
              <w:t>5,462</w:t>
            </w:r>
          </w:p>
        </w:tc>
      </w:tr>
      <w:tr w:rsidR="00B4415D" w:rsidRPr="00854891" w14:paraId="258308FF" w14:textId="77777777" w:rsidTr="00B4415D">
        <w:trPr>
          <w:jc w:val="center"/>
        </w:trPr>
        <w:tc>
          <w:tcPr>
            <w:tcW w:w="1843" w:type="dxa"/>
            <w:tcBorders>
              <w:top w:val="double" w:sz="4" w:space="0" w:color="auto"/>
              <w:bottom w:val="nil"/>
            </w:tcBorders>
          </w:tcPr>
          <w:p w14:paraId="312958E4" w14:textId="77777777" w:rsidR="00B4415D" w:rsidRPr="00854891"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p>
        </w:tc>
        <w:tc>
          <w:tcPr>
            <w:tcW w:w="5129" w:type="dxa"/>
          </w:tcPr>
          <w:p w14:paraId="1A43DF4C" w14:textId="77777777" w:rsidR="00B4415D" w:rsidRPr="00854891" w:rsidRDefault="00B4415D" w:rsidP="000E67B8">
            <w:pPr>
              <w:pStyle w:val="Header"/>
              <w:tabs>
                <w:tab w:val="clear" w:pos="4153"/>
                <w:tab w:val="clear" w:pos="8306"/>
                <w:tab w:val="right" w:pos="3732"/>
                <w:tab w:val="right" w:pos="4769"/>
                <w:tab w:val="right" w:pos="6220"/>
                <w:tab w:val="right" w:pos="7257"/>
              </w:tabs>
              <w:rPr>
                <w:rFonts w:ascii="Arial" w:hAnsi="Arial"/>
                <w:b/>
                <w:sz w:val="24"/>
                <w:szCs w:val="24"/>
              </w:rPr>
            </w:pPr>
          </w:p>
        </w:tc>
        <w:tc>
          <w:tcPr>
            <w:tcW w:w="1817" w:type="dxa"/>
            <w:tcBorders>
              <w:top w:val="double" w:sz="4" w:space="0" w:color="auto"/>
              <w:bottom w:val="nil"/>
            </w:tcBorders>
          </w:tcPr>
          <w:p w14:paraId="38DA307D" w14:textId="77777777" w:rsidR="00B4415D" w:rsidRPr="00854891"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p>
        </w:tc>
      </w:tr>
      <w:tr w:rsidR="00B4415D" w:rsidRPr="00854891" w14:paraId="0AD26867" w14:textId="77777777" w:rsidTr="00B4415D">
        <w:trPr>
          <w:jc w:val="center"/>
        </w:trPr>
        <w:tc>
          <w:tcPr>
            <w:tcW w:w="1843" w:type="dxa"/>
            <w:tcBorders>
              <w:top w:val="nil"/>
            </w:tcBorders>
          </w:tcPr>
          <w:p w14:paraId="2EFCF375" w14:textId="77777777" w:rsidR="00B4415D" w:rsidRPr="00854891"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p>
        </w:tc>
        <w:tc>
          <w:tcPr>
            <w:tcW w:w="5129" w:type="dxa"/>
          </w:tcPr>
          <w:p w14:paraId="39149AA8" w14:textId="77777777" w:rsidR="00B4415D" w:rsidRPr="00854891" w:rsidRDefault="00B4415D" w:rsidP="000E67B8">
            <w:pPr>
              <w:pStyle w:val="Header"/>
              <w:tabs>
                <w:tab w:val="clear" w:pos="4153"/>
                <w:tab w:val="clear" w:pos="8306"/>
                <w:tab w:val="right" w:pos="3732"/>
                <w:tab w:val="right" w:pos="4769"/>
                <w:tab w:val="right" w:pos="6220"/>
                <w:tab w:val="right" w:pos="7257"/>
              </w:tabs>
              <w:rPr>
                <w:rFonts w:ascii="Arial" w:hAnsi="Arial"/>
                <w:b/>
                <w:sz w:val="24"/>
                <w:szCs w:val="24"/>
              </w:rPr>
            </w:pPr>
            <w:r w:rsidRPr="00117F66">
              <w:rPr>
                <w:rFonts w:ascii="Arial" w:hAnsi="Arial"/>
                <w:b/>
                <w:sz w:val="24"/>
                <w:szCs w:val="24"/>
                <w:u w:val="single"/>
              </w:rPr>
              <w:t>Scheduled Bodies</w:t>
            </w:r>
          </w:p>
        </w:tc>
        <w:tc>
          <w:tcPr>
            <w:tcW w:w="1817" w:type="dxa"/>
            <w:tcBorders>
              <w:top w:val="nil"/>
            </w:tcBorders>
          </w:tcPr>
          <w:p w14:paraId="667DFFFD" w14:textId="77777777" w:rsidR="00B4415D" w:rsidRPr="00854891"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p>
        </w:tc>
      </w:tr>
      <w:tr w:rsidR="00B4415D" w:rsidRPr="002A758A" w14:paraId="6743F390" w14:textId="77777777" w:rsidTr="008F6E78">
        <w:trPr>
          <w:trHeight w:val="246"/>
          <w:jc w:val="center"/>
        </w:trPr>
        <w:tc>
          <w:tcPr>
            <w:tcW w:w="1843" w:type="dxa"/>
          </w:tcPr>
          <w:p w14:paraId="44FBE294" w14:textId="77777777" w:rsidR="00B4415D" w:rsidRPr="00117F66" w:rsidRDefault="00B4415D" w:rsidP="008F6E7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10</w:t>
            </w:r>
          </w:p>
        </w:tc>
        <w:tc>
          <w:tcPr>
            <w:tcW w:w="5129" w:type="dxa"/>
          </w:tcPr>
          <w:p w14:paraId="0E301339" w14:textId="77777777" w:rsidR="00B4415D" w:rsidRPr="00117F66" w:rsidRDefault="00B4415D" w:rsidP="008F6E78">
            <w:pPr>
              <w:pStyle w:val="Header"/>
              <w:tabs>
                <w:tab w:val="clear" w:pos="4153"/>
                <w:tab w:val="clear" w:pos="8306"/>
                <w:tab w:val="right" w:pos="3732"/>
                <w:tab w:val="right" w:pos="4769"/>
                <w:tab w:val="right" w:pos="6220"/>
                <w:tab w:val="right" w:pos="7257"/>
              </w:tabs>
              <w:rPr>
                <w:rFonts w:ascii="Arial" w:hAnsi="Arial"/>
                <w:b/>
                <w:sz w:val="24"/>
                <w:szCs w:val="24"/>
                <w:u w:val="single"/>
              </w:rPr>
            </w:pPr>
            <w:r w:rsidRPr="00117F66">
              <w:rPr>
                <w:rFonts w:ascii="Arial" w:hAnsi="Arial"/>
                <w:sz w:val="24"/>
                <w:szCs w:val="24"/>
              </w:rPr>
              <w:t>Cilybebyll Community Council</w:t>
            </w:r>
          </w:p>
        </w:tc>
        <w:tc>
          <w:tcPr>
            <w:tcW w:w="1817" w:type="dxa"/>
          </w:tcPr>
          <w:p w14:paraId="655E21CF" w14:textId="77777777" w:rsidR="00B4415D" w:rsidRPr="00117F66" w:rsidRDefault="008F6E78"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10</w:t>
            </w:r>
          </w:p>
        </w:tc>
      </w:tr>
      <w:tr w:rsidR="00B4415D" w:rsidRPr="002A758A" w14:paraId="53CB22BA" w14:textId="77777777" w:rsidTr="00B4415D">
        <w:trPr>
          <w:jc w:val="center"/>
        </w:trPr>
        <w:tc>
          <w:tcPr>
            <w:tcW w:w="1843" w:type="dxa"/>
          </w:tcPr>
          <w:p w14:paraId="34E3D4B3" w14:textId="77777777" w:rsidR="00B4415D" w:rsidRPr="00117F66" w:rsidRDefault="00B4415D" w:rsidP="008F6E7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74</w:t>
            </w:r>
          </w:p>
        </w:tc>
        <w:tc>
          <w:tcPr>
            <w:tcW w:w="5129" w:type="dxa"/>
          </w:tcPr>
          <w:p w14:paraId="23639465" w14:textId="77777777" w:rsidR="00B4415D" w:rsidRPr="00117F66" w:rsidRDefault="00B4415D" w:rsidP="008F6E78">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Coedffranc Community Council</w:t>
            </w:r>
          </w:p>
        </w:tc>
        <w:tc>
          <w:tcPr>
            <w:tcW w:w="1817" w:type="dxa"/>
          </w:tcPr>
          <w:p w14:paraId="3E40B777" w14:textId="77777777" w:rsidR="00B4415D" w:rsidRPr="00117F66" w:rsidRDefault="008F6E78"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77</w:t>
            </w:r>
          </w:p>
        </w:tc>
      </w:tr>
      <w:tr w:rsidR="00B4415D" w:rsidRPr="002A758A" w14:paraId="36C6EED7" w14:textId="77777777" w:rsidTr="00B4415D">
        <w:trPr>
          <w:jc w:val="center"/>
        </w:trPr>
        <w:tc>
          <w:tcPr>
            <w:tcW w:w="1843" w:type="dxa"/>
          </w:tcPr>
          <w:p w14:paraId="330012E3" w14:textId="77777777" w:rsidR="00B4415D" w:rsidRDefault="00B4415D" w:rsidP="008F6E7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5</w:t>
            </w:r>
          </w:p>
          <w:p w14:paraId="24E155B9" w14:textId="77777777" w:rsidR="00B4415D" w:rsidRDefault="00B4415D" w:rsidP="008F6E7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5</w:t>
            </w:r>
          </w:p>
          <w:p w14:paraId="73A26A14" w14:textId="77777777" w:rsidR="00B4415D" w:rsidRPr="00117F66" w:rsidRDefault="00B4415D" w:rsidP="008F6E7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17</w:t>
            </w:r>
          </w:p>
        </w:tc>
        <w:tc>
          <w:tcPr>
            <w:tcW w:w="5129" w:type="dxa"/>
          </w:tcPr>
          <w:p w14:paraId="38CC733B" w14:textId="77777777" w:rsidR="00B4415D" w:rsidRDefault="00B4415D" w:rsidP="008F6E7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Llanrhidian Higher Community Council</w:t>
            </w:r>
          </w:p>
          <w:p w14:paraId="166D82EA" w14:textId="77777777" w:rsidR="00B4415D" w:rsidRDefault="00B4415D" w:rsidP="008F6E7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Ystalyfera Community Council</w:t>
            </w:r>
          </w:p>
          <w:p w14:paraId="024414BE" w14:textId="77777777" w:rsidR="00B4415D" w:rsidRPr="00117F66" w:rsidRDefault="00B4415D" w:rsidP="008F6E7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Mumbles Community Council</w:t>
            </w:r>
          </w:p>
        </w:tc>
        <w:tc>
          <w:tcPr>
            <w:tcW w:w="1817" w:type="dxa"/>
          </w:tcPr>
          <w:p w14:paraId="08DC6650" w14:textId="77777777" w:rsidR="00B4415D" w:rsidRDefault="008F6E78"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6</w:t>
            </w:r>
          </w:p>
          <w:p w14:paraId="0A4DC1C4" w14:textId="77777777" w:rsidR="008F6E78" w:rsidRDefault="008F6E78"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6</w:t>
            </w:r>
          </w:p>
          <w:p w14:paraId="640F373C" w14:textId="77777777" w:rsidR="008F6E78" w:rsidRPr="00117F66" w:rsidRDefault="008F6E78" w:rsidP="008F6E7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22</w:t>
            </w:r>
          </w:p>
        </w:tc>
      </w:tr>
      <w:tr w:rsidR="00B4415D" w:rsidRPr="002A758A" w14:paraId="7468084D" w14:textId="77777777" w:rsidTr="00B4415D">
        <w:trPr>
          <w:jc w:val="center"/>
        </w:trPr>
        <w:tc>
          <w:tcPr>
            <w:tcW w:w="1843" w:type="dxa"/>
          </w:tcPr>
          <w:p w14:paraId="08C56C3A" w14:textId="77777777" w:rsidR="00B4415D"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3,205</w:t>
            </w:r>
          </w:p>
        </w:tc>
        <w:tc>
          <w:tcPr>
            <w:tcW w:w="5129" w:type="dxa"/>
          </w:tcPr>
          <w:p w14:paraId="18D59070"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Go</w:t>
            </w:r>
            <w:r>
              <w:rPr>
                <w:rFonts w:ascii="Arial" w:hAnsi="Arial"/>
                <w:sz w:val="24"/>
                <w:szCs w:val="24"/>
              </w:rPr>
              <w:t xml:space="preserve">wer College </w:t>
            </w:r>
          </w:p>
        </w:tc>
        <w:tc>
          <w:tcPr>
            <w:tcW w:w="1817" w:type="dxa"/>
          </w:tcPr>
          <w:p w14:paraId="5412E856" w14:textId="77777777" w:rsidR="00B4415D" w:rsidRDefault="008F6E78"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3,294</w:t>
            </w:r>
          </w:p>
        </w:tc>
      </w:tr>
      <w:tr w:rsidR="00B4415D" w:rsidRPr="002A758A" w14:paraId="33B67E9A" w14:textId="77777777" w:rsidTr="00B4415D">
        <w:trPr>
          <w:jc w:val="center"/>
        </w:trPr>
        <w:tc>
          <w:tcPr>
            <w:tcW w:w="1843" w:type="dxa"/>
          </w:tcPr>
          <w:p w14:paraId="561362BD" w14:textId="77777777" w:rsidR="00B4415D" w:rsidRPr="00117F66"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2,549</w:t>
            </w:r>
          </w:p>
        </w:tc>
        <w:tc>
          <w:tcPr>
            <w:tcW w:w="5129" w:type="dxa"/>
          </w:tcPr>
          <w:p w14:paraId="40BFD4BC"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NPTC Group</w:t>
            </w:r>
          </w:p>
        </w:tc>
        <w:tc>
          <w:tcPr>
            <w:tcW w:w="1817" w:type="dxa"/>
          </w:tcPr>
          <w:p w14:paraId="1A51159A" w14:textId="77777777" w:rsidR="00B4415D" w:rsidRPr="00117F66" w:rsidRDefault="008F6E78"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2,704</w:t>
            </w:r>
          </w:p>
        </w:tc>
      </w:tr>
      <w:tr w:rsidR="00B4415D" w:rsidRPr="002A758A" w14:paraId="49BEE7F6" w14:textId="77777777" w:rsidTr="00B4415D">
        <w:trPr>
          <w:jc w:val="center"/>
        </w:trPr>
        <w:tc>
          <w:tcPr>
            <w:tcW w:w="1843" w:type="dxa"/>
          </w:tcPr>
          <w:p w14:paraId="7B23A29F" w14:textId="77777777" w:rsidR="00B4415D" w:rsidRPr="00117F66"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62</w:t>
            </w:r>
          </w:p>
        </w:tc>
        <w:tc>
          <w:tcPr>
            <w:tcW w:w="5129" w:type="dxa"/>
          </w:tcPr>
          <w:p w14:paraId="2122B54F"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Neath Town Council</w:t>
            </w:r>
          </w:p>
        </w:tc>
        <w:tc>
          <w:tcPr>
            <w:tcW w:w="1817" w:type="dxa"/>
          </w:tcPr>
          <w:p w14:paraId="4B9261CE" w14:textId="77777777" w:rsidR="00B4415D" w:rsidRPr="00117F66" w:rsidRDefault="001E5132"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61</w:t>
            </w:r>
          </w:p>
        </w:tc>
      </w:tr>
      <w:tr w:rsidR="00B4415D" w:rsidRPr="002A758A" w14:paraId="31398769" w14:textId="77777777" w:rsidTr="00B4415D">
        <w:trPr>
          <w:jc w:val="center"/>
        </w:trPr>
        <w:tc>
          <w:tcPr>
            <w:tcW w:w="1843" w:type="dxa"/>
          </w:tcPr>
          <w:p w14:paraId="3BD5B730" w14:textId="77777777" w:rsidR="00B4415D" w:rsidRPr="00117F66"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34,523</w:t>
            </w:r>
          </w:p>
        </w:tc>
        <w:tc>
          <w:tcPr>
            <w:tcW w:w="5129" w:type="dxa"/>
          </w:tcPr>
          <w:p w14:paraId="10E178B8"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Neath Port Talbot County Borough Council</w:t>
            </w:r>
          </w:p>
        </w:tc>
        <w:tc>
          <w:tcPr>
            <w:tcW w:w="1817" w:type="dxa"/>
          </w:tcPr>
          <w:p w14:paraId="34E0DAE0" w14:textId="77777777" w:rsidR="00B4415D" w:rsidRPr="00117F66" w:rsidRDefault="001E5132"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36,596</w:t>
            </w:r>
          </w:p>
        </w:tc>
      </w:tr>
      <w:tr w:rsidR="00B4415D" w:rsidRPr="002A758A" w14:paraId="6029F939" w14:textId="77777777" w:rsidTr="00B4415D">
        <w:trPr>
          <w:jc w:val="center"/>
        </w:trPr>
        <w:tc>
          <w:tcPr>
            <w:tcW w:w="1843" w:type="dxa"/>
          </w:tcPr>
          <w:p w14:paraId="070C9E4A" w14:textId="77777777" w:rsidR="00B4415D" w:rsidRPr="00117F66"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62</w:t>
            </w:r>
          </w:p>
        </w:tc>
        <w:tc>
          <w:tcPr>
            <w:tcW w:w="5129" w:type="dxa"/>
          </w:tcPr>
          <w:p w14:paraId="0A2139E1"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Margam Joint Crematorium Committee</w:t>
            </w:r>
          </w:p>
        </w:tc>
        <w:tc>
          <w:tcPr>
            <w:tcW w:w="1817" w:type="dxa"/>
          </w:tcPr>
          <w:p w14:paraId="37B61AAC" w14:textId="77777777" w:rsidR="00B4415D" w:rsidRPr="00117F66" w:rsidRDefault="001E5132"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62</w:t>
            </w:r>
          </w:p>
        </w:tc>
      </w:tr>
      <w:tr w:rsidR="00B4415D" w:rsidRPr="002A758A" w14:paraId="1F72D4D9" w14:textId="77777777" w:rsidTr="00B4415D">
        <w:trPr>
          <w:jc w:val="center"/>
        </w:trPr>
        <w:tc>
          <w:tcPr>
            <w:tcW w:w="1843" w:type="dxa"/>
          </w:tcPr>
          <w:p w14:paraId="454AD726" w14:textId="77777777" w:rsidR="00B4415D" w:rsidRPr="00117F66"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5</w:t>
            </w:r>
          </w:p>
        </w:tc>
        <w:tc>
          <w:tcPr>
            <w:tcW w:w="5129" w:type="dxa"/>
          </w:tcPr>
          <w:p w14:paraId="632CA5AB"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Pelenna Community Council</w:t>
            </w:r>
          </w:p>
        </w:tc>
        <w:tc>
          <w:tcPr>
            <w:tcW w:w="1817" w:type="dxa"/>
          </w:tcPr>
          <w:p w14:paraId="42DC7B4B" w14:textId="77777777" w:rsidR="00B4415D" w:rsidRPr="00117F66" w:rsidRDefault="001E5132"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5</w:t>
            </w:r>
          </w:p>
        </w:tc>
      </w:tr>
      <w:tr w:rsidR="00B4415D" w:rsidRPr="002A758A" w14:paraId="72409C59" w14:textId="77777777" w:rsidTr="00B4415D">
        <w:trPr>
          <w:jc w:val="center"/>
        </w:trPr>
        <w:tc>
          <w:tcPr>
            <w:tcW w:w="1843" w:type="dxa"/>
          </w:tcPr>
          <w:p w14:paraId="135C5231" w14:textId="77777777" w:rsidR="00B4415D" w:rsidRPr="00117F66"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19</w:t>
            </w:r>
          </w:p>
        </w:tc>
        <w:tc>
          <w:tcPr>
            <w:tcW w:w="5129" w:type="dxa"/>
          </w:tcPr>
          <w:p w14:paraId="57C9CE9B"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Pontardawe Town Council</w:t>
            </w:r>
          </w:p>
        </w:tc>
        <w:tc>
          <w:tcPr>
            <w:tcW w:w="1817" w:type="dxa"/>
          </w:tcPr>
          <w:p w14:paraId="740801F9" w14:textId="77777777" w:rsidR="00B4415D" w:rsidRPr="00117F66" w:rsidRDefault="001E5132"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20</w:t>
            </w:r>
          </w:p>
        </w:tc>
      </w:tr>
      <w:tr w:rsidR="00B4415D" w:rsidRPr="002A758A" w14:paraId="41C52853" w14:textId="77777777" w:rsidTr="00B4415D">
        <w:trPr>
          <w:jc w:val="center"/>
        </w:trPr>
        <w:tc>
          <w:tcPr>
            <w:tcW w:w="1843" w:type="dxa"/>
          </w:tcPr>
          <w:p w14:paraId="33BAFBF1" w14:textId="77777777" w:rsidR="00B4415D" w:rsidRPr="00117F66"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27</w:t>
            </w:r>
          </w:p>
        </w:tc>
        <w:tc>
          <w:tcPr>
            <w:tcW w:w="5129" w:type="dxa"/>
          </w:tcPr>
          <w:p w14:paraId="27601EE6"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Swansea Bay Port Health Authority</w:t>
            </w:r>
          </w:p>
        </w:tc>
        <w:tc>
          <w:tcPr>
            <w:tcW w:w="1817" w:type="dxa"/>
          </w:tcPr>
          <w:p w14:paraId="2D8E28EF" w14:textId="77777777" w:rsidR="00B4415D" w:rsidRPr="00117F66" w:rsidRDefault="001E5132"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27</w:t>
            </w:r>
          </w:p>
        </w:tc>
      </w:tr>
      <w:tr w:rsidR="00B4415D" w:rsidRPr="002A758A" w14:paraId="324C93F7" w14:textId="77777777" w:rsidTr="00B4415D">
        <w:trPr>
          <w:jc w:val="center"/>
        </w:trPr>
        <w:tc>
          <w:tcPr>
            <w:tcW w:w="1843" w:type="dxa"/>
            <w:tcBorders>
              <w:bottom w:val="single" w:sz="2" w:space="0" w:color="auto"/>
            </w:tcBorders>
          </w:tcPr>
          <w:p w14:paraId="43A8C747" w14:textId="77777777" w:rsidR="00B4415D"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8</w:t>
            </w:r>
          </w:p>
          <w:p w14:paraId="3CF1C170" w14:textId="77777777" w:rsidR="00B4415D" w:rsidRPr="00117F66"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w:t>
            </w:r>
          </w:p>
        </w:tc>
        <w:tc>
          <w:tcPr>
            <w:tcW w:w="5129" w:type="dxa"/>
          </w:tcPr>
          <w:p w14:paraId="2196CCF1" w14:textId="77777777" w:rsidR="00B4415D"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Briton Ferry Town Council</w:t>
            </w:r>
          </w:p>
          <w:p w14:paraId="3140F891"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Llangyfelach Community Council</w:t>
            </w:r>
          </w:p>
        </w:tc>
        <w:tc>
          <w:tcPr>
            <w:tcW w:w="1817" w:type="dxa"/>
            <w:tcBorders>
              <w:bottom w:val="single" w:sz="2" w:space="0" w:color="auto"/>
            </w:tcBorders>
          </w:tcPr>
          <w:p w14:paraId="248CA34D" w14:textId="77777777" w:rsidR="00B4415D" w:rsidRDefault="001E5132"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7</w:t>
            </w:r>
          </w:p>
          <w:p w14:paraId="42618588" w14:textId="77777777" w:rsidR="001E5132" w:rsidRPr="00117F66" w:rsidRDefault="001E5132"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w:t>
            </w:r>
          </w:p>
        </w:tc>
      </w:tr>
      <w:tr w:rsidR="00B4415D" w:rsidRPr="002A758A" w14:paraId="3756CE24" w14:textId="77777777" w:rsidTr="00B4415D">
        <w:trPr>
          <w:jc w:val="center"/>
        </w:trPr>
        <w:tc>
          <w:tcPr>
            <w:tcW w:w="1843" w:type="dxa"/>
            <w:tcBorders>
              <w:top w:val="single" w:sz="2" w:space="0" w:color="auto"/>
              <w:bottom w:val="double" w:sz="4" w:space="0" w:color="auto"/>
            </w:tcBorders>
          </w:tcPr>
          <w:p w14:paraId="3ED5313D" w14:textId="77777777" w:rsidR="00B4415D" w:rsidRPr="00117F66" w:rsidRDefault="00B4415D"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sidRPr="002C5DFB">
              <w:rPr>
                <w:rFonts w:ascii="Arial" w:hAnsi="Arial"/>
                <w:b/>
                <w:sz w:val="24"/>
                <w:szCs w:val="24"/>
              </w:rPr>
              <w:t>40,573</w:t>
            </w:r>
          </w:p>
        </w:tc>
        <w:tc>
          <w:tcPr>
            <w:tcW w:w="5129" w:type="dxa"/>
          </w:tcPr>
          <w:p w14:paraId="13CEC814"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b/>
                <w:sz w:val="24"/>
                <w:szCs w:val="24"/>
              </w:rPr>
              <w:t>Total Scheduled Bodies</w:t>
            </w:r>
          </w:p>
        </w:tc>
        <w:tc>
          <w:tcPr>
            <w:tcW w:w="1817" w:type="dxa"/>
            <w:tcBorders>
              <w:top w:val="single" w:sz="2" w:space="0" w:color="auto"/>
              <w:bottom w:val="double" w:sz="4" w:space="0" w:color="auto"/>
            </w:tcBorders>
          </w:tcPr>
          <w:p w14:paraId="7EDE75B6" w14:textId="77777777" w:rsidR="00B4415D" w:rsidRPr="000700F0" w:rsidRDefault="001E5132" w:rsidP="000E67B8">
            <w:pPr>
              <w:pStyle w:val="Header"/>
              <w:tabs>
                <w:tab w:val="clear" w:pos="4153"/>
                <w:tab w:val="clear" w:pos="8306"/>
                <w:tab w:val="right" w:pos="3732"/>
                <w:tab w:val="right" w:pos="4769"/>
                <w:tab w:val="right" w:pos="6220"/>
                <w:tab w:val="right" w:pos="7257"/>
              </w:tabs>
              <w:jc w:val="right"/>
              <w:rPr>
                <w:rFonts w:ascii="Arial" w:hAnsi="Arial"/>
                <w:b/>
                <w:bCs/>
                <w:sz w:val="24"/>
                <w:szCs w:val="24"/>
              </w:rPr>
            </w:pPr>
            <w:r w:rsidRPr="000700F0">
              <w:rPr>
                <w:rFonts w:ascii="Arial" w:hAnsi="Arial"/>
                <w:b/>
                <w:bCs/>
                <w:sz w:val="24"/>
                <w:szCs w:val="24"/>
              </w:rPr>
              <w:t>42,899</w:t>
            </w:r>
          </w:p>
        </w:tc>
      </w:tr>
      <w:tr w:rsidR="00B4415D" w:rsidRPr="002A758A" w14:paraId="5D6435A0" w14:textId="77777777" w:rsidTr="00B4415D">
        <w:trPr>
          <w:jc w:val="center"/>
        </w:trPr>
        <w:tc>
          <w:tcPr>
            <w:tcW w:w="1843" w:type="dxa"/>
            <w:tcBorders>
              <w:top w:val="double" w:sz="4" w:space="0" w:color="auto"/>
              <w:bottom w:val="single" w:sz="4" w:space="0" w:color="auto"/>
            </w:tcBorders>
          </w:tcPr>
          <w:p w14:paraId="182EFAD8" w14:textId="77777777" w:rsidR="00B4415D" w:rsidRPr="002C5DFB"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p>
        </w:tc>
        <w:tc>
          <w:tcPr>
            <w:tcW w:w="5129" w:type="dxa"/>
          </w:tcPr>
          <w:p w14:paraId="5D59FA0C"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p>
        </w:tc>
        <w:tc>
          <w:tcPr>
            <w:tcW w:w="1817" w:type="dxa"/>
            <w:tcBorders>
              <w:top w:val="double" w:sz="4" w:space="0" w:color="auto"/>
              <w:bottom w:val="single" w:sz="4" w:space="0" w:color="auto"/>
            </w:tcBorders>
          </w:tcPr>
          <w:p w14:paraId="5FDA866F" w14:textId="77777777" w:rsidR="00B4415D" w:rsidRPr="002C5DFB"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p>
        </w:tc>
      </w:tr>
      <w:tr w:rsidR="00B4415D" w:rsidRPr="002A758A" w14:paraId="6C725871" w14:textId="77777777" w:rsidTr="00B4415D">
        <w:trPr>
          <w:jc w:val="center"/>
        </w:trPr>
        <w:tc>
          <w:tcPr>
            <w:tcW w:w="1843" w:type="dxa"/>
            <w:tcBorders>
              <w:top w:val="single" w:sz="4" w:space="0" w:color="auto"/>
              <w:bottom w:val="double" w:sz="4" w:space="0" w:color="auto"/>
            </w:tcBorders>
          </w:tcPr>
          <w:p w14:paraId="686A2B24" w14:textId="77777777" w:rsidR="00B4415D" w:rsidRPr="00117F66"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r w:rsidRPr="00CC1F82">
              <w:rPr>
                <w:rFonts w:ascii="Arial" w:hAnsi="Arial"/>
                <w:b/>
                <w:sz w:val="24"/>
                <w:szCs w:val="24"/>
              </w:rPr>
              <w:t>102,</w:t>
            </w:r>
            <w:r>
              <w:rPr>
                <w:rFonts w:ascii="Arial" w:hAnsi="Arial"/>
                <w:b/>
                <w:sz w:val="24"/>
                <w:szCs w:val="24"/>
              </w:rPr>
              <w:t>012</w:t>
            </w:r>
          </w:p>
        </w:tc>
        <w:tc>
          <w:tcPr>
            <w:tcW w:w="5129" w:type="dxa"/>
            <w:tcBorders>
              <w:bottom w:val="nil"/>
            </w:tcBorders>
          </w:tcPr>
          <w:p w14:paraId="4C05F31F"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b/>
                <w:sz w:val="24"/>
                <w:szCs w:val="24"/>
              </w:rPr>
            </w:pPr>
            <w:r w:rsidRPr="00CC1F82">
              <w:rPr>
                <w:rFonts w:ascii="Arial" w:hAnsi="Arial"/>
                <w:b/>
                <w:sz w:val="24"/>
                <w:szCs w:val="24"/>
              </w:rPr>
              <w:t>Total Contributions Receivable</w:t>
            </w:r>
          </w:p>
        </w:tc>
        <w:tc>
          <w:tcPr>
            <w:tcW w:w="1817" w:type="dxa"/>
            <w:tcBorders>
              <w:top w:val="single" w:sz="4" w:space="0" w:color="auto"/>
              <w:bottom w:val="double" w:sz="4" w:space="0" w:color="auto"/>
            </w:tcBorders>
          </w:tcPr>
          <w:p w14:paraId="1B4CCD72" w14:textId="77777777" w:rsidR="00B4415D" w:rsidRPr="00117F66" w:rsidRDefault="001E5132"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hAnsi="Arial"/>
                <w:b/>
                <w:sz w:val="24"/>
                <w:szCs w:val="24"/>
              </w:rPr>
              <w:t>107,528</w:t>
            </w:r>
          </w:p>
        </w:tc>
      </w:tr>
    </w:tbl>
    <w:p w14:paraId="79B7D292" w14:textId="77777777" w:rsidR="00CE72F7" w:rsidRDefault="00CE72F7" w:rsidP="005E4F16">
      <w:pPr>
        <w:pStyle w:val="Header"/>
        <w:tabs>
          <w:tab w:val="clear" w:pos="4153"/>
          <w:tab w:val="clear" w:pos="8306"/>
          <w:tab w:val="right" w:pos="2802"/>
          <w:tab w:val="right" w:pos="7398"/>
          <w:tab w:val="right" w:pos="9108"/>
        </w:tabs>
        <w:rPr>
          <w:rFonts w:ascii="Arial" w:hAnsi="Arial"/>
          <w:color w:val="000000"/>
          <w:sz w:val="24"/>
          <w:szCs w:val="24"/>
        </w:rPr>
      </w:pPr>
    </w:p>
    <w:p w14:paraId="1C161E0E" w14:textId="77777777" w:rsidR="001E5132" w:rsidRDefault="001E5132" w:rsidP="005E4F16">
      <w:pPr>
        <w:pStyle w:val="Header"/>
        <w:tabs>
          <w:tab w:val="clear" w:pos="4153"/>
          <w:tab w:val="clear" w:pos="8306"/>
          <w:tab w:val="right" w:pos="2802"/>
          <w:tab w:val="right" w:pos="7398"/>
          <w:tab w:val="right" w:pos="9108"/>
        </w:tabs>
        <w:rPr>
          <w:rFonts w:ascii="Arial" w:hAnsi="Arial"/>
          <w:color w:val="000000"/>
          <w:sz w:val="24"/>
          <w:szCs w:val="24"/>
        </w:rPr>
      </w:pPr>
    </w:p>
    <w:p w14:paraId="178BD209" w14:textId="77777777" w:rsidR="001E5132" w:rsidRDefault="001E5132" w:rsidP="005E4F16">
      <w:pPr>
        <w:pStyle w:val="Header"/>
        <w:tabs>
          <w:tab w:val="clear" w:pos="4153"/>
          <w:tab w:val="clear" w:pos="8306"/>
          <w:tab w:val="right" w:pos="2802"/>
          <w:tab w:val="right" w:pos="7398"/>
          <w:tab w:val="right" w:pos="9108"/>
        </w:tabs>
        <w:rPr>
          <w:rFonts w:ascii="Arial" w:hAnsi="Arial"/>
          <w:color w:val="000000"/>
          <w:sz w:val="24"/>
          <w:szCs w:val="24"/>
        </w:rPr>
      </w:pPr>
    </w:p>
    <w:p w14:paraId="6A0559AA" w14:textId="77777777" w:rsidR="00CE72F7" w:rsidRDefault="00CE72F7" w:rsidP="005E4F16">
      <w:pPr>
        <w:pStyle w:val="Header"/>
        <w:tabs>
          <w:tab w:val="clear" w:pos="4153"/>
          <w:tab w:val="clear" w:pos="8306"/>
          <w:tab w:val="right" w:pos="2802"/>
          <w:tab w:val="right" w:pos="7398"/>
          <w:tab w:val="right" w:pos="9108"/>
        </w:tabs>
        <w:rPr>
          <w:rFonts w:ascii="Arial" w:hAnsi="Arial"/>
          <w:color w:val="000000"/>
          <w:sz w:val="24"/>
          <w:szCs w:val="24"/>
        </w:rPr>
      </w:pPr>
    </w:p>
    <w:p w14:paraId="6A4DCA03" w14:textId="77777777" w:rsidR="00CE72F7" w:rsidRDefault="00CE72F7" w:rsidP="005E4F16">
      <w:pPr>
        <w:pStyle w:val="Header"/>
        <w:tabs>
          <w:tab w:val="clear" w:pos="4153"/>
          <w:tab w:val="clear" w:pos="8306"/>
          <w:tab w:val="right" w:pos="2802"/>
          <w:tab w:val="right" w:pos="7398"/>
          <w:tab w:val="right" w:pos="9108"/>
        </w:tabs>
        <w:rPr>
          <w:rFonts w:ascii="Arial" w:hAnsi="Arial"/>
          <w:color w:val="000000"/>
          <w:sz w:val="24"/>
          <w:szCs w:val="24"/>
        </w:rPr>
      </w:pPr>
    </w:p>
    <w:p w14:paraId="454BCD93" w14:textId="77777777" w:rsidR="001E5132" w:rsidRDefault="001E5132" w:rsidP="005E4F16">
      <w:pPr>
        <w:pStyle w:val="Header"/>
        <w:tabs>
          <w:tab w:val="clear" w:pos="4153"/>
          <w:tab w:val="clear" w:pos="8306"/>
          <w:tab w:val="right" w:pos="2802"/>
          <w:tab w:val="right" w:pos="7398"/>
          <w:tab w:val="right" w:pos="9108"/>
        </w:tabs>
        <w:rPr>
          <w:rFonts w:ascii="Arial" w:hAnsi="Arial"/>
          <w:color w:val="000000"/>
          <w:sz w:val="24"/>
          <w:szCs w:val="24"/>
        </w:rPr>
      </w:pPr>
    </w:p>
    <w:p w14:paraId="081A5D3E" w14:textId="77777777" w:rsidR="001E5132" w:rsidRDefault="001E5132" w:rsidP="005E4F16">
      <w:pPr>
        <w:pStyle w:val="Header"/>
        <w:tabs>
          <w:tab w:val="clear" w:pos="4153"/>
          <w:tab w:val="clear" w:pos="8306"/>
          <w:tab w:val="right" w:pos="2802"/>
          <w:tab w:val="right" w:pos="7398"/>
          <w:tab w:val="right" w:pos="9108"/>
        </w:tabs>
        <w:rPr>
          <w:rFonts w:ascii="Arial" w:hAnsi="Arial"/>
          <w:color w:val="000000"/>
          <w:sz w:val="24"/>
          <w:szCs w:val="24"/>
        </w:rPr>
      </w:pPr>
    </w:p>
    <w:p w14:paraId="7677C905" w14:textId="77777777" w:rsidR="00233DE8" w:rsidRDefault="00233DE8" w:rsidP="005E4F16">
      <w:pPr>
        <w:pStyle w:val="Header"/>
        <w:tabs>
          <w:tab w:val="clear" w:pos="4153"/>
          <w:tab w:val="clear" w:pos="8306"/>
          <w:tab w:val="right" w:pos="2802"/>
          <w:tab w:val="right" w:pos="7398"/>
          <w:tab w:val="right" w:pos="9108"/>
        </w:tabs>
        <w:rPr>
          <w:rFonts w:ascii="Arial" w:hAnsi="Arial"/>
          <w:color w:val="000000"/>
          <w:sz w:val="24"/>
          <w:szCs w:val="24"/>
        </w:rPr>
      </w:pPr>
    </w:p>
    <w:p w14:paraId="6C67B92D" w14:textId="77777777" w:rsidR="00CE72F7" w:rsidRDefault="00CE72F7" w:rsidP="005E4F16">
      <w:pPr>
        <w:pStyle w:val="Header"/>
        <w:tabs>
          <w:tab w:val="clear" w:pos="4153"/>
          <w:tab w:val="clear" w:pos="8306"/>
          <w:tab w:val="right" w:pos="2802"/>
          <w:tab w:val="right" w:pos="7398"/>
          <w:tab w:val="right" w:pos="9108"/>
        </w:tabs>
        <w:rPr>
          <w:rFonts w:ascii="Arial" w:hAnsi="Arial"/>
          <w:color w:val="000000"/>
          <w:sz w:val="24"/>
          <w:szCs w:val="24"/>
        </w:rPr>
      </w:pPr>
    </w:p>
    <w:p w14:paraId="6237F6FF" w14:textId="77777777" w:rsidR="00C44ABA" w:rsidRDefault="00C44ABA" w:rsidP="00D84735">
      <w:pPr>
        <w:pStyle w:val="Header"/>
        <w:tabs>
          <w:tab w:val="clear" w:pos="4153"/>
          <w:tab w:val="clear" w:pos="8306"/>
          <w:tab w:val="right" w:pos="2802"/>
          <w:tab w:val="right" w:pos="7398"/>
          <w:tab w:val="right" w:pos="9108"/>
        </w:tabs>
        <w:rPr>
          <w:rFonts w:ascii="Arial" w:hAnsi="Arial"/>
          <w:b/>
          <w:color w:val="000000"/>
          <w:sz w:val="24"/>
          <w:szCs w:val="24"/>
        </w:rPr>
      </w:pPr>
    </w:p>
    <w:p w14:paraId="180B7406" w14:textId="77777777" w:rsidR="00D84735" w:rsidRDefault="00D84735" w:rsidP="00D84735">
      <w:pPr>
        <w:pStyle w:val="Header"/>
        <w:tabs>
          <w:tab w:val="clear" w:pos="4153"/>
          <w:tab w:val="clear" w:pos="8306"/>
          <w:tab w:val="right" w:pos="2802"/>
          <w:tab w:val="right" w:pos="7398"/>
          <w:tab w:val="right" w:pos="9108"/>
        </w:tabs>
        <w:rPr>
          <w:rFonts w:ascii="Arial" w:hAnsi="Arial"/>
          <w:b/>
          <w:color w:val="000000"/>
          <w:sz w:val="24"/>
          <w:szCs w:val="24"/>
        </w:rPr>
      </w:pPr>
      <w:r w:rsidRPr="00CE72F7">
        <w:rPr>
          <w:rFonts w:ascii="Arial" w:hAnsi="Arial"/>
          <w:b/>
          <w:color w:val="000000"/>
          <w:sz w:val="24"/>
          <w:szCs w:val="24"/>
        </w:rPr>
        <w:lastRenderedPageBreak/>
        <w:t>3. Analysis of Contributions (continued)</w:t>
      </w:r>
    </w:p>
    <w:p w14:paraId="0A6EC66D" w14:textId="77777777" w:rsidR="00D84735" w:rsidRDefault="00D84735" w:rsidP="005E4F16">
      <w:pPr>
        <w:pStyle w:val="Header"/>
        <w:tabs>
          <w:tab w:val="clear" w:pos="4153"/>
          <w:tab w:val="clear" w:pos="8306"/>
          <w:tab w:val="right" w:pos="2802"/>
          <w:tab w:val="right" w:pos="7398"/>
          <w:tab w:val="right" w:pos="9108"/>
        </w:tabs>
        <w:rPr>
          <w:rFonts w:ascii="Arial" w:hAnsi="Arial"/>
          <w:color w:val="000000"/>
          <w:sz w:val="24"/>
          <w:szCs w:val="24"/>
        </w:rPr>
      </w:pPr>
    </w:p>
    <w:p w14:paraId="56BEF892"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r w:rsidRPr="00117F66">
        <w:rPr>
          <w:rFonts w:ascii="Arial" w:hAnsi="Arial"/>
          <w:color w:val="000000"/>
          <w:sz w:val="24"/>
          <w:szCs w:val="24"/>
        </w:rPr>
        <w:t>Total Employer/Employee</w:t>
      </w:r>
      <w:r w:rsidR="00DA74F5">
        <w:rPr>
          <w:rFonts w:ascii="Arial" w:hAnsi="Arial"/>
          <w:color w:val="000000"/>
          <w:sz w:val="24"/>
          <w:szCs w:val="24"/>
        </w:rPr>
        <w:t xml:space="preserve"> </w:t>
      </w:r>
      <w:r w:rsidRPr="00117F66">
        <w:rPr>
          <w:rFonts w:ascii="Arial" w:hAnsi="Arial"/>
          <w:color w:val="000000"/>
          <w:sz w:val="24"/>
          <w:szCs w:val="24"/>
        </w:rPr>
        <w:t>contributions comprise of:</w:t>
      </w:r>
    </w:p>
    <w:p w14:paraId="7752E2FC"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i/>
          <w:color w:val="000000"/>
          <w:sz w:val="24"/>
          <w:szCs w:val="24"/>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1264"/>
        <w:gridCol w:w="4264"/>
        <w:gridCol w:w="1559"/>
      </w:tblGrid>
      <w:tr w:rsidR="00CF3DB0" w:rsidRPr="00814920" w14:paraId="6F02EC64" w14:textId="77777777" w:rsidTr="00814920">
        <w:trPr>
          <w:jc w:val="center"/>
        </w:trPr>
        <w:tc>
          <w:tcPr>
            <w:tcW w:w="1101" w:type="dxa"/>
            <w:tcBorders>
              <w:top w:val="nil"/>
              <w:left w:val="nil"/>
              <w:bottom w:val="nil"/>
              <w:right w:val="nil"/>
            </w:tcBorders>
            <w:shd w:val="clear" w:color="auto" w:fill="auto"/>
          </w:tcPr>
          <w:p w14:paraId="41DAD79B" w14:textId="77777777" w:rsidR="00CF3DB0" w:rsidRPr="00814920" w:rsidRDefault="000E67B8" w:rsidP="00F82707">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2020/21</w:t>
            </w:r>
          </w:p>
        </w:tc>
        <w:tc>
          <w:tcPr>
            <w:tcW w:w="1831" w:type="dxa"/>
            <w:gridSpan w:val="2"/>
            <w:tcBorders>
              <w:top w:val="nil"/>
              <w:left w:val="nil"/>
              <w:bottom w:val="nil"/>
              <w:right w:val="nil"/>
            </w:tcBorders>
            <w:shd w:val="clear" w:color="auto" w:fill="auto"/>
          </w:tcPr>
          <w:p w14:paraId="038E2B1B" w14:textId="77777777" w:rsidR="00CF3DB0" w:rsidRPr="00814920" w:rsidRDefault="00CF3DB0"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4264" w:type="dxa"/>
            <w:tcBorders>
              <w:top w:val="nil"/>
              <w:left w:val="nil"/>
              <w:bottom w:val="nil"/>
              <w:right w:val="nil"/>
            </w:tcBorders>
            <w:shd w:val="clear" w:color="auto" w:fill="auto"/>
          </w:tcPr>
          <w:p w14:paraId="00185D77" w14:textId="77777777" w:rsidR="00CF3DB0" w:rsidRPr="00814920" w:rsidRDefault="00CF3DB0"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41C6499D" w14:textId="77777777" w:rsidR="00CF3DB0" w:rsidRPr="00814920" w:rsidRDefault="000E67B8" w:rsidP="00C26C66">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2021/22</w:t>
            </w:r>
          </w:p>
        </w:tc>
      </w:tr>
      <w:tr w:rsidR="00CF3DB0" w:rsidRPr="00814920" w14:paraId="36817B11" w14:textId="77777777" w:rsidTr="00814920">
        <w:trPr>
          <w:jc w:val="center"/>
        </w:trPr>
        <w:tc>
          <w:tcPr>
            <w:tcW w:w="1101" w:type="dxa"/>
            <w:tcBorders>
              <w:top w:val="nil"/>
              <w:left w:val="nil"/>
              <w:bottom w:val="nil"/>
              <w:right w:val="nil"/>
            </w:tcBorders>
            <w:shd w:val="clear" w:color="auto" w:fill="auto"/>
          </w:tcPr>
          <w:p w14:paraId="5E33B66E" w14:textId="77777777" w:rsidR="00CF3DB0" w:rsidRPr="00814920" w:rsidRDefault="00CF3DB0" w:rsidP="00814920">
            <w:pPr>
              <w:pStyle w:val="Header"/>
              <w:tabs>
                <w:tab w:val="clear" w:pos="4153"/>
                <w:tab w:val="clear" w:pos="8306"/>
                <w:tab w:val="right" w:pos="2017"/>
                <w:tab w:val="right" w:pos="5326"/>
                <w:tab w:val="right" w:pos="6557"/>
              </w:tabs>
              <w:jc w:val="right"/>
              <w:rPr>
                <w:rFonts w:ascii="Arial" w:hAnsi="Arial"/>
                <w:color w:val="000000"/>
                <w:sz w:val="24"/>
                <w:szCs w:val="24"/>
              </w:rPr>
            </w:pPr>
            <w:r w:rsidRPr="00814920">
              <w:rPr>
                <w:rFonts w:ascii="Arial" w:hAnsi="Arial"/>
                <w:b/>
                <w:color w:val="000000"/>
                <w:sz w:val="24"/>
                <w:szCs w:val="24"/>
              </w:rPr>
              <w:t>£’000</w:t>
            </w:r>
          </w:p>
        </w:tc>
        <w:tc>
          <w:tcPr>
            <w:tcW w:w="1831" w:type="dxa"/>
            <w:gridSpan w:val="2"/>
            <w:tcBorders>
              <w:top w:val="nil"/>
              <w:left w:val="nil"/>
              <w:bottom w:val="nil"/>
              <w:right w:val="nil"/>
            </w:tcBorders>
            <w:shd w:val="clear" w:color="auto" w:fill="auto"/>
          </w:tcPr>
          <w:p w14:paraId="00EA8EC7" w14:textId="77777777" w:rsidR="00CF3DB0" w:rsidRPr="00814920" w:rsidRDefault="00CF3DB0" w:rsidP="00814920">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Employers</w:t>
            </w:r>
          </w:p>
        </w:tc>
        <w:tc>
          <w:tcPr>
            <w:tcW w:w="4264" w:type="dxa"/>
            <w:tcBorders>
              <w:top w:val="nil"/>
              <w:left w:val="nil"/>
              <w:bottom w:val="nil"/>
              <w:right w:val="nil"/>
            </w:tcBorders>
            <w:shd w:val="clear" w:color="auto" w:fill="auto"/>
          </w:tcPr>
          <w:p w14:paraId="41742296" w14:textId="77777777" w:rsidR="00CF3DB0" w:rsidRPr="00814920" w:rsidRDefault="00CF3DB0"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1F5FBA79" w14:textId="77777777" w:rsidR="00CF3DB0" w:rsidRPr="00814920" w:rsidRDefault="00CF3DB0" w:rsidP="00814920">
            <w:pPr>
              <w:pStyle w:val="Header"/>
              <w:tabs>
                <w:tab w:val="clear" w:pos="4153"/>
                <w:tab w:val="clear" w:pos="8306"/>
                <w:tab w:val="right" w:pos="2017"/>
                <w:tab w:val="right" w:pos="5326"/>
                <w:tab w:val="right" w:pos="6557"/>
              </w:tabs>
              <w:jc w:val="right"/>
              <w:rPr>
                <w:rFonts w:ascii="Arial" w:hAnsi="Arial"/>
                <w:color w:val="000000"/>
                <w:sz w:val="24"/>
                <w:szCs w:val="24"/>
              </w:rPr>
            </w:pPr>
            <w:r w:rsidRPr="00814920">
              <w:rPr>
                <w:rFonts w:ascii="Arial" w:hAnsi="Arial"/>
                <w:b/>
                <w:color w:val="000000"/>
                <w:sz w:val="24"/>
                <w:szCs w:val="24"/>
              </w:rPr>
              <w:t>£’000</w:t>
            </w:r>
          </w:p>
        </w:tc>
      </w:tr>
      <w:tr w:rsidR="000E67B8" w:rsidRPr="00814920" w14:paraId="7038B440" w14:textId="77777777" w:rsidTr="00814920">
        <w:trPr>
          <w:jc w:val="center"/>
        </w:trPr>
        <w:tc>
          <w:tcPr>
            <w:tcW w:w="1101" w:type="dxa"/>
            <w:tcBorders>
              <w:top w:val="nil"/>
              <w:left w:val="nil"/>
              <w:bottom w:val="nil"/>
              <w:right w:val="nil"/>
            </w:tcBorders>
            <w:shd w:val="clear" w:color="auto" w:fill="auto"/>
          </w:tcPr>
          <w:p w14:paraId="205AFD1D"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80,114</w:t>
            </w:r>
          </w:p>
        </w:tc>
        <w:tc>
          <w:tcPr>
            <w:tcW w:w="567" w:type="dxa"/>
            <w:tcBorders>
              <w:top w:val="nil"/>
              <w:left w:val="nil"/>
              <w:bottom w:val="nil"/>
              <w:right w:val="nil"/>
            </w:tcBorders>
            <w:shd w:val="clear" w:color="auto" w:fill="auto"/>
          </w:tcPr>
          <w:p w14:paraId="5DAD1561"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541A0DE4"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Normal</w:t>
            </w:r>
          </w:p>
        </w:tc>
        <w:tc>
          <w:tcPr>
            <w:tcW w:w="1559" w:type="dxa"/>
            <w:tcBorders>
              <w:top w:val="nil"/>
              <w:left w:val="nil"/>
              <w:bottom w:val="nil"/>
              <w:right w:val="nil"/>
            </w:tcBorders>
            <w:shd w:val="clear" w:color="auto" w:fill="auto"/>
          </w:tcPr>
          <w:p w14:paraId="0693D400" w14:textId="77777777" w:rsidR="000E67B8" w:rsidRPr="00814920" w:rsidRDefault="000700F0"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84,679</w:t>
            </w:r>
          </w:p>
        </w:tc>
      </w:tr>
      <w:tr w:rsidR="000E67B8" w:rsidRPr="00814920" w14:paraId="71A67C2C" w14:textId="77777777" w:rsidTr="00814920">
        <w:trPr>
          <w:jc w:val="center"/>
        </w:trPr>
        <w:tc>
          <w:tcPr>
            <w:tcW w:w="1101" w:type="dxa"/>
            <w:tcBorders>
              <w:top w:val="nil"/>
              <w:left w:val="nil"/>
              <w:bottom w:val="nil"/>
              <w:right w:val="nil"/>
            </w:tcBorders>
            <w:shd w:val="clear" w:color="auto" w:fill="auto"/>
          </w:tcPr>
          <w:p w14:paraId="4A67FA8E"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572</w:t>
            </w:r>
          </w:p>
        </w:tc>
        <w:tc>
          <w:tcPr>
            <w:tcW w:w="567" w:type="dxa"/>
            <w:tcBorders>
              <w:top w:val="nil"/>
              <w:left w:val="nil"/>
              <w:bottom w:val="nil"/>
              <w:right w:val="nil"/>
            </w:tcBorders>
            <w:shd w:val="clear" w:color="auto" w:fill="auto"/>
          </w:tcPr>
          <w:p w14:paraId="1203E471"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3A5F8823"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Other</w:t>
            </w:r>
          </w:p>
        </w:tc>
        <w:tc>
          <w:tcPr>
            <w:tcW w:w="1559" w:type="dxa"/>
            <w:tcBorders>
              <w:top w:val="nil"/>
              <w:left w:val="nil"/>
              <w:bottom w:val="nil"/>
              <w:right w:val="nil"/>
            </w:tcBorders>
            <w:shd w:val="clear" w:color="auto" w:fill="auto"/>
          </w:tcPr>
          <w:p w14:paraId="7DF66C52" w14:textId="77777777" w:rsidR="000E67B8" w:rsidRPr="00814920" w:rsidRDefault="000700F0"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584</w:t>
            </w:r>
          </w:p>
        </w:tc>
      </w:tr>
      <w:tr w:rsidR="000E67B8" w:rsidRPr="00814920" w14:paraId="6688B39D" w14:textId="77777777" w:rsidTr="00814920">
        <w:trPr>
          <w:jc w:val="center"/>
        </w:trPr>
        <w:tc>
          <w:tcPr>
            <w:tcW w:w="1101" w:type="dxa"/>
            <w:tcBorders>
              <w:top w:val="nil"/>
              <w:left w:val="nil"/>
              <w:bottom w:val="single" w:sz="4" w:space="0" w:color="auto"/>
              <w:right w:val="nil"/>
            </w:tcBorders>
            <w:shd w:val="clear" w:color="auto" w:fill="auto"/>
          </w:tcPr>
          <w:p w14:paraId="1AF6A3E4"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1,127</w:t>
            </w:r>
          </w:p>
        </w:tc>
        <w:tc>
          <w:tcPr>
            <w:tcW w:w="567" w:type="dxa"/>
            <w:tcBorders>
              <w:top w:val="nil"/>
              <w:left w:val="nil"/>
              <w:bottom w:val="nil"/>
              <w:right w:val="nil"/>
            </w:tcBorders>
            <w:shd w:val="clear" w:color="auto" w:fill="auto"/>
          </w:tcPr>
          <w:p w14:paraId="02FA17B5"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4F6C1EDE"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Early Access</w:t>
            </w:r>
          </w:p>
        </w:tc>
        <w:tc>
          <w:tcPr>
            <w:tcW w:w="1559" w:type="dxa"/>
            <w:tcBorders>
              <w:top w:val="nil"/>
              <w:left w:val="nil"/>
              <w:bottom w:val="single" w:sz="4" w:space="0" w:color="auto"/>
              <w:right w:val="nil"/>
            </w:tcBorders>
            <w:shd w:val="clear" w:color="auto" w:fill="auto"/>
          </w:tcPr>
          <w:p w14:paraId="01E919A0" w14:textId="77777777" w:rsidR="000E67B8" w:rsidRPr="00814920" w:rsidRDefault="000700F0"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780</w:t>
            </w:r>
          </w:p>
        </w:tc>
      </w:tr>
      <w:tr w:rsidR="000E67B8" w:rsidRPr="00814920" w14:paraId="7C2D1E88" w14:textId="77777777" w:rsidTr="00814920">
        <w:trPr>
          <w:jc w:val="center"/>
        </w:trPr>
        <w:tc>
          <w:tcPr>
            <w:tcW w:w="1101" w:type="dxa"/>
            <w:tcBorders>
              <w:top w:val="single" w:sz="4" w:space="0" w:color="auto"/>
              <w:left w:val="nil"/>
              <w:bottom w:val="double" w:sz="4" w:space="0" w:color="auto"/>
              <w:right w:val="nil"/>
            </w:tcBorders>
            <w:shd w:val="clear" w:color="auto" w:fill="auto"/>
          </w:tcPr>
          <w:p w14:paraId="255F797D"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81,813</w:t>
            </w:r>
          </w:p>
        </w:tc>
        <w:tc>
          <w:tcPr>
            <w:tcW w:w="567" w:type="dxa"/>
            <w:tcBorders>
              <w:top w:val="nil"/>
              <w:left w:val="nil"/>
              <w:bottom w:val="nil"/>
              <w:right w:val="nil"/>
            </w:tcBorders>
            <w:shd w:val="clear" w:color="auto" w:fill="auto"/>
          </w:tcPr>
          <w:p w14:paraId="5AC466A8"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3BA3285A"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b/>
                <w:color w:val="000000"/>
                <w:sz w:val="24"/>
                <w:szCs w:val="24"/>
              </w:rPr>
            </w:pPr>
            <w:r w:rsidRPr="00814920">
              <w:rPr>
                <w:rFonts w:ascii="Arial" w:hAnsi="Arial"/>
                <w:b/>
                <w:color w:val="000000"/>
                <w:sz w:val="24"/>
                <w:szCs w:val="24"/>
              </w:rPr>
              <w:t>Total</w:t>
            </w:r>
          </w:p>
        </w:tc>
        <w:tc>
          <w:tcPr>
            <w:tcW w:w="1559" w:type="dxa"/>
            <w:tcBorders>
              <w:top w:val="single" w:sz="4" w:space="0" w:color="auto"/>
              <w:left w:val="nil"/>
              <w:bottom w:val="double" w:sz="4" w:space="0" w:color="auto"/>
              <w:right w:val="nil"/>
            </w:tcBorders>
            <w:shd w:val="clear" w:color="auto" w:fill="auto"/>
          </w:tcPr>
          <w:p w14:paraId="7D4FDF0E" w14:textId="77777777" w:rsidR="000E67B8" w:rsidRPr="00814920" w:rsidRDefault="000700F0" w:rsidP="000E67B8">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86,043</w:t>
            </w:r>
          </w:p>
        </w:tc>
      </w:tr>
      <w:tr w:rsidR="000E67B8" w:rsidRPr="00814920" w14:paraId="7E1A7C46" w14:textId="77777777" w:rsidTr="00814920">
        <w:trPr>
          <w:jc w:val="center"/>
        </w:trPr>
        <w:tc>
          <w:tcPr>
            <w:tcW w:w="1101" w:type="dxa"/>
            <w:tcBorders>
              <w:top w:val="double" w:sz="4" w:space="0" w:color="auto"/>
              <w:left w:val="nil"/>
              <w:bottom w:val="nil"/>
              <w:right w:val="nil"/>
            </w:tcBorders>
            <w:shd w:val="clear" w:color="auto" w:fill="auto"/>
          </w:tcPr>
          <w:p w14:paraId="69F950BF"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color w:val="000000"/>
                <w:sz w:val="24"/>
                <w:szCs w:val="24"/>
              </w:rPr>
            </w:pPr>
          </w:p>
        </w:tc>
        <w:tc>
          <w:tcPr>
            <w:tcW w:w="567" w:type="dxa"/>
            <w:tcBorders>
              <w:top w:val="nil"/>
              <w:left w:val="nil"/>
              <w:bottom w:val="nil"/>
              <w:right w:val="nil"/>
            </w:tcBorders>
            <w:shd w:val="clear" w:color="auto" w:fill="auto"/>
          </w:tcPr>
          <w:p w14:paraId="1C9BADA5"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1B6148E4"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double" w:sz="4" w:space="0" w:color="auto"/>
              <w:left w:val="nil"/>
              <w:bottom w:val="nil"/>
              <w:right w:val="nil"/>
            </w:tcBorders>
            <w:shd w:val="clear" w:color="auto" w:fill="auto"/>
          </w:tcPr>
          <w:p w14:paraId="7E362446"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color w:val="000000"/>
                <w:sz w:val="24"/>
                <w:szCs w:val="24"/>
              </w:rPr>
            </w:pPr>
          </w:p>
        </w:tc>
      </w:tr>
      <w:tr w:rsidR="000E67B8" w:rsidRPr="00814920" w14:paraId="33B94296" w14:textId="77777777" w:rsidTr="00814920">
        <w:trPr>
          <w:jc w:val="center"/>
        </w:trPr>
        <w:tc>
          <w:tcPr>
            <w:tcW w:w="1101" w:type="dxa"/>
            <w:tcBorders>
              <w:top w:val="nil"/>
              <w:left w:val="nil"/>
              <w:bottom w:val="nil"/>
              <w:right w:val="nil"/>
            </w:tcBorders>
            <w:shd w:val="clear" w:color="auto" w:fill="auto"/>
          </w:tcPr>
          <w:p w14:paraId="591E8A88"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color w:val="000000"/>
                <w:sz w:val="24"/>
                <w:szCs w:val="24"/>
              </w:rPr>
            </w:pPr>
          </w:p>
        </w:tc>
        <w:tc>
          <w:tcPr>
            <w:tcW w:w="1831" w:type="dxa"/>
            <w:gridSpan w:val="2"/>
            <w:tcBorders>
              <w:top w:val="nil"/>
              <w:left w:val="nil"/>
              <w:bottom w:val="nil"/>
              <w:right w:val="nil"/>
            </w:tcBorders>
            <w:shd w:val="clear" w:color="auto" w:fill="auto"/>
          </w:tcPr>
          <w:p w14:paraId="03B55C0D"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Employees</w:t>
            </w:r>
          </w:p>
        </w:tc>
        <w:tc>
          <w:tcPr>
            <w:tcW w:w="4264" w:type="dxa"/>
            <w:tcBorders>
              <w:top w:val="nil"/>
              <w:left w:val="nil"/>
              <w:bottom w:val="nil"/>
              <w:right w:val="nil"/>
            </w:tcBorders>
            <w:shd w:val="clear" w:color="auto" w:fill="auto"/>
          </w:tcPr>
          <w:p w14:paraId="5F990DA0"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0DACA817"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color w:val="000000"/>
                <w:sz w:val="24"/>
                <w:szCs w:val="24"/>
              </w:rPr>
            </w:pPr>
          </w:p>
        </w:tc>
      </w:tr>
      <w:tr w:rsidR="000E67B8" w:rsidRPr="00814920" w14:paraId="4FE03448" w14:textId="77777777" w:rsidTr="00814920">
        <w:trPr>
          <w:jc w:val="center"/>
        </w:trPr>
        <w:tc>
          <w:tcPr>
            <w:tcW w:w="1101" w:type="dxa"/>
            <w:tcBorders>
              <w:top w:val="nil"/>
              <w:left w:val="nil"/>
              <w:bottom w:val="nil"/>
              <w:right w:val="nil"/>
            </w:tcBorders>
            <w:shd w:val="clear" w:color="auto" w:fill="auto"/>
          </w:tcPr>
          <w:p w14:paraId="653C523A"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20,172</w:t>
            </w:r>
          </w:p>
        </w:tc>
        <w:tc>
          <w:tcPr>
            <w:tcW w:w="567" w:type="dxa"/>
            <w:tcBorders>
              <w:top w:val="nil"/>
              <w:left w:val="nil"/>
              <w:bottom w:val="nil"/>
              <w:right w:val="nil"/>
            </w:tcBorders>
            <w:shd w:val="clear" w:color="auto" w:fill="auto"/>
          </w:tcPr>
          <w:p w14:paraId="562B5DD3"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color w:val="000000"/>
                <w:sz w:val="24"/>
                <w:szCs w:val="24"/>
              </w:rPr>
            </w:pPr>
          </w:p>
        </w:tc>
        <w:tc>
          <w:tcPr>
            <w:tcW w:w="5528" w:type="dxa"/>
            <w:gridSpan w:val="2"/>
            <w:tcBorders>
              <w:top w:val="nil"/>
              <w:left w:val="nil"/>
              <w:bottom w:val="nil"/>
              <w:right w:val="nil"/>
            </w:tcBorders>
            <w:shd w:val="clear" w:color="auto" w:fill="auto"/>
          </w:tcPr>
          <w:p w14:paraId="58BB50ED"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Normal</w:t>
            </w:r>
          </w:p>
        </w:tc>
        <w:tc>
          <w:tcPr>
            <w:tcW w:w="1559" w:type="dxa"/>
            <w:tcBorders>
              <w:top w:val="nil"/>
              <w:left w:val="nil"/>
              <w:bottom w:val="nil"/>
              <w:right w:val="nil"/>
            </w:tcBorders>
            <w:shd w:val="clear" w:color="auto" w:fill="auto"/>
          </w:tcPr>
          <w:p w14:paraId="251C75CE" w14:textId="77777777" w:rsidR="000E67B8" w:rsidRPr="00814920" w:rsidRDefault="000700F0"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21,447</w:t>
            </w:r>
          </w:p>
        </w:tc>
      </w:tr>
      <w:tr w:rsidR="000E67B8" w:rsidRPr="00814920" w14:paraId="3E1F94E7" w14:textId="77777777" w:rsidTr="00814920">
        <w:trPr>
          <w:jc w:val="center"/>
        </w:trPr>
        <w:tc>
          <w:tcPr>
            <w:tcW w:w="1101" w:type="dxa"/>
            <w:tcBorders>
              <w:top w:val="nil"/>
              <w:left w:val="nil"/>
              <w:bottom w:val="single" w:sz="4" w:space="0" w:color="auto"/>
              <w:right w:val="nil"/>
            </w:tcBorders>
            <w:shd w:val="clear" w:color="auto" w:fill="auto"/>
          </w:tcPr>
          <w:p w14:paraId="67427CD4"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27</w:t>
            </w:r>
          </w:p>
        </w:tc>
        <w:tc>
          <w:tcPr>
            <w:tcW w:w="567" w:type="dxa"/>
            <w:tcBorders>
              <w:top w:val="nil"/>
              <w:left w:val="nil"/>
              <w:bottom w:val="nil"/>
              <w:right w:val="nil"/>
            </w:tcBorders>
            <w:shd w:val="clear" w:color="auto" w:fill="auto"/>
          </w:tcPr>
          <w:p w14:paraId="7CBBC693"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4ABDF561"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Other</w:t>
            </w:r>
          </w:p>
        </w:tc>
        <w:tc>
          <w:tcPr>
            <w:tcW w:w="1559" w:type="dxa"/>
            <w:tcBorders>
              <w:top w:val="nil"/>
              <w:left w:val="nil"/>
              <w:bottom w:val="single" w:sz="4" w:space="0" w:color="auto"/>
              <w:right w:val="nil"/>
            </w:tcBorders>
            <w:shd w:val="clear" w:color="auto" w:fill="auto"/>
          </w:tcPr>
          <w:p w14:paraId="747B6D5E" w14:textId="77777777" w:rsidR="000E67B8" w:rsidRPr="00814920" w:rsidRDefault="000700F0"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38</w:t>
            </w:r>
          </w:p>
        </w:tc>
      </w:tr>
      <w:tr w:rsidR="000E67B8" w:rsidRPr="00814920" w14:paraId="66E2D016" w14:textId="77777777" w:rsidTr="00814920">
        <w:trPr>
          <w:jc w:val="center"/>
        </w:trPr>
        <w:tc>
          <w:tcPr>
            <w:tcW w:w="1101" w:type="dxa"/>
            <w:tcBorders>
              <w:top w:val="single" w:sz="4" w:space="0" w:color="auto"/>
              <w:left w:val="nil"/>
              <w:bottom w:val="double" w:sz="4" w:space="0" w:color="auto"/>
              <w:right w:val="nil"/>
            </w:tcBorders>
            <w:shd w:val="clear" w:color="auto" w:fill="auto"/>
          </w:tcPr>
          <w:p w14:paraId="5CA02F2B"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20,199</w:t>
            </w:r>
          </w:p>
        </w:tc>
        <w:tc>
          <w:tcPr>
            <w:tcW w:w="567" w:type="dxa"/>
            <w:tcBorders>
              <w:top w:val="nil"/>
              <w:left w:val="nil"/>
              <w:bottom w:val="nil"/>
              <w:right w:val="nil"/>
            </w:tcBorders>
            <w:shd w:val="clear" w:color="auto" w:fill="auto"/>
          </w:tcPr>
          <w:p w14:paraId="083E68E1"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b/>
                <w:color w:val="000000"/>
                <w:sz w:val="24"/>
                <w:szCs w:val="24"/>
              </w:rPr>
            </w:pPr>
          </w:p>
        </w:tc>
        <w:tc>
          <w:tcPr>
            <w:tcW w:w="5528" w:type="dxa"/>
            <w:gridSpan w:val="2"/>
            <w:tcBorders>
              <w:top w:val="nil"/>
              <w:left w:val="nil"/>
              <w:bottom w:val="nil"/>
              <w:right w:val="nil"/>
            </w:tcBorders>
            <w:shd w:val="clear" w:color="auto" w:fill="auto"/>
          </w:tcPr>
          <w:p w14:paraId="5D4A3490"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b/>
                <w:color w:val="000000"/>
                <w:sz w:val="24"/>
                <w:szCs w:val="24"/>
              </w:rPr>
            </w:pPr>
            <w:r w:rsidRPr="00814920">
              <w:rPr>
                <w:rFonts w:ascii="Arial" w:hAnsi="Arial"/>
                <w:b/>
                <w:color w:val="000000"/>
                <w:sz w:val="24"/>
                <w:szCs w:val="24"/>
              </w:rPr>
              <w:t>Total</w:t>
            </w:r>
          </w:p>
        </w:tc>
        <w:tc>
          <w:tcPr>
            <w:tcW w:w="1559" w:type="dxa"/>
            <w:tcBorders>
              <w:top w:val="single" w:sz="4" w:space="0" w:color="auto"/>
              <w:left w:val="nil"/>
              <w:bottom w:val="double" w:sz="4" w:space="0" w:color="auto"/>
              <w:right w:val="nil"/>
            </w:tcBorders>
            <w:shd w:val="clear" w:color="auto" w:fill="auto"/>
          </w:tcPr>
          <w:p w14:paraId="02CF5454" w14:textId="77777777" w:rsidR="000E67B8" w:rsidRPr="00814920" w:rsidRDefault="000700F0" w:rsidP="000E67B8">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21,485</w:t>
            </w:r>
          </w:p>
        </w:tc>
      </w:tr>
      <w:tr w:rsidR="000E67B8" w:rsidRPr="00814920" w14:paraId="0CF2B0C9" w14:textId="77777777" w:rsidTr="00814920">
        <w:trPr>
          <w:jc w:val="center"/>
        </w:trPr>
        <w:tc>
          <w:tcPr>
            <w:tcW w:w="1101" w:type="dxa"/>
            <w:tcBorders>
              <w:top w:val="double" w:sz="4" w:space="0" w:color="auto"/>
              <w:left w:val="nil"/>
              <w:bottom w:val="single" w:sz="4" w:space="0" w:color="auto"/>
              <w:right w:val="nil"/>
            </w:tcBorders>
            <w:shd w:val="clear" w:color="auto" w:fill="auto"/>
          </w:tcPr>
          <w:p w14:paraId="2655D754"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i/>
                <w:color w:val="000000"/>
                <w:sz w:val="24"/>
                <w:szCs w:val="24"/>
              </w:rPr>
            </w:pPr>
          </w:p>
        </w:tc>
        <w:tc>
          <w:tcPr>
            <w:tcW w:w="567" w:type="dxa"/>
            <w:tcBorders>
              <w:top w:val="nil"/>
              <w:left w:val="nil"/>
              <w:bottom w:val="nil"/>
              <w:right w:val="nil"/>
            </w:tcBorders>
            <w:shd w:val="clear" w:color="auto" w:fill="auto"/>
          </w:tcPr>
          <w:p w14:paraId="46327B3F"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i/>
                <w:color w:val="000000"/>
                <w:sz w:val="24"/>
                <w:szCs w:val="24"/>
              </w:rPr>
            </w:pPr>
          </w:p>
        </w:tc>
        <w:tc>
          <w:tcPr>
            <w:tcW w:w="5528" w:type="dxa"/>
            <w:gridSpan w:val="2"/>
            <w:tcBorders>
              <w:top w:val="nil"/>
              <w:left w:val="nil"/>
              <w:bottom w:val="nil"/>
              <w:right w:val="nil"/>
            </w:tcBorders>
            <w:shd w:val="clear" w:color="auto" w:fill="auto"/>
          </w:tcPr>
          <w:p w14:paraId="19AEEF8A"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i/>
                <w:color w:val="000000"/>
                <w:sz w:val="24"/>
                <w:szCs w:val="24"/>
              </w:rPr>
            </w:pPr>
          </w:p>
        </w:tc>
        <w:tc>
          <w:tcPr>
            <w:tcW w:w="1559" w:type="dxa"/>
            <w:tcBorders>
              <w:top w:val="double" w:sz="4" w:space="0" w:color="auto"/>
              <w:left w:val="nil"/>
              <w:bottom w:val="single" w:sz="4" w:space="0" w:color="auto"/>
              <w:right w:val="nil"/>
            </w:tcBorders>
            <w:shd w:val="clear" w:color="auto" w:fill="auto"/>
          </w:tcPr>
          <w:p w14:paraId="672837D4"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i/>
                <w:color w:val="000000"/>
                <w:sz w:val="24"/>
                <w:szCs w:val="24"/>
              </w:rPr>
            </w:pPr>
          </w:p>
        </w:tc>
      </w:tr>
      <w:tr w:rsidR="000E67B8" w:rsidRPr="00CC1F82" w14:paraId="3B0CF1DD" w14:textId="77777777" w:rsidTr="00814920">
        <w:trPr>
          <w:jc w:val="center"/>
        </w:trPr>
        <w:tc>
          <w:tcPr>
            <w:tcW w:w="1101" w:type="dxa"/>
            <w:tcBorders>
              <w:top w:val="single" w:sz="4" w:space="0" w:color="auto"/>
              <w:left w:val="nil"/>
              <w:bottom w:val="double" w:sz="4" w:space="0" w:color="auto"/>
              <w:right w:val="nil"/>
            </w:tcBorders>
            <w:shd w:val="clear" w:color="auto" w:fill="auto"/>
          </w:tcPr>
          <w:p w14:paraId="5574D0A8" w14:textId="77777777" w:rsidR="000E67B8" w:rsidRPr="00CC1F82" w:rsidRDefault="000E67B8" w:rsidP="000E67B8">
            <w:pPr>
              <w:pStyle w:val="Header"/>
              <w:tabs>
                <w:tab w:val="clear" w:pos="4153"/>
                <w:tab w:val="clear" w:pos="8306"/>
                <w:tab w:val="right" w:pos="2017"/>
                <w:tab w:val="right" w:pos="5326"/>
                <w:tab w:val="right" w:pos="6557"/>
              </w:tabs>
              <w:jc w:val="right"/>
              <w:rPr>
                <w:rFonts w:ascii="Arial" w:hAnsi="Arial"/>
                <w:b/>
                <w:color w:val="000000"/>
                <w:sz w:val="24"/>
                <w:szCs w:val="24"/>
              </w:rPr>
            </w:pPr>
            <w:r w:rsidRPr="00CC1F82">
              <w:rPr>
                <w:rFonts w:ascii="Arial" w:hAnsi="Arial"/>
                <w:b/>
                <w:color w:val="000000"/>
                <w:sz w:val="24"/>
                <w:szCs w:val="24"/>
              </w:rPr>
              <w:t>102,</w:t>
            </w:r>
            <w:r>
              <w:rPr>
                <w:rFonts w:ascii="Arial" w:hAnsi="Arial"/>
                <w:b/>
                <w:color w:val="000000"/>
                <w:sz w:val="24"/>
                <w:szCs w:val="24"/>
              </w:rPr>
              <w:t>012</w:t>
            </w:r>
          </w:p>
        </w:tc>
        <w:tc>
          <w:tcPr>
            <w:tcW w:w="567" w:type="dxa"/>
            <w:tcBorders>
              <w:top w:val="nil"/>
              <w:left w:val="nil"/>
              <w:bottom w:val="nil"/>
              <w:right w:val="nil"/>
            </w:tcBorders>
            <w:shd w:val="clear" w:color="auto" w:fill="auto"/>
          </w:tcPr>
          <w:p w14:paraId="7D759B5D"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23D632ED"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b/>
                <w:color w:val="000000"/>
                <w:sz w:val="24"/>
                <w:szCs w:val="24"/>
              </w:rPr>
            </w:pPr>
            <w:r w:rsidRPr="00814920">
              <w:rPr>
                <w:rFonts w:ascii="Arial" w:hAnsi="Arial"/>
                <w:b/>
                <w:color w:val="000000"/>
                <w:sz w:val="24"/>
                <w:szCs w:val="24"/>
              </w:rPr>
              <w:t>Total Contributions Receivable</w:t>
            </w:r>
          </w:p>
        </w:tc>
        <w:tc>
          <w:tcPr>
            <w:tcW w:w="1559" w:type="dxa"/>
            <w:tcBorders>
              <w:top w:val="single" w:sz="4" w:space="0" w:color="auto"/>
              <w:left w:val="nil"/>
              <w:bottom w:val="double" w:sz="4" w:space="0" w:color="auto"/>
              <w:right w:val="nil"/>
            </w:tcBorders>
            <w:shd w:val="clear" w:color="auto" w:fill="auto"/>
          </w:tcPr>
          <w:p w14:paraId="6B6C768D" w14:textId="77777777" w:rsidR="000E67B8" w:rsidRPr="00CC1F82" w:rsidRDefault="000700F0" w:rsidP="000E67B8">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107,528</w:t>
            </w:r>
          </w:p>
        </w:tc>
      </w:tr>
      <w:tr w:rsidR="000E67B8" w:rsidRPr="00814920" w14:paraId="168FAD5F" w14:textId="77777777" w:rsidTr="00814920">
        <w:trPr>
          <w:jc w:val="center"/>
        </w:trPr>
        <w:tc>
          <w:tcPr>
            <w:tcW w:w="1101" w:type="dxa"/>
            <w:tcBorders>
              <w:top w:val="double" w:sz="4" w:space="0" w:color="auto"/>
              <w:left w:val="nil"/>
              <w:bottom w:val="nil"/>
              <w:right w:val="nil"/>
            </w:tcBorders>
            <w:shd w:val="clear" w:color="auto" w:fill="auto"/>
          </w:tcPr>
          <w:p w14:paraId="7AA781D3"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color w:val="000000"/>
                <w:sz w:val="24"/>
                <w:szCs w:val="24"/>
              </w:rPr>
            </w:pPr>
          </w:p>
        </w:tc>
        <w:tc>
          <w:tcPr>
            <w:tcW w:w="567" w:type="dxa"/>
            <w:tcBorders>
              <w:top w:val="nil"/>
              <w:left w:val="nil"/>
              <w:bottom w:val="nil"/>
              <w:right w:val="nil"/>
            </w:tcBorders>
            <w:shd w:val="clear" w:color="auto" w:fill="auto"/>
          </w:tcPr>
          <w:p w14:paraId="072C73FE"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i/>
                <w:color w:val="000000"/>
                <w:sz w:val="24"/>
                <w:szCs w:val="24"/>
              </w:rPr>
            </w:pPr>
          </w:p>
        </w:tc>
        <w:tc>
          <w:tcPr>
            <w:tcW w:w="5528" w:type="dxa"/>
            <w:gridSpan w:val="2"/>
            <w:tcBorders>
              <w:top w:val="nil"/>
              <w:left w:val="nil"/>
              <w:bottom w:val="nil"/>
              <w:right w:val="nil"/>
            </w:tcBorders>
            <w:shd w:val="clear" w:color="auto" w:fill="auto"/>
          </w:tcPr>
          <w:p w14:paraId="4F6A7FF5"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i/>
                <w:color w:val="000000"/>
                <w:sz w:val="24"/>
                <w:szCs w:val="24"/>
              </w:rPr>
            </w:pPr>
          </w:p>
        </w:tc>
        <w:tc>
          <w:tcPr>
            <w:tcW w:w="1559" w:type="dxa"/>
            <w:tcBorders>
              <w:top w:val="double" w:sz="4" w:space="0" w:color="auto"/>
              <w:left w:val="nil"/>
              <w:bottom w:val="nil"/>
              <w:right w:val="nil"/>
            </w:tcBorders>
            <w:shd w:val="clear" w:color="auto" w:fill="auto"/>
          </w:tcPr>
          <w:p w14:paraId="43BBCC0B"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i/>
                <w:color w:val="000000"/>
                <w:sz w:val="24"/>
                <w:szCs w:val="24"/>
              </w:rPr>
            </w:pPr>
          </w:p>
        </w:tc>
      </w:tr>
    </w:tbl>
    <w:p w14:paraId="20FAD427" w14:textId="77777777" w:rsidR="002E24C5"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p>
    <w:p w14:paraId="51A9B050" w14:textId="77777777" w:rsidR="001A3D5D" w:rsidRPr="002502E4" w:rsidRDefault="001A3D5D" w:rsidP="005E4F16">
      <w:pPr>
        <w:pStyle w:val="Header"/>
        <w:tabs>
          <w:tab w:val="clear" w:pos="4153"/>
          <w:tab w:val="clear" w:pos="8306"/>
          <w:tab w:val="right" w:pos="2802"/>
          <w:tab w:val="right" w:pos="7398"/>
          <w:tab w:val="right" w:pos="9108"/>
        </w:tabs>
        <w:rPr>
          <w:rFonts w:ascii="Arial" w:hAnsi="Arial"/>
          <w:color w:val="000000"/>
          <w:sz w:val="24"/>
          <w:szCs w:val="24"/>
        </w:rPr>
      </w:pPr>
    </w:p>
    <w:p w14:paraId="75DDC639" w14:textId="77777777" w:rsidR="002E24C5" w:rsidRPr="00F530DF" w:rsidRDefault="002E24C5" w:rsidP="009E72D7">
      <w:pPr>
        <w:numPr>
          <w:ilvl w:val="0"/>
          <w:numId w:val="4"/>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b/>
          <w:color w:val="000000"/>
          <w:sz w:val="24"/>
          <w:szCs w:val="24"/>
        </w:rPr>
      </w:pPr>
      <w:r w:rsidRPr="00F530DF">
        <w:rPr>
          <w:rFonts w:ascii="Arial" w:hAnsi="Arial"/>
          <w:b/>
          <w:color w:val="000000"/>
          <w:sz w:val="24"/>
          <w:szCs w:val="24"/>
        </w:rPr>
        <w:t>Transfers In</w:t>
      </w:r>
    </w:p>
    <w:p w14:paraId="580A7EC1" w14:textId="77777777" w:rsidR="002E24C5" w:rsidRPr="00F530DF"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5AD8A4E" w14:textId="77777777" w:rsidR="002E24C5" w:rsidRPr="00F530DF"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r w:rsidRPr="00F530DF">
        <w:rPr>
          <w:rFonts w:ascii="Arial" w:hAnsi="Arial"/>
          <w:color w:val="000000"/>
          <w:sz w:val="24"/>
          <w:szCs w:val="24"/>
        </w:rPr>
        <w:t>Transfers in comprise of:</w:t>
      </w:r>
    </w:p>
    <w:p w14:paraId="0D9FA429" w14:textId="77777777" w:rsidR="002E24C5" w:rsidRPr="00F530DF" w:rsidRDefault="002E24C5" w:rsidP="005E4F16">
      <w:pPr>
        <w:pStyle w:val="Header"/>
        <w:tabs>
          <w:tab w:val="clear" w:pos="4153"/>
          <w:tab w:val="clear" w:pos="8306"/>
          <w:tab w:val="right" w:pos="2802"/>
          <w:tab w:val="right" w:pos="7398"/>
          <w:tab w:val="right" w:pos="9108"/>
        </w:tabs>
        <w:rPr>
          <w:rFonts w:ascii="Arial" w:hAnsi="Arial"/>
          <w:i/>
          <w:color w:val="000000"/>
          <w:sz w:val="24"/>
          <w:szCs w:val="24"/>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095"/>
        <w:gridCol w:w="1559"/>
      </w:tblGrid>
      <w:tr w:rsidR="002A758A" w:rsidRPr="00F530DF" w14:paraId="0CDBF5F5" w14:textId="77777777" w:rsidTr="000700F0">
        <w:trPr>
          <w:trHeight w:val="281"/>
          <w:jc w:val="center"/>
        </w:trPr>
        <w:tc>
          <w:tcPr>
            <w:tcW w:w="1101" w:type="dxa"/>
            <w:tcBorders>
              <w:top w:val="nil"/>
              <w:left w:val="nil"/>
              <w:bottom w:val="nil"/>
              <w:right w:val="nil"/>
            </w:tcBorders>
            <w:shd w:val="clear" w:color="auto" w:fill="auto"/>
          </w:tcPr>
          <w:p w14:paraId="406979DC" w14:textId="77777777" w:rsidR="002A758A" w:rsidRPr="00F530DF" w:rsidRDefault="003F097A" w:rsidP="00F82707">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2020/21</w:t>
            </w:r>
          </w:p>
        </w:tc>
        <w:tc>
          <w:tcPr>
            <w:tcW w:w="6095" w:type="dxa"/>
            <w:tcBorders>
              <w:top w:val="nil"/>
              <w:left w:val="nil"/>
              <w:bottom w:val="nil"/>
              <w:right w:val="nil"/>
            </w:tcBorders>
            <w:shd w:val="clear" w:color="auto" w:fill="auto"/>
          </w:tcPr>
          <w:p w14:paraId="2974B2E8" w14:textId="77777777" w:rsidR="002A758A" w:rsidRPr="00F530DF"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7D003AC8" w14:textId="77777777" w:rsidR="002A758A" w:rsidRPr="00F530DF" w:rsidRDefault="003F097A" w:rsidP="00C26C66">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2021/22</w:t>
            </w:r>
          </w:p>
        </w:tc>
      </w:tr>
      <w:tr w:rsidR="002A758A" w:rsidRPr="00F530DF" w14:paraId="5892B819" w14:textId="77777777" w:rsidTr="000700F0">
        <w:trPr>
          <w:trHeight w:val="281"/>
          <w:jc w:val="center"/>
        </w:trPr>
        <w:tc>
          <w:tcPr>
            <w:tcW w:w="1101" w:type="dxa"/>
            <w:tcBorders>
              <w:top w:val="nil"/>
              <w:left w:val="nil"/>
              <w:bottom w:val="nil"/>
              <w:right w:val="nil"/>
            </w:tcBorders>
            <w:shd w:val="clear" w:color="auto" w:fill="auto"/>
          </w:tcPr>
          <w:p w14:paraId="6D776FAC" w14:textId="77777777" w:rsidR="002A758A" w:rsidRPr="00F530DF" w:rsidRDefault="002A758A"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sidRPr="00F530DF">
              <w:rPr>
                <w:rFonts w:ascii="Arial" w:hAnsi="Arial"/>
                <w:b/>
                <w:color w:val="000000"/>
                <w:sz w:val="24"/>
                <w:szCs w:val="24"/>
              </w:rPr>
              <w:t>£’000</w:t>
            </w:r>
          </w:p>
        </w:tc>
        <w:tc>
          <w:tcPr>
            <w:tcW w:w="6095" w:type="dxa"/>
            <w:tcBorders>
              <w:top w:val="nil"/>
              <w:left w:val="nil"/>
              <w:bottom w:val="nil"/>
              <w:right w:val="nil"/>
            </w:tcBorders>
            <w:shd w:val="clear" w:color="auto" w:fill="auto"/>
          </w:tcPr>
          <w:p w14:paraId="1A04181E" w14:textId="77777777" w:rsidR="002A758A" w:rsidRPr="00F530DF"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2A1DE97A" w14:textId="77777777" w:rsidR="002A758A" w:rsidRPr="00F530DF" w:rsidRDefault="002A758A"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sidRPr="00F530DF">
              <w:rPr>
                <w:rFonts w:ascii="Arial" w:hAnsi="Arial"/>
                <w:b/>
                <w:color w:val="000000"/>
                <w:sz w:val="24"/>
                <w:szCs w:val="24"/>
              </w:rPr>
              <w:t>£’000</w:t>
            </w:r>
          </w:p>
        </w:tc>
      </w:tr>
      <w:tr w:rsidR="000700F0" w:rsidRPr="00F530DF" w14:paraId="1BA14D01" w14:textId="77777777" w:rsidTr="000700F0">
        <w:trPr>
          <w:trHeight w:val="281"/>
          <w:jc w:val="center"/>
        </w:trPr>
        <w:tc>
          <w:tcPr>
            <w:tcW w:w="1101" w:type="dxa"/>
            <w:tcBorders>
              <w:top w:val="nil"/>
              <w:left w:val="nil"/>
              <w:bottom w:val="single" w:sz="4" w:space="0" w:color="auto"/>
              <w:right w:val="nil"/>
            </w:tcBorders>
            <w:shd w:val="clear" w:color="auto" w:fill="auto"/>
          </w:tcPr>
          <w:p w14:paraId="0FAD7B90" w14:textId="77777777" w:rsidR="000700F0" w:rsidRPr="00F530DF" w:rsidRDefault="000700F0"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3,092</w:t>
            </w:r>
          </w:p>
        </w:tc>
        <w:tc>
          <w:tcPr>
            <w:tcW w:w="6095" w:type="dxa"/>
            <w:tcBorders>
              <w:top w:val="nil"/>
              <w:left w:val="nil"/>
              <w:bottom w:val="nil"/>
              <w:right w:val="nil"/>
            </w:tcBorders>
            <w:shd w:val="clear" w:color="auto" w:fill="auto"/>
          </w:tcPr>
          <w:p w14:paraId="0D6A0D0C" w14:textId="77777777" w:rsidR="000700F0" w:rsidRPr="00F530DF" w:rsidRDefault="000700F0" w:rsidP="000E67B8">
            <w:pPr>
              <w:pStyle w:val="Header"/>
              <w:tabs>
                <w:tab w:val="clear" w:pos="4153"/>
                <w:tab w:val="clear" w:pos="8306"/>
                <w:tab w:val="right" w:pos="2017"/>
                <w:tab w:val="right" w:pos="5326"/>
                <w:tab w:val="right" w:pos="6557"/>
              </w:tabs>
              <w:rPr>
                <w:rFonts w:ascii="Arial" w:hAnsi="Arial"/>
                <w:color w:val="000000"/>
                <w:sz w:val="24"/>
                <w:szCs w:val="24"/>
              </w:rPr>
            </w:pPr>
            <w:r>
              <w:rPr>
                <w:rFonts w:ascii="Arial" w:hAnsi="Arial"/>
                <w:color w:val="000000"/>
                <w:sz w:val="24"/>
                <w:szCs w:val="24"/>
              </w:rPr>
              <w:t xml:space="preserve">    </w:t>
            </w:r>
            <w:r w:rsidRPr="00F530DF">
              <w:rPr>
                <w:rFonts w:ascii="Arial" w:hAnsi="Arial"/>
                <w:color w:val="000000"/>
                <w:sz w:val="24"/>
                <w:szCs w:val="24"/>
              </w:rPr>
              <w:t>Individual transfers from other schemes</w:t>
            </w:r>
          </w:p>
        </w:tc>
        <w:tc>
          <w:tcPr>
            <w:tcW w:w="1559" w:type="dxa"/>
            <w:tcBorders>
              <w:top w:val="nil"/>
              <w:left w:val="nil"/>
              <w:bottom w:val="single" w:sz="4" w:space="0" w:color="auto"/>
              <w:right w:val="nil"/>
            </w:tcBorders>
            <w:shd w:val="clear" w:color="auto" w:fill="auto"/>
          </w:tcPr>
          <w:p w14:paraId="38832EA5" w14:textId="77777777" w:rsidR="000700F0" w:rsidRPr="00F530DF" w:rsidRDefault="000700F0"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6,415</w:t>
            </w:r>
          </w:p>
        </w:tc>
      </w:tr>
      <w:tr w:rsidR="000700F0" w:rsidRPr="000700F0" w14:paraId="0DB52FD9" w14:textId="77777777" w:rsidTr="000700F0">
        <w:trPr>
          <w:trHeight w:val="297"/>
          <w:jc w:val="center"/>
        </w:trPr>
        <w:tc>
          <w:tcPr>
            <w:tcW w:w="1101" w:type="dxa"/>
            <w:tcBorders>
              <w:top w:val="single" w:sz="4" w:space="0" w:color="auto"/>
              <w:left w:val="nil"/>
              <w:bottom w:val="double" w:sz="4" w:space="0" w:color="auto"/>
              <w:right w:val="nil"/>
            </w:tcBorders>
            <w:shd w:val="clear" w:color="auto" w:fill="auto"/>
          </w:tcPr>
          <w:p w14:paraId="1613E9C5" w14:textId="77777777" w:rsidR="000700F0" w:rsidRPr="00F530DF" w:rsidRDefault="000700F0"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b/>
                <w:color w:val="000000"/>
                <w:sz w:val="24"/>
                <w:szCs w:val="24"/>
              </w:rPr>
              <w:t>3,092</w:t>
            </w:r>
          </w:p>
        </w:tc>
        <w:tc>
          <w:tcPr>
            <w:tcW w:w="6095" w:type="dxa"/>
            <w:tcBorders>
              <w:top w:val="nil"/>
              <w:left w:val="nil"/>
              <w:bottom w:val="nil"/>
              <w:right w:val="nil"/>
            </w:tcBorders>
            <w:shd w:val="clear" w:color="auto" w:fill="auto"/>
          </w:tcPr>
          <w:p w14:paraId="14FBEC35" w14:textId="77777777" w:rsidR="000700F0" w:rsidRPr="00F530DF" w:rsidRDefault="000700F0" w:rsidP="000E67B8">
            <w:pPr>
              <w:pStyle w:val="Header"/>
              <w:tabs>
                <w:tab w:val="clear" w:pos="4153"/>
                <w:tab w:val="clear" w:pos="8306"/>
                <w:tab w:val="right" w:pos="2017"/>
                <w:tab w:val="right" w:pos="5326"/>
                <w:tab w:val="right" w:pos="6557"/>
              </w:tabs>
              <w:ind w:left="518"/>
              <w:rPr>
                <w:rFonts w:ascii="Arial" w:hAnsi="Arial"/>
                <w:color w:val="000000"/>
                <w:sz w:val="24"/>
                <w:szCs w:val="24"/>
              </w:rPr>
            </w:pPr>
            <w:r w:rsidRPr="00F530DF">
              <w:rPr>
                <w:rFonts w:ascii="Arial" w:hAnsi="Arial"/>
                <w:b/>
                <w:color w:val="000000"/>
                <w:sz w:val="24"/>
                <w:szCs w:val="24"/>
              </w:rPr>
              <w:t xml:space="preserve">           Total</w:t>
            </w:r>
          </w:p>
        </w:tc>
        <w:tc>
          <w:tcPr>
            <w:tcW w:w="1559" w:type="dxa"/>
            <w:tcBorders>
              <w:top w:val="single" w:sz="4" w:space="0" w:color="auto"/>
              <w:left w:val="nil"/>
              <w:bottom w:val="double" w:sz="4" w:space="0" w:color="auto"/>
              <w:right w:val="nil"/>
            </w:tcBorders>
            <w:shd w:val="clear" w:color="auto" w:fill="auto"/>
          </w:tcPr>
          <w:p w14:paraId="1FA1653A" w14:textId="77777777" w:rsidR="000700F0" w:rsidRPr="000700F0" w:rsidRDefault="000700F0" w:rsidP="000E67B8">
            <w:pPr>
              <w:pStyle w:val="Header"/>
              <w:tabs>
                <w:tab w:val="clear" w:pos="4153"/>
                <w:tab w:val="clear" w:pos="8306"/>
                <w:tab w:val="right" w:pos="2017"/>
                <w:tab w:val="right" w:pos="5326"/>
                <w:tab w:val="right" w:pos="6557"/>
              </w:tabs>
              <w:jc w:val="right"/>
              <w:rPr>
                <w:rFonts w:ascii="Arial" w:hAnsi="Arial"/>
                <w:b/>
                <w:bCs/>
                <w:color w:val="000000"/>
                <w:sz w:val="24"/>
                <w:szCs w:val="24"/>
              </w:rPr>
            </w:pPr>
            <w:r w:rsidRPr="000700F0">
              <w:rPr>
                <w:rFonts w:ascii="Arial" w:hAnsi="Arial"/>
                <w:b/>
                <w:bCs/>
                <w:color w:val="000000"/>
                <w:sz w:val="24"/>
                <w:szCs w:val="24"/>
              </w:rPr>
              <w:t>6,415</w:t>
            </w:r>
          </w:p>
        </w:tc>
      </w:tr>
    </w:tbl>
    <w:p w14:paraId="7AF96022" w14:textId="77777777" w:rsidR="001A3D5D" w:rsidRDefault="001A3D5D" w:rsidP="002A49FD">
      <w:pPr>
        <w:jc w:val="both"/>
        <w:rPr>
          <w:rFonts w:ascii="Arial (W1)" w:hAnsi="Arial (W1)" w:cs="Arial"/>
          <w:sz w:val="24"/>
          <w:szCs w:val="24"/>
          <w:lang w:eastAsia="en-GB"/>
        </w:rPr>
      </w:pPr>
    </w:p>
    <w:p w14:paraId="4BEA036B" w14:textId="77777777" w:rsidR="002109FF" w:rsidRDefault="002109FF" w:rsidP="002A49FD">
      <w:pPr>
        <w:jc w:val="both"/>
        <w:rPr>
          <w:rFonts w:ascii="Arial (W1)" w:hAnsi="Arial (W1)" w:cs="Arial"/>
          <w:sz w:val="24"/>
          <w:szCs w:val="24"/>
          <w:lang w:eastAsia="en-GB"/>
        </w:rPr>
      </w:pPr>
    </w:p>
    <w:p w14:paraId="6B91FE81" w14:textId="77777777" w:rsidR="002109FF" w:rsidRDefault="002109FF" w:rsidP="002A49FD">
      <w:pPr>
        <w:jc w:val="both"/>
        <w:rPr>
          <w:rFonts w:ascii="Arial (W1)" w:hAnsi="Arial (W1)" w:cs="Arial"/>
          <w:sz w:val="24"/>
          <w:szCs w:val="24"/>
          <w:lang w:eastAsia="en-GB"/>
        </w:rPr>
      </w:pPr>
    </w:p>
    <w:p w14:paraId="5ADD8483" w14:textId="77777777" w:rsidR="00A3341F" w:rsidRDefault="00A3341F" w:rsidP="00A3341F">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rPr>
      </w:pPr>
    </w:p>
    <w:p w14:paraId="7F3173EC" w14:textId="77777777" w:rsidR="002E24C5" w:rsidRPr="00C43829" w:rsidRDefault="002E24C5" w:rsidP="009E72D7">
      <w:pPr>
        <w:numPr>
          <w:ilvl w:val="0"/>
          <w:numId w:val="4"/>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b/>
          <w:color w:val="000000"/>
          <w:sz w:val="24"/>
          <w:szCs w:val="24"/>
        </w:rPr>
      </w:pPr>
      <w:r w:rsidRPr="00C43829">
        <w:rPr>
          <w:rFonts w:ascii="Arial" w:hAnsi="Arial"/>
          <w:b/>
          <w:color w:val="000000"/>
          <w:sz w:val="24"/>
          <w:szCs w:val="24"/>
        </w:rPr>
        <w:t>Other Income</w:t>
      </w:r>
    </w:p>
    <w:p w14:paraId="273918E0" w14:textId="77777777" w:rsidR="002E24C5" w:rsidRPr="00117F66"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547C11D4"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r w:rsidRPr="00117F66">
        <w:rPr>
          <w:rFonts w:ascii="Arial" w:hAnsi="Arial"/>
          <w:color w:val="000000"/>
          <w:sz w:val="24"/>
          <w:szCs w:val="24"/>
        </w:rPr>
        <w:t>Other income comprise of:</w:t>
      </w:r>
    </w:p>
    <w:p w14:paraId="36C4E4A8"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p>
    <w:tbl>
      <w:tblPr>
        <w:tblW w:w="8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095"/>
        <w:gridCol w:w="1218"/>
      </w:tblGrid>
      <w:tr w:rsidR="002A758A" w:rsidRPr="00814920" w14:paraId="07DA50A2" w14:textId="77777777" w:rsidTr="00814920">
        <w:trPr>
          <w:trHeight w:val="281"/>
          <w:jc w:val="center"/>
        </w:trPr>
        <w:tc>
          <w:tcPr>
            <w:tcW w:w="1101" w:type="dxa"/>
            <w:tcBorders>
              <w:top w:val="nil"/>
              <w:left w:val="nil"/>
              <w:bottom w:val="nil"/>
              <w:right w:val="nil"/>
            </w:tcBorders>
            <w:shd w:val="clear" w:color="auto" w:fill="auto"/>
          </w:tcPr>
          <w:p w14:paraId="3A84D76D" w14:textId="77777777" w:rsidR="002A758A" w:rsidRPr="00814920" w:rsidRDefault="00745FB0" w:rsidP="00F82707">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2020/21</w:t>
            </w:r>
          </w:p>
        </w:tc>
        <w:tc>
          <w:tcPr>
            <w:tcW w:w="6095" w:type="dxa"/>
            <w:tcBorders>
              <w:top w:val="nil"/>
              <w:left w:val="nil"/>
              <w:bottom w:val="nil"/>
              <w:right w:val="nil"/>
            </w:tcBorders>
            <w:shd w:val="clear" w:color="auto" w:fill="auto"/>
          </w:tcPr>
          <w:p w14:paraId="154934A3"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218" w:type="dxa"/>
            <w:tcBorders>
              <w:top w:val="nil"/>
              <w:left w:val="nil"/>
              <w:bottom w:val="nil"/>
              <w:right w:val="nil"/>
            </w:tcBorders>
            <w:shd w:val="clear" w:color="auto" w:fill="auto"/>
          </w:tcPr>
          <w:p w14:paraId="347501FF" w14:textId="77777777" w:rsidR="002A758A" w:rsidRPr="00814920" w:rsidRDefault="003F097A" w:rsidP="0067645B">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2021/22</w:t>
            </w:r>
          </w:p>
        </w:tc>
      </w:tr>
      <w:tr w:rsidR="002A758A" w:rsidRPr="00814920" w14:paraId="500FE04F" w14:textId="77777777" w:rsidTr="00814920">
        <w:trPr>
          <w:trHeight w:val="281"/>
          <w:jc w:val="center"/>
        </w:trPr>
        <w:tc>
          <w:tcPr>
            <w:tcW w:w="1101" w:type="dxa"/>
            <w:tcBorders>
              <w:top w:val="nil"/>
              <w:left w:val="nil"/>
              <w:bottom w:val="nil"/>
              <w:right w:val="nil"/>
            </w:tcBorders>
            <w:shd w:val="clear" w:color="auto" w:fill="auto"/>
          </w:tcPr>
          <w:p w14:paraId="5D5404C8" w14:textId="77777777" w:rsidR="002A758A" w:rsidRPr="00814920" w:rsidRDefault="002A758A"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sidRPr="00814920">
              <w:rPr>
                <w:rFonts w:ascii="Arial" w:hAnsi="Arial"/>
                <w:b/>
                <w:color w:val="000000"/>
                <w:sz w:val="24"/>
                <w:szCs w:val="24"/>
              </w:rPr>
              <w:t>£’000</w:t>
            </w:r>
          </w:p>
        </w:tc>
        <w:tc>
          <w:tcPr>
            <w:tcW w:w="6095" w:type="dxa"/>
            <w:tcBorders>
              <w:top w:val="nil"/>
              <w:left w:val="nil"/>
              <w:bottom w:val="nil"/>
              <w:right w:val="nil"/>
            </w:tcBorders>
            <w:shd w:val="clear" w:color="auto" w:fill="auto"/>
          </w:tcPr>
          <w:p w14:paraId="7B4853C1"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218" w:type="dxa"/>
            <w:tcBorders>
              <w:top w:val="nil"/>
              <w:left w:val="nil"/>
              <w:bottom w:val="nil"/>
              <w:right w:val="nil"/>
            </w:tcBorders>
            <w:shd w:val="clear" w:color="auto" w:fill="auto"/>
          </w:tcPr>
          <w:p w14:paraId="20C210EC" w14:textId="77777777" w:rsidR="002A758A" w:rsidRPr="00814920" w:rsidRDefault="002A758A"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sidRPr="00814920">
              <w:rPr>
                <w:rFonts w:ascii="Arial" w:hAnsi="Arial"/>
                <w:b/>
                <w:color w:val="000000"/>
                <w:sz w:val="24"/>
                <w:szCs w:val="24"/>
              </w:rPr>
              <w:t>£’000</w:t>
            </w:r>
          </w:p>
        </w:tc>
      </w:tr>
      <w:tr w:rsidR="003F097A" w:rsidRPr="00814920" w14:paraId="631DCD5B" w14:textId="77777777" w:rsidTr="00814920">
        <w:trPr>
          <w:trHeight w:val="281"/>
          <w:jc w:val="center"/>
        </w:trPr>
        <w:tc>
          <w:tcPr>
            <w:tcW w:w="1101" w:type="dxa"/>
            <w:tcBorders>
              <w:top w:val="nil"/>
              <w:left w:val="nil"/>
              <w:bottom w:val="nil"/>
              <w:right w:val="nil"/>
            </w:tcBorders>
            <w:shd w:val="clear" w:color="auto" w:fill="auto"/>
          </w:tcPr>
          <w:p w14:paraId="0C1D27D8"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45</w:t>
            </w:r>
          </w:p>
        </w:tc>
        <w:tc>
          <w:tcPr>
            <w:tcW w:w="6095" w:type="dxa"/>
            <w:tcBorders>
              <w:top w:val="nil"/>
              <w:left w:val="nil"/>
              <w:bottom w:val="nil"/>
              <w:right w:val="nil"/>
            </w:tcBorders>
            <w:shd w:val="clear" w:color="auto" w:fill="auto"/>
          </w:tcPr>
          <w:p w14:paraId="558E4795" w14:textId="77777777" w:rsidR="003F097A" w:rsidRPr="00814920" w:rsidRDefault="003F097A" w:rsidP="003F097A">
            <w:pPr>
              <w:pStyle w:val="Header"/>
              <w:tabs>
                <w:tab w:val="clear" w:pos="4153"/>
                <w:tab w:val="clear" w:pos="8306"/>
                <w:tab w:val="right" w:pos="2017"/>
                <w:tab w:val="right" w:pos="5326"/>
                <w:tab w:val="right" w:pos="6557"/>
              </w:tabs>
              <w:ind w:left="518"/>
              <w:jc w:val="both"/>
              <w:rPr>
                <w:rFonts w:ascii="Arial" w:hAnsi="Arial"/>
                <w:color w:val="000000"/>
                <w:sz w:val="24"/>
                <w:szCs w:val="24"/>
              </w:rPr>
            </w:pPr>
            <w:r>
              <w:rPr>
                <w:rFonts w:ascii="Arial" w:hAnsi="Arial"/>
                <w:color w:val="000000"/>
                <w:sz w:val="24"/>
                <w:szCs w:val="24"/>
              </w:rPr>
              <w:t>Interest on Cash Deposits</w:t>
            </w:r>
          </w:p>
        </w:tc>
        <w:tc>
          <w:tcPr>
            <w:tcW w:w="1218" w:type="dxa"/>
            <w:tcBorders>
              <w:top w:val="nil"/>
              <w:left w:val="nil"/>
              <w:bottom w:val="nil"/>
              <w:right w:val="nil"/>
            </w:tcBorders>
            <w:shd w:val="clear" w:color="auto" w:fill="auto"/>
          </w:tcPr>
          <w:p w14:paraId="4E5D0F39" w14:textId="77777777" w:rsidR="003F097A" w:rsidRPr="00814920" w:rsidRDefault="000700F0"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0</w:t>
            </w:r>
          </w:p>
        </w:tc>
      </w:tr>
      <w:tr w:rsidR="003F097A" w:rsidRPr="00814920" w14:paraId="5F7831CF" w14:textId="77777777" w:rsidTr="00814920">
        <w:trPr>
          <w:trHeight w:val="297"/>
          <w:jc w:val="center"/>
        </w:trPr>
        <w:tc>
          <w:tcPr>
            <w:tcW w:w="1101" w:type="dxa"/>
            <w:tcBorders>
              <w:top w:val="nil"/>
              <w:left w:val="nil"/>
              <w:bottom w:val="single" w:sz="4" w:space="0" w:color="auto"/>
              <w:right w:val="nil"/>
            </w:tcBorders>
            <w:shd w:val="clear" w:color="auto" w:fill="auto"/>
          </w:tcPr>
          <w:p w14:paraId="095BF920"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5</w:t>
            </w:r>
          </w:p>
        </w:tc>
        <w:tc>
          <w:tcPr>
            <w:tcW w:w="6095" w:type="dxa"/>
            <w:tcBorders>
              <w:top w:val="nil"/>
              <w:left w:val="nil"/>
              <w:bottom w:val="nil"/>
              <w:right w:val="nil"/>
            </w:tcBorders>
            <w:shd w:val="clear" w:color="auto" w:fill="auto"/>
          </w:tcPr>
          <w:p w14:paraId="2870E4AB" w14:textId="77777777" w:rsidR="003F097A" w:rsidRPr="00814920" w:rsidRDefault="003F097A" w:rsidP="003F097A">
            <w:pPr>
              <w:pStyle w:val="Header"/>
              <w:tabs>
                <w:tab w:val="clear" w:pos="4153"/>
                <w:tab w:val="clear" w:pos="8306"/>
                <w:tab w:val="right" w:pos="2017"/>
                <w:tab w:val="right" w:pos="5326"/>
                <w:tab w:val="right" w:pos="6557"/>
              </w:tabs>
              <w:ind w:left="518"/>
              <w:jc w:val="both"/>
              <w:rPr>
                <w:rFonts w:ascii="Arial" w:hAnsi="Arial"/>
                <w:color w:val="000000"/>
                <w:sz w:val="24"/>
                <w:szCs w:val="24"/>
              </w:rPr>
            </w:pPr>
            <w:r w:rsidRPr="00814920">
              <w:rPr>
                <w:rFonts w:ascii="Arial" w:hAnsi="Arial"/>
                <w:color w:val="000000"/>
                <w:sz w:val="24"/>
                <w:szCs w:val="24"/>
              </w:rPr>
              <w:t>Early Access - Interest</w:t>
            </w:r>
          </w:p>
        </w:tc>
        <w:tc>
          <w:tcPr>
            <w:tcW w:w="1218" w:type="dxa"/>
            <w:tcBorders>
              <w:top w:val="nil"/>
              <w:left w:val="nil"/>
              <w:bottom w:val="single" w:sz="4" w:space="0" w:color="auto"/>
              <w:right w:val="nil"/>
            </w:tcBorders>
            <w:shd w:val="clear" w:color="auto" w:fill="auto"/>
          </w:tcPr>
          <w:p w14:paraId="0E0135C3" w14:textId="77777777" w:rsidR="003F097A" w:rsidRPr="00814920" w:rsidRDefault="000700F0"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5</w:t>
            </w:r>
          </w:p>
        </w:tc>
      </w:tr>
      <w:tr w:rsidR="003F097A" w:rsidRPr="00814920" w14:paraId="63FF5EF7" w14:textId="77777777" w:rsidTr="00814920">
        <w:trPr>
          <w:trHeight w:val="281"/>
          <w:jc w:val="center"/>
        </w:trPr>
        <w:tc>
          <w:tcPr>
            <w:tcW w:w="1101" w:type="dxa"/>
            <w:tcBorders>
              <w:top w:val="single" w:sz="4" w:space="0" w:color="auto"/>
              <w:left w:val="nil"/>
              <w:bottom w:val="double" w:sz="4" w:space="0" w:color="auto"/>
              <w:right w:val="nil"/>
            </w:tcBorders>
            <w:shd w:val="clear" w:color="auto" w:fill="auto"/>
          </w:tcPr>
          <w:p w14:paraId="211BC657"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50</w:t>
            </w:r>
          </w:p>
        </w:tc>
        <w:tc>
          <w:tcPr>
            <w:tcW w:w="6095" w:type="dxa"/>
            <w:tcBorders>
              <w:top w:val="nil"/>
              <w:left w:val="nil"/>
              <w:bottom w:val="nil"/>
              <w:right w:val="nil"/>
            </w:tcBorders>
            <w:shd w:val="clear" w:color="auto" w:fill="auto"/>
          </w:tcPr>
          <w:p w14:paraId="4194BFE9"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r w:rsidRPr="00814920">
              <w:rPr>
                <w:rFonts w:ascii="Arial" w:hAnsi="Arial"/>
                <w:b/>
                <w:color w:val="000000"/>
                <w:sz w:val="24"/>
                <w:szCs w:val="24"/>
              </w:rPr>
              <w:t xml:space="preserve">       </w:t>
            </w:r>
            <w:r>
              <w:rPr>
                <w:rFonts w:ascii="Arial" w:hAnsi="Arial"/>
                <w:b/>
                <w:color w:val="000000"/>
                <w:sz w:val="24"/>
                <w:szCs w:val="24"/>
              </w:rPr>
              <w:t xml:space="preserve"> </w:t>
            </w:r>
            <w:r w:rsidRPr="00814920">
              <w:rPr>
                <w:rFonts w:ascii="Arial" w:hAnsi="Arial"/>
                <w:b/>
                <w:color w:val="000000"/>
                <w:sz w:val="24"/>
                <w:szCs w:val="24"/>
              </w:rPr>
              <w:t>Total</w:t>
            </w:r>
          </w:p>
        </w:tc>
        <w:tc>
          <w:tcPr>
            <w:tcW w:w="1218" w:type="dxa"/>
            <w:tcBorders>
              <w:top w:val="single" w:sz="4" w:space="0" w:color="auto"/>
              <w:left w:val="nil"/>
              <w:bottom w:val="double" w:sz="4" w:space="0" w:color="auto"/>
              <w:right w:val="nil"/>
            </w:tcBorders>
            <w:shd w:val="clear" w:color="auto" w:fill="auto"/>
          </w:tcPr>
          <w:p w14:paraId="0293325A" w14:textId="77777777" w:rsidR="003F097A" w:rsidRPr="00814920" w:rsidRDefault="000700F0"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5</w:t>
            </w:r>
          </w:p>
        </w:tc>
      </w:tr>
    </w:tbl>
    <w:p w14:paraId="56EB1361" w14:textId="77777777" w:rsidR="00970E60" w:rsidRDefault="00970E6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rPr>
      </w:pPr>
    </w:p>
    <w:p w14:paraId="1353656E" w14:textId="77777777" w:rsidR="00233DE8" w:rsidRDefault="00233DE8"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rPr>
      </w:pPr>
    </w:p>
    <w:p w14:paraId="0166E3BD" w14:textId="77777777" w:rsidR="0067645B" w:rsidRDefault="00F562C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rPr>
      </w:pPr>
      <w:r>
        <w:rPr>
          <w:rFonts w:ascii="Arial" w:hAnsi="Arial"/>
          <w:color w:val="000000"/>
          <w:sz w:val="24"/>
          <w:szCs w:val="24"/>
        </w:rPr>
        <w:t>Interest on Cash deposits was reduced in 202</w:t>
      </w:r>
      <w:r w:rsidR="000700F0">
        <w:rPr>
          <w:rFonts w:ascii="Arial" w:hAnsi="Arial"/>
          <w:color w:val="000000"/>
          <w:sz w:val="24"/>
          <w:szCs w:val="24"/>
        </w:rPr>
        <w:t>1</w:t>
      </w:r>
      <w:r>
        <w:rPr>
          <w:rFonts w:ascii="Arial" w:hAnsi="Arial"/>
          <w:color w:val="000000"/>
          <w:sz w:val="24"/>
          <w:szCs w:val="24"/>
        </w:rPr>
        <w:t>/2</w:t>
      </w:r>
      <w:r w:rsidR="000700F0">
        <w:rPr>
          <w:rFonts w:ascii="Arial" w:hAnsi="Arial"/>
          <w:color w:val="000000"/>
          <w:sz w:val="24"/>
          <w:szCs w:val="24"/>
        </w:rPr>
        <w:t>2</w:t>
      </w:r>
      <w:r>
        <w:rPr>
          <w:rFonts w:ascii="Arial" w:hAnsi="Arial"/>
          <w:color w:val="000000"/>
          <w:sz w:val="24"/>
          <w:szCs w:val="24"/>
        </w:rPr>
        <w:t xml:space="preserve"> due to the fund not investing surplus cash holdings with </w:t>
      </w:r>
      <w:r w:rsidRPr="00F562CB">
        <w:rPr>
          <w:rFonts w:ascii="Arial" w:hAnsi="Arial"/>
          <w:color w:val="000000"/>
          <w:sz w:val="24"/>
          <w:szCs w:val="24"/>
        </w:rPr>
        <w:t>City &amp; County of Swansea</w:t>
      </w:r>
      <w:r>
        <w:rPr>
          <w:rFonts w:ascii="Arial" w:hAnsi="Arial"/>
          <w:color w:val="000000"/>
          <w:sz w:val="24"/>
          <w:szCs w:val="24"/>
        </w:rPr>
        <w:t xml:space="preserve"> Treasury as in previous years. It was necessary to hold substantial cash balances</w:t>
      </w:r>
      <w:r w:rsidR="00182E99">
        <w:rPr>
          <w:rFonts w:ascii="Arial" w:hAnsi="Arial"/>
          <w:color w:val="000000"/>
          <w:sz w:val="24"/>
          <w:szCs w:val="24"/>
        </w:rPr>
        <w:t xml:space="preserve"> in</w:t>
      </w:r>
      <w:r>
        <w:rPr>
          <w:rFonts w:ascii="Arial" w:hAnsi="Arial"/>
          <w:color w:val="000000"/>
          <w:sz w:val="24"/>
          <w:szCs w:val="24"/>
        </w:rPr>
        <w:t xml:space="preserve"> the bank account to fund the large capital commitments to new yielding assets</w:t>
      </w:r>
      <w:r w:rsidR="00182E99">
        <w:rPr>
          <w:rFonts w:ascii="Arial" w:hAnsi="Arial"/>
          <w:color w:val="000000"/>
          <w:sz w:val="24"/>
          <w:szCs w:val="24"/>
        </w:rPr>
        <w:t xml:space="preserve"> programme, expected in the year</w:t>
      </w:r>
      <w:r>
        <w:rPr>
          <w:rFonts w:ascii="Arial" w:hAnsi="Arial"/>
          <w:color w:val="000000"/>
          <w:sz w:val="24"/>
          <w:szCs w:val="24"/>
        </w:rPr>
        <w:t xml:space="preserve">. </w:t>
      </w:r>
    </w:p>
    <w:p w14:paraId="633B74AB" w14:textId="77777777" w:rsidR="00275AFE" w:rsidRDefault="00275AFE"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rPr>
      </w:pPr>
    </w:p>
    <w:p w14:paraId="7AF7A800" w14:textId="77777777" w:rsidR="00233DE8" w:rsidRDefault="00233DE8"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rPr>
      </w:pPr>
    </w:p>
    <w:p w14:paraId="09F4F22D" w14:textId="77777777" w:rsidR="002E24C5" w:rsidRPr="00117F66" w:rsidRDefault="002E24C5" w:rsidP="009E72D7">
      <w:pPr>
        <w:numPr>
          <w:ilvl w:val="0"/>
          <w:numId w:val="4"/>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r w:rsidRPr="00117F66">
        <w:rPr>
          <w:rFonts w:ascii="Arial" w:hAnsi="Arial"/>
          <w:b/>
          <w:color w:val="000000"/>
          <w:sz w:val="24"/>
          <w:szCs w:val="24"/>
        </w:rPr>
        <w:t>Benefits</w:t>
      </w:r>
      <w:r w:rsidR="00DE366E">
        <w:rPr>
          <w:rFonts w:ascii="Arial" w:hAnsi="Arial"/>
          <w:b/>
          <w:color w:val="000000"/>
          <w:sz w:val="24"/>
          <w:szCs w:val="24"/>
        </w:rPr>
        <w:t xml:space="preserve"> Payable</w:t>
      </w:r>
    </w:p>
    <w:p w14:paraId="14FB6AAA" w14:textId="77777777" w:rsidR="009A54FC" w:rsidRPr="00117F66" w:rsidRDefault="009A54FC" w:rsidP="005E4F16">
      <w:pPr>
        <w:pStyle w:val="Header"/>
        <w:tabs>
          <w:tab w:val="clear" w:pos="4153"/>
          <w:tab w:val="clear" w:pos="8306"/>
          <w:tab w:val="right" w:pos="2802"/>
          <w:tab w:val="right" w:pos="7398"/>
          <w:tab w:val="right" w:pos="9108"/>
        </w:tabs>
        <w:rPr>
          <w:rFonts w:ascii="Arial" w:hAnsi="Arial"/>
          <w:color w:val="000000"/>
          <w:sz w:val="24"/>
          <w:szCs w:val="24"/>
        </w:rPr>
      </w:pPr>
    </w:p>
    <w:p w14:paraId="0C37A5B9"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r w:rsidRPr="00117F66">
        <w:rPr>
          <w:rFonts w:ascii="Arial" w:hAnsi="Arial"/>
          <w:color w:val="000000"/>
          <w:sz w:val="24"/>
          <w:szCs w:val="24"/>
        </w:rPr>
        <w:t>The lump sum benefits paid comprise of:</w:t>
      </w:r>
    </w:p>
    <w:p w14:paraId="4DDD52E5"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6106"/>
        <w:gridCol w:w="1657"/>
      </w:tblGrid>
      <w:tr w:rsidR="002A758A" w:rsidRPr="00814920" w14:paraId="7DA60E6E" w14:textId="77777777" w:rsidTr="00814920">
        <w:trPr>
          <w:trHeight w:val="256"/>
          <w:jc w:val="center"/>
        </w:trPr>
        <w:tc>
          <w:tcPr>
            <w:tcW w:w="1103" w:type="dxa"/>
            <w:tcBorders>
              <w:top w:val="nil"/>
              <w:left w:val="nil"/>
              <w:bottom w:val="nil"/>
              <w:right w:val="nil"/>
            </w:tcBorders>
            <w:shd w:val="clear" w:color="auto" w:fill="auto"/>
          </w:tcPr>
          <w:p w14:paraId="3EC1E6DF" w14:textId="77777777" w:rsidR="002A758A" w:rsidRPr="00814920" w:rsidRDefault="003F097A" w:rsidP="0067645B">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2020/21</w:t>
            </w:r>
          </w:p>
        </w:tc>
        <w:tc>
          <w:tcPr>
            <w:tcW w:w="6106" w:type="dxa"/>
            <w:tcBorders>
              <w:top w:val="nil"/>
              <w:left w:val="nil"/>
              <w:bottom w:val="nil"/>
              <w:right w:val="nil"/>
            </w:tcBorders>
            <w:shd w:val="clear" w:color="auto" w:fill="auto"/>
          </w:tcPr>
          <w:p w14:paraId="2FC2BE06"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657" w:type="dxa"/>
            <w:tcBorders>
              <w:top w:val="nil"/>
              <w:left w:val="nil"/>
              <w:bottom w:val="nil"/>
              <w:right w:val="nil"/>
            </w:tcBorders>
            <w:shd w:val="clear" w:color="auto" w:fill="auto"/>
          </w:tcPr>
          <w:p w14:paraId="5D00AAD1" w14:textId="77777777" w:rsidR="002A758A" w:rsidRPr="00814920" w:rsidRDefault="003F097A" w:rsidP="0067645B">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2021/22</w:t>
            </w:r>
          </w:p>
        </w:tc>
      </w:tr>
      <w:tr w:rsidR="002A758A" w:rsidRPr="00814920" w14:paraId="1870E861" w14:textId="77777777" w:rsidTr="00814920">
        <w:trPr>
          <w:trHeight w:val="270"/>
          <w:jc w:val="center"/>
        </w:trPr>
        <w:tc>
          <w:tcPr>
            <w:tcW w:w="0" w:type="auto"/>
            <w:tcBorders>
              <w:top w:val="nil"/>
              <w:left w:val="nil"/>
              <w:bottom w:val="nil"/>
              <w:right w:val="nil"/>
            </w:tcBorders>
            <w:shd w:val="clear" w:color="auto" w:fill="auto"/>
          </w:tcPr>
          <w:p w14:paraId="6684917D" w14:textId="77777777" w:rsidR="002A758A" w:rsidRPr="00814920" w:rsidRDefault="002A758A"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sidRPr="00814920">
              <w:rPr>
                <w:rFonts w:ascii="Arial" w:hAnsi="Arial"/>
                <w:b/>
                <w:color w:val="000000"/>
                <w:sz w:val="24"/>
                <w:szCs w:val="24"/>
              </w:rPr>
              <w:t>£’000</w:t>
            </w:r>
          </w:p>
        </w:tc>
        <w:tc>
          <w:tcPr>
            <w:tcW w:w="6106" w:type="dxa"/>
            <w:tcBorders>
              <w:top w:val="nil"/>
              <w:left w:val="nil"/>
              <w:bottom w:val="nil"/>
              <w:right w:val="nil"/>
            </w:tcBorders>
            <w:shd w:val="clear" w:color="auto" w:fill="auto"/>
          </w:tcPr>
          <w:p w14:paraId="06CE483F"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657" w:type="dxa"/>
            <w:tcBorders>
              <w:top w:val="nil"/>
              <w:left w:val="nil"/>
              <w:bottom w:val="nil"/>
              <w:right w:val="nil"/>
            </w:tcBorders>
            <w:shd w:val="clear" w:color="auto" w:fill="auto"/>
          </w:tcPr>
          <w:p w14:paraId="32B65894" w14:textId="77777777" w:rsidR="002A758A" w:rsidRPr="00814920" w:rsidRDefault="002A758A"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sidRPr="00814920">
              <w:rPr>
                <w:rFonts w:ascii="Arial" w:hAnsi="Arial"/>
                <w:b/>
                <w:color w:val="000000"/>
                <w:sz w:val="24"/>
                <w:szCs w:val="24"/>
              </w:rPr>
              <w:t>£’000</w:t>
            </w:r>
          </w:p>
        </w:tc>
      </w:tr>
      <w:tr w:rsidR="003F097A" w:rsidRPr="00814920" w14:paraId="4D878CDA" w14:textId="77777777" w:rsidTr="00814920">
        <w:trPr>
          <w:trHeight w:val="270"/>
          <w:jc w:val="center"/>
        </w:trPr>
        <w:tc>
          <w:tcPr>
            <w:tcW w:w="0" w:type="auto"/>
            <w:tcBorders>
              <w:top w:val="nil"/>
              <w:left w:val="nil"/>
              <w:bottom w:val="nil"/>
              <w:right w:val="nil"/>
            </w:tcBorders>
            <w:shd w:val="clear" w:color="auto" w:fill="auto"/>
          </w:tcPr>
          <w:p w14:paraId="3E8F9712"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70,195</w:t>
            </w:r>
          </w:p>
        </w:tc>
        <w:tc>
          <w:tcPr>
            <w:tcW w:w="6106" w:type="dxa"/>
            <w:tcBorders>
              <w:top w:val="nil"/>
              <w:left w:val="nil"/>
              <w:bottom w:val="nil"/>
              <w:right w:val="nil"/>
            </w:tcBorders>
            <w:shd w:val="clear" w:color="auto" w:fill="auto"/>
          </w:tcPr>
          <w:p w14:paraId="25A37278"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 xml:space="preserve">              Pensions</w:t>
            </w:r>
          </w:p>
        </w:tc>
        <w:tc>
          <w:tcPr>
            <w:tcW w:w="1657" w:type="dxa"/>
            <w:tcBorders>
              <w:top w:val="nil"/>
              <w:left w:val="nil"/>
              <w:bottom w:val="nil"/>
              <w:right w:val="nil"/>
            </w:tcBorders>
            <w:shd w:val="clear" w:color="auto" w:fill="auto"/>
          </w:tcPr>
          <w:p w14:paraId="0A6B32C6" w14:textId="77777777" w:rsidR="003F097A" w:rsidRPr="00814920" w:rsidRDefault="000700F0"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72,012</w:t>
            </w:r>
          </w:p>
        </w:tc>
      </w:tr>
      <w:tr w:rsidR="003F097A" w:rsidRPr="00814920" w14:paraId="7BCE900E" w14:textId="77777777" w:rsidTr="00814920">
        <w:trPr>
          <w:trHeight w:val="256"/>
          <w:jc w:val="center"/>
        </w:trPr>
        <w:tc>
          <w:tcPr>
            <w:tcW w:w="0" w:type="auto"/>
            <w:tcBorders>
              <w:top w:val="nil"/>
              <w:left w:val="nil"/>
              <w:bottom w:val="nil"/>
              <w:right w:val="nil"/>
            </w:tcBorders>
            <w:shd w:val="clear" w:color="auto" w:fill="auto"/>
          </w:tcPr>
          <w:p w14:paraId="64336681" w14:textId="77777777" w:rsidR="003F097A" w:rsidRPr="00814920" w:rsidRDefault="003F097A" w:rsidP="003F097A">
            <w:pPr>
              <w:pStyle w:val="Header"/>
              <w:tabs>
                <w:tab w:val="clear" w:pos="4153"/>
                <w:tab w:val="clear" w:pos="8306"/>
                <w:tab w:val="right" w:pos="2017"/>
                <w:tab w:val="center" w:pos="2990"/>
                <w:tab w:val="right" w:pos="5326"/>
                <w:tab w:val="right" w:pos="5980"/>
                <w:tab w:val="right" w:pos="6557"/>
              </w:tabs>
              <w:jc w:val="right"/>
              <w:rPr>
                <w:rFonts w:ascii="Arial" w:hAnsi="Arial"/>
                <w:color w:val="000000"/>
                <w:sz w:val="24"/>
                <w:szCs w:val="24"/>
              </w:rPr>
            </w:pPr>
            <w:r>
              <w:rPr>
                <w:rFonts w:ascii="Arial" w:hAnsi="Arial"/>
                <w:color w:val="000000"/>
                <w:sz w:val="24"/>
                <w:szCs w:val="24"/>
              </w:rPr>
              <w:t>11,417</w:t>
            </w:r>
          </w:p>
        </w:tc>
        <w:tc>
          <w:tcPr>
            <w:tcW w:w="6106" w:type="dxa"/>
            <w:tcBorders>
              <w:top w:val="nil"/>
              <w:left w:val="nil"/>
              <w:bottom w:val="nil"/>
              <w:right w:val="nil"/>
            </w:tcBorders>
            <w:shd w:val="clear" w:color="auto" w:fill="auto"/>
          </w:tcPr>
          <w:p w14:paraId="22F03E81"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 xml:space="preserve">              Commutation and lump sum retirement  </w:t>
            </w:r>
          </w:p>
          <w:p w14:paraId="759A93F5"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 xml:space="preserve">              benefits               </w:t>
            </w:r>
          </w:p>
        </w:tc>
        <w:tc>
          <w:tcPr>
            <w:tcW w:w="1657" w:type="dxa"/>
            <w:tcBorders>
              <w:top w:val="nil"/>
              <w:left w:val="nil"/>
              <w:bottom w:val="nil"/>
              <w:right w:val="nil"/>
            </w:tcBorders>
            <w:shd w:val="clear" w:color="auto" w:fill="auto"/>
          </w:tcPr>
          <w:p w14:paraId="462B0794" w14:textId="77777777" w:rsidR="003F097A" w:rsidRPr="00814920" w:rsidRDefault="000700F0" w:rsidP="003F097A">
            <w:pPr>
              <w:pStyle w:val="Header"/>
              <w:tabs>
                <w:tab w:val="clear" w:pos="4153"/>
                <w:tab w:val="clear" w:pos="8306"/>
                <w:tab w:val="right" w:pos="2017"/>
                <w:tab w:val="center" w:pos="2990"/>
                <w:tab w:val="right" w:pos="5326"/>
                <w:tab w:val="right" w:pos="5980"/>
                <w:tab w:val="right" w:pos="6557"/>
              </w:tabs>
              <w:jc w:val="right"/>
              <w:rPr>
                <w:rFonts w:ascii="Arial" w:hAnsi="Arial"/>
                <w:color w:val="000000"/>
                <w:sz w:val="24"/>
                <w:szCs w:val="24"/>
              </w:rPr>
            </w:pPr>
            <w:r>
              <w:rPr>
                <w:rFonts w:ascii="Arial" w:hAnsi="Arial"/>
                <w:color w:val="000000"/>
                <w:sz w:val="24"/>
                <w:szCs w:val="24"/>
              </w:rPr>
              <w:t>15,235</w:t>
            </w:r>
          </w:p>
        </w:tc>
      </w:tr>
      <w:tr w:rsidR="003F097A" w:rsidRPr="00814920" w14:paraId="1879C1B3" w14:textId="77777777" w:rsidTr="00814920">
        <w:trPr>
          <w:trHeight w:val="256"/>
          <w:jc w:val="center"/>
        </w:trPr>
        <w:tc>
          <w:tcPr>
            <w:tcW w:w="0" w:type="auto"/>
            <w:tcBorders>
              <w:top w:val="nil"/>
              <w:left w:val="nil"/>
              <w:bottom w:val="single" w:sz="4" w:space="0" w:color="auto"/>
              <w:right w:val="nil"/>
            </w:tcBorders>
            <w:shd w:val="clear" w:color="auto" w:fill="auto"/>
          </w:tcPr>
          <w:p w14:paraId="3E795A61"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3,127</w:t>
            </w:r>
          </w:p>
        </w:tc>
        <w:tc>
          <w:tcPr>
            <w:tcW w:w="6106" w:type="dxa"/>
            <w:tcBorders>
              <w:top w:val="nil"/>
              <w:left w:val="nil"/>
              <w:bottom w:val="nil"/>
              <w:right w:val="nil"/>
            </w:tcBorders>
            <w:shd w:val="clear" w:color="auto" w:fill="auto"/>
          </w:tcPr>
          <w:p w14:paraId="508D074A"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 xml:space="preserve">              Lump sum death benefits</w:t>
            </w:r>
          </w:p>
        </w:tc>
        <w:tc>
          <w:tcPr>
            <w:tcW w:w="1657" w:type="dxa"/>
            <w:tcBorders>
              <w:top w:val="nil"/>
              <w:left w:val="nil"/>
              <w:bottom w:val="single" w:sz="4" w:space="0" w:color="auto"/>
              <w:right w:val="nil"/>
            </w:tcBorders>
            <w:shd w:val="clear" w:color="auto" w:fill="auto"/>
          </w:tcPr>
          <w:p w14:paraId="4D5D89BC" w14:textId="77777777" w:rsidR="000700F0" w:rsidRPr="00814920" w:rsidRDefault="000700F0" w:rsidP="000700F0">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2,645</w:t>
            </w:r>
          </w:p>
        </w:tc>
      </w:tr>
      <w:tr w:rsidR="003F097A" w:rsidRPr="00814920" w14:paraId="17343AEE" w14:textId="77777777" w:rsidTr="00814920">
        <w:trPr>
          <w:trHeight w:val="256"/>
          <w:jc w:val="center"/>
        </w:trPr>
        <w:tc>
          <w:tcPr>
            <w:tcW w:w="0" w:type="auto"/>
            <w:tcBorders>
              <w:top w:val="single" w:sz="4" w:space="0" w:color="auto"/>
              <w:left w:val="nil"/>
              <w:bottom w:val="double" w:sz="4" w:space="0" w:color="auto"/>
              <w:right w:val="nil"/>
            </w:tcBorders>
            <w:shd w:val="clear" w:color="auto" w:fill="auto"/>
          </w:tcPr>
          <w:p w14:paraId="12089FAF"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84,739</w:t>
            </w:r>
          </w:p>
        </w:tc>
        <w:tc>
          <w:tcPr>
            <w:tcW w:w="6106" w:type="dxa"/>
            <w:tcBorders>
              <w:top w:val="nil"/>
              <w:left w:val="nil"/>
              <w:bottom w:val="nil"/>
              <w:right w:val="nil"/>
            </w:tcBorders>
            <w:shd w:val="clear" w:color="auto" w:fill="auto"/>
          </w:tcPr>
          <w:p w14:paraId="6FE2C421"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r w:rsidRPr="00814920">
              <w:rPr>
                <w:rFonts w:ascii="Arial" w:hAnsi="Arial"/>
                <w:b/>
                <w:color w:val="000000"/>
                <w:sz w:val="24"/>
                <w:szCs w:val="24"/>
              </w:rPr>
              <w:t xml:space="preserve">              Total</w:t>
            </w:r>
          </w:p>
        </w:tc>
        <w:tc>
          <w:tcPr>
            <w:tcW w:w="1657" w:type="dxa"/>
            <w:tcBorders>
              <w:top w:val="single" w:sz="4" w:space="0" w:color="auto"/>
              <w:left w:val="nil"/>
              <w:bottom w:val="double" w:sz="4" w:space="0" w:color="auto"/>
              <w:right w:val="nil"/>
            </w:tcBorders>
            <w:shd w:val="clear" w:color="auto" w:fill="auto"/>
          </w:tcPr>
          <w:p w14:paraId="698B11BC" w14:textId="77777777" w:rsidR="003F097A" w:rsidRPr="00814920" w:rsidRDefault="000700F0"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89,892</w:t>
            </w:r>
          </w:p>
        </w:tc>
      </w:tr>
    </w:tbl>
    <w:p w14:paraId="49C589F0" w14:textId="77777777" w:rsidR="002E24C5"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3A498EFC" w14:textId="77777777" w:rsidR="00DC6523" w:rsidRDefault="00DC6523"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32FF285F" w14:textId="77777777" w:rsidR="00DC6523" w:rsidRDefault="00DC6523"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1BCA1A7" w14:textId="77777777" w:rsidR="00DC6523" w:rsidRDefault="00DC6523"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3C922EAD" w14:textId="77777777" w:rsidR="004D3EAE" w:rsidRDefault="004D3EAE"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4F1586BB"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7DE8349"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7E5F48B4"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87522A5"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30BED428"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3DDCF8F"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F70704D"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6790FB28"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40002EC8"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620F9528"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ADA0BF5"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6A09631C"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52C105A"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67C04BF"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5ECEC1C4"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3CEC66C0"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542EB8D4"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1F757821"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788E5F07"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8E095F8"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AE5F97A"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53A08181"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4F9516F1"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59DF6AA"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380CACCD"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594E1488"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3767A01"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13332E9D"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D9003FE" w14:textId="77777777" w:rsidR="008E66A5" w:rsidRDefault="008E66A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8F601A4" w14:textId="77777777" w:rsidR="008E66A5" w:rsidRDefault="008E66A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60A9A64D" w14:textId="77777777" w:rsidR="00CB4084" w:rsidRDefault="00CB4084"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675DBAE0" w14:textId="77777777" w:rsidR="00C974AE" w:rsidRDefault="00C974AE"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11D71A97" w14:textId="77777777" w:rsidR="0067645B" w:rsidRPr="00437B8E" w:rsidRDefault="00E6618D" w:rsidP="00E0571E">
      <w:pPr>
        <w:numPr>
          <w:ilvl w:val="0"/>
          <w:numId w:val="30"/>
        </w:numPr>
        <w:tabs>
          <w:tab w:val="clear" w:pos="720"/>
          <w:tab w:val="left" w:pos="709"/>
          <w:tab w:val="left" w:pos="864"/>
          <w:tab w:val="right" w:pos="5184"/>
          <w:tab w:val="right" w:pos="6624"/>
          <w:tab w:val="right" w:pos="8640"/>
          <w:tab w:val="right" w:pos="10080"/>
        </w:tabs>
        <w:jc w:val="both"/>
        <w:rPr>
          <w:rFonts w:ascii="Arial" w:hAnsi="Arial"/>
          <w:color w:val="000000"/>
          <w:sz w:val="24"/>
          <w:szCs w:val="24"/>
        </w:rPr>
      </w:pPr>
      <w:r>
        <w:rPr>
          <w:rFonts w:ascii="Arial" w:hAnsi="Arial"/>
          <w:b/>
          <w:sz w:val="24"/>
          <w:szCs w:val="24"/>
        </w:rPr>
        <w:lastRenderedPageBreak/>
        <w:t xml:space="preserve">Benefits Payable cont’d - </w:t>
      </w:r>
      <w:r w:rsidR="00437B8E">
        <w:rPr>
          <w:rFonts w:ascii="Arial" w:hAnsi="Arial"/>
          <w:b/>
          <w:sz w:val="24"/>
          <w:szCs w:val="24"/>
        </w:rPr>
        <w:t xml:space="preserve">Analysis of </w:t>
      </w:r>
      <w:r w:rsidR="0067645B" w:rsidRPr="00437B8E">
        <w:rPr>
          <w:rFonts w:ascii="Arial" w:hAnsi="Arial"/>
          <w:b/>
          <w:sz w:val="24"/>
          <w:szCs w:val="24"/>
        </w:rPr>
        <w:t>Benefits Pa</w:t>
      </w:r>
      <w:r w:rsidR="00437B8E">
        <w:rPr>
          <w:rFonts w:ascii="Arial" w:hAnsi="Arial"/>
          <w:b/>
          <w:sz w:val="24"/>
          <w:szCs w:val="24"/>
        </w:rPr>
        <w:t>id</w:t>
      </w:r>
    </w:p>
    <w:p w14:paraId="0423C5F6" w14:textId="77777777" w:rsidR="007A7B91" w:rsidRPr="00437B8E" w:rsidRDefault="007A7B91" w:rsidP="007A7B91">
      <w:pPr>
        <w:tabs>
          <w:tab w:val="left" w:pos="709"/>
          <w:tab w:val="left" w:pos="864"/>
          <w:tab w:val="right" w:pos="5184"/>
          <w:tab w:val="right" w:pos="6624"/>
          <w:tab w:val="right" w:pos="8640"/>
          <w:tab w:val="right" w:pos="10080"/>
        </w:tabs>
        <w:jc w:val="both"/>
        <w:rPr>
          <w:rFonts w:ascii="Arial" w:hAnsi="Arial"/>
          <w:color w:val="000000"/>
          <w:sz w:val="24"/>
          <w:szCs w:val="24"/>
        </w:rPr>
      </w:pPr>
    </w:p>
    <w:tbl>
      <w:tblPr>
        <w:tblW w:w="0" w:type="auto"/>
        <w:jc w:val="center"/>
        <w:tblBorders>
          <w:top w:val="single" w:sz="12" w:space="0" w:color="auto"/>
          <w:bottom w:val="double" w:sz="4" w:space="0" w:color="auto"/>
        </w:tblBorders>
        <w:tblLayout w:type="fixed"/>
        <w:tblLook w:val="0000" w:firstRow="0" w:lastRow="0" w:firstColumn="0" w:lastColumn="0" w:noHBand="0" w:noVBand="0"/>
      </w:tblPr>
      <w:tblGrid>
        <w:gridCol w:w="1797"/>
        <w:gridCol w:w="5141"/>
        <w:gridCol w:w="1774"/>
      </w:tblGrid>
      <w:tr w:rsidR="0067645B" w:rsidRPr="00970E60" w14:paraId="70EA8F08" w14:textId="77777777" w:rsidTr="006D789A">
        <w:trPr>
          <w:jc w:val="center"/>
        </w:trPr>
        <w:tc>
          <w:tcPr>
            <w:tcW w:w="1797" w:type="dxa"/>
            <w:tcBorders>
              <w:top w:val="nil"/>
              <w:bottom w:val="nil"/>
            </w:tcBorders>
          </w:tcPr>
          <w:p w14:paraId="6B6E1D32" w14:textId="77777777" w:rsidR="0067645B" w:rsidRPr="00970E60" w:rsidRDefault="0067645B" w:rsidP="006D789A">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970E60">
              <w:rPr>
                <w:rFonts w:ascii="Arial" w:hAnsi="Arial"/>
                <w:b/>
                <w:sz w:val="24"/>
                <w:szCs w:val="24"/>
              </w:rPr>
              <w:t xml:space="preserve">Total </w:t>
            </w:r>
            <w:r w:rsidR="00CF7007">
              <w:rPr>
                <w:rFonts w:ascii="Arial" w:hAnsi="Arial"/>
                <w:b/>
                <w:sz w:val="24"/>
                <w:szCs w:val="24"/>
              </w:rPr>
              <w:t>Benefits</w:t>
            </w:r>
            <w:r w:rsidR="006D789A">
              <w:rPr>
                <w:rFonts w:ascii="Arial" w:hAnsi="Arial"/>
                <w:b/>
                <w:sz w:val="24"/>
                <w:szCs w:val="24"/>
              </w:rPr>
              <w:t xml:space="preserve"> </w:t>
            </w:r>
            <w:r w:rsidR="00CF7007">
              <w:rPr>
                <w:rFonts w:ascii="Arial" w:hAnsi="Arial"/>
                <w:b/>
                <w:sz w:val="24"/>
                <w:szCs w:val="24"/>
              </w:rPr>
              <w:t>Paid</w:t>
            </w:r>
            <w:r w:rsidR="006D789A">
              <w:rPr>
                <w:rFonts w:ascii="Arial" w:hAnsi="Arial"/>
                <w:b/>
                <w:sz w:val="24"/>
                <w:szCs w:val="24"/>
              </w:rPr>
              <w:t xml:space="preserve"> </w:t>
            </w:r>
            <w:r w:rsidR="003F097A">
              <w:rPr>
                <w:rFonts w:ascii="Arial" w:hAnsi="Arial"/>
                <w:b/>
                <w:sz w:val="24"/>
                <w:szCs w:val="24"/>
              </w:rPr>
              <w:t>2020/21</w:t>
            </w:r>
          </w:p>
        </w:tc>
        <w:tc>
          <w:tcPr>
            <w:tcW w:w="5141" w:type="dxa"/>
            <w:tcBorders>
              <w:top w:val="nil"/>
              <w:bottom w:val="nil"/>
            </w:tcBorders>
          </w:tcPr>
          <w:p w14:paraId="7A62F528" w14:textId="77777777" w:rsidR="0067645B" w:rsidRPr="00970E60" w:rsidRDefault="0067645B" w:rsidP="00EB7C26">
            <w:pPr>
              <w:pStyle w:val="Header"/>
              <w:tabs>
                <w:tab w:val="clear" w:pos="4153"/>
                <w:tab w:val="clear" w:pos="8306"/>
                <w:tab w:val="right" w:pos="3732"/>
                <w:tab w:val="right" w:pos="4769"/>
                <w:tab w:val="right" w:pos="6220"/>
                <w:tab w:val="right" w:pos="7257"/>
              </w:tabs>
              <w:rPr>
                <w:rFonts w:ascii="Arial" w:hAnsi="Arial"/>
                <w:b/>
                <w:sz w:val="24"/>
                <w:szCs w:val="24"/>
              </w:rPr>
            </w:pPr>
          </w:p>
        </w:tc>
        <w:tc>
          <w:tcPr>
            <w:tcW w:w="1774" w:type="dxa"/>
            <w:tcBorders>
              <w:top w:val="nil"/>
              <w:bottom w:val="nil"/>
            </w:tcBorders>
          </w:tcPr>
          <w:p w14:paraId="4163F23F" w14:textId="77777777" w:rsidR="0067645B" w:rsidRPr="00970E60" w:rsidRDefault="0067645B"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970E60">
              <w:rPr>
                <w:rFonts w:ascii="Arial" w:hAnsi="Arial"/>
                <w:b/>
                <w:sz w:val="24"/>
                <w:szCs w:val="24"/>
              </w:rPr>
              <w:t xml:space="preserve">Total </w:t>
            </w:r>
            <w:r w:rsidR="00CF7007">
              <w:rPr>
                <w:rFonts w:ascii="Arial" w:hAnsi="Arial"/>
                <w:b/>
                <w:sz w:val="24"/>
                <w:szCs w:val="24"/>
              </w:rPr>
              <w:t>Benefits Paid</w:t>
            </w:r>
          </w:p>
          <w:p w14:paraId="32513853" w14:textId="77777777" w:rsidR="0067645B" w:rsidRPr="00970E60" w:rsidRDefault="003F097A"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hAnsi="Arial"/>
                <w:b/>
                <w:sz w:val="24"/>
                <w:szCs w:val="24"/>
              </w:rPr>
              <w:t>2021/22</w:t>
            </w:r>
          </w:p>
        </w:tc>
      </w:tr>
      <w:tr w:rsidR="0067645B" w:rsidRPr="002A758A" w14:paraId="27243279" w14:textId="77777777" w:rsidTr="006D789A">
        <w:trPr>
          <w:jc w:val="center"/>
        </w:trPr>
        <w:tc>
          <w:tcPr>
            <w:tcW w:w="1797" w:type="dxa"/>
            <w:tcBorders>
              <w:top w:val="nil"/>
            </w:tcBorders>
          </w:tcPr>
          <w:p w14:paraId="717E1FA9" w14:textId="77777777" w:rsidR="0067645B" w:rsidRPr="00117F66" w:rsidRDefault="0067645B"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117F66">
              <w:rPr>
                <w:rFonts w:ascii="Arial" w:hAnsi="Arial"/>
                <w:b/>
                <w:sz w:val="24"/>
                <w:szCs w:val="24"/>
              </w:rPr>
              <w:t>£’000</w:t>
            </w:r>
          </w:p>
        </w:tc>
        <w:tc>
          <w:tcPr>
            <w:tcW w:w="5141" w:type="dxa"/>
            <w:tcBorders>
              <w:top w:val="nil"/>
            </w:tcBorders>
          </w:tcPr>
          <w:p w14:paraId="0E919D0B" w14:textId="77777777" w:rsidR="0067645B" w:rsidRPr="00117F66" w:rsidRDefault="0067645B" w:rsidP="00EB7C26">
            <w:pPr>
              <w:pStyle w:val="Header"/>
              <w:tabs>
                <w:tab w:val="clear" w:pos="4153"/>
                <w:tab w:val="clear" w:pos="8306"/>
                <w:tab w:val="right" w:pos="3732"/>
                <w:tab w:val="right" w:pos="4769"/>
                <w:tab w:val="right" w:pos="6220"/>
                <w:tab w:val="right" w:pos="7257"/>
              </w:tabs>
              <w:rPr>
                <w:rFonts w:ascii="Arial" w:hAnsi="Arial"/>
                <w:b/>
                <w:sz w:val="24"/>
                <w:szCs w:val="24"/>
                <w:u w:val="single"/>
              </w:rPr>
            </w:pPr>
          </w:p>
        </w:tc>
        <w:tc>
          <w:tcPr>
            <w:tcW w:w="1774" w:type="dxa"/>
            <w:tcBorders>
              <w:top w:val="nil"/>
            </w:tcBorders>
          </w:tcPr>
          <w:p w14:paraId="03427236" w14:textId="77777777" w:rsidR="0067645B" w:rsidRPr="00117F66" w:rsidRDefault="0067645B"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117F66">
              <w:rPr>
                <w:rFonts w:ascii="Arial" w:hAnsi="Arial"/>
                <w:b/>
                <w:sz w:val="24"/>
                <w:szCs w:val="24"/>
              </w:rPr>
              <w:t>£’000</w:t>
            </w:r>
          </w:p>
        </w:tc>
      </w:tr>
      <w:tr w:rsidR="0067645B" w:rsidRPr="002A758A" w14:paraId="6BB3D9CF" w14:textId="77777777" w:rsidTr="006D789A">
        <w:trPr>
          <w:jc w:val="center"/>
        </w:trPr>
        <w:tc>
          <w:tcPr>
            <w:tcW w:w="1797" w:type="dxa"/>
            <w:tcBorders>
              <w:bottom w:val="single" w:sz="2" w:space="0" w:color="auto"/>
            </w:tcBorders>
          </w:tcPr>
          <w:p w14:paraId="32B10FEC" w14:textId="77777777" w:rsidR="0067645B" w:rsidRPr="00117F66" w:rsidRDefault="0067645B"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p>
        </w:tc>
        <w:tc>
          <w:tcPr>
            <w:tcW w:w="5141" w:type="dxa"/>
          </w:tcPr>
          <w:p w14:paraId="4DBC918C" w14:textId="77777777" w:rsidR="0067645B" w:rsidRPr="00117F66" w:rsidRDefault="0067645B" w:rsidP="00EB7C26">
            <w:pPr>
              <w:pStyle w:val="Header"/>
              <w:tabs>
                <w:tab w:val="clear" w:pos="4153"/>
                <w:tab w:val="clear" w:pos="8306"/>
                <w:tab w:val="right" w:pos="3732"/>
                <w:tab w:val="right" w:pos="4769"/>
                <w:tab w:val="right" w:pos="6220"/>
                <w:tab w:val="right" w:pos="7257"/>
              </w:tabs>
              <w:rPr>
                <w:rFonts w:ascii="Arial" w:hAnsi="Arial"/>
                <w:b/>
                <w:sz w:val="24"/>
                <w:szCs w:val="24"/>
                <w:u w:val="single"/>
              </w:rPr>
            </w:pPr>
            <w:r>
              <w:rPr>
                <w:rFonts w:ascii="Arial" w:hAnsi="Arial"/>
                <w:b/>
                <w:sz w:val="24"/>
                <w:szCs w:val="24"/>
                <w:u w:val="single"/>
              </w:rPr>
              <w:t>Administering Authority</w:t>
            </w:r>
          </w:p>
        </w:tc>
        <w:tc>
          <w:tcPr>
            <w:tcW w:w="1774" w:type="dxa"/>
            <w:tcBorders>
              <w:bottom w:val="single" w:sz="2" w:space="0" w:color="auto"/>
            </w:tcBorders>
          </w:tcPr>
          <w:p w14:paraId="56288645" w14:textId="77777777" w:rsidR="0067645B" w:rsidRPr="00117F66" w:rsidRDefault="0067645B"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p>
        </w:tc>
      </w:tr>
      <w:tr w:rsidR="0067645B" w:rsidRPr="002A758A" w14:paraId="17B320AB" w14:textId="77777777" w:rsidTr="006D789A">
        <w:trPr>
          <w:jc w:val="center"/>
        </w:trPr>
        <w:tc>
          <w:tcPr>
            <w:tcW w:w="1797" w:type="dxa"/>
            <w:tcBorders>
              <w:top w:val="single" w:sz="2" w:space="0" w:color="auto"/>
              <w:bottom w:val="double" w:sz="4" w:space="0" w:color="auto"/>
            </w:tcBorders>
          </w:tcPr>
          <w:p w14:paraId="6DB7C4BF" w14:textId="77777777" w:rsidR="0067645B" w:rsidRPr="00CE72F7" w:rsidRDefault="003F097A" w:rsidP="00EB7C26">
            <w:pPr>
              <w:pStyle w:val="Header"/>
              <w:tabs>
                <w:tab w:val="clear" w:pos="4153"/>
                <w:tab w:val="clear" w:pos="8306"/>
                <w:tab w:val="right" w:pos="3732"/>
                <w:tab w:val="right" w:pos="4769"/>
                <w:tab w:val="right" w:pos="6220"/>
                <w:tab w:val="right" w:pos="7257"/>
              </w:tabs>
              <w:jc w:val="right"/>
              <w:rPr>
                <w:rFonts w:ascii="Arial" w:hAnsi="Arial"/>
                <w:b/>
                <w:sz w:val="24"/>
                <w:szCs w:val="24"/>
              </w:rPr>
            </w:pPr>
            <w:r w:rsidRPr="003F097A">
              <w:rPr>
                <w:rFonts w:ascii="Arial" w:hAnsi="Arial"/>
                <w:b/>
                <w:sz w:val="24"/>
                <w:szCs w:val="24"/>
              </w:rPr>
              <w:t>34,095</w:t>
            </w:r>
          </w:p>
        </w:tc>
        <w:tc>
          <w:tcPr>
            <w:tcW w:w="5141" w:type="dxa"/>
          </w:tcPr>
          <w:p w14:paraId="3E03B89E" w14:textId="77777777" w:rsidR="0067645B" w:rsidRPr="00C34067" w:rsidRDefault="0067645B" w:rsidP="00EB7C26">
            <w:pPr>
              <w:pStyle w:val="Header"/>
              <w:tabs>
                <w:tab w:val="clear" w:pos="4153"/>
                <w:tab w:val="clear" w:pos="8306"/>
                <w:tab w:val="right" w:pos="3732"/>
                <w:tab w:val="right" w:pos="4769"/>
                <w:tab w:val="right" w:pos="6220"/>
                <w:tab w:val="right" w:pos="7257"/>
              </w:tabs>
              <w:rPr>
                <w:rFonts w:ascii="Arial" w:hAnsi="Arial"/>
                <w:sz w:val="24"/>
                <w:szCs w:val="24"/>
              </w:rPr>
            </w:pPr>
            <w:r w:rsidRPr="00C34067">
              <w:rPr>
                <w:rFonts w:ascii="Arial" w:hAnsi="Arial"/>
                <w:sz w:val="24"/>
                <w:szCs w:val="24"/>
              </w:rPr>
              <w:t>City &amp; County of Swansea</w:t>
            </w:r>
          </w:p>
        </w:tc>
        <w:tc>
          <w:tcPr>
            <w:tcW w:w="1774" w:type="dxa"/>
            <w:tcBorders>
              <w:top w:val="single" w:sz="2" w:space="0" w:color="auto"/>
              <w:bottom w:val="double" w:sz="4" w:space="0" w:color="auto"/>
            </w:tcBorders>
          </w:tcPr>
          <w:p w14:paraId="2FCE4829" w14:textId="77777777" w:rsidR="0067645B" w:rsidRPr="00CE72F7" w:rsidRDefault="000700F0" w:rsidP="00EB7C26">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hAnsi="Arial"/>
                <w:b/>
                <w:sz w:val="24"/>
                <w:szCs w:val="24"/>
              </w:rPr>
              <w:t>35,253</w:t>
            </w:r>
          </w:p>
        </w:tc>
      </w:tr>
      <w:tr w:rsidR="0067645B" w:rsidRPr="002A758A" w14:paraId="4AC86D4B" w14:textId="77777777" w:rsidTr="006D789A">
        <w:trPr>
          <w:jc w:val="center"/>
        </w:trPr>
        <w:tc>
          <w:tcPr>
            <w:tcW w:w="1797" w:type="dxa"/>
            <w:tcBorders>
              <w:top w:val="double" w:sz="4" w:space="0" w:color="auto"/>
            </w:tcBorders>
          </w:tcPr>
          <w:p w14:paraId="4DF8F672" w14:textId="77777777" w:rsidR="0067645B" w:rsidRPr="00117F66" w:rsidRDefault="0067645B"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p>
        </w:tc>
        <w:tc>
          <w:tcPr>
            <w:tcW w:w="5141" w:type="dxa"/>
          </w:tcPr>
          <w:p w14:paraId="63134156" w14:textId="77777777" w:rsidR="0067645B" w:rsidRPr="00117F66" w:rsidRDefault="0067645B" w:rsidP="00EB7C26">
            <w:pPr>
              <w:pStyle w:val="Header"/>
              <w:tabs>
                <w:tab w:val="clear" w:pos="4153"/>
                <w:tab w:val="clear" w:pos="8306"/>
                <w:tab w:val="right" w:pos="3732"/>
                <w:tab w:val="right" w:pos="4769"/>
                <w:tab w:val="right" w:pos="6220"/>
                <w:tab w:val="right" w:pos="7257"/>
              </w:tabs>
              <w:rPr>
                <w:rFonts w:ascii="Arial" w:hAnsi="Arial"/>
                <w:b/>
                <w:sz w:val="24"/>
                <w:szCs w:val="24"/>
                <w:u w:val="single"/>
              </w:rPr>
            </w:pPr>
          </w:p>
        </w:tc>
        <w:tc>
          <w:tcPr>
            <w:tcW w:w="1774" w:type="dxa"/>
            <w:tcBorders>
              <w:top w:val="double" w:sz="4" w:space="0" w:color="auto"/>
            </w:tcBorders>
          </w:tcPr>
          <w:p w14:paraId="74BE7CD8" w14:textId="77777777" w:rsidR="0067645B" w:rsidRPr="00117F66" w:rsidRDefault="0067645B"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p>
        </w:tc>
      </w:tr>
      <w:tr w:rsidR="0067645B" w:rsidRPr="002A758A" w14:paraId="0AF4AB72" w14:textId="77777777" w:rsidTr="006D789A">
        <w:trPr>
          <w:jc w:val="center"/>
        </w:trPr>
        <w:tc>
          <w:tcPr>
            <w:tcW w:w="1797" w:type="dxa"/>
          </w:tcPr>
          <w:p w14:paraId="0615B5C9" w14:textId="77777777" w:rsidR="0067645B" w:rsidRPr="00117F66" w:rsidRDefault="0067645B" w:rsidP="00EB7C26">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5141" w:type="dxa"/>
          </w:tcPr>
          <w:p w14:paraId="09EB83D7" w14:textId="77777777" w:rsidR="0067645B" w:rsidRPr="00117F66" w:rsidRDefault="0067645B" w:rsidP="00EB7C26">
            <w:pPr>
              <w:pStyle w:val="Header"/>
              <w:tabs>
                <w:tab w:val="clear" w:pos="4153"/>
                <w:tab w:val="clear" w:pos="8306"/>
                <w:tab w:val="right" w:pos="3732"/>
                <w:tab w:val="right" w:pos="4769"/>
                <w:tab w:val="right" w:pos="6220"/>
                <w:tab w:val="right" w:pos="7257"/>
              </w:tabs>
              <w:rPr>
                <w:rFonts w:ascii="Arial" w:hAnsi="Arial"/>
                <w:b/>
                <w:sz w:val="24"/>
                <w:szCs w:val="24"/>
                <w:u w:val="single"/>
              </w:rPr>
            </w:pPr>
            <w:r w:rsidRPr="00117F66">
              <w:rPr>
                <w:rFonts w:ascii="Arial" w:hAnsi="Arial"/>
                <w:b/>
                <w:sz w:val="24"/>
                <w:szCs w:val="24"/>
                <w:u w:val="single"/>
              </w:rPr>
              <w:t>Admitted Bodies</w:t>
            </w:r>
          </w:p>
        </w:tc>
        <w:tc>
          <w:tcPr>
            <w:tcW w:w="1774" w:type="dxa"/>
          </w:tcPr>
          <w:p w14:paraId="2B2D7BD7" w14:textId="77777777" w:rsidR="0067645B" w:rsidRPr="00117F66" w:rsidRDefault="0067645B" w:rsidP="00EB7C26">
            <w:pPr>
              <w:pStyle w:val="Header"/>
              <w:tabs>
                <w:tab w:val="clear" w:pos="4153"/>
                <w:tab w:val="clear" w:pos="8306"/>
                <w:tab w:val="right" w:pos="3732"/>
                <w:tab w:val="right" w:pos="4769"/>
                <w:tab w:val="right" w:pos="6220"/>
                <w:tab w:val="right" w:pos="7257"/>
              </w:tabs>
              <w:jc w:val="right"/>
              <w:rPr>
                <w:rFonts w:ascii="Arial" w:hAnsi="Arial"/>
                <w:sz w:val="24"/>
                <w:szCs w:val="24"/>
              </w:rPr>
            </w:pPr>
          </w:p>
        </w:tc>
      </w:tr>
      <w:tr w:rsidR="006D789A" w:rsidRPr="002A758A" w14:paraId="64B5BF5D" w14:textId="77777777" w:rsidTr="006D789A">
        <w:trPr>
          <w:jc w:val="center"/>
        </w:trPr>
        <w:tc>
          <w:tcPr>
            <w:tcW w:w="1797" w:type="dxa"/>
          </w:tcPr>
          <w:p w14:paraId="6761DAB3" w14:textId="77777777" w:rsidR="006D789A" w:rsidRPr="00117F66" w:rsidRDefault="006D789A" w:rsidP="00EB7C26">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5141" w:type="dxa"/>
          </w:tcPr>
          <w:p w14:paraId="300FFE43" w14:textId="77777777" w:rsidR="006D789A" w:rsidRPr="00117F66" w:rsidRDefault="006D789A" w:rsidP="00EB7C26">
            <w:pPr>
              <w:pStyle w:val="Header"/>
              <w:tabs>
                <w:tab w:val="clear" w:pos="4153"/>
                <w:tab w:val="clear" w:pos="8306"/>
                <w:tab w:val="right" w:pos="3732"/>
                <w:tab w:val="right" w:pos="4769"/>
                <w:tab w:val="right" w:pos="6220"/>
                <w:tab w:val="right" w:pos="7257"/>
              </w:tabs>
              <w:rPr>
                <w:rFonts w:ascii="Arial" w:hAnsi="Arial"/>
                <w:b/>
                <w:sz w:val="24"/>
                <w:szCs w:val="24"/>
                <w:u w:val="single"/>
              </w:rPr>
            </w:pPr>
          </w:p>
        </w:tc>
        <w:tc>
          <w:tcPr>
            <w:tcW w:w="1774" w:type="dxa"/>
          </w:tcPr>
          <w:p w14:paraId="709A2621" w14:textId="77777777" w:rsidR="006D789A" w:rsidRPr="00117F66" w:rsidRDefault="006D789A" w:rsidP="00EB7C26">
            <w:pPr>
              <w:pStyle w:val="Header"/>
              <w:tabs>
                <w:tab w:val="clear" w:pos="4153"/>
                <w:tab w:val="clear" w:pos="8306"/>
                <w:tab w:val="right" w:pos="3732"/>
                <w:tab w:val="right" w:pos="4769"/>
                <w:tab w:val="right" w:pos="6220"/>
                <w:tab w:val="right" w:pos="7257"/>
              </w:tabs>
              <w:jc w:val="right"/>
              <w:rPr>
                <w:rFonts w:ascii="Arial" w:hAnsi="Arial"/>
                <w:sz w:val="24"/>
                <w:szCs w:val="24"/>
              </w:rPr>
            </w:pPr>
          </w:p>
        </w:tc>
      </w:tr>
      <w:tr w:rsidR="003F097A" w:rsidRPr="002A758A" w14:paraId="66C0ACA4" w14:textId="77777777" w:rsidTr="006D789A">
        <w:trPr>
          <w:trHeight w:val="252"/>
          <w:jc w:val="center"/>
        </w:trPr>
        <w:tc>
          <w:tcPr>
            <w:tcW w:w="1797" w:type="dxa"/>
          </w:tcPr>
          <w:p w14:paraId="2B7B4AE6" w14:textId="77777777" w:rsidR="003F097A" w:rsidRPr="00117F66"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212</w:t>
            </w:r>
          </w:p>
        </w:tc>
        <w:tc>
          <w:tcPr>
            <w:tcW w:w="5141" w:type="dxa"/>
          </w:tcPr>
          <w:p w14:paraId="33F5138D" w14:textId="77777777" w:rsidR="003F097A" w:rsidRPr="00117F66"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 xml:space="preserve">Celtic Community Leisure </w:t>
            </w:r>
          </w:p>
        </w:tc>
        <w:tc>
          <w:tcPr>
            <w:tcW w:w="1774" w:type="dxa"/>
          </w:tcPr>
          <w:p w14:paraId="5BFBD253" w14:textId="77777777" w:rsidR="003F097A" w:rsidRPr="00117F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230</w:t>
            </w:r>
          </w:p>
        </w:tc>
      </w:tr>
      <w:tr w:rsidR="003F097A" w:rsidRPr="002A758A" w14:paraId="528D1B77" w14:textId="77777777" w:rsidTr="006D789A">
        <w:trPr>
          <w:jc w:val="center"/>
        </w:trPr>
        <w:tc>
          <w:tcPr>
            <w:tcW w:w="1797" w:type="dxa"/>
          </w:tcPr>
          <w:p w14:paraId="08ABFE67" w14:textId="77777777" w:rsidR="003F097A" w:rsidRPr="00117F66"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5</w:t>
            </w:r>
          </w:p>
        </w:tc>
        <w:tc>
          <w:tcPr>
            <w:tcW w:w="5141" w:type="dxa"/>
          </w:tcPr>
          <w:p w14:paraId="494B5B55" w14:textId="77777777" w:rsidR="003F097A" w:rsidRPr="00117F66"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Swansea Bay Racial Equality Council</w:t>
            </w:r>
          </w:p>
        </w:tc>
        <w:tc>
          <w:tcPr>
            <w:tcW w:w="1774" w:type="dxa"/>
          </w:tcPr>
          <w:p w14:paraId="6AFBA245" w14:textId="77777777" w:rsidR="003F097A" w:rsidRPr="00117F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5</w:t>
            </w:r>
          </w:p>
        </w:tc>
      </w:tr>
      <w:tr w:rsidR="003F097A" w:rsidRPr="002A758A" w14:paraId="0EB77AA8" w14:textId="77777777" w:rsidTr="006D789A">
        <w:trPr>
          <w:jc w:val="center"/>
        </w:trPr>
        <w:tc>
          <w:tcPr>
            <w:tcW w:w="1797" w:type="dxa"/>
          </w:tcPr>
          <w:p w14:paraId="0A637B60" w14:textId="77777777" w:rsidR="003F097A" w:rsidRPr="00117F66"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13</w:t>
            </w:r>
          </w:p>
        </w:tc>
        <w:tc>
          <w:tcPr>
            <w:tcW w:w="5141" w:type="dxa"/>
          </w:tcPr>
          <w:p w14:paraId="2580CEDE" w14:textId="77777777" w:rsidR="003F097A" w:rsidRPr="00117F66"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Wales National Pool</w:t>
            </w:r>
          </w:p>
        </w:tc>
        <w:tc>
          <w:tcPr>
            <w:tcW w:w="1774" w:type="dxa"/>
          </w:tcPr>
          <w:p w14:paraId="598CEEF1" w14:textId="77777777" w:rsidR="003F097A" w:rsidRPr="00117F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15</w:t>
            </w:r>
          </w:p>
        </w:tc>
      </w:tr>
      <w:tr w:rsidR="003F097A" w:rsidRPr="002A758A" w14:paraId="45949226" w14:textId="77777777" w:rsidTr="006D789A">
        <w:trPr>
          <w:jc w:val="center"/>
        </w:trPr>
        <w:tc>
          <w:tcPr>
            <w:tcW w:w="1797" w:type="dxa"/>
          </w:tcPr>
          <w:p w14:paraId="2FE9301C" w14:textId="77777777" w:rsidR="003F097A"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1,046</w:t>
            </w:r>
          </w:p>
          <w:p w14:paraId="1FE77B0A" w14:textId="77777777" w:rsidR="003F097A" w:rsidRPr="00117F66"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969</w:t>
            </w:r>
          </w:p>
        </w:tc>
        <w:tc>
          <w:tcPr>
            <w:tcW w:w="5141" w:type="dxa"/>
          </w:tcPr>
          <w:p w14:paraId="0E67F272" w14:textId="77777777" w:rsidR="003F097A"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Tai Tarian</w:t>
            </w:r>
          </w:p>
          <w:p w14:paraId="44CCC1A7" w14:textId="77777777" w:rsidR="003F097A" w:rsidRPr="00117F66"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University of Wales Trinity St Davids</w:t>
            </w:r>
          </w:p>
        </w:tc>
        <w:tc>
          <w:tcPr>
            <w:tcW w:w="1774" w:type="dxa"/>
          </w:tcPr>
          <w:p w14:paraId="7E2DED05" w14:textId="77777777" w:rsidR="003F097A"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1,125</w:t>
            </w:r>
          </w:p>
          <w:p w14:paraId="42EAD25A" w14:textId="77777777" w:rsidR="00715C66" w:rsidRPr="00117F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1,008</w:t>
            </w:r>
          </w:p>
        </w:tc>
      </w:tr>
      <w:tr w:rsidR="003F097A" w:rsidRPr="002A758A" w14:paraId="3A2E97E4" w14:textId="77777777" w:rsidTr="006D789A">
        <w:trPr>
          <w:jc w:val="center"/>
        </w:trPr>
        <w:tc>
          <w:tcPr>
            <w:tcW w:w="1797" w:type="dxa"/>
            <w:tcBorders>
              <w:top w:val="nil"/>
              <w:bottom w:val="single" w:sz="4" w:space="0" w:color="auto"/>
            </w:tcBorders>
          </w:tcPr>
          <w:p w14:paraId="6FB79245"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403</w:t>
            </w:r>
          </w:p>
          <w:p w14:paraId="7073526E"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9</w:t>
            </w:r>
          </w:p>
          <w:p w14:paraId="132E3F6C"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16</w:t>
            </w:r>
          </w:p>
          <w:p w14:paraId="7043D6A4"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70</w:t>
            </w:r>
          </w:p>
          <w:p w14:paraId="758E4B8F"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4</w:t>
            </w:r>
          </w:p>
          <w:p w14:paraId="6EF5A20F"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11</w:t>
            </w:r>
          </w:p>
          <w:p w14:paraId="6057160E"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1</w:t>
            </w:r>
          </w:p>
          <w:p w14:paraId="07F5F3A0"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2</w:t>
            </w:r>
          </w:p>
          <w:p w14:paraId="0190011E"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1</w:t>
            </w:r>
          </w:p>
          <w:p w14:paraId="0C879406" w14:textId="77777777" w:rsidR="00E26883" w:rsidRDefault="003F097A" w:rsidP="00715C66">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4</w:t>
            </w:r>
          </w:p>
          <w:p w14:paraId="48465F88" w14:textId="77777777" w:rsidR="00E26883" w:rsidRPr="00D66A79" w:rsidRDefault="00E26883" w:rsidP="00715C66">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81</w:t>
            </w:r>
          </w:p>
        </w:tc>
        <w:tc>
          <w:tcPr>
            <w:tcW w:w="5141" w:type="dxa"/>
            <w:tcBorders>
              <w:top w:val="nil"/>
              <w:bottom w:val="nil"/>
            </w:tcBorders>
          </w:tcPr>
          <w:p w14:paraId="4ECBAFF9" w14:textId="77777777" w:rsidR="003F097A" w:rsidRPr="00D66A79"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D66A79">
              <w:rPr>
                <w:rFonts w:ascii="Arial" w:hAnsi="Arial"/>
                <w:sz w:val="24"/>
                <w:szCs w:val="24"/>
              </w:rPr>
              <w:t>Pobl Group</w:t>
            </w:r>
          </w:p>
          <w:p w14:paraId="772AB13B" w14:textId="77777777" w:rsidR="003F097A" w:rsidRPr="00D66A79"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D66A79">
              <w:rPr>
                <w:rFonts w:ascii="Arial" w:hAnsi="Arial"/>
                <w:sz w:val="24"/>
                <w:szCs w:val="24"/>
              </w:rPr>
              <w:t>RathboneTraining (Gower College)</w:t>
            </w:r>
          </w:p>
          <w:p w14:paraId="3BDE131A" w14:textId="77777777" w:rsidR="003F097A" w:rsidRPr="00D66A79"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D66A79">
              <w:rPr>
                <w:rFonts w:ascii="Arial" w:hAnsi="Arial"/>
                <w:sz w:val="24"/>
                <w:szCs w:val="24"/>
              </w:rPr>
              <w:t>Cap Gemini</w:t>
            </w:r>
          </w:p>
          <w:p w14:paraId="518FB139" w14:textId="77777777" w:rsidR="003F097A" w:rsidRPr="00D66A79"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D66A79">
              <w:rPr>
                <w:rFonts w:ascii="Arial" w:hAnsi="Arial"/>
                <w:sz w:val="24"/>
                <w:szCs w:val="24"/>
              </w:rPr>
              <w:t>BABTIE</w:t>
            </w:r>
          </w:p>
          <w:p w14:paraId="108EBD50" w14:textId="77777777" w:rsidR="003F097A" w:rsidRPr="00D66A79"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D66A79">
              <w:rPr>
                <w:rFonts w:ascii="Arial" w:hAnsi="Arial"/>
                <w:sz w:val="24"/>
                <w:szCs w:val="24"/>
              </w:rPr>
              <w:t>West Wales Art Association</w:t>
            </w:r>
          </w:p>
          <w:p w14:paraId="4F01653A" w14:textId="77777777" w:rsidR="003F097A" w:rsidRPr="00D66A79"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D66A79">
              <w:rPr>
                <w:rFonts w:ascii="Arial" w:hAnsi="Arial"/>
                <w:sz w:val="24"/>
                <w:szCs w:val="24"/>
              </w:rPr>
              <w:t>Colin Laver Heating</w:t>
            </w:r>
          </w:p>
          <w:p w14:paraId="039540A2" w14:textId="77777777" w:rsidR="003F097A" w:rsidRPr="00D66A79"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D66A79">
              <w:rPr>
                <w:rFonts w:ascii="Arial" w:hAnsi="Arial"/>
                <w:sz w:val="24"/>
                <w:szCs w:val="24"/>
              </w:rPr>
              <w:t>Phoenix Trust</w:t>
            </w:r>
          </w:p>
          <w:p w14:paraId="0FDD432C" w14:textId="77777777" w:rsidR="003F097A" w:rsidRPr="00D66A79"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D66A79">
              <w:rPr>
                <w:rFonts w:ascii="Arial" w:hAnsi="Arial"/>
                <w:sz w:val="24"/>
                <w:szCs w:val="24"/>
              </w:rPr>
              <w:t>Wealdon Leisure</w:t>
            </w:r>
          </w:p>
          <w:p w14:paraId="3666AAEE" w14:textId="77777777" w:rsidR="003F097A" w:rsidRPr="00D66A79" w:rsidRDefault="003F097A"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D66A79">
              <w:rPr>
                <w:rFonts w:ascii="Arial" w:hAnsi="Arial"/>
                <w:sz w:val="24"/>
                <w:szCs w:val="24"/>
              </w:rPr>
              <w:t>Parkwood Holdings</w:t>
            </w:r>
          </w:p>
          <w:p w14:paraId="1BB82BEE" w14:textId="77777777" w:rsidR="003F097A" w:rsidRDefault="003F097A" w:rsidP="00715C66">
            <w:pPr>
              <w:pStyle w:val="Header"/>
              <w:tabs>
                <w:tab w:val="clear" w:pos="4153"/>
                <w:tab w:val="clear" w:pos="8306"/>
                <w:tab w:val="right" w:pos="3732"/>
                <w:tab w:val="right" w:pos="4769"/>
                <w:tab w:val="right" w:pos="6220"/>
                <w:tab w:val="right" w:pos="7257"/>
              </w:tabs>
              <w:rPr>
                <w:rFonts w:ascii="Arial" w:hAnsi="Arial"/>
                <w:sz w:val="24"/>
                <w:szCs w:val="24"/>
              </w:rPr>
            </w:pPr>
            <w:r w:rsidRPr="00D66A79">
              <w:rPr>
                <w:rFonts w:ascii="Arial" w:hAnsi="Arial"/>
                <w:sz w:val="24"/>
                <w:szCs w:val="24"/>
              </w:rPr>
              <w:t>The Wallich</w:t>
            </w:r>
          </w:p>
          <w:p w14:paraId="0379F72C" w14:textId="77777777" w:rsidR="00E26883" w:rsidRPr="00D66A79" w:rsidRDefault="00E26883" w:rsidP="00715C66">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The Careers Service</w:t>
            </w:r>
          </w:p>
        </w:tc>
        <w:tc>
          <w:tcPr>
            <w:tcW w:w="1774" w:type="dxa"/>
            <w:tcBorders>
              <w:top w:val="nil"/>
              <w:bottom w:val="single" w:sz="4" w:space="0" w:color="auto"/>
            </w:tcBorders>
          </w:tcPr>
          <w:p w14:paraId="790BFED0" w14:textId="77777777" w:rsidR="003F097A"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430</w:t>
            </w:r>
          </w:p>
          <w:p w14:paraId="5C3B7BBB"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9</w:t>
            </w:r>
          </w:p>
          <w:p w14:paraId="71068CAC"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18</w:t>
            </w:r>
          </w:p>
          <w:p w14:paraId="234F973A"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70</w:t>
            </w:r>
          </w:p>
          <w:p w14:paraId="3F693F8C"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4</w:t>
            </w:r>
          </w:p>
          <w:p w14:paraId="43B7AF88"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12</w:t>
            </w:r>
          </w:p>
          <w:p w14:paraId="78D5CDCB"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3</w:t>
            </w:r>
          </w:p>
          <w:p w14:paraId="3D44D956"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w:t>
            </w:r>
          </w:p>
          <w:p w14:paraId="155283FF"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w:t>
            </w:r>
          </w:p>
          <w:p w14:paraId="199E999E"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11</w:t>
            </w:r>
          </w:p>
          <w:p w14:paraId="7477FCEA" w14:textId="77777777" w:rsidR="00A74063" w:rsidRPr="00D66A79" w:rsidRDefault="00A74063"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62</w:t>
            </w:r>
          </w:p>
        </w:tc>
      </w:tr>
      <w:tr w:rsidR="003F097A" w:rsidRPr="00854891" w14:paraId="5CC7A695" w14:textId="77777777" w:rsidTr="006D789A">
        <w:trPr>
          <w:jc w:val="center"/>
        </w:trPr>
        <w:tc>
          <w:tcPr>
            <w:tcW w:w="1797" w:type="dxa"/>
            <w:tcBorders>
              <w:top w:val="single" w:sz="4" w:space="0" w:color="auto"/>
              <w:bottom w:val="double" w:sz="4" w:space="0" w:color="auto"/>
            </w:tcBorders>
          </w:tcPr>
          <w:p w14:paraId="2885DB79"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r w:rsidRPr="00D66A79">
              <w:rPr>
                <w:rFonts w:ascii="Arial" w:hAnsi="Arial"/>
                <w:b/>
                <w:sz w:val="24"/>
                <w:szCs w:val="24"/>
              </w:rPr>
              <w:t>2,</w:t>
            </w:r>
            <w:r w:rsidR="00A74063">
              <w:rPr>
                <w:rFonts w:ascii="Arial" w:hAnsi="Arial"/>
                <w:b/>
                <w:sz w:val="24"/>
                <w:szCs w:val="24"/>
              </w:rPr>
              <w:t>847</w:t>
            </w:r>
          </w:p>
        </w:tc>
        <w:tc>
          <w:tcPr>
            <w:tcW w:w="5141" w:type="dxa"/>
            <w:tcBorders>
              <w:top w:val="nil"/>
            </w:tcBorders>
          </w:tcPr>
          <w:p w14:paraId="32417C09" w14:textId="77777777" w:rsidR="003F097A" w:rsidRPr="00D66A79" w:rsidRDefault="003F097A" w:rsidP="003F097A">
            <w:pPr>
              <w:pStyle w:val="Header"/>
              <w:tabs>
                <w:tab w:val="clear" w:pos="4153"/>
                <w:tab w:val="clear" w:pos="8306"/>
                <w:tab w:val="right" w:pos="3732"/>
                <w:tab w:val="right" w:pos="4769"/>
                <w:tab w:val="right" w:pos="6220"/>
                <w:tab w:val="right" w:pos="7257"/>
              </w:tabs>
              <w:rPr>
                <w:rFonts w:ascii="Arial" w:hAnsi="Arial"/>
                <w:b/>
                <w:sz w:val="24"/>
                <w:szCs w:val="24"/>
              </w:rPr>
            </w:pPr>
            <w:r w:rsidRPr="00D66A79">
              <w:rPr>
                <w:rFonts w:ascii="Arial" w:hAnsi="Arial"/>
                <w:b/>
                <w:sz w:val="24"/>
                <w:szCs w:val="24"/>
              </w:rPr>
              <w:t>Total Admitted Bodies</w:t>
            </w:r>
          </w:p>
        </w:tc>
        <w:tc>
          <w:tcPr>
            <w:tcW w:w="1774" w:type="dxa"/>
            <w:tcBorders>
              <w:top w:val="single" w:sz="4" w:space="0" w:color="auto"/>
              <w:bottom w:val="double" w:sz="4" w:space="0" w:color="auto"/>
            </w:tcBorders>
          </w:tcPr>
          <w:p w14:paraId="15403F43" w14:textId="77777777" w:rsidR="003F097A" w:rsidRPr="00D66A79" w:rsidRDefault="00A74063"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hAnsi="Arial"/>
                <w:b/>
                <w:sz w:val="24"/>
                <w:szCs w:val="24"/>
              </w:rPr>
              <w:t>3,005</w:t>
            </w:r>
          </w:p>
        </w:tc>
      </w:tr>
      <w:tr w:rsidR="003F097A" w:rsidRPr="00854891" w14:paraId="4A09377B" w14:textId="77777777" w:rsidTr="006D789A">
        <w:trPr>
          <w:jc w:val="center"/>
        </w:trPr>
        <w:tc>
          <w:tcPr>
            <w:tcW w:w="1797" w:type="dxa"/>
            <w:tcBorders>
              <w:top w:val="double" w:sz="4" w:space="0" w:color="auto"/>
              <w:bottom w:val="nil"/>
            </w:tcBorders>
          </w:tcPr>
          <w:p w14:paraId="724E99A3"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p>
        </w:tc>
        <w:tc>
          <w:tcPr>
            <w:tcW w:w="5141" w:type="dxa"/>
          </w:tcPr>
          <w:p w14:paraId="4C68F78D" w14:textId="77777777" w:rsidR="003F097A" w:rsidRPr="00D66A79" w:rsidRDefault="003F097A" w:rsidP="003F097A">
            <w:pPr>
              <w:pStyle w:val="Header"/>
              <w:tabs>
                <w:tab w:val="clear" w:pos="4153"/>
                <w:tab w:val="clear" w:pos="8306"/>
                <w:tab w:val="right" w:pos="3732"/>
                <w:tab w:val="right" w:pos="4769"/>
                <w:tab w:val="right" w:pos="6220"/>
                <w:tab w:val="right" w:pos="7257"/>
              </w:tabs>
              <w:rPr>
                <w:rFonts w:ascii="Arial" w:hAnsi="Arial"/>
                <w:b/>
                <w:sz w:val="24"/>
                <w:szCs w:val="24"/>
              </w:rPr>
            </w:pPr>
          </w:p>
        </w:tc>
        <w:tc>
          <w:tcPr>
            <w:tcW w:w="1774" w:type="dxa"/>
            <w:tcBorders>
              <w:top w:val="double" w:sz="4" w:space="0" w:color="auto"/>
              <w:bottom w:val="nil"/>
            </w:tcBorders>
          </w:tcPr>
          <w:p w14:paraId="71EDC771"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p>
        </w:tc>
      </w:tr>
      <w:tr w:rsidR="003F097A" w:rsidRPr="002A758A" w14:paraId="5A468484" w14:textId="77777777" w:rsidTr="006D789A">
        <w:trPr>
          <w:trHeight w:val="413"/>
          <w:jc w:val="center"/>
        </w:trPr>
        <w:tc>
          <w:tcPr>
            <w:tcW w:w="1797" w:type="dxa"/>
            <w:tcBorders>
              <w:top w:val="nil"/>
            </w:tcBorders>
          </w:tcPr>
          <w:p w14:paraId="5EA24638"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5141" w:type="dxa"/>
          </w:tcPr>
          <w:p w14:paraId="126CB8B3" w14:textId="77777777" w:rsidR="003F097A" w:rsidRPr="00D66A79" w:rsidRDefault="003F097A" w:rsidP="003F097A">
            <w:pPr>
              <w:pStyle w:val="Header"/>
              <w:tabs>
                <w:tab w:val="clear" w:pos="4153"/>
                <w:tab w:val="clear" w:pos="8306"/>
                <w:tab w:val="right" w:pos="3732"/>
                <w:tab w:val="right" w:pos="4769"/>
                <w:tab w:val="right" w:pos="6220"/>
                <w:tab w:val="right" w:pos="7257"/>
              </w:tabs>
              <w:rPr>
                <w:rFonts w:ascii="Arial" w:hAnsi="Arial"/>
                <w:b/>
                <w:sz w:val="24"/>
                <w:szCs w:val="24"/>
                <w:u w:val="single"/>
              </w:rPr>
            </w:pPr>
            <w:r w:rsidRPr="00D66A79">
              <w:rPr>
                <w:rFonts w:ascii="Arial" w:hAnsi="Arial"/>
                <w:b/>
                <w:sz w:val="24"/>
                <w:szCs w:val="24"/>
                <w:u w:val="single"/>
              </w:rPr>
              <w:t>Scheduled Bodies</w:t>
            </w:r>
          </w:p>
        </w:tc>
        <w:tc>
          <w:tcPr>
            <w:tcW w:w="1774" w:type="dxa"/>
            <w:tcBorders>
              <w:top w:val="nil"/>
            </w:tcBorders>
          </w:tcPr>
          <w:p w14:paraId="6FF66325"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p>
        </w:tc>
      </w:tr>
      <w:tr w:rsidR="00715C66" w:rsidRPr="002A758A" w14:paraId="347A583D" w14:textId="77777777" w:rsidTr="006D789A">
        <w:trPr>
          <w:jc w:val="center"/>
        </w:trPr>
        <w:tc>
          <w:tcPr>
            <w:tcW w:w="1797" w:type="dxa"/>
          </w:tcPr>
          <w:p w14:paraId="5E56A261" w14:textId="77777777" w:rsidR="00715C66" w:rsidRPr="00D66A79"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13</w:t>
            </w:r>
          </w:p>
          <w:p w14:paraId="3CA048B1" w14:textId="77777777" w:rsidR="00715C66" w:rsidRPr="00D66A79"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18</w:t>
            </w:r>
          </w:p>
          <w:p w14:paraId="6C1185E4" w14:textId="77777777" w:rsidR="00715C66" w:rsidRPr="00D66A79"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sz w:val="24"/>
                <w:szCs w:val="24"/>
              </w:rPr>
              <w:t>25</w:t>
            </w:r>
          </w:p>
        </w:tc>
        <w:tc>
          <w:tcPr>
            <w:tcW w:w="5141" w:type="dxa"/>
          </w:tcPr>
          <w:p w14:paraId="774A62A0" w14:textId="77777777" w:rsidR="00715C66" w:rsidRPr="00D66A79"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D66A79">
              <w:rPr>
                <w:rFonts w:ascii="Arial" w:hAnsi="Arial"/>
                <w:sz w:val="24"/>
                <w:szCs w:val="24"/>
              </w:rPr>
              <w:t>Coedffranc Community Council</w:t>
            </w:r>
          </w:p>
          <w:p w14:paraId="7BB69C6B" w14:textId="77777777" w:rsidR="00715C66" w:rsidRPr="00D66A79"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D66A79">
              <w:rPr>
                <w:rFonts w:ascii="Arial" w:hAnsi="Arial"/>
                <w:sz w:val="24"/>
                <w:szCs w:val="24"/>
              </w:rPr>
              <w:t>Cilybebyll Community Council</w:t>
            </w:r>
          </w:p>
          <w:p w14:paraId="279B9E4C" w14:textId="77777777" w:rsidR="00715C66" w:rsidRPr="00D66A79"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D66A79">
              <w:rPr>
                <w:rFonts w:ascii="Arial" w:hAnsi="Arial"/>
                <w:sz w:val="24"/>
                <w:szCs w:val="24"/>
              </w:rPr>
              <w:t>Bishop Vaughan School</w:t>
            </w:r>
          </w:p>
        </w:tc>
        <w:tc>
          <w:tcPr>
            <w:tcW w:w="1774" w:type="dxa"/>
          </w:tcPr>
          <w:p w14:paraId="181492F8"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13</w:t>
            </w:r>
          </w:p>
          <w:p w14:paraId="6856E0E6"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22</w:t>
            </w:r>
          </w:p>
          <w:p w14:paraId="67FEC938" w14:textId="77777777" w:rsidR="00715C66" w:rsidRPr="00D66A79"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26</w:t>
            </w:r>
          </w:p>
        </w:tc>
      </w:tr>
      <w:tr w:rsidR="00715C66" w:rsidRPr="002A758A" w14:paraId="656800A7" w14:textId="77777777" w:rsidTr="006D789A">
        <w:trPr>
          <w:jc w:val="center"/>
        </w:trPr>
        <w:tc>
          <w:tcPr>
            <w:tcW w:w="1797" w:type="dxa"/>
          </w:tcPr>
          <w:p w14:paraId="5497EF68"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138</w:t>
            </w:r>
          </w:p>
          <w:p w14:paraId="63C83B0D" w14:textId="77777777" w:rsidR="00715C66" w:rsidRPr="00D66A79"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96</w:t>
            </w:r>
          </w:p>
        </w:tc>
        <w:tc>
          <w:tcPr>
            <w:tcW w:w="5141" w:type="dxa"/>
          </w:tcPr>
          <w:p w14:paraId="138E4C80" w14:textId="77777777" w:rsidR="00715C66"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Swansea Bay Port Health Authority</w:t>
            </w:r>
          </w:p>
          <w:p w14:paraId="551977C1" w14:textId="77777777" w:rsidR="00715C66" w:rsidRPr="00D66A79"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Swansea City Waste Disposal Company</w:t>
            </w:r>
          </w:p>
        </w:tc>
        <w:tc>
          <w:tcPr>
            <w:tcW w:w="1774" w:type="dxa"/>
          </w:tcPr>
          <w:p w14:paraId="4D141C3A" w14:textId="77777777" w:rsidR="00715C66"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106</w:t>
            </w:r>
          </w:p>
          <w:p w14:paraId="178BB33E" w14:textId="77777777" w:rsidR="002C436C" w:rsidRPr="00D66A79"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93</w:t>
            </w:r>
          </w:p>
        </w:tc>
      </w:tr>
      <w:tr w:rsidR="00715C66" w:rsidRPr="002A758A" w14:paraId="63D29872" w14:textId="77777777" w:rsidTr="006D789A">
        <w:trPr>
          <w:jc w:val="center"/>
        </w:trPr>
        <w:tc>
          <w:tcPr>
            <w:tcW w:w="1797" w:type="dxa"/>
          </w:tcPr>
          <w:p w14:paraId="61EDEA2C"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1,033</w:t>
            </w:r>
          </w:p>
        </w:tc>
        <w:tc>
          <w:tcPr>
            <w:tcW w:w="5141" w:type="dxa"/>
          </w:tcPr>
          <w:p w14:paraId="7F3D7C36" w14:textId="77777777" w:rsidR="00715C66" w:rsidRPr="00117F66"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Go</w:t>
            </w:r>
            <w:r>
              <w:rPr>
                <w:rFonts w:ascii="Arial" w:hAnsi="Arial"/>
                <w:sz w:val="24"/>
                <w:szCs w:val="24"/>
              </w:rPr>
              <w:t xml:space="preserve">wer College </w:t>
            </w:r>
          </w:p>
        </w:tc>
        <w:tc>
          <w:tcPr>
            <w:tcW w:w="1774" w:type="dxa"/>
          </w:tcPr>
          <w:p w14:paraId="74D328D6" w14:textId="77777777" w:rsidR="00715C66" w:rsidRDefault="00715C66" w:rsidP="00715C66">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1,146</w:t>
            </w:r>
          </w:p>
        </w:tc>
      </w:tr>
      <w:tr w:rsidR="00715C66" w:rsidRPr="002A758A" w14:paraId="2FADFD73" w14:textId="77777777" w:rsidTr="006D789A">
        <w:trPr>
          <w:jc w:val="center"/>
        </w:trPr>
        <w:tc>
          <w:tcPr>
            <w:tcW w:w="1797" w:type="dxa"/>
          </w:tcPr>
          <w:p w14:paraId="212F2D40"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1,024</w:t>
            </w:r>
          </w:p>
          <w:p w14:paraId="29E7AFF1"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14</w:t>
            </w:r>
          </w:p>
          <w:p w14:paraId="3855732A" w14:textId="77777777" w:rsidR="00715C66" w:rsidRPr="00117F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w:t>
            </w:r>
          </w:p>
        </w:tc>
        <w:tc>
          <w:tcPr>
            <w:tcW w:w="5141" w:type="dxa"/>
          </w:tcPr>
          <w:p w14:paraId="412FD817" w14:textId="77777777" w:rsidR="00715C66"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NPTC Group</w:t>
            </w:r>
          </w:p>
          <w:p w14:paraId="6381CF48" w14:textId="77777777" w:rsidR="00715C66"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West Glamorgan Valuation Service</w:t>
            </w:r>
          </w:p>
          <w:p w14:paraId="05F9F0B3" w14:textId="77777777" w:rsidR="00715C66" w:rsidRPr="00117F66"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West Glamorgan Fire Service</w:t>
            </w:r>
          </w:p>
        </w:tc>
        <w:tc>
          <w:tcPr>
            <w:tcW w:w="1774" w:type="dxa"/>
          </w:tcPr>
          <w:p w14:paraId="6093B9F3"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1,132</w:t>
            </w:r>
          </w:p>
          <w:p w14:paraId="1E517E97" w14:textId="77777777" w:rsidR="00715C66"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26</w:t>
            </w:r>
          </w:p>
          <w:p w14:paraId="37721C21" w14:textId="77777777" w:rsidR="002C436C" w:rsidRPr="00117F66"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w:t>
            </w:r>
          </w:p>
        </w:tc>
      </w:tr>
      <w:tr w:rsidR="00715C66" w:rsidRPr="002A758A" w14:paraId="41B10773" w14:textId="77777777" w:rsidTr="006D789A">
        <w:trPr>
          <w:jc w:val="center"/>
        </w:trPr>
        <w:tc>
          <w:tcPr>
            <w:tcW w:w="1797" w:type="dxa"/>
          </w:tcPr>
          <w:p w14:paraId="40E0E7FD" w14:textId="77777777" w:rsidR="00715C66" w:rsidRPr="00117F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44</w:t>
            </w:r>
          </w:p>
        </w:tc>
        <w:tc>
          <w:tcPr>
            <w:tcW w:w="5141" w:type="dxa"/>
          </w:tcPr>
          <w:p w14:paraId="0F30AC21" w14:textId="77777777" w:rsidR="00715C66" w:rsidRPr="00117F66"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Neath Town Council</w:t>
            </w:r>
          </w:p>
        </w:tc>
        <w:tc>
          <w:tcPr>
            <w:tcW w:w="1774" w:type="dxa"/>
          </w:tcPr>
          <w:p w14:paraId="594831F2" w14:textId="77777777" w:rsidR="00715C66" w:rsidRPr="00117F66"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50</w:t>
            </w:r>
          </w:p>
        </w:tc>
      </w:tr>
      <w:tr w:rsidR="00715C66" w:rsidRPr="002A758A" w14:paraId="2B79D3AB" w14:textId="77777777" w:rsidTr="006D789A">
        <w:trPr>
          <w:jc w:val="center"/>
        </w:trPr>
        <w:tc>
          <w:tcPr>
            <w:tcW w:w="1797" w:type="dxa"/>
          </w:tcPr>
          <w:p w14:paraId="3F77AE41" w14:textId="77777777" w:rsidR="00715C66" w:rsidRPr="00117F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22,024</w:t>
            </w:r>
          </w:p>
        </w:tc>
        <w:tc>
          <w:tcPr>
            <w:tcW w:w="5141" w:type="dxa"/>
          </w:tcPr>
          <w:p w14:paraId="6D64C788" w14:textId="77777777" w:rsidR="00715C66" w:rsidRPr="00117F66"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Neath Port Talbot County Borough Council</w:t>
            </w:r>
          </w:p>
        </w:tc>
        <w:tc>
          <w:tcPr>
            <w:tcW w:w="1774" w:type="dxa"/>
          </w:tcPr>
          <w:p w14:paraId="4E479707" w14:textId="77777777" w:rsidR="00715C66" w:rsidRPr="00117F66"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22,868</w:t>
            </w:r>
          </w:p>
        </w:tc>
      </w:tr>
      <w:tr w:rsidR="00715C66" w:rsidRPr="002A758A" w14:paraId="722ED0EB" w14:textId="77777777" w:rsidTr="006D789A">
        <w:trPr>
          <w:jc w:val="center"/>
        </w:trPr>
        <w:tc>
          <w:tcPr>
            <w:tcW w:w="1797" w:type="dxa"/>
            <w:tcBorders>
              <w:bottom w:val="nil"/>
            </w:tcBorders>
          </w:tcPr>
          <w:p w14:paraId="7BB9FEB7"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63</w:t>
            </w:r>
          </w:p>
          <w:p w14:paraId="296DAA25" w14:textId="77777777" w:rsidR="00715C66" w:rsidRPr="00117F66" w:rsidRDefault="00715C66" w:rsidP="00A74063">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10</w:t>
            </w:r>
          </w:p>
        </w:tc>
        <w:tc>
          <w:tcPr>
            <w:tcW w:w="5141" w:type="dxa"/>
            <w:tcBorders>
              <w:bottom w:val="nil"/>
            </w:tcBorders>
          </w:tcPr>
          <w:p w14:paraId="6F250410" w14:textId="77777777" w:rsidR="00715C66"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Margam Joint Crematorium Committee</w:t>
            </w:r>
          </w:p>
          <w:p w14:paraId="7A19C39C" w14:textId="77777777" w:rsidR="00715C66" w:rsidRPr="00117F66" w:rsidRDefault="00715C66" w:rsidP="00A74063">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Neath Port Talbot Waste Management</w:t>
            </w:r>
          </w:p>
        </w:tc>
        <w:tc>
          <w:tcPr>
            <w:tcW w:w="1774" w:type="dxa"/>
          </w:tcPr>
          <w:p w14:paraId="497223CB" w14:textId="77777777" w:rsidR="00715C66"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54</w:t>
            </w:r>
          </w:p>
          <w:p w14:paraId="3AD400C8" w14:textId="77777777" w:rsidR="002C436C" w:rsidRPr="00117F66" w:rsidRDefault="002C436C" w:rsidP="00A74063">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10</w:t>
            </w:r>
          </w:p>
        </w:tc>
      </w:tr>
      <w:tr w:rsidR="00715C66" w:rsidRPr="002A758A" w14:paraId="09B40087" w14:textId="77777777" w:rsidTr="006D789A">
        <w:trPr>
          <w:jc w:val="center"/>
        </w:trPr>
        <w:tc>
          <w:tcPr>
            <w:tcW w:w="1797" w:type="dxa"/>
            <w:tcBorders>
              <w:top w:val="nil"/>
              <w:bottom w:val="nil"/>
            </w:tcBorders>
          </w:tcPr>
          <w:p w14:paraId="0911C687" w14:textId="77777777" w:rsidR="00715C66" w:rsidRPr="00117F66"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4</w:t>
            </w:r>
          </w:p>
        </w:tc>
        <w:tc>
          <w:tcPr>
            <w:tcW w:w="5141" w:type="dxa"/>
            <w:tcBorders>
              <w:top w:val="nil"/>
              <w:bottom w:val="nil"/>
            </w:tcBorders>
          </w:tcPr>
          <w:p w14:paraId="09F9E5F7" w14:textId="77777777" w:rsidR="00715C66" w:rsidRPr="00117F66"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Pelenna Community Council</w:t>
            </w:r>
          </w:p>
        </w:tc>
        <w:tc>
          <w:tcPr>
            <w:tcW w:w="1774" w:type="dxa"/>
            <w:tcBorders>
              <w:bottom w:val="nil"/>
            </w:tcBorders>
          </w:tcPr>
          <w:p w14:paraId="52F7DBB1" w14:textId="77777777" w:rsidR="00715C66" w:rsidRPr="00117F66"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5</w:t>
            </w:r>
          </w:p>
        </w:tc>
      </w:tr>
      <w:tr w:rsidR="00715C66" w:rsidRPr="002A758A" w14:paraId="49B534B2" w14:textId="77777777" w:rsidTr="006D789A">
        <w:trPr>
          <w:jc w:val="center"/>
        </w:trPr>
        <w:tc>
          <w:tcPr>
            <w:tcW w:w="1797" w:type="dxa"/>
            <w:tcBorders>
              <w:top w:val="nil"/>
            </w:tcBorders>
          </w:tcPr>
          <w:p w14:paraId="5984EBBF" w14:textId="77777777" w:rsidR="00715C66" w:rsidRPr="00117F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8</w:t>
            </w:r>
          </w:p>
        </w:tc>
        <w:tc>
          <w:tcPr>
            <w:tcW w:w="5141" w:type="dxa"/>
            <w:tcBorders>
              <w:top w:val="nil"/>
            </w:tcBorders>
          </w:tcPr>
          <w:p w14:paraId="5B54DAC6" w14:textId="77777777" w:rsidR="00715C66" w:rsidRPr="00117F66"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117F66">
              <w:rPr>
                <w:rFonts w:ascii="Arial" w:hAnsi="Arial"/>
                <w:sz w:val="24"/>
                <w:szCs w:val="24"/>
              </w:rPr>
              <w:t>Pontardawe Town Council</w:t>
            </w:r>
          </w:p>
        </w:tc>
        <w:tc>
          <w:tcPr>
            <w:tcW w:w="1774" w:type="dxa"/>
            <w:tcBorders>
              <w:top w:val="nil"/>
              <w:bottom w:val="nil"/>
            </w:tcBorders>
          </w:tcPr>
          <w:p w14:paraId="6159B658" w14:textId="77777777" w:rsidR="00715C66" w:rsidRPr="00117F66"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9</w:t>
            </w:r>
          </w:p>
        </w:tc>
      </w:tr>
      <w:tr w:rsidR="00715C66" w:rsidRPr="002A758A" w14:paraId="6DAECB29" w14:textId="77777777" w:rsidTr="006D789A">
        <w:trPr>
          <w:jc w:val="center"/>
        </w:trPr>
        <w:tc>
          <w:tcPr>
            <w:tcW w:w="1797" w:type="dxa"/>
            <w:tcBorders>
              <w:bottom w:val="nil"/>
            </w:tcBorders>
          </w:tcPr>
          <w:p w14:paraId="47B36BA0" w14:textId="77777777" w:rsidR="00715C66" w:rsidRPr="00117F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1,121</w:t>
            </w:r>
          </w:p>
        </w:tc>
        <w:tc>
          <w:tcPr>
            <w:tcW w:w="5141" w:type="dxa"/>
            <w:tcBorders>
              <w:bottom w:val="nil"/>
            </w:tcBorders>
          </w:tcPr>
          <w:p w14:paraId="4934C698" w14:textId="77777777" w:rsidR="00715C66" w:rsidRPr="00117F66"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Lliw Valley Borough Council</w:t>
            </w:r>
          </w:p>
        </w:tc>
        <w:tc>
          <w:tcPr>
            <w:tcW w:w="1774" w:type="dxa"/>
            <w:tcBorders>
              <w:top w:val="nil"/>
              <w:bottom w:val="nil"/>
            </w:tcBorders>
          </w:tcPr>
          <w:p w14:paraId="08B39D86" w14:textId="77777777" w:rsidR="00715C66" w:rsidRPr="00117F66"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1,037</w:t>
            </w:r>
          </w:p>
        </w:tc>
      </w:tr>
      <w:tr w:rsidR="00715C66" w:rsidRPr="002A758A" w14:paraId="2187F580" w14:textId="77777777" w:rsidTr="006D789A">
        <w:trPr>
          <w:jc w:val="center"/>
        </w:trPr>
        <w:tc>
          <w:tcPr>
            <w:tcW w:w="1797" w:type="dxa"/>
            <w:tcBorders>
              <w:top w:val="nil"/>
              <w:bottom w:val="nil"/>
            </w:tcBorders>
          </w:tcPr>
          <w:p w14:paraId="65B4C78C" w14:textId="77777777" w:rsidR="00715C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331D72">
              <w:rPr>
                <w:rFonts w:ascii="Arial" w:hAnsi="Arial"/>
                <w:sz w:val="24"/>
                <w:szCs w:val="24"/>
              </w:rPr>
              <w:t>5</w:t>
            </w:r>
          </w:p>
          <w:p w14:paraId="6358362D" w14:textId="77777777" w:rsidR="00715C66" w:rsidRPr="00331D72"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331D72">
              <w:rPr>
                <w:rFonts w:ascii="Arial" w:hAnsi="Arial"/>
                <w:sz w:val="24"/>
                <w:szCs w:val="24"/>
              </w:rPr>
              <w:t>207</w:t>
            </w:r>
          </w:p>
          <w:p w14:paraId="4A2340E7" w14:textId="77777777" w:rsidR="00715C66" w:rsidRPr="00117F66" w:rsidRDefault="00715C66"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331D72">
              <w:rPr>
                <w:rFonts w:ascii="Arial" w:hAnsi="Arial"/>
                <w:sz w:val="24"/>
                <w:szCs w:val="24"/>
              </w:rPr>
              <w:t>7,404</w:t>
            </w:r>
          </w:p>
        </w:tc>
        <w:tc>
          <w:tcPr>
            <w:tcW w:w="5141" w:type="dxa"/>
            <w:tcBorders>
              <w:top w:val="nil"/>
              <w:bottom w:val="nil"/>
            </w:tcBorders>
          </w:tcPr>
          <w:p w14:paraId="457DAE9E" w14:textId="77777777" w:rsidR="00715C66" w:rsidRPr="00331D72"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331D72">
              <w:rPr>
                <w:rFonts w:ascii="Arial" w:hAnsi="Arial"/>
                <w:sz w:val="24"/>
                <w:szCs w:val="24"/>
              </w:rPr>
              <w:t>Briton Ferry Town Council</w:t>
            </w:r>
          </w:p>
          <w:p w14:paraId="01A0AEEE" w14:textId="77777777" w:rsidR="00715C66" w:rsidRPr="00331D72"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331D72">
              <w:rPr>
                <w:rFonts w:ascii="Arial" w:hAnsi="Arial"/>
                <w:sz w:val="24"/>
                <w:szCs w:val="24"/>
              </w:rPr>
              <w:t>West Glamorgan Magistrates Court</w:t>
            </w:r>
          </w:p>
          <w:p w14:paraId="0C639789" w14:textId="77777777" w:rsidR="00715C66" w:rsidRPr="00117F66" w:rsidRDefault="00715C66" w:rsidP="003F097A">
            <w:pPr>
              <w:pStyle w:val="Header"/>
              <w:tabs>
                <w:tab w:val="clear" w:pos="4153"/>
                <w:tab w:val="clear" w:pos="8306"/>
                <w:tab w:val="right" w:pos="3732"/>
                <w:tab w:val="right" w:pos="4769"/>
                <w:tab w:val="right" w:pos="6220"/>
                <w:tab w:val="right" w:pos="7257"/>
              </w:tabs>
              <w:rPr>
                <w:rFonts w:ascii="Arial" w:hAnsi="Arial"/>
                <w:sz w:val="24"/>
                <w:szCs w:val="24"/>
              </w:rPr>
            </w:pPr>
            <w:r w:rsidRPr="00331D72">
              <w:rPr>
                <w:rFonts w:ascii="Arial" w:hAnsi="Arial"/>
                <w:sz w:val="24"/>
                <w:szCs w:val="24"/>
              </w:rPr>
              <w:t>West Glamorgan County Council</w:t>
            </w:r>
          </w:p>
        </w:tc>
        <w:tc>
          <w:tcPr>
            <w:tcW w:w="1774" w:type="dxa"/>
            <w:tcBorders>
              <w:top w:val="nil"/>
              <w:bottom w:val="nil"/>
            </w:tcBorders>
          </w:tcPr>
          <w:p w14:paraId="63B929A7" w14:textId="77777777" w:rsidR="00715C66"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5</w:t>
            </w:r>
          </w:p>
          <w:p w14:paraId="517FCA90" w14:textId="77777777" w:rsidR="002C436C"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191</w:t>
            </w:r>
          </w:p>
          <w:p w14:paraId="2E8AE535" w14:textId="77777777" w:rsidR="002C436C" w:rsidRPr="00117F66"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6,959</w:t>
            </w:r>
          </w:p>
        </w:tc>
      </w:tr>
      <w:tr w:rsidR="002C436C" w:rsidRPr="002A758A" w14:paraId="3E7F9DB1" w14:textId="77777777" w:rsidTr="006D789A">
        <w:trPr>
          <w:jc w:val="center"/>
        </w:trPr>
        <w:tc>
          <w:tcPr>
            <w:tcW w:w="1797" w:type="dxa"/>
            <w:tcBorders>
              <w:top w:val="nil"/>
              <w:bottom w:val="single" w:sz="2" w:space="0" w:color="auto"/>
            </w:tcBorders>
          </w:tcPr>
          <w:p w14:paraId="77E201C5" w14:textId="77777777" w:rsidR="002C436C" w:rsidRPr="00331D72"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u w:val="single"/>
              </w:rPr>
            </w:pPr>
          </w:p>
        </w:tc>
        <w:tc>
          <w:tcPr>
            <w:tcW w:w="5141" w:type="dxa"/>
            <w:tcBorders>
              <w:top w:val="nil"/>
            </w:tcBorders>
          </w:tcPr>
          <w:p w14:paraId="346ACD57" w14:textId="77777777" w:rsidR="002C436C" w:rsidRPr="00331D72" w:rsidRDefault="002C436C" w:rsidP="003F097A">
            <w:pPr>
              <w:pStyle w:val="Header"/>
              <w:tabs>
                <w:tab w:val="clear" w:pos="4153"/>
                <w:tab w:val="clear" w:pos="8306"/>
                <w:tab w:val="right" w:pos="3732"/>
                <w:tab w:val="right" w:pos="4769"/>
                <w:tab w:val="right" w:pos="6220"/>
                <w:tab w:val="right" w:pos="7257"/>
              </w:tabs>
              <w:rPr>
                <w:rFonts w:ascii="Arial" w:hAnsi="Arial"/>
                <w:sz w:val="24"/>
                <w:szCs w:val="24"/>
                <w:u w:val="single"/>
              </w:rPr>
            </w:pPr>
          </w:p>
        </w:tc>
        <w:tc>
          <w:tcPr>
            <w:tcW w:w="1774" w:type="dxa"/>
            <w:tcBorders>
              <w:top w:val="nil"/>
              <w:bottom w:val="single" w:sz="2" w:space="0" w:color="auto"/>
            </w:tcBorders>
          </w:tcPr>
          <w:p w14:paraId="0054564E" w14:textId="77777777" w:rsidR="002C436C" w:rsidRPr="00331D72"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u w:val="single"/>
              </w:rPr>
            </w:pPr>
          </w:p>
        </w:tc>
      </w:tr>
      <w:tr w:rsidR="002C436C" w:rsidRPr="002A758A" w14:paraId="6AE33F38" w14:textId="77777777" w:rsidTr="006D789A">
        <w:trPr>
          <w:jc w:val="center"/>
        </w:trPr>
        <w:tc>
          <w:tcPr>
            <w:tcW w:w="1797" w:type="dxa"/>
            <w:tcBorders>
              <w:top w:val="single" w:sz="2" w:space="0" w:color="auto"/>
              <w:bottom w:val="double" w:sz="4" w:space="0" w:color="auto"/>
            </w:tcBorders>
          </w:tcPr>
          <w:p w14:paraId="40D16159" w14:textId="77777777" w:rsidR="002C436C" w:rsidRPr="00331D72"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sidRPr="00D66A79">
              <w:rPr>
                <w:rFonts w:ascii="Arial" w:hAnsi="Arial"/>
                <w:b/>
                <w:sz w:val="24"/>
                <w:szCs w:val="24"/>
              </w:rPr>
              <w:t>33,</w:t>
            </w:r>
            <w:r w:rsidR="00A74063">
              <w:rPr>
                <w:rFonts w:ascii="Arial" w:hAnsi="Arial"/>
                <w:b/>
                <w:sz w:val="24"/>
                <w:szCs w:val="24"/>
              </w:rPr>
              <w:t>253</w:t>
            </w:r>
          </w:p>
        </w:tc>
        <w:tc>
          <w:tcPr>
            <w:tcW w:w="5141" w:type="dxa"/>
          </w:tcPr>
          <w:p w14:paraId="3B907796" w14:textId="77777777" w:rsidR="002C436C" w:rsidRPr="00331D72" w:rsidRDefault="002C436C"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b/>
                <w:sz w:val="24"/>
                <w:szCs w:val="24"/>
              </w:rPr>
              <w:t>Total Scheduled Bodies</w:t>
            </w:r>
          </w:p>
        </w:tc>
        <w:tc>
          <w:tcPr>
            <w:tcW w:w="1774" w:type="dxa"/>
            <w:tcBorders>
              <w:top w:val="single" w:sz="2" w:space="0" w:color="auto"/>
              <w:bottom w:val="double" w:sz="4" w:space="0" w:color="auto"/>
            </w:tcBorders>
          </w:tcPr>
          <w:p w14:paraId="304890AE" w14:textId="77777777" w:rsidR="002C436C" w:rsidRPr="005757F2" w:rsidRDefault="005757F2" w:rsidP="003F097A">
            <w:pPr>
              <w:pStyle w:val="Header"/>
              <w:tabs>
                <w:tab w:val="clear" w:pos="4153"/>
                <w:tab w:val="clear" w:pos="8306"/>
                <w:tab w:val="right" w:pos="3732"/>
                <w:tab w:val="right" w:pos="4769"/>
                <w:tab w:val="right" w:pos="6220"/>
                <w:tab w:val="right" w:pos="7257"/>
              </w:tabs>
              <w:jc w:val="right"/>
              <w:rPr>
                <w:rFonts w:ascii="Arial" w:hAnsi="Arial"/>
                <w:b/>
                <w:bCs/>
                <w:sz w:val="24"/>
                <w:szCs w:val="24"/>
              </w:rPr>
            </w:pPr>
            <w:r w:rsidRPr="005757F2">
              <w:rPr>
                <w:rFonts w:ascii="Arial" w:hAnsi="Arial"/>
                <w:b/>
                <w:bCs/>
                <w:sz w:val="24"/>
                <w:szCs w:val="24"/>
              </w:rPr>
              <w:t>33,</w:t>
            </w:r>
            <w:r w:rsidR="00A74063">
              <w:rPr>
                <w:rFonts w:ascii="Arial" w:hAnsi="Arial"/>
                <w:b/>
                <w:bCs/>
                <w:sz w:val="24"/>
                <w:szCs w:val="24"/>
              </w:rPr>
              <w:t>754</w:t>
            </w:r>
          </w:p>
        </w:tc>
      </w:tr>
      <w:tr w:rsidR="002C436C" w:rsidRPr="00331D72" w14:paraId="600830E7" w14:textId="77777777" w:rsidTr="006D789A">
        <w:trPr>
          <w:jc w:val="center"/>
        </w:trPr>
        <w:tc>
          <w:tcPr>
            <w:tcW w:w="1797" w:type="dxa"/>
            <w:tcBorders>
              <w:top w:val="double" w:sz="4" w:space="0" w:color="auto"/>
              <w:bottom w:val="single" w:sz="4" w:space="0" w:color="auto"/>
            </w:tcBorders>
          </w:tcPr>
          <w:p w14:paraId="2AFD49A5" w14:textId="77777777" w:rsidR="002C436C" w:rsidRPr="00331D72" w:rsidRDefault="002C436C"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p>
        </w:tc>
        <w:tc>
          <w:tcPr>
            <w:tcW w:w="5141" w:type="dxa"/>
          </w:tcPr>
          <w:p w14:paraId="51FF13FC" w14:textId="77777777" w:rsidR="002C436C" w:rsidRPr="00117F66" w:rsidRDefault="002C436C" w:rsidP="003F097A">
            <w:pPr>
              <w:pStyle w:val="Header"/>
              <w:tabs>
                <w:tab w:val="clear" w:pos="4153"/>
                <w:tab w:val="clear" w:pos="8306"/>
                <w:tab w:val="right" w:pos="3732"/>
                <w:tab w:val="right" w:pos="4769"/>
                <w:tab w:val="right" w:pos="6220"/>
                <w:tab w:val="right" w:pos="7257"/>
              </w:tabs>
              <w:rPr>
                <w:rFonts w:ascii="Arial" w:hAnsi="Arial"/>
                <w:sz w:val="24"/>
                <w:szCs w:val="24"/>
              </w:rPr>
            </w:pPr>
          </w:p>
        </w:tc>
        <w:tc>
          <w:tcPr>
            <w:tcW w:w="1774" w:type="dxa"/>
            <w:tcBorders>
              <w:top w:val="double" w:sz="4" w:space="0" w:color="auto"/>
              <w:bottom w:val="single" w:sz="4" w:space="0" w:color="auto"/>
            </w:tcBorders>
          </w:tcPr>
          <w:p w14:paraId="41AE8A9B" w14:textId="77777777" w:rsidR="002C436C" w:rsidRPr="00331D72" w:rsidRDefault="002C436C"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p>
        </w:tc>
      </w:tr>
      <w:tr w:rsidR="002C436C" w:rsidRPr="002A758A" w14:paraId="6C96E9E4" w14:textId="77777777" w:rsidTr="006D789A">
        <w:trPr>
          <w:jc w:val="center"/>
        </w:trPr>
        <w:tc>
          <w:tcPr>
            <w:tcW w:w="1797" w:type="dxa"/>
            <w:tcBorders>
              <w:top w:val="single" w:sz="4" w:space="0" w:color="auto"/>
              <w:bottom w:val="double" w:sz="4" w:space="0" w:color="auto"/>
            </w:tcBorders>
          </w:tcPr>
          <w:p w14:paraId="3548EA88" w14:textId="77777777" w:rsidR="002C436C" w:rsidRPr="00117F66" w:rsidRDefault="002C436C"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hAnsi="Arial"/>
                <w:b/>
                <w:sz w:val="24"/>
                <w:szCs w:val="24"/>
              </w:rPr>
              <w:t>70,195</w:t>
            </w:r>
          </w:p>
        </w:tc>
        <w:tc>
          <w:tcPr>
            <w:tcW w:w="5141" w:type="dxa"/>
            <w:tcBorders>
              <w:bottom w:val="nil"/>
            </w:tcBorders>
          </w:tcPr>
          <w:p w14:paraId="495A2A5D" w14:textId="77777777" w:rsidR="002C436C" w:rsidRPr="00117F66" w:rsidRDefault="002C436C" w:rsidP="003F097A">
            <w:pPr>
              <w:pStyle w:val="Header"/>
              <w:tabs>
                <w:tab w:val="clear" w:pos="4153"/>
                <w:tab w:val="clear" w:pos="8306"/>
                <w:tab w:val="right" w:pos="3732"/>
                <w:tab w:val="right" w:pos="4769"/>
                <w:tab w:val="right" w:pos="6220"/>
                <w:tab w:val="right" w:pos="7257"/>
              </w:tabs>
              <w:rPr>
                <w:rFonts w:ascii="Arial" w:hAnsi="Arial"/>
                <w:b/>
                <w:sz w:val="24"/>
                <w:szCs w:val="24"/>
              </w:rPr>
            </w:pPr>
            <w:r>
              <w:rPr>
                <w:rFonts w:ascii="Arial" w:hAnsi="Arial"/>
                <w:b/>
                <w:sz w:val="24"/>
                <w:szCs w:val="24"/>
              </w:rPr>
              <w:t xml:space="preserve">Total Benefits Paid </w:t>
            </w:r>
          </w:p>
        </w:tc>
        <w:tc>
          <w:tcPr>
            <w:tcW w:w="1774" w:type="dxa"/>
            <w:tcBorders>
              <w:top w:val="single" w:sz="4" w:space="0" w:color="auto"/>
              <w:bottom w:val="double" w:sz="4" w:space="0" w:color="auto"/>
            </w:tcBorders>
          </w:tcPr>
          <w:p w14:paraId="23180C27" w14:textId="77777777" w:rsidR="002C436C" w:rsidRPr="00117F66" w:rsidRDefault="005757F2"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hAnsi="Arial"/>
                <w:b/>
                <w:sz w:val="24"/>
                <w:szCs w:val="24"/>
              </w:rPr>
              <w:t>72,012</w:t>
            </w:r>
          </w:p>
        </w:tc>
      </w:tr>
    </w:tbl>
    <w:p w14:paraId="7497B2BB"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7AB0A724"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66090FFB"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4B6EC6D"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7898B5B6"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157FF617" w14:textId="77777777" w:rsidR="002E24C5" w:rsidRPr="00117F66" w:rsidRDefault="002E24C5" w:rsidP="00E0571E">
      <w:pPr>
        <w:numPr>
          <w:ilvl w:val="0"/>
          <w:numId w:val="30"/>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b/>
          <w:color w:val="000000"/>
          <w:sz w:val="24"/>
          <w:szCs w:val="24"/>
        </w:rPr>
      </w:pPr>
      <w:r w:rsidRPr="00117F66">
        <w:rPr>
          <w:rFonts w:ascii="Arial" w:hAnsi="Arial"/>
          <w:b/>
          <w:color w:val="000000"/>
          <w:sz w:val="24"/>
          <w:szCs w:val="24"/>
        </w:rPr>
        <w:t>Payments to and on account of leavers</w:t>
      </w:r>
    </w:p>
    <w:p w14:paraId="69108447" w14:textId="77777777" w:rsidR="002E24C5" w:rsidRPr="00117F66"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39AF9347"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r w:rsidRPr="00117F66">
        <w:rPr>
          <w:rFonts w:ascii="Arial" w:hAnsi="Arial"/>
          <w:color w:val="000000"/>
          <w:sz w:val="24"/>
          <w:szCs w:val="24"/>
        </w:rPr>
        <w:t>Transfers out and refunds comprise of:</w:t>
      </w:r>
    </w:p>
    <w:p w14:paraId="1FB1CB75"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095"/>
        <w:gridCol w:w="1559"/>
      </w:tblGrid>
      <w:tr w:rsidR="002A758A" w:rsidRPr="00814920" w14:paraId="75B28FF9" w14:textId="77777777" w:rsidTr="00814920">
        <w:trPr>
          <w:trHeight w:val="281"/>
          <w:jc w:val="center"/>
        </w:trPr>
        <w:tc>
          <w:tcPr>
            <w:tcW w:w="1101" w:type="dxa"/>
            <w:tcBorders>
              <w:top w:val="nil"/>
              <w:left w:val="nil"/>
              <w:bottom w:val="nil"/>
              <w:right w:val="nil"/>
            </w:tcBorders>
            <w:shd w:val="clear" w:color="auto" w:fill="auto"/>
          </w:tcPr>
          <w:p w14:paraId="02D717FB" w14:textId="77777777" w:rsidR="002A758A" w:rsidRPr="00814920" w:rsidRDefault="003F097A" w:rsidP="00966CD8">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2020/21</w:t>
            </w:r>
          </w:p>
        </w:tc>
        <w:tc>
          <w:tcPr>
            <w:tcW w:w="6095" w:type="dxa"/>
            <w:tcBorders>
              <w:top w:val="nil"/>
              <w:left w:val="nil"/>
              <w:bottom w:val="nil"/>
              <w:right w:val="nil"/>
            </w:tcBorders>
            <w:shd w:val="clear" w:color="auto" w:fill="auto"/>
          </w:tcPr>
          <w:p w14:paraId="10BFAECF"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24A1FEA4" w14:textId="77777777" w:rsidR="002A758A" w:rsidRPr="00814920" w:rsidRDefault="003F097A" w:rsidP="007A7B91">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2021/22</w:t>
            </w:r>
          </w:p>
        </w:tc>
      </w:tr>
      <w:tr w:rsidR="002A758A" w:rsidRPr="00814920" w14:paraId="77615268" w14:textId="77777777" w:rsidTr="00814920">
        <w:trPr>
          <w:trHeight w:val="281"/>
          <w:jc w:val="center"/>
        </w:trPr>
        <w:tc>
          <w:tcPr>
            <w:tcW w:w="1101" w:type="dxa"/>
            <w:tcBorders>
              <w:top w:val="nil"/>
              <w:left w:val="nil"/>
              <w:bottom w:val="nil"/>
              <w:right w:val="nil"/>
            </w:tcBorders>
            <w:shd w:val="clear" w:color="auto" w:fill="auto"/>
          </w:tcPr>
          <w:p w14:paraId="5E4A3EB6" w14:textId="77777777" w:rsidR="002A758A" w:rsidRPr="00814920" w:rsidRDefault="002A758A"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sidRPr="00814920">
              <w:rPr>
                <w:rFonts w:ascii="Arial" w:hAnsi="Arial"/>
                <w:b/>
                <w:color w:val="000000"/>
                <w:sz w:val="24"/>
                <w:szCs w:val="24"/>
              </w:rPr>
              <w:t>£’000</w:t>
            </w:r>
          </w:p>
        </w:tc>
        <w:tc>
          <w:tcPr>
            <w:tcW w:w="6095" w:type="dxa"/>
            <w:tcBorders>
              <w:top w:val="nil"/>
              <w:left w:val="nil"/>
              <w:bottom w:val="nil"/>
              <w:right w:val="nil"/>
            </w:tcBorders>
            <w:shd w:val="clear" w:color="auto" w:fill="auto"/>
          </w:tcPr>
          <w:p w14:paraId="6154C4AD"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0C0A04A8" w14:textId="77777777" w:rsidR="002A758A" w:rsidRPr="00814920" w:rsidRDefault="002A758A"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sidRPr="00814920">
              <w:rPr>
                <w:rFonts w:ascii="Arial" w:hAnsi="Arial"/>
                <w:b/>
                <w:color w:val="000000"/>
                <w:sz w:val="24"/>
                <w:szCs w:val="24"/>
              </w:rPr>
              <w:t>£’000</w:t>
            </w:r>
          </w:p>
        </w:tc>
      </w:tr>
      <w:tr w:rsidR="003F097A" w:rsidRPr="00814920" w14:paraId="6402C039" w14:textId="77777777" w:rsidTr="00814920">
        <w:trPr>
          <w:trHeight w:val="281"/>
          <w:jc w:val="center"/>
        </w:trPr>
        <w:tc>
          <w:tcPr>
            <w:tcW w:w="1101" w:type="dxa"/>
            <w:tcBorders>
              <w:top w:val="nil"/>
              <w:left w:val="nil"/>
              <w:bottom w:val="nil"/>
              <w:right w:val="nil"/>
            </w:tcBorders>
            <w:shd w:val="clear" w:color="auto" w:fill="auto"/>
          </w:tcPr>
          <w:p w14:paraId="6BA35484"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113</w:t>
            </w:r>
          </w:p>
        </w:tc>
        <w:tc>
          <w:tcPr>
            <w:tcW w:w="6095" w:type="dxa"/>
            <w:tcBorders>
              <w:top w:val="nil"/>
              <w:left w:val="nil"/>
              <w:bottom w:val="nil"/>
              <w:right w:val="nil"/>
            </w:tcBorders>
            <w:shd w:val="clear" w:color="auto" w:fill="auto"/>
          </w:tcPr>
          <w:p w14:paraId="73EE4C27" w14:textId="77777777" w:rsidR="003F097A" w:rsidRPr="00814920" w:rsidRDefault="003F097A" w:rsidP="003F097A">
            <w:pPr>
              <w:pStyle w:val="Header"/>
              <w:tabs>
                <w:tab w:val="clear" w:pos="4153"/>
                <w:tab w:val="clear" w:pos="8306"/>
                <w:tab w:val="right" w:pos="2017"/>
                <w:tab w:val="right" w:pos="5326"/>
                <w:tab w:val="right" w:pos="6557"/>
              </w:tabs>
              <w:ind w:left="518"/>
              <w:rPr>
                <w:rFonts w:ascii="Arial" w:hAnsi="Arial"/>
                <w:color w:val="000000"/>
                <w:sz w:val="24"/>
                <w:szCs w:val="24"/>
              </w:rPr>
            </w:pPr>
            <w:r w:rsidRPr="00814920">
              <w:rPr>
                <w:rFonts w:ascii="Arial" w:hAnsi="Arial"/>
                <w:color w:val="000000"/>
                <w:sz w:val="24"/>
                <w:szCs w:val="24"/>
              </w:rPr>
              <w:t xml:space="preserve">  Refunds to members leaving service</w:t>
            </w:r>
          </w:p>
        </w:tc>
        <w:tc>
          <w:tcPr>
            <w:tcW w:w="1559" w:type="dxa"/>
            <w:tcBorders>
              <w:top w:val="nil"/>
              <w:left w:val="nil"/>
              <w:bottom w:val="nil"/>
              <w:right w:val="nil"/>
            </w:tcBorders>
            <w:shd w:val="clear" w:color="auto" w:fill="auto"/>
          </w:tcPr>
          <w:p w14:paraId="17EC6C48" w14:textId="77777777" w:rsidR="003F097A" w:rsidRPr="00814920" w:rsidRDefault="005757F2"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131</w:t>
            </w:r>
          </w:p>
        </w:tc>
      </w:tr>
      <w:tr w:rsidR="003F097A" w:rsidRPr="00814920" w14:paraId="5BC8126D" w14:textId="77777777" w:rsidTr="00814920">
        <w:trPr>
          <w:trHeight w:val="281"/>
          <w:jc w:val="center"/>
        </w:trPr>
        <w:tc>
          <w:tcPr>
            <w:tcW w:w="1101" w:type="dxa"/>
            <w:tcBorders>
              <w:top w:val="nil"/>
              <w:left w:val="nil"/>
              <w:bottom w:val="single" w:sz="4" w:space="0" w:color="auto"/>
              <w:right w:val="nil"/>
            </w:tcBorders>
            <w:shd w:val="clear" w:color="auto" w:fill="auto"/>
          </w:tcPr>
          <w:p w14:paraId="58954224"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3,934</w:t>
            </w:r>
          </w:p>
        </w:tc>
        <w:tc>
          <w:tcPr>
            <w:tcW w:w="6095" w:type="dxa"/>
            <w:tcBorders>
              <w:top w:val="nil"/>
              <w:left w:val="nil"/>
              <w:bottom w:val="nil"/>
              <w:right w:val="nil"/>
            </w:tcBorders>
            <w:shd w:val="clear" w:color="auto" w:fill="auto"/>
          </w:tcPr>
          <w:p w14:paraId="71174D72" w14:textId="77777777" w:rsidR="003F097A" w:rsidRPr="00814920" w:rsidRDefault="003F097A" w:rsidP="003F097A">
            <w:pPr>
              <w:pStyle w:val="Header"/>
              <w:tabs>
                <w:tab w:val="clear" w:pos="4153"/>
                <w:tab w:val="clear" w:pos="8306"/>
                <w:tab w:val="right" w:pos="2017"/>
                <w:tab w:val="right" w:pos="5326"/>
                <w:tab w:val="right" w:pos="6557"/>
              </w:tabs>
              <w:ind w:left="518"/>
              <w:rPr>
                <w:rFonts w:ascii="Arial" w:hAnsi="Arial"/>
                <w:color w:val="000000"/>
                <w:sz w:val="24"/>
                <w:szCs w:val="24"/>
              </w:rPr>
            </w:pPr>
            <w:r w:rsidRPr="00814920">
              <w:rPr>
                <w:rFonts w:ascii="Arial" w:hAnsi="Arial"/>
                <w:color w:val="000000"/>
                <w:sz w:val="24"/>
                <w:szCs w:val="24"/>
              </w:rPr>
              <w:t xml:space="preserve">  Individual transfers to other schemes</w:t>
            </w:r>
          </w:p>
        </w:tc>
        <w:tc>
          <w:tcPr>
            <w:tcW w:w="1559" w:type="dxa"/>
            <w:tcBorders>
              <w:top w:val="nil"/>
              <w:left w:val="nil"/>
              <w:bottom w:val="single" w:sz="4" w:space="0" w:color="auto"/>
              <w:right w:val="nil"/>
            </w:tcBorders>
            <w:shd w:val="clear" w:color="auto" w:fill="auto"/>
          </w:tcPr>
          <w:p w14:paraId="2602FD9C" w14:textId="77777777" w:rsidR="003F097A" w:rsidRPr="00814920" w:rsidRDefault="005757F2"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2,675</w:t>
            </w:r>
          </w:p>
        </w:tc>
      </w:tr>
      <w:tr w:rsidR="003F097A" w:rsidRPr="00814920" w14:paraId="27A33185" w14:textId="77777777" w:rsidTr="00A84F41">
        <w:trPr>
          <w:trHeight w:val="281"/>
          <w:jc w:val="center"/>
        </w:trPr>
        <w:tc>
          <w:tcPr>
            <w:tcW w:w="1101" w:type="dxa"/>
            <w:tcBorders>
              <w:top w:val="single" w:sz="4" w:space="0" w:color="auto"/>
              <w:left w:val="nil"/>
              <w:bottom w:val="double" w:sz="4" w:space="0" w:color="auto"/>
              <w:right w:val="nil"/>
            </w:tcBorders>
            <w:shd w:val="clear" w:color="auto" w:fill="FFFFFF"/>
          </w:tcPr>
          <w:p w14:paraId="2577C7C0"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4,047</w:t>
            </w:r>
          </w:p>
        </w:tc>
        <w:tc>
          <w:tcPr>
            <w:tcW w:w="6095" w:type="dxa"/>
            <w:tcBorders>
              <w:top w:val="nil"/>
              <w:left w:val="nil"/>
              <w:bottom w:val="nil"/>
              <w:right w:val="nil"/>
            </w:tcBorders>
            <w:shd w:val="clear" w:color="auto" w:fill="auto"/>
          </w:tcPr>
          <w:p w14:paraId="7F36D6A8"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r w:rsidRPr="00814920">
              <w:rPr>
                <w:rFonts w:ascii="Arial" w:hAnsi="Arial"/>
                <w:b/>
                <w:color w:val="000000"/>
                <w:sz w:val="24"/>
                <w:szCs w:val="24"/>
              </w:rPr>
              <w:t xml:space="preserve">             Total</w:t>
            </w:r>
          </w:p>
        </w:tc>
        <w:tc>
          <w:tcPr>
            <w:tcW w:w="1559" w:type="dxa"/>
            <w:tcBorders>
              <w:top w:val="single" w:sz="4" w:space="0" w:color="auto"/>
              <w:left w:val="nil"/>
              <w:bottom w:val="double" w:sz="4" w:space="0" w:color="auto"/>
              <w:right w:val="nil"/>
            </w:tcBorders>
            <w:shd w:val="clear" w:color="auto" w:fill="FFFFFF"/>
          </w:tcPr>
          <w:p w14:paraId="75D5D6ED" w14:textId="77777777" w:rsidR="003F097A" w:rsidRPr="00814920" w:rsidRDefault="005757F2"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2,806</w:t>
            </w:r>
          </w:p>
        </w:tc>
      </w:tr>
    </w:tbl>
    <w:p w14:paraId="3AAF72B0" w14:textId="77777777" w:rsidR="002E24C5"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highlight w:val="yellow"/>
        </w:rPr>
      </w:pPr>
    </w:p>
    <w:p w14:paraId="77CFACB1" w14:textId="77777777" w:rsidR="00E300F0" w:rsidRDefault="00E3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highlight w:val="yellow"/>
        </w:rPr>
      </w:pPr>
    </w:p>
    <w:p w14:paraId="7520EB92"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highlight w:val="yellow"/>
        </w:rPr>
      </w:pPr>
    </w:p>
    <w:p w14:paraId="0AFA4830"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highlight w:val="yellow"/>
        </w:rPr>
      </w:pPr>
    </w:p>
    <w:p w14:paraId="3EB00E90"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highlight w:val="yellow"/>
        </w:rPr>
      </w:pPr>
    </w:p>
    <w:p w14:paraId="032B7BD7"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highlight w:val="yellow"/>
        </w:rPr>
      </w:pPr>
    </w:p>
    <w:p w14:paraId="363A8C32" w14:textId="77777777" w:rsidR="002E24C5" w:rsidRPr="00117F66" w:rsidRDefault="002E24C5" w:rsidP="00E0571E">
      <w:pPr>
        <w:numPr>
          <w:ilvl w:val="0"/>
          <w:numId w:val="30"/>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b/>
          <w:color w:val="000000"/>
          <w:sz w:val="24"/>
          <w:szCs w:val="24"/>
        </w:rPr>
      </w:pPr>
      <w:r w:rsidRPr="00117F66">
        <w:rPr>
          <w:rFonts w:ascii="Arial" w:hAnsi="Arial"/>
          <w:b/>
          <w:color w:val="000000"/>
          <w:sz w:val="24"/>
          <w:szCs w:val="24"/>
        </w:rPr>
        <w:t>Administrative and Investment Manager Expenses</w:t>
      </w:r>
    </w:p>
    <w:p w14:paraId="7F2130A1" w14:textId="77777777" w:rsidR="002E24C5" w:rsidRPr="00117F66"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rPr>
      </w:pPr>
    </w:p>
    <w:p w14:paraId="375398DC" w14:textId="77777777" w:rsidR="002E24C5"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r w:rsidRPr="00117F66">
        <w:rPr>
          <w:rFonts w:ascii="Arial" w:hAnsi="Arial"/>
          <w:color w:val="000000"/>
          <w:sz w:val="24"/>
          <w:szCs w:val="24"/>
        </w:rPr>
        <w:t>All administrative and investment management expenses are borne by the Fund:</w:t>
      </w:r>
    </w:p>
    <w:p w14:paraId="1D1BF9E1"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p>
    <w:tbl>
      <w:tblPr>
        <w:tblW w:w="9453" w:type="dxa"/>
        <w:jc w:val="center"/>
        <w:tblLook w:val="01E0" w:firstRow="1" w:lastRow="1" w:firstColumn="1" w:lastColumn="1" w:noHBand="0" w:noVBand="0"/>
      </w:tblPr>
      <w:tblGrid>
        <w:gridCol w:w="138"/>
        <w:gridCol w:w="236"/>
        <w:gridCol w:w="1552"/>
        <w:gridCol w:w="95"/>
        <w:gridCol w:w="5417"/>
        <w:gridCol w:w="1488"/>
        <w:gridCol w:w="291"/>
        <w:gridCol w:w="90"/>
        <w:gridCol w:w="146"/>
      </w:tblGrid>
      <w:tr w:rsidR="002A758A" w:rsidRPr="00814920" w14:paraId="10D361AC" w14:textId="77777777" w:rsidTr="00FB1154">
        <w:trPr>
          <w:gridBefore w:val="1"/>
          <w:gridAfter w:val="1"/>
          <w:wBefore w:w="138" w:type="dxa"/>
          <w:wAfter w:w="146" w:type="dxa"/>
          <w:trHeight w:val="287"/>
          <w:jc w:val="center"/>
        </w:trPr>
        <w:tc>
          <w:tcPr>
            <w:tcW w:w="1883" w:type="dxa"/>
            <w:gridSpan w:val="3"/>
            <w:shd w:val="clear" w:color="auto" w:fill="auto"/>
          </w:tcPr>
          <w:p w14:paraId="554DEAEE" w14:textId="77777777" w:rsidR="002A758A" w:rsidRPr="00814920" w:rsidRDefault="003F097A" w:rsidP="00E41267">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2020/21</w:t>
            </w:r>
          </w:p>
        </w:tc>
        <w:tc>
          <w:tcPr>
            <w:tcW w:w="5417" w:type="dxa"/>
            <w:shd w:val="clear" w:color="auto" w:fill="auto"/>
          </w:tcPr>
          <w:p w14:paraId="293A7D29"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shd w:val="clear" w:color="auto" w:fill="auto"/>
          </w:tcPr>
          <w:p w14:paraId="43E0596C" w14:textId="77777777" w:rsidR="002A758A" w:rsidRPr="00814920" w:rsidRDefault="003F097A" w:rsidP="00E300F0">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2021/22</w:t>
            </w:r>
          </w:p>
        </w:tc>
      </w:tr>
      <w:tr w:rsidR="002A758A" w:rsidRPr="00814920" w14:paraId="39C622EC" w14:textId="77777777" w:rsidTr="00FB1154">
        <w:trPr>
          <w:gridBefore w:val="1"/>
          <w:gridAfter w:val="1"/>
          <w:wBefore w:w="138" w:type="dxa"/>
          <w:wAfter w:w="146" w:type="dxa"/>
          <w:trHeight w:val="272"/>
          <w:jc w:val="center"/>
        </w:trPr>
        <w:tc>
          <w:tcPr>
            <w:tcW w:w="1883" w:type="dxa"/>
            <w:gridSpan w:val="3"/>
            <w:shd w:val="clear" w:color="auto" w:fill="auto"/>
          </w:tcPr>
          <w:p w14:paraId="1856CA5F" w14:textId="77777777" w:rsidR="002A758A" w:rsidRPr="00814920" w:rsidRDefault="002A758A"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sidRPr="00814920">
              <w:rPr>
                <w:rFonts w:ascii="Arial" w:hAnsi="Arial"/>
                <w:b/>
                <w:color w:val="000000"/>
                <w:sz w:val="24"/>
                <w:szCs w:val="24"/>
              </w:rPr>
              <w:t>£’000</w:t>
            </w:r>
          </w:p>
        </w:tc>
        <w:tc>
          <w:tcPr>
            <w:tcW w:w="5417" w:type="dxa"/>
            <w:shd w:val="clear" w:color="auto" w:fill="auto"/>
          </w:tcPr>
          <w:p w14:paraId="549E4B8B"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shd w:val="clear" w:color="auto" w:fill="auto"/>
          </w:tcPr>
          <w:p w14:paraId="57C4F3B4" w14:textId="77777777" w:rsidR="002A758A" w:rsidRPr="00814920" w:rsidRDefault="002A758A"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sidRPr="00814920">
              <w:rPr>
                <w:rFonts w:ascii="Arial" w:hAnsi="Arial"/>
                <w:b/>
                <w:color w:val="000000"/>
                <w:sz w:val="24"/>
                <w:szCs w:val="24"/>
              </w:rPr>
              <w:t>£’000</w:t>
            </w:r>
          </w:p>
        </w:tc>
      </w:tr>
      <w:tr w:rsidR="00486EDF" w:rsidRPr="00814920" w14:paraId="6D5F182B" w14:textId="77777777" w:rsidTr="00FB1154">
        <w:trPr>
          <w:gridBefore w:val="1"/>
          <w:gridAfter w:val="1"/>
          <w:wBefore w:w="138" w:type="dxa"/>
          <w:wAfter w:w="146" w:type="dxa"/>
          <w:trHeight w:val="287"/>
          <w:jc w:val="center"/>
        </w:trPr>
        <w:tc>
          <w:tcPr>
            <w:tcW w:w="1883" w:type="dxa"/>
            <w:gridSpan w:val="3"/>
            <w:shd w:val="clear" w:color="auto" w:fill="auto"/>
          </w:tcPr>
          <w:p w14:paraId="01368C1C" w14:textId="77777777" w:rsidR="00486EDF" w:rsidRPr="00814920" w:rsidRDefault="00486EDF" w:rsidP="00814920">
            <w:pPr>
              <w:pStyle w:val="Header"/>
              <w:tabs>
                <w:tab w:val="clear" w:pos="4153"/>
                <w:tab w:val="clear" w:pos="8306"/>
                <w:tab w:val="right" w:pos="2017"/>
                <w:tab w:val="right" w:pos="5326"/>
                <w:tab w:val="right" w:pos="6557"/>
              </w:tabs>
              <w:jc w:val="right"/>
              <w:rPr>
                <w:rFonts w:ascii="Arial" w:hAnsi="Arial"/>
                <w:color w:val="000000"/>
                <w:sz w:val="24"/>
                <w:szCs w:val="24"/>
              </w:rPr>
            </w:pPr>
          </w:p>
        </w:tc>
        <w:tc>
          <w:tcPr>
            <w:tcW w:w="5417" w:type="dxa"/>
            <w:shd w:val="clear" w:color="auto" w:fill="auto"/>
          </w:tcPr>
          <w:p w14:paraId="24A9AF84" w14:textId="77777777" w:rsidR="00486EDF" w:rsidRPr="00814920" w:rsidRDefault="0058635A" w:rsidP="00814920">
            <w:pPr>
              <w:pStyle w:val="Header"/>
              <w:tabs>
                <w:tab w:val="clear" w:pos="4153"/>
                <w:tab w:val="clear" w:pos="8306"/>
                <w:tab w:val="right" w:pos="2017"/>
                <w:tab w:val="right" w:pos="5326"/>
                <w:tab w:val="right" w:pos="6557"/>
              </w:tabs>
              <w:rPr>
                <w:rFonts w:ascii="Arial" w:hAnsi="Arial"/>
                <w:b/>
                <w:color w:val="000000"/>
                <w:sz w:val="24"/>
                <w:szCs w:val="24"/>
              </w:rPr>
            </w:pPr>
            <w:r w:rsidRPr="00814920">
              <w:rPr>
                <w:rFonts w:ascii="Arial" w:hAnsi="Arial"/>
                <w:b/>
                <w:color w:val="000000"/>
                <w:sz w:val="24"/>
                <w:szCs w:val="24"/>
              </w:rPr>
              <w:t>Administrative Expenses</w:t>
            </w:r>
          </w:p>
        </w:tc>
        <w:tc>
          <w:tcPr>
            <w:tcW w:w="1869" w:type="dxa"/>
            <w:gridSpan w:val="3"/>
            <w:shd w:val="clear" w:color="auto" w:fill="auto"/>
          </w:tcPr>
          <w:p w14:paraId="1CBF2E47" w14:textId="77777777" w:rsidR="00486EDF" w:rsidRPr="00814920" w:rsidRDefault="00486EDF" w:rsidP="00814920">
            <w:pPr>
              <w:pStyle w:val="Header"/>
              <w:tabs>
                <w:tab w:val="clear" w:pos="4153"/>
                <w:tab w:val="clear" w:pos="8306"/>
                <w:tab w:val="right" w:pos="2017"/>
                <w:tab w:val="right" w:pos="5326"/>
                <w:tab w:val="right" w:pos="6557"/>
              </w:tabs>
              <w:jc w:val="right"/>
              <w:rPr>
                <w:rFonts w:ascii="Arial" w:hAnsi="Arial"/>
                <w:color w:val="000000"/>
                <w:sz w:val="24"/>
                <w:szCs w:val="24"/>
              </w:rPr>
            </w:pPr>
          </w:p>
        </w:tc>
      </w:tr>
      <w:tr w:rsidR="003F097A" w:rsidRPr="00814920" w14:paraId="67F56408" w14:textId="77777777" w:rsidTr="00FB1154">
        <w:trPr>
          <w:gridBefore w:val="1"/>
          <w:gridAfter w:val="1"/>
          <w:wBefore w:w="138" w:type="dxa"/>
          <w:wAfter w:w="146" w:type="dxa"/>
          <w:trHeight w:val="287"/>
          <w:jc w:val="center"/>
        </w:trPr>
        <w:tc>
          <w:tcPr>
            <w:tcW w:w="1883" w:type="dxa"/>
            <w:gridSpan w:val="3"/>
            <w:shd w:val="clear" w:color="auto" w:fill="auto"/>
          </w:tcPr>
          <w:p w14:paraId="742F1EEB"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790</w:t>
            </w:r>
          </w:p>
        </w:tc>
        <w:tc>
          <w:tcPr>
            <w:tcW w:w="5417" w:type="dxa"/>
            <w:shd w:val="clear" w:color="auto" w:fill="auto"/>
          </w:tcPr>
          <w:p w14:paraId="4EC2182E"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Support Services</w:t>
            </w:r>
            <w:r>
              <w:rPr>
                <w:rFonts w:ascii="Arial" w:hAnsi="Arial"/>
                <w:color w:val="000000"/>
                <w:sz w:val="24"/>
                <w:szCs w:val="24"/>
              </w:rPr>
              <w:t>(SLA)</w:t>
            </w:r>
            <w:r w:rsidRPr="00814920">
              <w:rPr>
                <w:rFonts w:ascii="Arial" w:hAnsi="Arial"/>
                <w:color w:val="000000"/>
                <w:sz w:val="24"/>
                <w:szCs w:val="24"/>
              </w:rPr>
              <w:t xml:space="preserve"> &amp; Employee Costs</w:t>
            </w:r>
          </w:p>
        </w:tc>
        <w:tc>
          <w:tcPr>
            <w:tcW w:w="1869" w:type="dxa"/>
            <w:gridSpan w:val="3"/>
            <w:shd w:val="clear" w:color="auto" w:fill="auto"/>
          </w:tcPr>
          <w:p w14:paraId="07266B77" w14:textId="77777777" w:rsidR="003F097A" w:rsidRPr="00814920" w:rsidRDefault="0082428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793</w:t>
            </w:r>
          </w:p>
        </w:tc>
      </w:tr>
      <w:tr w:rsidR="003F097A" w:rsidRPr="00814920" w14:paraId="40BE9376" w14:textId="77777777" w:rsidTr="00FB1154">
        <w:trPr>
          <w:gridBefore w:val="1"/>
          <w:gridAfter w:val="1"/>
          <w:wBefore w:w="138" w:type="dxa"/>
          <w:wAfter w:w="146" w:type="dxa"/>
          <w:trHeight w:val="287"/>
          <w:jc w:val="center"/>
        </w:trPr>
        <w:tc>
          <w:tcPr>
            <w:tcW w:w="1883" w:type="dxa"/>
            <w:gridSpan w:val="3"/>
            <w:shd w:val="clear" w:color="auto" w:fill="auto"/>
          </w:tcPr>
          <w:p w14:paraId="4C0B82C3"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8</w:t>
            </w:r>
          </w:p>
        </w:tc>
        <w:tc>
          <w:tcPr>
            <w:tcW w:w="5417" w:type="dxa"/>
            <w:shd w:val="clear" w:color="auto" w:fill="auto"/>
          </w:tcPr>
          <w:p w14:paraId="70A45658"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Printing &amp; Publications</w:t>
            </w:r>
          </w:p>
        </w:tc>
        <w:tc>
          <w:tcPr>
            <w:tcW w:w="1869" w:type="dxa"/>
            <w:gridSpan w:val="3"/>
            <w:shd w:val="clear" w:color="auto" w:fill="auto"/>
          </w:tcPr>
          <w:p w14:paraId="6B915033" w14:textId="77777777" w:rsidR="003F097A" w:rsidRPr="00814920" w:rsidRDefault="0082428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17</w:t>
            </w:r>
          </w:p>
        </w:tc>
      </w:tr>
      <w:tr w:rsidR="003F097A" w:rsidRPr="00814920" w14:paraId="37F3E0BC" w14:textId="77777777" w:rsidTr="00FB1154">
        <w:trPr>
          <w:gridBefore w:val="1"/>
          <w:gridAfter w:val="1"/>
          <w:wBefore w:w="138" w:type="dxa"/>
          <w:wAfter w:w="146" w:type="dxa"/>
          <w:trHeight w:val="287"/>
          <w:jc w:val="center"/>
        </w:trPr>
        <w:tc>
          <w:tcPr>
            <w:tcW w:w="1883" w:type="dxa"/>
            <w:gridSpan w:val="3"/>
            <w:tcBorders>
              <w:bottom w:val="single" w:sz="4" w:space="0" w:color="auto"/>
            </w:tcBorders>
            <w:shd w:val="clear" w:color="auto" w:fill="auto"/>
          </w:tcPr>
          <w:p w14:paraId="6A2BF519"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418</w:t>
            </w:r>
          </w:p>
        </w:tc>
        <w:tc>
          <w:tcPr>
            <w:tcW w:w="5417" w:type="dxa"/>
            <w:shd w:val="clear" w:color="auto" w:fill="auto"/>
          </w:tcPr>
          <w:p w14:paraId="3366BB1E"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Other</w:t>
            </w:r>
          </w:p>
        </w:tc>
        <w:tc>
          <w:tcPr>
            <w:tcW w:w="1869" w:type="dxa"/>
            <w:gridSpan w:val="3"/>
            <w:tcBorders>
              <w:bottom w:val="single" w:sz="4" w:space="0" w:color="auto"/>
            </w:tcBorders>
            <w:shd w:val="clear" w:color="auto" w:fill="auto"/>
          </w:tcPr>
          <w:p w14:paraId="07252B1E" w14:textId="77777777" w:rsidR="003F097A" w:rsidRPr="00814920" w:rsidRDefault="0082428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3</w:t>
            </w:r>
            <w:r w:rsidR="00361379">
              <w:rPr>
                <w:rFonts w:ascii="Arial" w:hAnsi="Arial"/>
                <w:color w:val="000000"/>
                <w:sz w:val="24"/>
                <w:szCs w:val="24"/>
              </w:rPr>
              <w:t>47</w:t>
            </w:r>
          </w:p>
        </w:tc>
      </w:tr>
      <w:tr w:rsidR="003F097A" w:rsidRPr="00814920" w14:paraId="126C54B8" w14:textId="77777777" w:rsidTr="00FB1154">
        <w:trPr>
          <w:gridBefore w:val="1"/>
          <w:gridAfter w:val="1"/>
          <w:wBefore w:w="138" w:type="dxa"/>
          <w:wAfter w:w="146" w:type="dxa"/>
          <w:trHeight w:val="287"/>
          <w:jc w:val="center"/>
        </w:trPr>
        <w:tc>
          <w:tcPr>
            <w:tcW w:w="1883" w:type="dxa"/>
            <w:gridSpan w:val="3"/>
            <w:tcBorders>
              <w:top w:val="single" w:sz="4" w:space="0" w:color="auto"/>
            </w:tcBorders>
            <w:shd w:val="clear" w:color="auto" w:fill="auto"/>
          </w:tcPr>
          <w:p w14:paraId="2201670A"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1,216</w:t>
            </w:r>
          </w:p>
        </w:tc>
        <w:tc>
          <w:tcPr>
            <w:tcW w:w="5417" w:type="dxa"/>
            <w:shd w:val="clear" w:color="auto" w:fill="auto"/>
          </w:tcPr>
          <w:p w14:paraId="2ADA9CD6"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tcBorders>
              <w:top w:val="single" w:sz="4" w:space="0" w:color="auto"/>
            </w:tcBorders>
            <w:shd w:val="clear" w:color="auto" w:fill="auto"/>
          </w:tcPr>
          <w:p w14:paraId="1FBF8C0B" w14:textId="77777777" w:rsidR="003F097A" w:rsidRPr="00814920" w:rsidRDefault="00824289"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1,1</w:t>
            </w:r>
            <w:r w:rsidR="00361379">
              <w:rPr>
                <w:rFonts w:ascii="Arial" w:hAnsi="Arial"/>
                <w:b/>
                <w:color w:val="000000"/>
                <w:sz w:val="24"/>
                <w:szCs w:val="24"/>
              </w:rPr>
              <w:t>57</w:t>
            </w:r>
          </w:p>
        </w:tc>
      </w:tr>
      <w:tr w:rsidR="003F097A" w:rsidRPr="00814920" w14:paraId="133E5A4A" w14:textId="77777777" w:rsidTr="0015296F">
        <w:trPr>
          <w:gridAfter w:val="6"/>
          <w:wAfter w:w="7527" w:type="dxa"/>
          <w:trHeight w:val="287"/>
          <w:jc w:val="center"/>
        </w:trPr>
        <w:tc>
          <w:tcPr>
            <w:tcW w:w="1926" w:type="dxa"/>
            <w:gridSpan w:val="3"/>
            <w:shd w:val="clear" w:color="auto" w:fill="auto"/>
          </w:tcPr>
          <w:p w14:paraId="60FADEB3"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tc>
      </w:tr>
      <w:tr w:rsidR="003F097A" w:rsidRPr="00814920" w14:paraId="2DAF5B01" w14:textId="77777777" w:rsidTr="00FB1154">
        <w:trPr>
          <w:gridBefore w:val="1"/>
          <w:gridAfter w:val="1"/>
          <w:wBefore w:w="138" w:type="dxa"/>
          <w:wAfter w:w="146" w:type="dxa"/>
          <w:trHeight w:val="287"/>
          <w:jc w:val="center"/>
        </w:trPr>
        <w:tc>
          <w:tcPr>
            <w:tcW w:w="1883" w:type="dxa"/>
            <w:gridSpan w:val="3"/>
            <w:shd w:val="clear" w:color="auto" w:fill="auto"/>
          </w:tcPr>
          <w:p w14:paraId="5A1A7384" w14:textId="77777777" w:rsidR="003F097A"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43CE765B"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65</w:t>
            </w:r>
          </w:p>
        </w:tc>
        <w:tc>
          <w:tcPr>
            <w:tcW w:w="5417" w:type="dxa"/>
            <w:shd w:val="clear" w:color="auto" w:fill="auto"/>
          </w:tcPr>
          <w:p w14:paraId="629F4E02" w14:textId="77777777" w:rsidR="003F097A" w:rsidRPr="00DC6523"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r w:rsidRPr="00DC6523">
              <w:rPr>
                <w:rFonts w:ascii="Arial" w:hAnsi="Arial"/>
                <w:b/>
                <w:color w:val="000000"/>
                <w:sz w:val="24"/>
                <w:szCs w:val="24"/>
              </w:rPr>
              <w:t>Oversight &amp; Governance</w:t>
            </w:r>
          </w:p>
          <w:p w14:paraId="14809179"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hAnsi="Arial"/>
                <w:color w:val="000000"/>
                <w:sz w:val="24"/>
                <w:szCs w:val="24"/>
              </w:rPr>
              <w:t>Actuarial F</w:t>
            </w:r>
            <w:r w:rsidRPr="00814920">
              <w:rPr>
                <w:rFonts w:ascii="Arial" w:hAnsi="Arial"/>
                <w:color w:val="000000"/>
                <w:sz w:val="24"/>
                <w:szCs w:val="24"/>
              </w:rPr>
              <w:t>ees</w:t>
            </w:r>
          </w:p>
        </w:tc>
        <w:tc>
          <w:tcPr>
            <w:tcW w:w="1869" w:type="dxa"/>
            <w:gridSpan w:val="3"/>
            <w:shd w:val="clear" w:color="auto" w:fill="auto"/>
          </w:tcPr>
          <w:p w14:paraId="23599445" w14:textId="77777777" w:rsidR="003F097A"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3E99CF38" w14:textId="77777777" w:rsidR="00824289" w:rsidRPr="00814920" w:rsidRDefault="0082428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35</w:t>
            </w:r>
          </w:p>
        </w:tc>
      </w:tr>
      <w:tr w:rsidR="003F097A" w:rsidRPr="00814920" w14:paraId="7E8099D8" w14:textId="77777777" w:rsidTr="00FB1154">
        <w:trPr>
          <w:gridBefore w:val="1"/>
          <w:gridAfter w:val="1"/>
          <w:wBefore w:w="138" w:type="dxa"/>
          <w:wAfter w:w="146" w:type="dxa"/>
          <w:trHeight w:val="287"/>
          <w:jc w:val="center"/>
        </w:trPr>
        <w:tc>
          <w:tcPr>
            <w:tcW w:w="1883" w:type="dxa"/>
            <w:gridSpan w:val="3"/>
            <w:shd w:val="clear" w:color="auto" w:fill="auto"/>
          </w:tcPr>
          <w:p w14:paraId="3B431007" w14:textId="77777777" w:rsidR="003F097A"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101</w:t>
            </w:r>
          </w:p>
        </w:tc>
        <w:tc>
          <w:tcPr>
            <w:tcW w:w="5417" w:type="dxa"/>
            <w:shd w:val="clear" w:color="auto" w:fill="auto"/>
          </w:tcPr>
          <w:p w14:paraId="16CAAE25"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hAnsi="Arial"/>
                <w:color w:val="000000"/>
                <w:sz w:val="24"/>
                <w:szCs w:val="24"/>
              </w:rPr>
              <w:t>Advisors Fees</w:t>
            </w:r>
          </w:p>
        </w:tc>
        <w:tc>
          <w:tcPr>
            <w:tcW w:w="1869" w:type="dxa"/>
            <w:gridSpan w:val="3"/>
            <w:shd w:val="clear" w:color="auto" w:fill="auto"/>
          </w:tcPr>
          <w:p w14:paraId="78876D7F" w14:textId="77777777" w:rsidR="00824289" w:rsidRDefault="00824289" w:rsidP="00824289">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2</w:t>
            </w:r>
            <w:r w:rsidR="00361379">
              <w:rPr>
                <w:rFonts w:ascii="Arial" w:hAnsi="Arial"/>
                <w:color w:val="000000"/>
                <w:sz w:val="24"/>
                <w:szCs w:val="24"/>
              </w:rPr>
              <w:t>09</w:t>
            </w:r>
          </w:p>
        </w:tc>
      </w:tr>
      <w:tr w:rsidR="003F097A" w:rsidRPr="00814920" w14:paraId="0160A0EC" w14:textId="77777777" w:rsidTr="00FB1154">
        <w:trPr>
          <w:gridBefore w:val="1"/>
          <w:gridAfter w:val="1"/>
          <w:wBefore w:w="138" w:type="dxa"/>
          <w:wAfter w:w="146" w:type="dxa"/>
          <w:trHeight w:val="287"/>
          <w:jc w:val="center"/>
        </w:trPr>
        <w:tc>
          <w:tcPr>
            <w:tcW w:w="1883" w:type="dxa"/>
            <w:gridSpan w:val="3"/>
            <w:shd w:val="clear" w:color="auto" w:fill="auto"/>
          </w:tcPr>
          <w:p w14:paraId="269AE549"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43</w:t>
            </w:r>
          </w:p>
        </w:tc>
        <w:tc>
          <w:tcPr>
            <w:tcW w:w="5417" w:type="dxa"/>
            <w:shd w:val="clear" w:color="auto" w:fill="auto"/>
          </w:tcPr>
          <w:p w14:paraId="1F5AF810"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External Audit Fees</w:t>
            </w:r>
          </w:p>
        </w:tc>
        <w:tc>
          <w:tcPr>
            <w:tcW w:w="1869" w:type="dxa"/>
            <w:gridSpan w:val="3"/>
            <w:shd w:val="clear" w:color="auto" w:fill="auto"/>
          </w:tcPr>
          <w:p w14:paraId="7FEB4FC8" w14:textId="77777777" w:rsidR="003F097A" w:rsidRPr="00814920" w:rsidRDefault="0082428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44</w:t>
            </w:r>
          </w:p>
        </w:tc>
      </w:tr>
      <w:tr w:rsidR="003F097A" w:rsidRPr="00814920" w14:paraId="045EBC7B" w14:textId="77777777" w:rsidTr="00E9620F">
        <w:trPr>
          <w:gridBefore w:val="1"/>
          <w:gridAfter w:val="1"/>
          <w:wBefore w:w="138" w:type="dxa"/>
          <w:wAfter w:w="146" w:type="dxa"/>
          <w:trHeight w:val="287"/>
          <w:jc w:val="center"/>
        </w:trPr>
        <w:tc>
          <w:tcPr>
            <w:tcW w:w="1883" w:type="dxa"/>
            <w:gridSpan w:val="3"/>
            <w:tcBorders>
              <w:bottom w:val="single" w:sz="4" w:space="0" w:color="auto"/>
            </w:tcBorders>
            <w:shd w:val="clear" w:color="auto" w:fill="auto"/>
          </w:tcPr>
          <w:p w14:paraId="730A3B8C" w14:textId="77777777" w:rsidR="003F097A"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14</w:t>
            </w:r>
          </w:p>
          <w:p w14:paraId="6A9B6471" w14:textId="77777777" w:rsidR="003F097A"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3</w:t>
            </w:r>
          </w:p>
          <w:p w14:paraId="66692EB9" w14:textId="77777777" w:rsidR="003F097A"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3</w:t>
            </w:r>
          </w:p>
          <w:p w14:paraId="6C3249B8"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88</w:t>
            </w:r>
          </w:p>
        </w:tc>
        <w:tc>
          <w:tcPr>
            <w:tcW w:w="5417" w:type="dxa"/>
            <w:shd w:val="clear" w:color="auto" w:fill="auto"/>
          </w:tcPr>
          <w:p w14:paraId="604301DE" w14:textId="77777777" w:rsidR="003F097A"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814920">
              <w:rPr>
                <w:rFonts w:ascii="Arial" w:hAnsi="Arial"/>
                <w:color w:val="000000"/>
                <w:sz w:val="24"/>
                <w:szCs w:val="24"/>
              </w:rPr>
              <w:t>Performance Monitoring Services Fees</w:t>
            </w:r>
          </w:p>
          <w:p w14:paraId="05AB7C64" w14:textId="77777777" w:rsidR="003F097A"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hAnsi="Arial"/>
                <w:color w:val="000000"/>
                <w:sz w:val="24"/>
                <w:szCs w:val="24"/>
              </w:rPr>
              <w:t>Pension Fund Committee</w:t>
            </w:r>
          </w:p>
          <w:p w14:paraId="1ECFBA88" w14:textId="77777777" w:rsidR="003F097A"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hAnsi="Arial"/>
                <w:color w:val="000000"/>
                <w:sz w:val="24"/>
                <w:szCs w:val="24"/>
              </w:rPr>
              <w:t>Pension Board</w:t>
            </w:r>
          </w:p>
          <w:p w14:paraId="2233C1B5"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hAnsi="Arial"/>
                <w:color w:val="000000"/>
                <w:sz w:val="24"/>
                <w:szCs w:val="24"/>
              </w:rPr>
              <w:t>Wales Pension Partnership</w:t>
            </w:r>
          </w:p>
        </w:tc>
        <w:tc>
          <w:tcPr>
            <w:tcW w:w="1869" w:type="dxa"/>
            <w:gridSpan w:val="3"/>
            <w:tcBorders>
              <w:bottom w:val="single" w:sz="4" w:space="0" w:color="auto"/>
            </w:tcBorders>
            <w:shd w:val="clear" w:color="auto" w:fill="auto"/>
          </w:tcPr>
          <w:p w14:paraId="369B0F7A" w14:textId="77777777" w:rsidR="003F097A" w:rsidRDefault="0036137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6</w:t>
            </w:r>
          </w:p>
          <w:p w14:paraId="75AD832C" w14:textId="77777777" w:rsidR="00C37013" w:rsidRDefault="0036137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3</w:t>
            </w:r>
          </w:p>
          <w:p w14:paraId="1C8E369B" w14:textId="77777777" w:rsidR="00C37013" w:rsidRDefault="0036137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3</w:t>
            </w:r>
          </w:p>
          <w:p w14:paraId="16D1A975" w14:textId="77777777" w:rsidR="00C37013" w:rsidRPr="00814920" w:rsidRDefault="00C37013"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135</w:t>
            </w:r>
          </w:p>
        </w:tc>
      </w:tr>
      <w:tr w:rsidR="003F097A" w:rsidRPr="00814920" w14:paraId="69CF7909" w14:textId="77777777" w:rsidTr="006D789A">
        <w:trPr>
          <w:gridBefore w:val="1"/>
          <w:gridAfter w:val="1"/>
          <w:wBefore w:w="138" w:type="dxa"/>
          <w:wAfter w:w="146" w:type="dxa"/>
          <w:trHeight w:val="287"/>
          <w:jc w:val="center"/>
        </w:trPr>
        <w:tc>
          <w:tcPr>
            <w:tcW w:w="1883" w:type="dxa"/>
            <w:gridSpan w:val="3"/>
            <w:tcBorders>
              <w:top w:val="single" w:sz="4" w:space="0" w:color="auto"/>
            </w:tcBorders>
            <w:shd w:val="clear" w:color="auto" w:fill="auto"/>
          </w:tcPr>
          <w:p w14:paraId="41717F65"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317</w:t>
            </w:r>
          </w:p>
        </w:tc>
        <w:tc>
          <w:tcPr>
            <w:tcW w:w="5417" w:type="dxa"/>
            <w:shd w:val="clear" w:color="auto" w:fill="auto"/>
          </w:tcPr>
          <w:p w14:paraId="3A310ED2"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tcBorders>
              <w:top w:val="single" w:sz="4" w:space="0" w:color="auto"/>
            </w:tcBorders>
            <w:shd w:val="clear" w:color="auto" w:fill="auto"/>
          </w:tcPr>
          <w:p w14:paraId="071272EC" w14:textId="77777777" w:rsidR="003F097A" w:rsidRPr="00814920" w:rsidRDefault="00C37013"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4</w:t>
            </w:r>
            <w:r w:rsidR="00361379">
              <w:rPr>
                <w:rFonts w:ascii="Arial" w:hAnsi="Arial"/>
                <w:b/>
                <w:color w:val="000000"/>
                <w:sz w:val="24"/>
                <w:szCs w:val="24"/>
              </w:rPr>
              <w:t>35</w:t>
            </w:r>
          </w:p>
        </w:tc>
      </w:tr>
      <w:tr w:rsidR="003F097A" w:rsidRPr="00814920" w14:paraId="0DBCCFAE" w14:textId="77777777" w:rsidTr="006D789A">
        <w:trPr>
          <w:gridBefore w:val="1"/>
          <w:gridAfter w:val="1"/>
          <w:wBefore w:w="138" w:type="dxa"/>
          <w:wAfter w:w="146" w:type="dxa"/>
          <w:trHeight w:val="287"/>
          <w:jc w:val="center"/>
        </w:trPr>
        <w:tc>
          <w:tcPr>
            <w:tcW w:w="1883" w:type="dxa"/>
            <w:gridSpan w:val="3"/>
            <w:shd w:val="clear" w:color="auto" w:fill="auto"/>
          </w:tcPr>
          <w:p w14:paraId="57633C0A"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p>
          <w:p w14:paraId="15032972" w14:textId="77777777" w:rsidR="003F097A"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3559BDC7" w14:textId="77777777" w:rsidR="006D789A" w:rsidRPr="00D66A79" w:rsidRDefault="006D789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4ED23A15" w14:textId="77777777" w:rsidR="00AC32F1" w:rsidRDefault="00AC32F1"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720B19B5"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sidRPr="00D66A79">
              <w:rPr>
                <w:rFonts w:ascii="Arial" w:hAnsi="Arial"/>
                <w:color w:val="000000"/>
                <w:sz w:val="24"/>
                <w:szCs w:val="24"/>
              </w:rPr>
              <w:t>4,887</w:t>
            </w:r>
          </w:p>
          <w:p w14:paraId="2EE62C0B"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sidRPr="00D66A79">
              <w:rPr>
                <w:rFonts w:ascii="Arial" w:hAnsi="Arial"/>
                <w:color w:val="000000"/>
                <w:sz w:val="24"/>
                <w:szCs w:val="24"/>
              </w:rPr>
              <w:t>5,197</w:t>
            </w:r>
          </w:p>
          <w:p w14:paraId="4F345C11"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sidRPr="00D66A79">
              <w:rPr>
                <w:rFonts w:ascii="Arial" w:hAnsi="Arial"/>
                <w:color w:val="000000"/>
                <w:sz w:val="24"/>
                <w:szCs w:val="24"/>
              </w:rPr>
              <w:t>266</w:t>
            </w:r>
          </w:p>
          <w:p w14:paraId="26BCC940"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sidRPr="00D66A79">
              <w:rPr>
                <w:rFonts w:ascii="Arial" w:hAnsi="Arial"/>
                <w:color w:val="000000"/>
                <w:sz w:val="24"/>
                <w:szCs w:val="24"/>
              </w:rPr>
              <w:t>1,631</w:t>
            </w:r>
          </w:p>
        </w:tc>
        <w:tc>
          <w:tcPr>
            <w:tcW w:w="5417" w:type="dxa"/>
            <w:shd w:val="clear" w:color="auto" w:fill="auto"/>
          </w:tcPr>
          <w:p w14:paraId="33816442" w14:textId="77777777" w:rsidR="003F097A"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p w14:paraId="05F000D0" w14:textId="77777777" w:rsidR="008E03D4" w:rsidRPr="00D66A79" w:rsidRDefault="008E03D4" w:rsidP="003F097A">
            <w:pPr>
              <w:pStyle w:val="Header"/>
              <w:tabs>
                <w:tab w:val="clear" w:pos="4153"/>
                <w:tab w:val="clear" w:pos="8306"/>
                <w:tab w:val="right" w:pos="2017"/>
                <w:tab w:val="right" w:pos="5326"/>
                <w:tab w:val="right" w:pos="6557"/>
              </w:tabs>
              <w:rPr>
                <w:rFonts w:ascii="Arial" w:hAnsi="Arial"/>
                <w:color w:val="000000"/>
                <w:sz w:val="24"/>
                <w:szCs w:val="24"/>
              </w:rPr>
            </w:pPr>
          </w:p>
          <w:p w14:paraId="635BCDF4" w14:textId="77777777" w:rsidR="003F097A"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53F8F1CA"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r w:rsidRPr="00D66A79">
              <w:rPr>
                <w:rFonts w:ascii="Arial" w:hAnsi="Arial"/>
                <w:b/>
                <w:color w:val="000000"/>
                <w:sz w:val="24"/>
                <w:szCs w:val="24"/>
              </w:rPr>
              <w:lastRenderedPageBreak/>
              <w:t>Investment Management Expenses</w:t>
            </w:r>
          </w:p>
          <w:p w14:paraId="1060BEA8"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D66A79">
              <w:rPr>
                <w:rFonts w:ascii="Arial" w:hAnsi="Arial"/>
                <w:color w:val="000000"/>
                <w:sz w:val="24"/>
                <w:szCs w:val="24"/>
              </w:rPr>
              <w:t xml:space="preserve">Management Fees </w:t>
            </w:r>
          </w:p>
          <w:p w14:paraId="6A7EF890"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D66A79">
              <w:rPr>
                <w:rFonts w:ascii="Arial" w:hAnsi="Arial"/>
                <w:color w:val="000000"/>
                <w:sz w:val="24"/>
                <w:szCs w:val="24"/>
              </w:rPr>
              <w:t>Performance Fees</w:t>
            </w:r>
          </w:p>
          <w:p w14:paraId="24129BBC"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D66A79">
              <w:rPr>
                <w:rFonts w:ascii="Arial" w:hAnsi="Arial"/>
                <w:color w:val="000000"/>
                <w:sz w:val="24"/>
                <w:szCs w:val="24"/>
              </w:rPr>
              <w:t xml:space="preserve">Custody Fees </w:t>
            </w:r>
          </w:p>
          <w:p w14:paraId="78ED3297"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D66A79">
              <w:rPr>
                <w:rFonts w:ascii="Arial" w:hAnsi="Arial"/>
                <w:color w:val="000000"/>
                <w:sz w:val="24"/>
                <w:szCs w:val="24"/>
              </w:rPr>
              <w:t>Transaction Costs</w:t>
            </w:r>
          </w:p>
        </w:tc>
        <w:tc>
          <w:tcPr>
            <w:tcW w:w="1869" w:type="dxa"/>
            <w:gridSpan w:val="3"/>
            <w:shd w:val="clear" w:color="auto" w:fill="auto"/>
          </w:tcPr>
          <w:p w14:paraId="3EBACD02" w14:textId="77777777" w:rsidR="003F097A"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1F578CD6" w14:textId="77777777" w:rsidR="00C37013" w:rsidRDefault="00C37013"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7CC2AFAD" w14:textId="77777777" w:rsidR="00C37013" w:rsidRDefault="00C37013"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53DA7A0E" w14:textId="77777777" w:rsidR="00AC32F1" w:rsidRDefault="00AC32F1"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7F894ED0" w14:textId="77777777" w:rsidR="00C37013" w:rsidRDefault="00C37013"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5,894</w:t>
            </w:r>
          </w:p>
          <w:p w14:paraId="51A178B3" w14:textId="77777777" w:rsidR="00C37013" w:rsidRDefault="00C37013"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5,710</w:t>
            </w:r>
          </w:p>
          <w:p w14:paraId="3AA03DAD" w14:textId="77777777" w:rsidR="00C37013" w:rsidRDefault="00C37013"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284</w:t>
            </w:r>
          </w:p>
          <w:p w14:paraId="306AD6BD" w14:textId="77777777" w:rsidR="00C37013" w:rsidRPr="00D66A79" w:rsidRDefault="00C37013"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3,064</w:t>
            </w:r>
          </w:p>
        </w:tc>
      </w:tr>
      <w:tr w:rsidR="003F097A" w:rsidRPr="00814920" w14:paraId="24FC1319" w14:textId="77777777" w:rsidTr="00FB1154">
        <w:trPr>
          <w:gridBefore w:val="1"/>
          <w:gridAfter w:val="1"/>
          <w:wBefore w:w="138" w:type="dxa"/>
          <w:wAfter w:w="146" w:type="dxa"/>
          <w:trHeight w:val="287"/>
          <w:jc w:val="center"/>
        </w:trPr>
        <w:tc>
          <w:tcPr>
            <w:tcW w:w="1883" w:type="dxa"/>
            <w:gridSpan w:val="3"/>
            <w:tcBorders>
              <w:bottom w:val="single" w:sz="4" w:space="0" w:color="auto"/>
            </w:tcBorders>
            <w:shd w:val="clear" w:color="auto" w:fill="auto"/>
          </w:tcPr>
          <w:p w14:paraId="1F77F079"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p>
        </w:tc>
        <w:tc>
          <w:tcPr>
            <w:tcW w:w="5417" w:type="dxa"/>
            <w:shd w:val="clear" w:color="auto" w:fill="auto"/>
          </w:tcPr>
          <w:p w14:paraId="57511684"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tcBorders>
              <w:bottom w:val="single" w:sz="4" w:space="0" w:color="auto"/>
            </w:tcBorders>
            <w:shd w:val="clear" w:color="auto" w:fill="auto"/>
          </w:tcPr>
          <w:p w14:paraId="5CD9A782"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p>
        </w:tc>
      </w:tr>
      <w:tr w:rsidR="003F097A" w:rsidRPr="00814920" w14:paraId="6C4FC32B" w14:textId="77777777" w:rsidTr="00A84F41">
        <w:trPr>
          <w:gridBefore w:val="1"/>
          <w:gridAfter w:val="1"/>
          <w:wBefore w:w="138" w:type="dxa"/>
          <w:wAfter w:w="146" w:type="dxa"/>
          <w:trHeight w:val="272"/>
          <w:jc w:val="center"/>
        </w:trPr>
        <w:tc>
          <w:tcPr>
            <w:tcW w:w="1883" w:type="dxa"/>
            <w:gridSpan w:val="3"/>
            <w:tcBorders>
              <w:top w:val="single" w:sz="4" w:space="0" w:color="auto"/>
              <w:bottom w:val="double" w:sz="4" w:space="0" w:color="auto"/>
            </w:tcBorders>
            <w:shd w:val="clear" w:color="auto" w:fill="auto"/>
          </w:tcPr>
          <w:p w14:paraId="75757CFF"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sidRPr="00D66A79">
              <w:rPr>
                <w:rFonts w:ascii="Arial" w:hAnsi="Arial"/>
                <w:b/>
                <w:color w:val="000000"/>
                <w:sz w:val="24"/>
                <w:szCs w:val="24"/>
              </w:rPr>
              <w:t>11,981</w:t>
            </w:r>
          </w:p>
        </w:tc>
        <w:tc>
          <w:tcPr>
            <w:tcW w:w="5417" w:type="dxa"/>
            <w:shd w:val="clear" w:color="auto" w:fill="auto"/>
          </w:tcPr>
          <w:p w14:paraId="37493773"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tcBorders>
              <w:top w:val="single" w:sz="4" w:space="0" w:color="auto"/>
              <w:bottom w:val="double" w:sz="4" w:space="0" w:color="auto"/>
            </w:tcBorders>
            <w:shd w:val="clear" w:color="auto" w:fill="auto"/>
          </w:tcPr>
          <w:p w14:paraId="0EE11783" w14:textId="77777777" w:rsidR="003F097A" w:rsidRPr="00D66A79" w:rsidRDefault="00C37013"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14,952</w:t>
            </w:r>
          </w:p>
        </w:tc>
      </w:tr>
      <w:tr w:rsidR="003F097A" w:rsidRPr="00814920" w14:paraId="4856D490" w14:textId="77777777" w:rsidTr="00A84F41">
        <w:trPr>
          <w:gridBefore w:val="1"/>
          <w:gridAfter w:val="1"/>
          <w:wBefore w:w="138" w:type="dxa"/>
          <w:wAfter w:w="146" w:type="dxa"/>
          <w:trHeight w:val="272"/>
          <w:jc w:val="center"/>
        </w:trPr>
        <w:tc>
          <w:tcPr>
            <w:tcW w:w="1883" w:type="dxa"/>
            <w:gridSpan w:val="3"/>
            <w:tcBorders>
              <w:top w:val="double" w:sz="4" w:space="0" w:color="auto"/>
            </w:tcBorders>
            <w:shd w:val="clear" w:color="auto" w:fill="auto"/>
          </w:tcPr>
          <w:p w14:paraId="4AFF4CDF"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tc>
        <w:tc>
          <w:tcPr>
            <w:tcW w:w="5417" w:type="dxa"/>
            <w:shd w:val="clear" w:color="auto" w:fill="auto"/>
          </w:tcPr>
          <w:p w14:paraId="3F34D16A"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tcBorders>
              <w:top w:val="double" w:sz="4" w:space="0" w:color="auto"/>
            </w:tcBorders>
            <w:shd w:val="clear" w:color="auto" w:fill="auto"/>
          </w:tcPr>
          <w:p w14:paraId="6852B782"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tc>
      </w:tr>
      <w:tr w:rsidR="003F097A" w:rsidRPr="00814920" w14:paraId="4D3D7DB7" w14:textId="77777777" w:rsidTr="00FB1154">
        <w:trPr>
          <w:gridBefore w:val="1"/>
          <w:gridAfter w:val="1"/>
          <w:wBefore w:w="138" w:type="dxa"/>
          <w:wAfter w:w="146" w:type="dxa"/>
          <w:trHeight w:val="272"/>
          <w:jc w:val="center"/>
        </w:trPr>
        <w:tc>
          <w:tcPr>
            <w:tcW w:w="1883" w:type="dxa"/>
            <w:gridSpan w:val="3"/>
            <w:tcBorders>
              <w:bottom w:val="single" w:sz="4" w:space="0" w:color="auto"/>
            </w:tcBorders>
            <w:shd w:val="clear" w:color="auto" w:fill="auto"/>
          </w:tcPr>
          <w:p w14:paraId="46256617"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tc>
        <w:tc>
          <w:tcPr>
            <w:tcW w:w="5417" w:type="dxa"/>
            <w:shd w:val="clear" w:color="auto" w:fill="auto"/>
          </w:tcPr>
          <w:p w14:paraId="23CA48AA"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tcBorders>
              <w:bottom w:val="single" w:sz="4" w:space="0" w:color="auto"/>
            </w:tcBorders>
            <w:shd w:val="clear" w:color="auto" w:fill="auto"/>
          </w:tcPr>
          <w:p w14:paraId="2252601A"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tc>
      </w:tr>
      <w:tr w:rsidR="003F097A" w:rsidRPr="00072720" w14:paraId="46E0D2FC" w14:textId="77777777" w:rsidTr="00FB1154">
        <w:trPr>
          <w:gridBefore w:val="1"/>
          <w:gridAfter w:val="1"/>
          <w:wBefore w:w="138" w:type="dxa"/>
          <w:wAfter w:w="146" w:type="dxa"/>
          <w:trHeight w:val="272"/>
          <w:jc w:val="center"/>
        </w:trPr>
        <w:tc>
          <w:tcPr>
            <w:tcW w:w="1883" w:type="dxa"/>
            <w:gridSpan w:val="3"/>
            <w:tcBorders>
              <w:top w:val="single" w:sz="4" w:space="0" w:color="auto"/>
              <w:bottom w:val="double" w:sz="4" w:space="0" w:color="auto"/>
            </w:tcBorders>
            <w:shd w:val="clear" w:color="auto" w:fill="auto"/>
          </w:tcPr>
          <w:p w14:paraId="4B0CBF21"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sidRPr="00D66A79">
              <w:rPr>
                <w:rFonts w:ascii="Arial" w:hAnsi="Arial"/>
                <w:b/>
                <w:color w:val="000000"/>
                <w:sz w:val="24"/>
                <w:szCs w:val="24"/>
              </w:rPr>
              <w:t>13,514</w:t>
            </w:r>
          </w:p>
        </w:tc>
        <w:tc>
          <w:tcPr>
            <w:tcW w:w="5417" w:type="dxa"/>
          </w:tcPr>
          <w:p w14:paraId="430D332C"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r w:rsidRPr="00D66A79">
              <w:rPr>
                <w:rFonts w:ascii="Arial" w:hAnsi="Arial"/>
                <w:b/>
                <w:color w:val="000000"/>
                <w:sz w:val="24"/>
                <w:szCs w:val="24"/>
              </w:rPr>
              <w:t>Total</w:t>
            </w:r>
          </w:p>
        </w:tc>
        <w:tc>
          <w:tcPr>
            <w:tcW w:w="1869" w:type="dxa"/>
            <w:gridSpan w:val="3"/>
            <w:tcBorders>
              <w:top w:val="single" w:sz="4" w:space="0" w:color="auto"/>
              <w:bottom w:val="double" w:sz="4" w:space="0" w:color="auto"/>
            </w:tcBorders>
            <w:shd w:val="clear" w:color="auto" w:fill="auto"/>
          </w:tcPr>
          <w:p w14:paraId="6C71052F" w14:textId="77777777" w:rsidR="003F097A" w:rsidRPr="00D66A79" w:rsidRDefault="00C37013"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16,544</w:t>
            </w:r>
          </w:p>
        </w:tc>
      </w:tr>
      <w:tr w:rsidR="003F097A" w:rsidRPr="00814920" w14:paraId="1E3C57F6" w14:textId="77777777" w:rsidTr="0015296F">
        <w:trPr>
          <w:gridBefore w:val="1"/>
          <w:wBefore w:w="138" w:type="dxa"/>
          <w:trHeight w:val="272"/>
          <w:jc w:val="center"/>
        </w:trPr>
        <w:tc>
          <w:tcPr>
            <w:tcW w:w="236" w:type="dxa"/>
            <w:shd w:val="clear" w:color="auto" w:fill="auto"/>
          </w:tcPr>
          <w:p w14:paraId="3A0AF194"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50E2810C"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1C7D91BD"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184CB41D"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51A675B4"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79FE6AEE"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305925EC"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67109324"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01E9C611"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00602291"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031AC47D"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34F08F2D"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0BB17B8A"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32DD191D"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671943AA"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4F45B5F3"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4061FDB3"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0A4E8E61"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02B8C442"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tc>
        <w:tc>
          <w:tcPr>
            <w:tcW w:w="8843" w:type="dxa"/>
            <w:gridSpan w:val="5"/>
            <w:shd w:val="clear" w:color="auto" w:fill="auto"/>
          </w:tcPr>
          <w:p w14:paraId="054DC11E"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12F644AA"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cs="Arial"/>
                <w:color w:val="000000"/>
                <w:sz w:val="24"/>
                <w:szCs w:val="24"/>
              </w:rPr>
            </w:pPr>
            <w:r w:rsidRPr="00D66A79">
              <w:rPr>
                <w:rFonts w:ascii="Arial" w:hAnsi="Arial" w:cs="Arial"/>
                <w:color w:val="000000"/>
                <w:sz w:val="24"/>
                <w:szCs w:val="24"/>
              </w:rPr>
              <w:t>Included in the management expenses is the cost of our involvement in the Wales Pension Partnership (WPP) collective Investment Pooling arrangements.</w:t>
            </w:r>
          </w:p>
          <w:p w14:paraId="0CB4F10A"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cs="Arial"/>
                <w:color w:val="000000"/>
                <w:sz w:val="24"/>
                <w:szCs w:val="24"/>
              </w:rPr>
            </w:pPr>
          </w:p>
          <w:p w14:paraId="148FB536"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sz w:val="24"/>
                <w:szCs w:val="24"/>
              </w:rPr>
            </w:pPr>
            <w:r w:rsidRPr="00D66A79">
              <w:rPr>
                <w:rFonts w:ascii="Arial" w:hAnsi="Arial" w:cs="Arial"/>
                <w:sz w:val="24"/>
                <w:szCs w:val="24"/>
              </w:rPr>
              <w:t xml:space="preserve">The table below reflects the costs incurred in financial year </w:t>
            </w:r>
            <w:r>
              <w:rPr>
                <w:rFonts w:ascii="Arial" w:hAnsi="Arial" w:cs="Arial"/>
                <w:sz w:val="24"/>
                <w:szCs w:val="24"/>
              </w:rPr>
              <w:t>2020/21</w:t>
            </w:r>
            <w:r w:rsidRPr="00D66A79">
              <w:rPr>
                <w:rFonts w:ascii="Arial" w:hAnsi="Arial" w:cs="Arial"/>
                <w:sz w:val="24"/>
                <w:szCs w:val="24"/>
              </w:rPr>
              <w:t xml:space="preserve"> and </w:t>
            </w:r>
            <w:r>
              <w:rPr>
                <w:rFonts w:ascii="Arial" w:hAnsi="Arial" w:cs="Arial"/>
                <w:sz w:val="24"/>
                <w:szCs w:val="24"/>
              </w:rPr>
              <w:t>2021/22</w:t>
            </w:r>
          </w:p>
          <w:p w14:paraId="682786A9"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1272"/>
              <w:gridCol w:w="1299"/>
            </w:tblGrid>
            <w:tr w:rsidR="003F097A" w:rsidRPr="00D66A79" w14:paraId="494B2318" w14:textId="77777777" w:rsidTr="003F097A">
              <w:tc>
                <w:tcPr>
                  <w:tcW w:w="6046" w:type="dxa"/>
                  <w:shd w:val="clear" w:color="auto" w:fill="auto"/>
                </w:tcPr>
                <w:p w14:paraId="4F65DFC4"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tc>
              <w:tc>
                <w:tcPr>
                  <w:tcW w:w="1272" w:type="dxa"/>
                  <w:shd w:val="clear" w:color="auto" w:fill="auto"/>
                </w:tcPr>
                <w:p w14:paraId="1246469C" w14:textId="77777777" w:rsidR="003F097A" w:rsidRPr="00D66A79" w:rsidRDefault="003F097A" w:rsidP="003F097A">
                  <w:pPr>
                    <w:pStyle w:val="Header"/>
                    <w:tabs>
                      <w:tab w:val="clear" w:pos="4153"/>
                      <w:tab w:val="clear" w:pos="8306"/>
                      <w:tab w:val="right" w:pos="2017"/>
                      <w:tab w:val="right" w:pos="5326"/>
                      <w:tab w:val="right" w:pos="6557"/>
                    </w:tabs>
                    <w:jc w:val="center"/>
                    <w:rPr>
                      <w:rFonts w:ascii="Arial" w:hAnsi="Arial" w:cs="Arial"/>
                      <w:b/>
                      <w:color w:val="000000"/>
                      <w:sz w:val="24"/>
                      <w:szCs w:val="24"/>
                    </w:rPr>
                  </w:pPr>
                  <w:r>
                    <w:rPr>
                      <w:rFonts w:ascii="Arial" w:hAnsi="Arial" w:cs="Arial"/>
                      <w:b/>
                      <w:color w:val="000000"/>
                      <w:sz w:val="24"/>
                      <w:szCs w:val="24"/>
                    </w:rPr>
                    <w:t>2020/21</w:t>
                  </w:r>
                </w:p>
              </w:tc>
              <w:tc>
                <w:tcPr>
                  <w:tcW w:w="1299" w:type="dxa"/>
                  <w:shd w:val="clear" w:color="auto" w:fill="auto"/>
                </w:tcPr>
                <w:p w14:paraId="2D0F916F" w14:textId="77777777" w:rsidR="003F097A" w:rsidRPr="00D66A79" w:rsidRDefault="003F097A" w:rsidP="003F097A">
                  <w:pPr>
                    <w:pStyle w:val="Header"/>
                    <w:tabs>
                      <w:tab w:val="clear" w:pos="4153"/>
                      <w:tab w:val="clear" w:pos="8306"/>
                      <w:tab w:val="right" w:pos="2017"/>
                      <w:tab w:val="right" w:pos="5326"/>
                      <w:tab w:val="right" w:pos="6557"/>
                    </w:tabs>
                    <w:jc w:val="center"/>
                    <w:rPr>
                      <w:rFonts w:ascii="Arial" w:hAnsi="Arial" w:cs="Arial"/>
                      <w:b/>
                      <w:color w:val="000000"/>
                      <w:sz w:val="24"/>
                      <w:szCs w:val="24"/>
                    </w:rPr>
                  </w:pPr>
                  <w:r>
                    <w:rPr>
                      <w:rFonts w:ascii="Arial" w:hAnsi="Arial" w:cs="Arial"/>
                      <w:b/>
                      <w:color w:val="000000"/>
                      <w:sz w:val="24"/>
                      <w:szCs w:val="24"/>
                    </w:rPr>
                    <w:t>2021/22</w:t>
                  </w:r>
                </w:p>
              </w:tc>
            </w:tr>
            <w:tr w:rsidR="003F097A" w:rsidRPr="00D66A79" w14:paraId="459CAB1A" w14:textId="77777777" w:rsidTr="003F097A">
              <w:tc>
                <w:tcPr>
                  <w:tcW w:w="6046" w:type="dxa"/>
                  <w:shd w:val="clear" w:color="auto" w:fill="auto"/>
                </w:tcPr>
                <w:p w14:paraId="628E2C67"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tc>
              <w:tc>
                <w:tcPr>
                  <w:tcW w:w="1272" w:type="dxa"/>
                  <w:shd w:val="clear" w:color="auto" w:fill="auto"/>
                </w:tcPr>
                <w:p w14:paraId="034A5FB6" w14:textId="77777777" w:rsidR="003F097A" w:rsidRPr="00D66A79" w:rsidRDefault="003F097A" w:rsidP="003F097A">
                  <w:pPr>
                    <w:pStyle w:val="Header"/>
                    <w:tabs>
                      <w:tab w:val="clear" w:pos="4153"/>
                      <w:tab w:val="clear" w:pos="8306"/>
                      <w:tab w:val="right" w:pos="2017"/>
                      <w:tab w:val="right" w:pos="5326"/>
                      <w:tab w:val="right" w:pos="6557"/>
                    </w:tabs>
                    <w:jc w:val="center"/>
                    <w:rPr>
                      <w:rFonts w:ascii="Arial" w:hAnsi="Arial" w:cs="Arial"/>
                      <w:b/>
                      <w:color w:val="000000"/>
                      <w:sz w:val="24"/>
                      <w:szCs w:val="24"/>
                    </w:rPr>
                  </w:pPr>
                  <w:r w:rsidRPr="00D66A79">
                    <w:rPr>
                      <w:rFonts w:ascii="Arial" w:hAnsi="Arial" w:cs="Arial"/>
                      <w:b/>
                      <w:color w:val="000000"/>
                      <w:sz w:val="24"/>
                      <w:szCs w:val="24"/>
                    </w:rPr>
                    <w:t>£’000</w:t>
                  </w:r>
                </w:p>
              </w:tc>
              <w:tc>
                <w:tcPr>
                  <w:tcW w:w="1299" w:type="dxa"/>
                  <w:shd w:val="clear" w:color="auto" w:fill="auto"/>
                </w:tcPr>
                <w:p w14:paraId="574678FF" w14:textId="77777777" w:rsidR="003F097A" w:rsidRPr="00D66A79" w:rsidRDefault="003F097A" w:rsidP="003F097A">
                  <w:pPr>
                    <w:pStyle w:val="Header"/>
                    <w:tabs>
                      <w:tab w:val="clear" w:pos="4153"/>
                      <w:tab w:val="clear" w:pos="8306"/>
                      <w:tab w:val="right" w:pos="2017"/>
                      <w:tab w:val="right" w:pos="5326"/>
                      <w:tab w:val="right" w:pos="6557"/>
                    </w:tabs>
                    <w:jc w:val="center"/>
                    <w:rPr>
                      <w:rFonts w:ascii="Arial" w:hAnsi="Arial" w:cs="Arial"/>
                      <w:b/>
                      <w:color w:val="000000"/>
                      <w:sz w:val="24"/>
                      <w:szCs w:val="24"/>
                    </w:rPr>
                  </w:pPr>
                  <w:r w:rsidRPr="00D66A79">
                    <w:rPr>
                      <w:rFonts w:ascii="Arial" w:hAnsi="Arial" w:cs="Arial"/>
                      <w:b/>
                      <w:color w:val="000000"/>
                      <w:sz w:val="24"/>
                      <w:szCs w:val="24"/>
                    </w:rPr>
                    <w:t>£’000</w:t>
                  </w:r>
                </w:p>
              </w:tc>
            </w:tr>
            <w:tr w:rsidR="003F097A" w:rsidRPr="00D66A79" w14:paraId="15C49077" w14:textId="77777777" w:rsidTr="003F097A">
              <w:tc>
                <w:tcPr>
                  <w:tcW w:w="6046" w:type="dxa"/>
                  <w:shd w:val="clear" w:color="auto" w:fill="auto"/>
                </w:tcPr>
                <w:p w14:paraId="265CD478"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b/>
                      <w:color w:val="000000"/>
                      <w:sz w:val="24"/>
                      <w:szCs w:val="24"/>
                    </w:rPr>
                  </w:pPr>
                  <w:r w:rsidRPr="00D66A79">
                    <w:rPr>
                      <w:rFonts w:ascii="Arial" w:hAnsi="Arial" w:cs="Arial"/>
                      <w:b/>
                      <w:color w:val="000000"/>
                      <w:sz w:val="24"/>
                      <w:szCs w:val="24"/>
                    </w:rPr>
                    <w:t>WPP Oversight &amp; Governance Costs</w:t>
                  </w:r>
                </w:p>
              </w:tc>
              <w:tc>
                <w:tcPr>
                  <w:tcW w:w="1272" w:type="dxa"/>
                  <w:shd w:val="clear" w:color="auto" w:fill="auto"/>
                </w:tcPr>
                <w:p w14:paraId="524FD922"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tc>
              <w:tc>
                <w:tcPr>
                  <w:tcW w:w="1299" w:type="dxa"/>
                  <w:shd w:val="clear" w:color="auto" w:fill="auto"/>
                </w:tcPr>
                <w:p w14:paraId="5C49C983"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tc>
            </w:tr>
            <w:tr w:rsidR="003F097A" w:rsidRPr="00D66A79" w14:paraId="14A17378" w14:textId="77777777" w:rsidTr="003F097A">
              <w:tc>
                <w:tcPr>
                  <w:tcW w:w="6046" w:type="dxa"/>
                  <w:shd w:val="clear" w:color="auto" w:fill="auto"/>
                </w:tcPr>
                <w:p w14:paraId="30E6F1F5"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r w:rsidRPr="00D66A79">
                    <w:rPr>
                      <w:rFonts w:ascii="Arial" w:hAnsi="Arial" w:cs="Arial"/>
                      <w:color w:val="000000"/>
                      <w:sz w:val="24"/>
                      <w:szCs w:val="24"/>
                    </w:rPr>
                    <w:t>Host Authority Costs</w:t>
                  </w:r>
                </w:p>
              </w:tc>
              <w:tc>
                <w:tcPr>
                  <w:tcW w:w="1272" w:type="dxa"/>
                  <w:shd w:val="clear" w:color="auto" w:fill="auto"/>
                </w:tcPr>
                <w:p w14:paraId="26DD1DD8"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s="Arial"/>
                      <w:color w:val="000000"/>
                      <w:sz w:val="24"/>
                      <w:szCs w:val="24"/>
                    </w:rPr>
                  </w:pPr>
                  <w:r w:rsidRPr="00D66A79">
                    <w:rPr>
                      <w:rFonts w:ascii="Arial" w:hAnsi="Arial" w:cs="Arial"/>
                      <w:color w:val="000000"/>
                      <w:sz w:val="24"/>
                      <w:szCs w:val="24"/>
                    </w:rPr>
                    <w:t>88</w:t>
                  </w:r>
                </w:p>
              </w:tc>
              <w:tc>
                <w:tcPr>
                  <w:tcW w:w="1299" w:type="dxa"/>
                  <w:shd w:val="clear" w:color="auto" w:fill="auto"/>
                </w:tcPr>
                <w:p w14:paraId="0BCEB925" w14:textId="77777777" w:rsidR="003F097A" w:rsidRPr="00D66A79" w:rsidRDefault="00C37013" w:rsidP="003F097A">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hAnsi="Arial" w:cs="Arial"/>
                      <w:color w:val="000000"/>
                      <w:sz w:val="24"/>
                      <w:szCs w:val="24"/>
                    </w:rPr>
                    <w:t>135</w:t>
                  </w:r>
                </w:p>
              </w:tc>
            </w:tr>
            <w:tr w:rsidR="003F097A" w:rsidRPr="00D66A79" w14:paraId="40E27257" w14:textId="77777777" w:rsidTr="003F097A">
              <w:tc>
                <w:tcPr>
                  <w:tcW w:w="6046" w:type="dxa"/>
                  <w:shd w:val="clear" w:color="auto" w:fill="auto"/>
                </w:tcPr>
                <w:p w14:paraId="10D790D2"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b/>
                      <w:color w:val="000000"/>
                      <w:sz w:val="24"/>
                      <w:szCs w:val="24"/>
                    </w:rPr>
                  </w:pPr>
                  <w:r w:rsidRPr="00D66A79">
                    <w:rPr>
                      <w:rFonts w:ascii="Arial" w:hAnsi="Arial" w:cs="Arial"/>
                      <w:b/>
                      <w:color w:val="000000"/>
                      <w:sz w:val="24"/>
                      <w:szCs w:val="24"/>
                    </w:rPr>
                    <w:t>WPP Investment Management Expenses</w:t>
                  </w:r>
                </w:p>
              </w:tc>
              <w:tc>
                <w:tcPr>
                  <w:tcW w:w="1272" w:type="dxa"/>
                  <w:shd w:val="clear" w:color="auto" w:fill="auto"/>
                </w:tcPr>
                <w:p w14:paraId="38DB940B"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s="Arial"/>
                      <w:color w:val="000000"/>
                      <w:sz w:val="24"/>
                      <w:szCs w:val="24"/>
                    </w:rPr>
                  </w:pPr>
                </w:p>
              </w:tc>
              <w:tc>
                <w:tcPr>
                  <w:tcW w:w="1299" w:type="dxa"/>
                  <w:shd w:val="clear" w:color="auto" w:fill="auto"/>
                </w:tcPr>
                <w:p w14:paraId="5ACB35F9"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s="Arial"/>
                      <w:color w:val="000000"/>
                      <w:sz w:val="24"/>
                      <w:szCs w:val="24"/>
                    </w:rPr>
                  </w:pPr>
                </w:p>
              </w:tc>
            </w:tr>
            <w:tr w:rsidR="003F097A" w:rsidRPr="00D66A79" w14:paraId="50E89094" w14:textId="77777777" w:rsidTr="003F097A">
              <w:tc>
                <w:tcPr>
                  <w:tcW w:w="6046" w:type="dxa"/>
                  <w:shd w:val="clear" w:color="auto" w:fill="auto"/>
                </w:tcPr>
                <w:p w14:paraId="4A494820"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r w:rsidRPr="00D66A79">
                    <w:rPr>
                      <w:rFonts w:ascii="Arial" w:hAnsi="Arial" w:cs="Arial"/>
                      <w:color w:val="000000"/>
                      <w:sz w:val="24"/>
                      <w:szCs w:val="24"/>
                    </w:rPr>
                    <w:t>Fund Manager Fees</w:t>
                  </w:r>
                </w:p>
              </w:tc>
              <w:tc>
                <w:tcPr>
                  <w:tcW w:w="1272" w:type="dxa"/>
                  <w:shd w:val="clear" w:color="auto" w:fill="auto"/>
                </w:tcPr>
                <w:p w14:paraId="7860C944"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s="Arial"/>
                      <w:color w:val="000000"/>
                      <w:sz w:val="24"/>
                      <w:szCs w:val="24"/>
                    </w:rPr>
                  </w:pPr>
                  <w:r w:rsidRPr="00D66A79">
                    <w:rPr>
                      <w:rFonts w:ascii="Arial" w:hAnsi="Arial" w:cs="Arial"/>
                      <w:color w:val="000000"/>
                      <w:sz w:val="24"/>
                      <w:szCs w:val="24"/>
                    </w:rPr>
                    <w:t>898</w:t>
                  </w:r>
                </w:p>
              </w:tc>
              <w:tc>
                <w:tcPr>
                  <w:tcW w:w="1299" w:type="dxa"/>
                  <w:shd w:val="clear" w:color="auto" w:fill="auto"/>
                </w:tcPr>
                <w:p w14:paraId="34162725" w14:textId="77777777" w:rsidR="003F097A" w:rsidRPr="00D66A79" w:rsidRDefault="00C37013" w:rsidP="003F097A">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hAnsi="Arial" w:cs="Arial"/>
                      <w:color w:val="000000"/>
                      <w:sz w:val="24"/>
                      <w:szCs w:val="24"/>
                    </w:rPr>
                    <w:t>983</w:t>
                  </w:r>
                </w:p>
              </w:tc>
            </w:tr>
            <w:tr w:rsidR="003F097A" w:rsidRPr="00D66A79" w14:paraId="47C26EF4" w14:textId="77777777" w:rsidTr="003F097A">
              <w:tc>
                <w:tcPr>
                  <w:tcW w:w="6046" w:type="dxa"/>
                  <w:shd w:val="clear" w:color="auto" w:fill="auto"/>
                </w:tcPr>
                <w:p w14:paraId="04FF6B51"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r w:rsidRPr="00D66A79">
                    <w:rPr>
                      <w:rFonts w:ascii="Arial" w:hAnsi="Arial" w:cs="Arial"/>
                      <w:color w:val="000000"/>
                      <w:sz w:val="24"/>
                      <w:szCs w:val="24"/>
                    </w:rPr>
                    <w:t>Custody Fees</w:t>
                  </w:r>
                </w:p>
              </w:tc>
              <w:tc>
                <w:tcPr>
                  <w:tcW w:w="1272" w:type="dxa"/>
                  <w:shd w:val="clear" w:color="auto" w:fill="auto"/>
                </w:tcPr>
                <w:p w14:paraId="55C4A4F7"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s="Arial"/>
                      <w:color w:val="000000"/>
                      <w:sz w:val="24"/>
                      <w:szCs w:val="24"/>
                    </w:rPr>
                  </w:pPr>
                  <w:r w:rsidRPr="00D66A79">
                    <w:rPr>
                      <w:rFonts w:ascii="Arial" w:hAnsi="Arial" w:cs="Arial"/>
                      <w:color w:val="000000"/>
                      <w:sz w:val="24"/>
                      <w:szCs w:val="24"/>
                    </w:rPr>
                    <w:t>238</w:t>
                  </w:r>
                </w:p>
              </w:tc>
              <w:tc>
                <w:tcPr>
                  <w:tcW w:w="1299" w:type="dxa"/>
                  <w:shd w:val="clear" w:color="auto" w:fill="auto"/>
                </w:tcPr>
                <w:p w14:paraId="73F98DD1" w14:textId="77777777" w:rsidR="003F097A" w:rsidRPr="00D66A79" w:rsidRDefault="00C37013" w:rsidP="003F097A">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hAnsi="Arial" w:cs="Arial"/>
                      <w:color w:val="000000"/>
                      <w:sz w:val="24"/>
                      <w:szCs w:val="24"/>
                    </w:rPr>
                    <w:t>252</w:t>
                  </w:r>
                </w:p>
              </w:tc>
            </w:tr>
            <w:tr w:rsidR="003F097A" w:rsidRPr="00D66A79" w14:paraId="4FD22919" w14:textId="77777777" w:rsidTr="003F097A">
              <w:tc>
                <w:tcPr>
                  <w:tcW w:w="6046" w:type="dxa"/>
                  <w:shd w:val="clear" w:color="auto" w:fill="auto"/>
                </w:tcPr>
                <w:p w14:paraId="0927735E"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r w:rsidRPr="00D66A79">
                    <w:rPr>
                      <w:rFonts w:ascii="Arial" w:hAnsi="Arial" w:cs="Arial"/>
                      <w:color w:val="000000"/>
                      <w:sz w:val="24"/>
                      <w:szCs w:val="24"/>
                    </w:rPr>
                    <w:t>Transaction Costs</w:t>
                  </w:r>
                </w:p>
              </w:tc>
              <w:tc>
                <w:tcPr>
                  <w:tcW w:w="1272" w:type="dxa"/>
                  <w:shd w:val="clear" w:color="auto" w:fill="auto"/>
                </w:tcPr>
                <w:p w14:paraId="49817FC4"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s="Arial"/>
                      <w:color w:val="000000"/>
                      <w:sz w:val="24"/>
                      <w:szCs w:val="24"/>
                    </w:rPr>
                  </w:pPr>
                  <w:r w:rsidRPr="00D66A79">
                    <w:rPr>
                      <w:rFonts w:ascii="Arial" w:hAnsi="Arial" w:cs="Arial"/>
                      <w:color w:val="000000"/>
                      <w:sz w:val="24"/>
                      <w:szCs w:val="24"/>
                    </w:rPr>
                    <w:t>834</w:t>
                  </w:r>
                </w:p>
              </w:tc>
              <w:tc>
                <w:tcPr>
                  <w:tcW w:w="1299" w:type="dxa"/>
                  <w:shd w:val="clear" w:color="auto" w:fill="auto"/>
                </w:tcPr>
                <w:p w14:paraId="080F58E6" w14:textId="77777777" w:rsidR="003F097A" w:rsidRPr="00D66A79" w:rsidRDefault="00C37013" w:rsidP="003F097A">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hAnsi="Arial" w:cs="Arial"/>
                      <w:color w:val="000000"/>
                      <w:sz w:val="24"/>
                      <w:szCs w:val="24"/>
                    </w:rPr>
                    <w:t>1,165</w:t>
                  </w:r>
                </w:p>
              </w:tc>
            </w:tr>
            <w:tr w:rsidR="003F097A" w:rsidRPr="00D66A79" w14:paraId="4AF23BD5" w14:textId="77777777" w:rsidTr="003F097A">
              <w:tc>
                <w:tcPr>
                  <w:tcW w:w="6046" w:type="dxa"/>
                  <w:shd w:val="clear" w:color="auto" w:fill="auto"/>
                </w:tcPr>
                <w:p w14:paraId="4C7F911A"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p w14:paraId="54EE774C"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b/>
                      <w:color w:val="000000"/>
                      <w:sz w:val="24"/>
                      <w:szCs w:val="24"/>
                    </w:rPr>
                  </w:pPr>
                  <w:r w:rsidRPr="00D66A79">
                    <w:rPr>
                      <w:rFonts w:ascii="Arial" w:hAnsi="Arial" w:cs="Arial"/>
                      <w:b/>
                      <w:color w:val="000000"/>
                      <w:sz w:val="24"/>
                      <w:szCs w:val="24"/>
                    </w:rPr>
                    <w:t>Total</w:t>
                  </w:r>
                </w:p>
              </w:tc>
              <w:tc>
                <w:tcPr>
                  <w:tcW w:w="1272" w:type="dxa"/>
                  <w:shd w:val="clear" w:color="auto" w:fill="auto"/>
                </w:tcPr>
                <w:p w14:paraId="5B638B2E"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s="Arial"/>
                      <w:b/>
                      <w:color w:val="000000"/>
                      <w:sz w:val="24"/>
                      <w:szCs w:val="24"/>
                    </w:rPr>
                  </w:pPr>
                </w:p>
                <w:p w14:paraId="14DF451F"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s="Arial"/>
                      <w:b/>
                      <w:color w:val="000000"/>
                      <w:sz w:val="24"/>
                      <w:szCs w:val="24"/>
                    </w:rPr>
                  </w:pPr>
                  <w:r w:rsidRPr="00D66A79">
                    <w:rPr>
                      <w:rFonts w:ascii="Arial" w:hAnsi="Arial" w:cs="Arial"/>
                      <w:b/>
                      <w:color w:val="000000"/>
                      <w:sz w:val="24"/>
                      <w:szCs w:val="24"/>
                    </w:rPr>
                    <w:t>2,058</w:t>
                  </w:r>
                </w:p>
              </w:tc>
              <w:tc>
                <w:tcPr>
                  <w:tcW w:w="1299" w:type="dxa"/>
                  <w:shd w:val="clear" w:color="auto" w:fill="auto"/>
                </w:tcPr>
                <w:p w14:paraId="546B6ED5" w14:textId="77777777" w:rsidR="003F097A" w:rsidRDefault="003F097A" w:rsidP="003F097A">
                  <w:pPr>
                    <w:pStyle w:val="Header"/>
                    <w:tabs>
                      <w:tab w:val="clear" w:pos="4153"/>
                      <w:tab w:val="clear" w:pos="8306"/>
                      <w:tab w:val="right" w:pos="2017"/>
                      <w:tab w:val="right" w:pos="5326"/>
                      <w:tab w:val="right" w:pos="6557"/>
                    </w:tabs>
                    <w:jc w:val="right"/>
                    <w:rPr>
                      <w:rFonts w:ascii="Arial" w:hAnsi="Arial" w:cs="Arial"/>
                      <w:b/>
                      <w:color w:val="000000"/>
                      <w:sz w:val="24"/>
                      <w:szCs w:val="24"/>
                    </w:rPr>
                  </w:pPr>
                </w:p>
                <w:p w14:paraId="3887C08A" w14:textId="77777777" w:rsidR="00C37013" w:rsidRPr="00D66A79" w:rsidRDefault="00C37013" w:rsidP="003F097A">
                  <w:pPr>
                    <w:pStyle w:val="Header"/>
                    <w:tabs>
                      <w:tab w:val="clear" w:pos="4153"/>
                      <w:tab w:val="clear" w:pos="8306"/>
                      <w:tab w:val="right" w:pos="2017"/>
                      <w:tab w:val="right" w:pos="5326"/>
                      <w:tab w:val="right" w:pos="6557"/>
                    </w:tabs>
                    <w:jc w:val="right"/>
                    <w:rPr>
                      <w:rFonts w:ascii="Arial" w:hAnsi="Arial" w:cs="Arial"/>
                      <w:b/>
                      <w:color w:val="000000"/>
                      <w:sz w:val="24"/>
                      <w:szCs w:val="24"/>
                    </w:rPr>
                  </w:pPr>
                  <w:r>
                    <w:rPr>
                      <w:rFonts w:ascii="Arial" w:hAnsi="Arial" w:cs="Arial"/>
                      <w:b/>
                      <w:color w:val="000000"/>
                      <w:sz w:val="24"/>
                      <w:szCs w:val="24"/>
                    </w:rPr>
                    <w:t>2,535</w:t>
                  </w:r>
                </w:p>
              </w:tc>
            </w:tr>
          </w:tbl>
          <w:p w14:paraId="49EE4214"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p w14:paraId="5469E217"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sz w:val="24"/>
                <w:szCs w:val="24"/>
              </w:rPr>
            </w:pPr>
          </w:p>
          <w:p w14:paraId="7D136A9D"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cs="Arial"/>
                <w:color w:val="000000"/>
                <w:sz w:val="24"/>
                <w:szCs w:val="24"/>
              </w:rPr>
            </w:pPr>
            <w:r w:rsidRPr="00D66A79">
              <w:rPr>
                <w:rFonts w:ascii="Arial" w:hAnsi="Arial" w:cs="Arial"/>
                <w:color w:val="000000"/>
                <w:sz w:val="24"/>
                <w:szCs w:val="24"/>
              </w:rPr>
              <w:t>The oversight and governance costs are the annual running costs of the pool which includes the host authority costs and other external advisor costs. These costs are funded equally by all eight of the local authority Pension Funds in Wales. The investment management expenses are fees payable to Link Fund Solutions (the WPP Operator) and include fund manager fees (which also includes the operator fee and other associated costs), transaction costs and custody fees. These costs are based on each Fund’s percentage share of WPP pooled assets and are deducted from the Net Asset Value (NAV).</w:t>
            </w:r>
          </w:p>
          <w:p w14:paraId="6CEDF634"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sz w:val="24"/>
                <w:szCs w:val="24"/>
              </w:rPr>
            </w:pPr>
          </w:p>
          <w:p w14:paraId="000B1BC3" w14:textId="77777777" w:rsidR="003F097A" w:rsidRDefault="003F097A"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4534A67C" w14:textId="77777777" w:rsidR="00C974AE" w:rsidRDefault="00C974AE"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0FE3C80E" w14:textId="77777777" w:rsidR="00C974AE" w:rsidRDefault="00C974AE"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307E7C81" w14:textId="77777777" w:rsidR="00C974AE" w:rsidRDefault="00C974AE"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7F7B3C46" w14:textId="77777777" w:rsidR="00C974AE" w:rsidRDefault="00C974AE"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35C43A59" w14:textId="77777777" w:rsidR="00C974AE" w:rsidRDefault="00C974AE"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43FF37FB" w14:textId="77777777" w:rsidR="00C974AE" w:rsidRDefault="00C974AE"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3113753F" w14:textId="77777777" w:rsidR="00C974AE" w:rsidRDefault="00C974AE"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5285BC4A" w14:textId="77777777" w:rsidR="00C974AE" w:rsidRDefault="00C974AE"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6F954AE1" w14:textId="77777777" w:rsidR="00C974AE" w:rsidRDefault="00C974AE"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4D669E70" w14:textId="77777777" w:rsidR="00C974AE" w:rsidRDefault="00C974AE"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74D8FC89" w14:textId="77777777" w:rsidR="00C974AE" w:rsidRDefault="00C974AE"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435D0968"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b/>
                <w:color w:val="000000"/>
                <w:sz w:val="24"/>
                <w:szCs w:val="24"/>
              </w:rPr>
            </w:pPr>
            <w:r w:rsidRPr="00D66A79">
              <w:rPr>
                <w:rFonts w:ascii="Arial" w:hAnsi="Arial"/>
                <w:b/>
                <w:color w:val="000000"/>
                <w:sz w:val="24"/>
                <w:szCs w:val="24"/>
              </w:rPr>
              <w:lastRenderedPageBreak/>
              <w:t>Note 8 cont’d - Investment Management Expenses</w:t>
            </w:r>
          </w:p>
          <w:p w14:paraId="633EBB83"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78AC7D88" w14:textId="77777777" w:rsidR="003F097A" w:rsidRDefault="003F097A" w:rsidP="003F097A">
            <w:pPr>
              <w:pStyle w:val="Header"/>
              <w:tabs>
                <w:tab w:val="clear" w:pos="4153"/>
                <w:tab w:val="clear" w:pos="8306"/>
                <w:tab w:val="right" w:pos="2017"/>
                <w:tab w:val="right" w:pos="5326"/>
                <w:tab w:val="right" w:pos="6557"/>
              </w:tabs>
              <w:jc w:val="both"/>
              <w:rPr>
                <w:noProof/>
                <w:lang w:eastAsia="en-GB"/>
              </w:rPr>
            </w:pPr>
          </w:p>
          <w:p w14:paraId="0C58CEA8" w14:textId="4F4F50DF" w:rsidR="0012451C" w:rsidRDefault="00516E75" w:rsidP="003F097A">
            <w:pPr>
              <w:pStyle w:val="Header"/>
              <w:tabs>
                <w:tab w:val="clear" w:pos="4153"/>
                <w:tab w:val="clear" w:pos="8306"/>
                <w:tab w:val="right" w:pos="2017"/>
                <w:tab w:val="right" w:pos="5326"/>
                <w:tab w:val="right" w:pos="6557"/>
              </w:tabs>
              <w:jc w:val="both"/>
              <w:rPr>
                <w:noProof/>
                <w:lang w:eastAsia="en-GB"/>
              </w:rPr>
            </w:pPr>
            <w:r>
              <w:rPr>
                <w:noProof/>
                <w:lang w:eastAsia="en-GB"/>
              </w:rPr>
              <w:drawing>
                <wp:inline distT="0" distB="0" distL="0" distR="0" wp14:anchorId="0DDAF430" wp14:editId="743FD15A">
                  <wp:extent cx="4375785" cy="8098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5785" cy="8098790"/>
                          </a:xfrm>
                          <a:prstGeom prst="rect">
                            <a:avLst/>
                          </a:prstGeom>
                          <a:noFill/>
                          <a:ln>
                            <a:noFill/>
                          </a:ln>
                        </pic:spPr>
                      </pic:pic>
                    </a:graphicData>
                  </a:graphic>
                </wp:inline>
              </w:drawing>
            </w:r>
          </w:p>
          <w:p w14:paraId="45FCCD6F"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0E620354"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color w:val="000000"/>
                <w:sz w:val="24"/>
                <w:szCs w:val="24"/>
              </w:rPr>
            </w:pPr>
            <w:r w:rsidRPr="00D66A79">
              <w:rPr>
                <w:rFonts w:ascii="Arial" w:hAnsi="Arial"/>
                <w:color w:val="000000"/>
                <w:sz w:val="24"/>
                <w:szCs w:val="24"/>
              </w:rPr>
              <w:t>The above represents direct fees payable to the appointed fund managers, however, the following investments are appointed via a fund of funds/manager of managers approach which have their own underlying manager fees.</w:t>
            </w:r>
          </w:p>
          <w:p w14:paraId="6126657C"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19103A30"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D66A79">
              <w:rPr>
                <w:rFonts w:ascii="Arial" w:hAnsi="Arial"/>
                <w:color w:val="000000"/>
                <w:sz w:val="24"/>
                <w:szCs w:val="24"/>
              </w:rPr>
              <w:t xml:space="preserve">The table below represents the underlying manager fees, these fees are not charged to the accounts but are disclosed here for transparency. The returns for these mandates are net of underlying manager costs, this is reflected in Note 12 within the Change in Market Value. </w:t>
            </w:r>
          </w:p>
          <w:p w14:paraId="1E950BBF"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bl>
            <w:tblPr>
              <w:tblW w:w="8627" w:type="dxa"/>
              <w:tblLook w:val="04A0" w:firstRow="1" w:lastRow="0" w:firstColumn="1" w:lastColumn="0" w:noHBand="0" w:noVBand="1"/>
            </w:tblPr>
            <w:tblGrid>
              <w:gridCol w:w="1256"/>
              <w:gridCol w:w="5670"/>
              <w:gridCol w:w="1701"/>
            </w:tblGrid>
            <w:tr w:rsidR="003F097A" w:rsidRPr="00D66A79" w14:paraId="7C33EA50" w14:textId="77777777" w:rsidTr="00740D35">
              <w:tc>
                <w:tcPr>
                  <w:tcW w:w="1256" w:type="dxa"/>
                  <w:shd w:val="clear" w:color="auto" w:fill="auto"/>
                </w:tcPr>
                <w:p w14:paraId="56F05CBA"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2020/21</w:t>
                  </w:r>
                </w:p>
              </w:tc>
              <w:tc>
                <w:tcPr>
                  <w:tcW w:w="5670" w:type="dxa"/>
                  <w:shd w:val="clear" w:color="auto" w:fill="auto"/>
                </w:tcPr>
                <w:p w14:paraId="5E222A34"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701" w:type="dxa"/>
                  <w:shd w:val="clear" w:color="auto" w:fill="auto"/>
                </w:tcPr>
                <w:p w14:paraId="5FB9F68A"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2021/22</w:t>
                  </w:r>
                </w:p>
              </w:tc>
            </w:tr>
            <w:tr w:rsidR="003F097A" w:rsidRPr="00D66A79" w14:paraId="7C4DE941" w14:textId="77777777" w:rsidTr="00740D35">
              <w:tc>
                <w:tcPr>
                  <w:tcW w:w="1256" w:type="dxa"/>
                  <w:shd w:val="clear" w:color="auto" w:fill="auto"/>
                </w:tcPr>
                <w:p w14:paraId="6EB10BA0"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sidRPr="00D66A79">
                    <w:rPr>
                      <w:rFonts w:ascii="Arial" w:hAnsi="Arial"/>
                      <w:b/>
                      <w:color w:val="000000"/>
                      <w:sz w:val="24"/>
                      <w:szCs w:val="24"/>
                    </w:rPr>
                    <w:t>£’000</w:t>
                  </w:r>
                </w:p>
              </w:tc>
              <w:tc>
                <w:tcPr>
                  <w:tcW w:w="5670" w:type="dxa"/>
                  <w:shd w:val="clear" w:color="auto" w:fill="auto"/>
                </w:tcPr>
                <w:p w14:paraId="1917F00A"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701" w:type="dxa"/>
                  <w:shd w:val="clear" w:color="auto" w:fill="auto"/>
                </w:tcPr>
                <w:p w14:paraId="46606D4C"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sidRPr="00D66A79">
                    <w:rPr>
                      <w:rFonts w:ascii="Arial" w:hAnsi="Arial"/>
                      <w:b/>
                      <w:color w:val="000000"/>
                      <w:sz w:val="24"/>
                      <w:szCs w:val="24"/>
                    </w:rPr>
                    <w:t>£’000</w:t>
                  </w:r>
                </w:p>
              </w:tc>
            </w:tr>
            <w:tr w:rsidR="003F097A" w:rsidRPr="00D66A79" w14:paraId="2B023B18" w14:textId="77777777" w:rsidTr="00740D35">
              <w:tc>
                <w:tcPr>
                  <w:tcW w:w="1256" w:type="dxa"/>
                  <w:shd w:val="clear" w:color="auto" w:fill="auto"/>
                </w:tcPr>
                <w:p w14:paraId="53FA4AFD"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sidRPr="00D66A79">
                    <w:rPr>
                      <w:rFonts w:ascii="Arial" w:hAnsi="Arial"/>
                      <w:color w:val="000000"/>
                      <w:sz w:val="24"/>
                      <w:szCs w:val="24"/>
                    </w:rPr>
                    <w:t>176</w:t>
                  </w:r>
                </w:p>
              </w:tc>
              <w:tc>
                <w:tcPr>
                  <w:tcW w:w="5670" w:type="dxa"/>
                  <w:shd w:val="clear" w:color="auto" w:fill="auto"/>
                </w:tcPr>
                <w:p w14:paraId="441BA6CC"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D66A79">
                    <w:rPr>
                      <w:rFonts w:ascii="Arial" w:hAnsi="Arial"/>
                      <w:color w:val="000000"/>
                      <w:sz w:val="24"/>
                      <w:szCs w:val="24"/>
                    </w:rPr>
                    <w:t>Partners Group</w:t>
                  </w:r>
                </w:p>
              </w:tc>
              <w:tc>
                <w:tcPr>
                  <w:tcW w:w="1701" w:type="dxa"/>
                  <w:shd w:val="clear" w:color="auto" w:fill="auto"/>
                </w:tcPr>
                <w:p w14:paraId="73DAC69C" w14:textId="77777777" w:rsidR="00323AA9" w:rsidRPr="00D66A79" w:rsidRDefault="00323AA9" w:rsidP="00323AA9">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88</w:t>
                  </w:r>
                </w:p>
              </w:tc>
            </w:tr>
            <w:tr w:rsidR="003F097A" w:rsidRPr="00D66A79" w14:paraId="24610A5D" w14:textId="77777777" w:rsidTr="00740D35">
              <w:tc>
                <w:tcPr>
                  <w:tcW w:w="1256" w:type="dxa"/>
                  <w:shd w:val="clear" w:color="auto" w:fill="auto"/>
                </w:tcPr>
                <w:p w14:paraId="0FA1DB44"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sidRPr="00D66A79">
                    <w:rPr>
                      <w:rFonts w:ascii="Arial" w:hAnsi="Arial"/>
                      <w:color w:val="000000"/>
                      <w:sz w:val="24"/>
                      <w:szCs w:val="24"/>
                    </w:rPr>
                    <w:t>629</w:t>
                  </w:r>
                </w:p>
              </w:tc>
              <w:tc>
                <w:tcPr>
                  <w:tcW w:w="5670" w:type="dxa"/>
                  <w:shd w:val="clear" w:color="auto" w:fill="auto"/>
                </w:tcPr>
                <w:p w14:paraId="4F65877C"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D66A79">
                    <w:rPr>
                      <w:rFonts w:ascii="Arial" w:hAnsi="Arial"/>
                      <w:color w:val="000000"/>
                      <w:sz w:val="24"/>
                      <w:szCs w:val="24"/>
                    </w:rPr>
                    <w:t>Blackrock Hedge Fund</w:t>
                  </w:r>
                </w:p>
              </w:tc>
              <w:tc>
                <w:tcPr>
                  <w:tcW w:w="1701" w:type="dxa"/>
                  <w:shd w:val="clear" w:color="auto" w:fill="auto"/>
                </w:tcPr>
                <w:p w14:paraId="050B7A57" w14:textId="77777777" w:rsidR="003F097A" w:rsidRPr="00D66A79" w:rsidRDefault="00323AA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0</w:t>
                  </w:r>
                </w:p>
              </w:tc>
            </w:tr>
            <w:tr w:rsidR="003F097A" w:rsidRPr="00D66A79" w14:paraId="242E1199" w14:textId="77777777" w:rsidTr="00740D35">
              <w:tc>
                <w:tcPr>
                  <w:tcW w:w="1256" w:type="dxa"/>
                  <w:shd w:val="clear" w:color="auto" w:fill="auto"/>
                </w:tcPr>
                <w:p w14:paraId="39D75273"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sidRPr="00D66A79">
                    <w:rPr>
                      <w:rFonts w:ascii="Arial" w:hAnsi="Arial"/>
                      <w:color w:val="000000"/>
                      <w:sz w:val="24"/>
                      <w:szCs w:val="24"/>
                    </w:rPr>
                    <w:t>449</w:t>
                  </w:r>
                </w:p>
              </w:tc>
              <w:tc>
                <w:tcPr>
                  <w:tcW w:w="5670" w:type="dxa"/>
                  <w:shd w:val="clear" w:color="auto" w:fill="auto"/>
                </w:tcPr>
                <w:p w14:paraId="1482D641"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D66A79">
                    <w:rPr>
                      <w:rFonts w:ascii="Arial" w:hAnsi="Arial"/>
                      <w:color w:val="000000"/>
                      <w:sz w:val="24"/>
                      <w:szCs w:val="24"/>
                    </w:rPr>
                    <w:t>Schroders Property Fund</w:t>
                  </w:r>
                </w:p>
              </w:tc>
              <w:tc>
                <w:tcPr>
                  <w:tcW w:w="1701" w:type="dxa"/>
                  <w:shd w:val="clear" w:color="auto" w:fill="auto"/>
                </w:tcPr>
                <w:p w14:paraId="7A62323C" w14:textId="77777777" w:rsidR="003F097A" w:rsidRPr="00D66A79" w:rsidRDefault="00323AA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526</w:t>
                  </w:r>
                </w:p>
              </w:tc>
            </w:tr>
            <w:tr w:rsidR="003F097A" w:rsidRPr="00D66A79" w14:paraId="7E3F6B5D" w14:textId="77777777" w:rsidTr="00740D35">
              <w:tc>
                <w:tcPr>
                  <w:tcW w:w="1256" w:type="dxa"/>
                  <w:shd w:val="clear" w:color="auto" w:fill="auto"/>
                </w:tcPr>
                <w:p w14:paraId="1665E058"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sidRPr="00D66A79">
                    <w:rPr>
                      <w:rFonts w:ascii="Arial" w:hAnsi="Arial"/>
                      <w:color w:val="000000"/>
                      <w:sz w:val="24"/>
                      <w:szCs w:val="24"/>
                    </w:rPr>
                    <w:t>1,780</w:t>
                  </w:r>
                </w:p>
              </w:tc>
              <w:tc>
                <w:tcPr>
                  <w:tcW w:w="5670" w:type="dxa"/>
                  <w:shd w:val="clear" w:color="auto" w:fill="auto"/>
                </w:tcPr>
                <w:p w14:paraId="5D5C4790"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D66A79">
                    <w:rPr>
                      <w:rFonts w:ascii="Arial" w:hAnsi="Arial"/>
                      <w:color w:val="000000"/>
                      <w:sz w:val="24"/>
                      <w:szCs w:val="24"/>
                    </w:rPr>
                    <w:t>EnTrustPermal</w:t>
                  </w:r>
                </w:p>
              </w:tc>
              <w:tc>
                <w:tcPr>
                  <w:tcW w:w="1701" w:type="dxa"/>
                  <w:shd w:val="clear" w:color="auto" w:fill="auto"/>
                </w:tcPr>
                <w:p w14:paraId="383256F9" w14:textId="77777777" w:rsidR="003F097A" w:rsidRPr="00D66A79" w:rsidRDefault="00323AA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1,114</w:t>
                  </w:r>
                </w:p>
              </w:tc>
            </w:tr>
            <w:tr w:rsidR="003F097A" w:rsidRPr="00D66A79" w14:paraId="7AF68F92" w14:textId="77777777" w:rsidTr="00740D35">
              <w:tc>
                <w:tcPr>
                  <w:tcW w:w="1256" w:type="dxa"/>
                  <w:tcBorders>
                    <w:bottom w:val="single" w:sz="4" w:space="0" w:color="auto"/>
                  </w:tcBorders>
                  <w:shd w:val="clear" w:color="auto" w:fill="auto"/>
                </w:tcPr>
                <w:p w14:paraId="6206D7FA"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sidRPr="00D66A79">
                    <w:rPr>
                      <w:rFonts w:ascii="Arial" w:hAnsi="Arial"/>
                      <w:color w:val="000000"/>
                      <w:sz w:val="24"/>
                      <w:szCs w:val="24"/>
                    </w:rPr>
                    <w:t>7,711</w:t>
                  </w:r>
                </w:p>
                <w:p w14:paraId="3B988223"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sidRPr="00D66A79">
                    <w:rPr>
                      <w:rFonts w:ascii="Arial" w:hAnsi="Arial"/>
                      <w:color w:val="000000"/>
                      <w:sz w:val="24"/>
                      <w:szCs w:val="24"/>
                    </w:rPr>
                    <w:t>7,578</w:t>
                  </w:r>
                </w:p>
                <w:p w14:paraId="64C55D44" w14:textId="77777777" w:rsidR="003F097A"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sidRPr="00D66A79">
                    <w:rPr>
                      <w:rFonts w:ascii="Arial" w:hAnsi="Arial"/>
                      <w:color w:val="000000"/>
                      <w:sz w:val="24"/>
                      <w:szCs w:val="24"/>
                    </w:rPr>
                    <w:t>48</w:t>
                  </w:r>
                </w:p>
                <w:p w14:paraId="0297F0C5" w14:textId="77777777" w:rsidR="00323AA9" w:rsidRPr="00D66A79" w:rsidRDefault="00323AA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0</w:t>
                  </w:r>
                </w:p>
              </w:tc>
              <w:tc>
                <w:tcPr>
                  <w:tcW w:w="5670" w:type="dxa"/>
                  <w:shd w:val="clear" w:color="auto" w:fill="auto"/>
                </w:tcPr>
                <w:p w14:paraId="19FC5ABC"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D66A79">
                    <w:rPr>
                      <w:rFonts w:ascii="Arial" w:hAnsi="Arial"/>
                      <w:color w:val="000000"/>
                      <w:sz w:val="24"/>
                      <w:szCs w:val="24"/>
                    </w:rPr>
                    <w:t xml:space="preserve">HarbourVest </w:t>
                  </w:r>
                </w:p>
                <w:p w14:paraId="01319560"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D66A79">
                    <w:rPr>
                      <w:rFonts w:ascii="Arial" w:hAnsi="Arial"/>
                      <w:color w:val="000000"/>
                      <w:sz w:val="24"/>
                      <w:szCs w:val="24"/>
                    </w:rPr>
                    <w:t xml:space="preserve">WPP </w:t>
                  </w:r>
                </w:p>
                <w:p w14:paraId="663C3B65" w14:textId="77777777" w:rsidR="003F097A"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D66A79">
                    <w:rPr>
                      <w:rFonts w:ascii="Arial" w:hAnsi="Arial"/>
                      <w:color w:val="000000"/>
                      <w:sz w:val="24"/>
                      <w:szCs w:val="24"/>
                    </w:rPr>
                    <w:t>Blackstone</w:t>
                  </w:r>
                </w:p>
                <w:p w14:paraId="2FBF8263" w14:textId="77777777" w:rsidR="00323AA9" w:rsidRPr="00D66A79" w:rsidRDefault="00323AA9"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hAnsi="Arial"/>
                      <w:color w:val="000000"/>
                      <w:sz w:val="24"/>
                      <w:szCs w:val="24"/>
                    </w:rPr>
                    <w:t>Man Group</w:t>
                  </w:r>
                </w:p>
              </w:tc>
              <w:tc>
                <w:tcPr>
                  <w:tcW w:w="1701" w:type="dxa"/>
                  <w:tcBorders>
                    <w:bottom w:val="single" w:sz="4" w:space="0" w:color="auto"/>
                  </w:tcBorders>
                  <w:shd w:val="clear" w:color="auto" w:fill="auto"/>
                </w:tcPr>
                <w:p w14:paraId="60F9D619" w14:textId="77777777" w:rsidR="003F097A" w:rsidRDefault="00323AA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8,664</w:t>
                  </w:r>
                </w:p>
                <w:p w14:paraId="6B975785" w14:textId="77777777" w:rsidR="00323AA9" w:rsidRDefault="00323AA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2,473</w:t>
                  </w:r>
                </w:p>
                <w:p w14:paraId="28056C60" w14:textId="77777777" w:rsidR="00323AA9" w:rsidRDefault="00323AA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0</w:t>
                  </w:r>
                </w:p>
                <w:p w14:paraId="731B5771" w14:textId="77777777" w:rsidR="00323AA9" w:rsidRPr="00D66A79" w:rsidRDefault="00323AA9"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341</w:t>
                  </w:r>
                </w:p>
              </w:tc>
            </w:tr>
            <w:tr w:rsidR="003F097A" w:rsidRPr="00D66A79" w14:paraId="01561A43" w14:textId="77777777" w:rsidTr="00740D35">
              <w:tc>
                <w:tcPr>
                  <w:tcW w:w="1256" w:type="dxa"/>
                  <w:tcBorders>
                    <w:top w:val="single" w:sz="4" w:space="0" w:color="auto"/>
                    <w:bottom w:val="double" w:sz="4" w:space="0" w:color="auto"/>
                  </w:tcBorders>
                  <w:shd w:val="clear" w:color="auto" w:fill="auto"/>
                </w:tcPr>
                <w:p w14:paraId="5FEEC840"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sidRPr="00D66A79">
                    <w:rPr>
                      <w:rFonts w:ascii="Arial" w:hAnsi="Arial"/>
                      <w:b/>
                      <w:color w:val="000000"/>
                      <w:sz w:val="24"/>
                      <w:szCs w:val="24"/>
                    </w:rPr>
                    <w:t>18,371</w:t>
                  </w:r>
                </w:p>
              </w:tc>
              <w:tc>
                <w:tcPr>
                  <w:tcW w:w="5670" w:type="dxa"/>
                  <w:shd w:val="clear" w:color="auto" w:fill="auto"/>
                </w:tcPr>
                <w:p w14:paraId="668534F6"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r w:rsidRPr="00D66A79">
                    <w:rPr>
                      <w:rFonts w:ascii="Arial" w:hAnsi="Arial"/>
                      <w:b/>
                      <w:color w:val="000000"/>
                      <w:sz w:val="24"/>
                      <w:szCs w:val="24"/>
                    </w:rPr>
                    <w:t>Total</w:t>
                  </w:r>
                </w:p>
              </w:tc>
              <w:tc>
                <w:tcPr>
                  <w:tcW w:w="1701" w:type="dxa"/>
                  <w:tcBorders>
                    <w:top w:val="single" w:sz="4" w:space="0" w:color="auto"/>
                    <w:bottom w:val="double" w:sz="4" w:space="0" w:color="auto"/>
                  </w:tcBorders>
                  <w:shd w:val="clear" w:color="auto" w:fill="auto"/>
                </w:tcPr>
                <w:p w14:paraId="1F4DA8EC" w14:textId="77777777" w:rsidR="003F097A" w:rsidRPr="00D66A79" w:rsidRDefault="00323AA9"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13,206</w:t>
                  </w:r>
                </w:p>
              </w:tc>
            </w:tr>
          </w:tbl>
          <w:p w14:paraId="5F3A3C7A"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236" w:type="dxa"/>
            <w:gridSpan w:val="2"/>
            <w:shd w:val="clear" w:color="auto" w:fill="auto"/>
          </w:tcPr>
          <w:p w14:paraId="582F00BE" w14:textId="77777777" w:rsidR="003F097A"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p>
        </w:tc>
      </w:tr>
      <w:tr w:rsidR="003F097A" w:rsidRPr="00814920" w14:paraId="1683CFB5" w14:textId="77777777" w:rsidTr="0015296F">
        <w:trPr>
          <w:gridBefore w:val="1"/>
          <w:gridAfter w:val="1"/>
          <w:wBefore w:w="138" w:type="dxa"/>
          <w:wAfter w:w="146" w:type="dxa"/>
          <w:trHeight w:val="272"/>
          <w:jc w:val="center"/>
        </w:trPr>
        <w:tc>
          <w:tcPr>
            <w:tcW w:w="7300" w:type="dxa"/>
            <w:gridSpan w:val="4"/>
            <w:shd w:val="clear" w:color="auto" w:fill="auto"/>
          </w:tcPr>
          <w:p w14:paraId="0C07312B"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tc>
        <w:tc>
          <w:tcPr>
            <w:tcW w:w="1869" w:type="dxa"/>
            <w:gridSpan w:val="3"/>
            <w:shd w:val="clear" w:color="auto" w:fill="auto"/>
          </w:tcPr>
          <w:p w14:paraId="0AF5E5F6" w14:textId="77777777" w:rsidR="003F097A"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p>
        </w:tc>
      </w:tr>
      <w:tr w:rsidR="003F097A" w:rsidRPr="00814920" w14:paraId="361F1B4F" w14:textId="77777777" w:rsidTr="0015296F">
        <w:trPr>
          <w:gridBefore w:val="1"/>
          <w:gridAfter w:val="1"/>
          <w:wBefore w:w="138" w:type="dxa"/>
          <w:wAfter w:w="146" w:type="dxa"/>
          <w:trHeight w:val="272"/>
          <w:jc w:val="center"/>
        </w:trPr>
        <w:tc>
          <w:tcPr>
            <w:tcW w:w="8788" w:type="dxa"/>
            <w:gridSpan w:val="5"/>
            <w:shd w:val="clear" w:color="auto" w:fill="auto"/>
          </w:tcPr>
          <w:p w14:paraId="59C41537"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p w14:paraId="526EBD3D"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tc>
        <w:tc>
          <w:tcPr>
            <w:tcW w:w="381" w:type="dxa"/>
            <w:gridSpan w:val="2"/>
            <w:shd w:val="clear" w:color="auto" w:fill="auto"/>
          </w:tcPr>
          <w:p w14:paraId="7D5EBA54" w14:textId="77777777" w:rsidR="003F097A"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p>
        </w:tc>
      </w:tr>
    </w:tbl>
    <w:p w14:paraId="626763AA" w14:textId="77777777" w:rsidR="002E24C5" w:rsidRPr="00117F66" w:rsidRDefault="002E24C5" w:rsidP="00E0571E">
      <w:pPr>
        <w:numPr>
          <w:ilvl w:val="0"/>
          <w:numId w:val="30"/>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b/>
          <w:color w:val="000000"/>
          <w:sz w:val="24"/>
          <w:szCs w:val="24"/>
        </w:rPr>
      </w:pPr>
      <w:r w:rsidRPr="00117F66">
        <w:rPr>
          <w:rFonts w:ascii="Arial" w:hAnsi="Arial"/>
          <w:b/>
          <w:color w:val="000000"/>
          <w:sz w:val="24"/>
          <w:szCs w:val="24"/>
        </w:rPr>
        <w:t>Investment Income</w:t>
      </w:r>
      <w:r w:rsidR="007D4029">
        <w:rPr>
          <w:rFonts w:ascii="Arial" w:hAnsi="Arial"/>
          <w:b/>
          <w:color w:val="000000"/>
          <w:sz w:val="24"/>
          <w:szCs w:val="24"/>
        </w:rPr>
        <w:t xml:space="preserve"> </w:t>
      </w:r>
    </w:p>
    <w:p w14:paraId="336752EA" w14:textId="77777777" w:rsidR="002E24C5" w:rsidRPr="00117F66"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tbl>
      <w:tblPr>
        <w:tblW w:w="0" w:type="auto"/>
        <w:jc w:val="center"/>
        <w:tblLayout w:type="fixed"/>
        <w:tblLook w:val="0000" w:firstRow="0" w:lastRow="0" w:firstColumn="0" w:lastColumn="0" w:noHBand="0" w:noVBand="0"/>
      </w:tblPr>
      <w:tblGrid>
        <w:gridCol w:w="1276"/>
        <w:gridCol w:w="6029"/>
        <w:gridCol w:w="1327"/>
      </w:tblGrid>
      <w:tr w:rsidR="002E24C5" w:rsidRPr="00117F66" w14:paraId="7E092690" w14:textId="77777777" w:rsidTr="00323AA9">
        <w:trPr>
          <w:jc w:val="center"/>
        </w:trPr>
        <w:tc>
          <w:tcPr>
            <w:tcW w:w="1276" w:type="dxa"/>
          </w:tcPr>
          <w:p w14:paraId="1DE4B2E7" w14:textId="77777777" w:rsidR="002E24C5" w:rsidRPr="00117F66" w:rsidRDefault="003F097A" w:rsidP="007669DB">
            <w:pPr>
              <w:pStyle w:val="Header"/>
              <w:tabs>
                <w:tab w:val="clear" w:pos="4153"/>
                <w:tab w:val="clear" w:pos="8306"/>
                <w:tab w:val="right" w:pos="2017"/>
                <w:tab w:val="right" w:pos="5326"/>
                <w:tab w:val="right" w:pos="6557"/>
              </w:tabs>
              <w:jc w:val="center"/>
              <w:rPr>
                <w:rFonts w:ascii="Arial" w:hAnsi="Arial"/>
                <w:b/>
                <w:color w:val="000000"/>
                <w:sz w:val="24"/>
                <w:szCs w:val="24"/>
              </w:rPr>
            </w:pPr>
            <w:r>
              <w:rPr>
                <w:rFonts w:ascii="Arial" w:hAnsi="Arial"/>
                <w:b/>
                <w:color w:val="000000"/>
                <w:sz w:val="24"/>
                <w:szCs w:val="24"/>
              </w:rPr>
              <w:t>2020/21</w:t>
            </w:r>
          </w:p>
        </w:tc>
        <w:tc>
          <w:tcPr>
            <w:tcW w:w="6029" w:type="dxa"/>
          </w:tcPr>
          <w:p w14:paraId="69AFFDDD" w14:textId="77777777" w:rsidR="002E24C5" w:rsidRPr="00117F66" w:rsidRDefault="002E24C5" w:rsidP="005E4F16">
            <w:pPr>
              <w:tabs>
                <w:tab w:val="left" w:pos="622"/>
                <w:tab w:val="left" w:pos="1244"/>
                <w:tab w:val="left" w:pos="1866"/>
                <w:tab w:val="left" w:pos="2488"/>
                <w:tab w:val="left" w:pos="3110"/>
                <w:tab w:val="left" w:pos="3732"/>
                <w:tab w:val="left" w:pos="4354"/>
                <w:tab w:val="left" w:pos="4976"/>
                <w:tab w:val="left" w:pos="5598"/>
                <w:tab w:val="left" w:pos="6220"/>
                <w:tab w:val="left" w:pos="6842"/>
              </w:tabs>
              <w:jc w:val="both"/>
              <w:rPr>
                <w:rFonts w:ascii="Arial" w:hAnsi="Arial"/>
                <w:sz w:val="24"/>
                <w:szCs w:val="24"/>
              </w:rPr>
            </w:pPr>
          </w:p>
        </w:tc>
        <w:tc>
          <w:tcPr>
            <w:tcW w:w="1327" w:type="dxa"/>
          </w:tcPr>
          <w:p w14:paraId="1FAAFF19" w14:textId="77777777" w:rsidR="002E24C5" w:rsidRPr="00117F66" w:rsidRDefault="003F097A" w:rsidP="007669DB">
            <w:pPr>
              <w:pStyle w:val="Header"/>
              <w:tabs>
                <w:tab w:val="clear" w:pos="4153"/>
                <w:tab w:val="clear" w:pos="8306"/>
                <w:tab w:val="right" w:pos="2017"/>
                <w:tab w:val="right" w:pos="5326"/>
                <w:tab w:val="right" w:pos="6557"/>
              </w:tabs>
              <w:jc w:val="center"/>
              <w:rPr>
                <w:rFonts w:ascii="Arial" w:hAnsi="Arial"/>
                <w:b/>
                <w:color w:val="000000"/>
                <w:sz w:val="24"/>
                <w:szCs w:val="24"/>
              </w:rPr>
            </w:pPr>
            <w:r>
              <w:rPr>
                <w:rFonts w:ascii="Arial" w:hAnsi="Arial"/>
                <w:b/>
                <w:color w:val="000000"/>
                <w:sz w:val="24"/>
                <w:szCs w:val="24"/>
              </w:rPr>
              <w:t>2021/22</w:t>
            </w:r>
          </w:p>
        </w:tc>
      </w:tr>
      <w:tr w:rsidR="002E24C5" w:rsidRPr="00117F66" w14:paraId="5DB0D418" w14:textId="77777777" w:rsidTr="00323AA9">
        <w:trPr>
          <w:jc w:val="center"/>
        </w:trPr>
        <w:tc>
          <w:tcPr>
            <w:tcW w:w="1276" w:type="dxa"/>
          </w:tcPr>
          <w:p w14:paraId="40196344" w14:textId="77777777" w:rsidR="002E24C5" w:rsidRPr="00117F66" w:rsidRDefault="002E24C5" w:rsidP="005E4F16">
            <w:pPr>
              <w:pStyle w:val="Header"/>
              <w:tabs>
                <w:tab w:val="clear" w:pos="4153"/>
                <w:tab w:val="clear" w:pos="8306"/>
                <w:tab w:val="right" w:pos="2017"/>
                <w:tab w:val="right" w:pos="5326"/>
                <w:tab w:val="right" w:pos="6557"/>
              </w:tabs>
              <w:jc w:val="center"/>
              <w:rPr>
                <w:rFonts w:ascii="Arial" w:hAnsi="Arial"/>
                <w:b/>
                <w:color w:val="000000"/>
                <w:sz w:val="24"/>
                <w:szCs w:val="24"/>
              </w:rPr>
            </w:pPr>
            <w:r w:rsidRPr="00117F66">
              <w:rPr>
                <w:rFonts w:ascii="Arial" w:hAnsi="Arial"/>
                <w:b/>
                <w:color w:val="000000"/>
                <w:sz w:val="24"/>
                <w:szCs w:val="24"/>
              </w:rPr>
              <w:t>£’000</w:t>
            </w:r>
          </w:p>
        </w:tc>
        <w:tc>
          <w:tcPr>
            <w:tcW w:w="6029" w:type="dxa"/>
          </w:tcPr>
          <w:p w14:paraId="2901F269" w14:textId="77777777" w:rsidR="002E24C5" w:rsidRPr="00117F66" w:rsidRDefault="002E24C5" w:rsidP="005E4F16">
            <w:pPr>
              <w:tabs>
                <w:tab w:val="left" w:pos="622"/>
                <w:tab w:val="left" w:pos="1244"/>
                <w:tab w:val="left" w:pos="1866"/>
                <w:tab w:val="left" w:pos="2488"/>
                <w:tab w:val="left" w:pos="3110"/>
                <w:tab w:val="left" w:pos="3732"/>
                <w:tab w:val="left" w:pos="4354"/>
                <w:tab w:val="left" w:pos="4976"/>
                <w:tab w:val="left" w:pos="5598"/>
                <w:tab w:val="left" w:pos="6220"/>
                <w:tab w:val="left" w:pos="6842"/>
              </w:tabs>
              <w:jc w:val="both"/>
              <w:rPr>
                <w:rFonts w:ascii="Arial" w:hAnsi="Arial"/>
                <w:sz w:val="24"/>
                <w:szCs w:val="24"/>
              </w:rPr>
            </w:pPr>
          </w:p>
        </w:tc>
        <w:tc>
          <w:tcPr>
            <w:tcW w:w="1327" w:type="dxa"/>
          </w:tcPr>
          <w:p w14:paraId="4ABD5D4B" w14:textId="77777777" w:rsidR="002E24C5" w:rsidRPr="00117F66" w:rsidRDefault="002E24C5" w:rsidP="005E4F16">
            <w:pPr>
              <w:pStyle w:val="Header"/>
              <w:tabs>
                <w:tab w:val="clear" w:pos="4153"/>
                <w:tab w:val="clear" w:pos="8306"/>
                <w:tab w:val="right" w:pos="2017"/>
                <w:tab w:val="right" w:pos="5326"/>
                <w:tab w:val="right" w:pos="6557"/>
              </w:tabs>
              <w:jc w:val="center"/>
              <w:rPr>
                <w:rFonts w:ascii="Arial" w:hAnsi="Arial"/>
                <w:b/>
                <w:color w:val="000000"/>
                <w:sz w:val="24"/>
                <w:szCs w:val="24"/>
              </w:rPr>
            </w:pPr>
            <w:r w:rsidRPr="00117F66">
              <w:rPr>
                <w:rFonts w:ascii="Arial" w:hAnsi="Arial"/>
                <w:b/>
                <w:color w:val="000000"/>
                <w:sz w:val="24"/>
                <w:szCs w:val="24"/>
              </w:rPr>
              <w:t>£’000</w:t>
            </w:r>
          </w:p>
        </w:tc>
      </w:tr>
      <w:tr w:rsidR="003F097A" w:rsidRPr="00117F66" w14:paraId="411D7F9F" w14:textId="77777777" w:rsidTr="00323AA9">
        <w:trPr>
          <w:jc w:val="center"/>
        </w:trPr>
        <w:tc>
          <w:tcPr>
            <w:tcW w:w="1276" w:type="dxa"/>
          </w:tcPr>
          <w:p w14:paraId="63C5925B" w14:textId="77777777" w:rsidR="003F097A" w:rsidRPr="00117F66" w:rsidRDefault="003F097A"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10</w:t>
            </w:r>
          </w:p>
        </w:tc>
        <w:tc>
          <w:tcPr>
            <w:tcW w:w="6029" w:type="dxa"/>
          </w:tcPr>
          <w:p w14:paraId="2D8C8DA5" w14:textId="77777777" w:rsidR="003F097A" w:rsidRPr="00117F66"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sidRPr="00117F66">
              <w:rPr>
                <w:rFonts w:ascii="Arial" w:hAnsi="Arial"/>
                <w:color w:val="000000"/>
                <w:sz w:val="24"/>
                <w:szCs w:val="24"/>
              </w:rPr>
              <w:t>U.K. Equities</w:t>
            </w:r>
          </w:p>
        </w:tc>
        <w:tc>
          <w:tcPr>
            <w:tcW w:w="1327" w:type="dxa"/>
          </w:tcPr>
          <w:p w14:paraId="0422AB97" w14:textId="77777777" w:rsidR="00323AA9" w:rsidRPr="00117F66" w:rsidRDefault="00323AA9" w:rsidP="00323AA9">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0</w:t>
            </w:r>
          </w:p>
        </w:tc>
      </w:tr>
      <w:tr w:rsidR="003F097A" w:rsidRPr="00117F66" w14:paraId="6EF0A29B" w14:textId="77777777" w:rsidTr="00323AA9">
        <w:trPr>
          <w:jc w:val="center"/>
        </w:trPr>
        <w:tc>
          <w:tcPr>
            <w:tcW w:w="1276" w:type="dxa"/>
          </w:tcPr>
          <w:p w14:paraId="23B5C058" w14:textId="77777777" w:rsidR="003F097A" w:rsidRPr="00117F66" w:rsidRDefault="003F097A"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37,064</w:t>
            </w:r>
          </w:p>
        </w:tc>
        <w:tc>
          <w:tcPr>
            <w:tcW w:w="6029" w:type="dxa"/>
          </w:tcPr>
          <w:p w14:paraId="0EA0B1AF" w14:textId="77777777" w:rsidR="003F097A" w:rsidRPr="00117F66" w:rsidRDefault="00323AA9"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hAnsi="Arial"/>
                <w:color w:val="000000"/>
                <w:sz w:val="24"/>
                <w:szCs w:val="24"/>
              </w:rPr>
              <w:t xml:space="preserve">Pooled Fund - </w:t>
            </w:r>
            <w:r w:rsidR="003F097A">
              <w:rPr>
                <w:rFonts w:ascii="Arial" w:hAnsi="Arial"/>
                <w:color w:val="000000"/>
                <w:sz w:val="24"/>
                <w:szCs w:val="24"/>
              </w:rPr>
              <w:t>Overseas Equities</w:t>
            </w:r>
          </w:p>
        </w:tc>
        <w:tc>
          <w:tcPr>
            <w:tcW w:w="1327" w:type="dxa"/>
          </w:tcPr>
          <w:p w14:paraId="45CD4584" w14:textId="77777777" w:rsidR="003F097A" w:rsidRPr="00117F66" w:rsidRDefault="00323AA9"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23,117</w:t>
            </w:r>
          </w:p>
        </w:tc>
      </w:tr>
      <w:tr w:rsidR="003F097A" w:rsidRPr="00117F66" w14:paraId="167D0FA9" w14:textId="77777777" w:rsidTr="00323AA9">
        <w:trPr>
          <w:jc w:val="center"/>
        </w:trPr>
        <w:tc>
          <w:tcPr>
            <w:tcW w:w="1276" w:type="dxa"/>
          </w:tcPr>
          <w:p w14:paraId="209B035B" w14:textId="77777777" w:rsidR="003F097A" w:rsidRDefault="003F097A"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927</w:t>
            </w:r>
          </w:p>
        </w:tc>
        <w:tc>
          <w:tcPr>
            <w:tcW w:w="6029" w:type="dxa"/>
          </w:tcPr>
          <w:p w14:paraId="75DC7506" w14:textId="77777777" w:rsidR="003F097A" w:rsidRDefault="00323AA9"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hAnsi="Arial"/>
                <w:color w:val="000000"/>
                <w:sz w:val="24"/>
                <w:szCs w:val="24"/>
              </w:rPr>
              <w:t>Pooled Fund – F</w:t>
            </w:r>
            <w:r w:rsidR="003F097A">
              <w:rPr>
                <w:rFonts w:ascii="Arial" w:hAnsi="Arial"/>
                <w:color w:val="000000"/>
                <w:sz w:val="24"/>
                <w:szCs w:val="24"/>
              </w:rPr>
              <w:t>ixed Interest</w:t>
            </w:r>
          </w:p>
        </w:tc>
        <w:tc>
          <w:tcPr>
            <w:tcW w:w="1327" w:type="dxa"/>
          </w:tcPr>
          <w:p w14:paraId="25826583" w14:textId="77777777" w:rsidR="003F097A" w:rsidRDefault="00323AA9"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1,709</w:t>
            </w:r>
          </w:p>
        </w:tc>
      </w:tr>
      <w:tr w:rsidR="003F097A" w:rsidRPr="00117F66" w14:paraId="7CE2C8CE" w14:textId="77777777" w:rsidTr="00323AA9">
        <w:trPr>
          <w:jc w:val="center"/>
        </w:trPr>
        <w:tc>
          <w:tcPr>
            <w:tcW w:w="1276" w:type="dxa"/>
          </w:tcPr>
          <w:p w14:paraId="56CE7B4B" w14:textId="77777777" w:rsidR="003F097A" w:rsidRPr="00117F66" w:rsidRDefault="003F097A"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1,721</w:t>
            </w:r>
          </w:p>
        </w:tc>
        <w:tc>
          <w:tcPr>
            <w:tcW w:w="6029" w:type="dxa"/>
          </w:tcPr>
          <w:p w14:paraId="4A5CCF3A" w14:textId="77777777" w:rsidR="003F097A" w:rsidRPr="00117F66"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hAnsi="Arial"/>
                <w:color w:val="000000"/>
                <w:sz w:val="24"/>
                <w:szCs w:val="24"/>
              </w:rPr>
              <w:t xml:space="preserve">Pooled Investment vehicles - Property Fund </w:t>
            </w:r>
          </w:p>
        </w:tc>
        <w:tc>
          <w:tcPr>
            <w:tcW w:w="1327" w:type="dxa"/>
          </w:tcPr>
          <w:p w14:paraId="6586BBE2" w14:textId="77777777" w:rsidR="003F097A" w:rsidRPr="00117F66" w:rsidRDefault="00323AA9"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2,338</w:t>
            </w:r>
          </w:p>
        </w:tc>
      </w:tr>
      <w:tr w:rsidR="00323AA9" w:rsidRPr="00117F66" w14:paraId="45B2A705" w14:textId="77777777" w:rsidTr="00323AA9">
        <w:trPr>
          <w:jc w:val="center"/>
        </w:trPr>
        <w:tc>
          <w:tcPr>
            <w:tcW w:w="1276" w:type="dxa"/>
            <w:tcBorders>
              <w:top w:val="single" w:sz="4" w:space="0" w:color="auto"/>
              <w:bottom w:val="double" w:sz="4" w:space="0" w:color="auto"/>
            </w:tcBorders>
          </w:tcPr>
          <w:p w14:paraId="233E82C5" w14:textId="77777777" w:rsidR="00323AA9" w:rsidRPr="00250535" w:rsidRDefault="00250535"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b/>
                <w:bCs/>
                <w:color w:val="000000"/>
                <w:sz w:val="24"/>
                <w:szCs w:val="24"/>
              </w:rPr>
            </w:pPr>
            <w:r w:rsidRPr="00250535">
              <w:rPr>
                <w:rFonts w:ascii="Arial" w:hAnsi="Arial"/>
                <w:b/>
                <w:bCs/>
                <w:color w:val="000000"/>
                <w:sz w:val="24"/>
                <w:szCs w:val="24"/>
              </w:rPr>
              <w:t>39,722</w:t>
            </w:r>
          </w:p>
        </w:tc>
        <w:tc>
          <w:tcPr>
            <w:tcW w:w="6029" w:type="dxa"/>
          </w:tcPr>
          <w:p w14:paraId="302B83D4" w14:textId="77777777" w:rsidR="00323AA9" w:rsidRPr="00250535" w:rsidRDefault="00250535" w:rsidP="003F097A">
            <w:pPr>
              <w:pStyle w:val="Header"/>
              <w:tabs>
                <w:tab w:val="clear" w:pos="4153"/>
                <w:tab w:val="clear" w:pos="8306"/>
                <w:tab w:val="right" w:pos="2017"/>
                <w:tab w:val="right" w:pos="5326"/>
                <w:tab w:val="right" w:pos="6557"/>
              </w:tabs>
              <w:rPr>
                <w:rFonts w:ascii="Arial" w:hAnsi="Arial"/>
                <w:b/>
                <w:bCs/>
                <w:color w:val="000000"/>
                <w:sz w:val="24"/>
                <w:szCs w:val="24"/>
              </w:rPr>
            </w:pPr>
            <w:r w:rsidRPr="00250535">
              <w:rPr>
                <w:rFonts w:ascii="Arial" w:hAnsi="Arial"/>
                <w:b/>
                <w:bCs/>
                <w:color w:val="000000"/>
                <w:sz w:val="24"/>
                <w:szCs w:val="24"/>
              </w:rPr>
              <w:t>Total</w:t>
            </w:r>
          </w:p>
        </w:tc>
        <w:tc>
          <w:tcPr>
            <w:tcW w:w="1327" w:type="dxa"/>
            <w:tcBorders>
              <w:top w:val="single" w:sz="4" w:space="0" w:color="auto"/>
              <w:bottom w:val="double" w:sz="4" w:space="0" w:color="auto"/>
            </w:tcBorders>
          </w:tcPr>
          <w:p w14:paraId="106D21B4" w14:textId="77777777" w:rsidR="00323AA9" w:rsidRPr="00117F66" w:rsidRDefault="00323AA9"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sidRPr="00250535">
              <w:rPr>
                <w:rFonts w:ascii="Arial" w:hAnsi="Arial"/>
                <w:b/>
                <w:bCs/>
                <w:color w:val="000000"/>
                <w:sz w:val="24"/>
                <w:szCs w:val="24"/>
              </w:rPr>
              <w:t>27,16</w:t>
            </w:r>
            <w:r w:rsidRPr="00560A88">
              <w:rPr>
                <w:rFonts w:ascii="Arial" w:hAnsi="Arial"/>
                <w:b/>
                <w:bCs/>
                <w:color w:val="000000"/>
                <w:sz w:val="24"/>
                <w:szCs w:val="24"/>
              </w:rPr>
              <w:t>4</w:t>
            </w:r>
          </w:p>
        </w:tc>
      </w:tr>
    </w:tbl>
    <w:p w14:paraId="71BE403B" w14:textId="77777777" w:rsidR="003B7FAE" w:rsidRDefault="003B7FAE"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ind w:left="142" w:right="404"/>
        <w:jc w:val="both"/>
        <w:rPr>
          <w:rFonts w:ascii="Arial" w:hAnsi="Arial"/>
          <w:color w:val="000000"/>
          <w:sz w:val="24"/>
          <w:szCs w:val="24"/>
        </w:rPr>
      </w:pPr>
    </w:p>
    <w:p w14:paraId="2AB31A56" w14:textId="77777777" w:rsidR="002E24C5" w:rsidRDefault="002E24C5"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ind w:left="142" w:right="404"/>
        <w:jc w:val="both"/>
        <w:rPr>
          <w:rFonts w:ascii="Arial" w:hAnsi="Arial"/>
          <w:color w:val="000000"/>
          <w:sz w:val="24"/>
          <w:szCs w:val="24"/>
        </w:rPr>
      </w:pPr>
      <w:r w:rsidRPr="000C745F">
        <w:rPr>
          <w:rFonts w:ascii="Arial" w:hAnsi="Arial"/>
          <w:color w:val="000000"/>
          <w:sz w:val="24"/>
          <w:szCs w:val="24"/>
        </w:rPr>
        <w:t>The</w:t>
      </w:r>
      <w:r w:rsidR="00EB7C26" w:rsidRPr="000C745F">
        <w:rPr>
          <w:rFonts w:ascii="Arial" w:hAnsi="Arial"/>
          <w:color w:val="000000"/>
          <w:sz w:val="24"/>
          <w:szCs w:val="24"/>
        </w:rPr>
        <w:t xml:space="preserve"> equity</w:t>
      </w:r>
      <w:r w:rsidRPr="000C745F">
        <w:rPr>
          <w:rFonts w:ascii="Arial" w:hAnsi="Arial"/>
          <w:color w:val="000000"/>
          <w:sz w:val="24"/>
          <w:szCs w:val="24"/>
        </w:rPr>
        <w:t xml:space="preserve"> assets under management by </w:t>
      </w:r>
      <w:r w:rsidR="001E3AE1" w:rsidRPr="000C745F">
        <w:rPr>
          <w:rFonts w:ascii="Arial" w:hAnsi="Arial"/>
          <w:color w:val="000000"/>
          <w:sz w:val="24"/>
          <w:szCs w:val="24"/>
        </w:rPr>
        <w:t xml:space="preserve">Blackrock </w:t>
      </w:r>
      <w:r w:rsidR="007A55C1" w:rsidRPr="000C745F">
        <w:rPr>
          <w:rFonts w:ascii="Arial" w:hAnsi="Arial"/>
          <w:color w:val="000000"/>
          <w:sz w:val="24"/>
          <w:szCs w:val="24"/>
        </w:rPr>
        <w:t xml:space="preserve">are </w:t>
      </w:r>
      <w:r w:rsidRPr="000C745F">
        <w:rPr>
          <w:rFonts w:ascii="Arial" w:hAnsi="Arial"/>
          <w:color w:val="000000"/>
          <w:sz w:val="24"/>
          <w:szCs w:val="24"/>
        </w:rPr>
        <w:t>managed wholly in a pooled investment vehicle.</w:t>
      </w:r>
      <w:r w:rsidR="009A54FC" w:rsidRPr="000C745F">
        <w:rPr>
          <w:rFonts w:ascii="Arial" w:hAnsi="Arial"/>
          <w:color w:val="000000"/>
          <w:sz w:val="24"/>
          <w:szCs w:val="24"/>
        </w:rPr>
        <w:t xml:space="preserve"> </w:t>
      </w:r>
      <w:r w:rsidRPr="000C745F">
        <w:rPr>
          <w:rFonts w:ascii="Arial" w:hAnsi="Arial"/>
          <w:color w:val="000000"/>
          <w:sz w:val="24"/>
          <w:szCs w:val="24"/>
        </w:rPr>
        <w:t xml:space="preserve"> The pooled investment vehicles are a combination of equity, bond and</w:t>
      </w:r>
      <w:r w:rsidR="00C50287" w:rsidRPr="000C745F">
        <w:rPr>
          <w:rFonts w:ascii="Arial" w:hAnsi="Arial"/>
          <w:color w:val="000000"/>
          <w:sz w:val="24"/>
          <w:szCs w:val="24"/>
        </w:rPr>
        <w:t xml:space="preserve"> </w:t>
      </w:r>
      <w:r w:rsidRPr="000C745F">
        <w:rPr>
          <w:rFonts w:ascii="Arial" w:hAnsi="Arial"/>
          <w:color w:val="000000"/>
          <w:sz w:val="24"/>
          <w:szCs w:val="24"/>
        </w:rPr>
        <w:t>money market unit funds which operate on an ‘accumulation’ basis, i.e. all dividends and investment income are automatically reinvested back into their relevant funds and not distributed as investment income.</w:t>
      </w:r>
      <w:r w:rsidR="009A54FC" w:rsidRPr="000C745F">
        <w:rPr>
          <w:rFonts w:ascii="Arial" w:hAnsi="Arial"/>
          <w:color w:val="000000"/>
          <w:sz w:val="24"/>
          <w:szCs w:val="24"/>
        </w:rPr>
        <w:t xml:space="preserve"> </w:t>
      </w:r>
      <w:r w:rsidRPr="000C745F">
        <w:rPr>
          <w:rFonts w:ascii="Arial" w:hAnsi="Arial"/>
          <w:color w:val="000000"/>
          <w:sz w:val="24"/>
          <w:szCs w:val="24"/>
        </w:rPr>
        <w:t xml:space="preserve">Therefore, the </w:t>
      </w:r>
      <w:r w:rsidR="0000544D" w:rsidRPr="000C745F">
        <w:rPr>
          <w:rFonts w:ascii="Arial" w:hAnsi="Arial"/>
          <w:color w:val="000000"/>
          <w:sz w:val="24"/>
          <w:szCs w:val="24"/>
        </w:rPr>
        <w:t>F</w:t>
      </w:r>
      <w:r w:rsidRPr="000C745F">
        <w:rPr>
          <w:rFonts w:ascii="Arial" w:hAnsi="Arial"/>
          <w:color w:val="000000"/>
          <w:sz w:val="24"/>
          <w:szCs w:val="24"/>
        </w:rPr>
        <w:t xml:space="preserve">und value </w:t>
      </w:r>
      <w:r w:rsidR="00141113" w:rsidRPr="000C745F">
        <w:rPr>
          <w:rFonts w:ascii="Arial" w:hAnsi="Arial"/>
          <w:color w:val="000000"/>
          <w:sz w:val="24"/>
          <w:szCs w:val="24"/>
        </w:rPr>
        <w:t>and change in market value on th</w:t>
      </w:r>
      <w:r w:rsidR="000C745F" w:rsidRPr="000C745F">
        <w:rPr>
          <w:rFonts w:ascii="Arial" w:hAnsi="Arial"/>
          <w:color w:val="000000"/>
          <w:sz w:val="24"/>
          <w:szCs w:val="24"/>
        </w:rPr>
        <w:t>is</w:t>
      </w:r>
      <w:r w:rsidR="00141113" w:rsidRPr="000C745F">
        <w:rPr>
          <w:rFonts w:ascii="Arial" w:hAnsi="Arial"/>
          <w:color w:val="000000"/>
          <w:sz w:val="24"/>
          <w:szCs w:val="24"/>
        </w:rPr>
        <w:t xml:space="preserve"> fund </w:t>
      </w:r>
      <w:r w:rsidRPr="000C745F">
        <w:rPr>
          <w:rFonts w:ascii="Arial" w:hAnsi="Arial"/>
          <w:color w:val="000000"/>
          <w:sz w:val="24"/>
          <w:szCs w:val="24"/>
        </w:rPr>
        <w:t>will re</w:t>
      </w:r>
      <w:r w:rsidR="009A54FC" w:rsidRPr="000C745F">
        <w:rPr>
          <w:rFonts w:ascii="Arial" w:hAnsi="Arial"/>
          <w:color w:val="000000"/>
          <w:sz w:val="24"/>
          <w:szCs w:val="24"/>
        </w:rPr>
        <w:t>flect both capital appreciation</w:t>
      </w:r>
      <w:r w:rsidR="00141113" w:rsidRPr="000C745F">
        <w:rPr>
          <w:rFonts w:ascii="Arial" w:hAnsi="Arial"/>
          <w:color w:val="000000"/>
          <w:sz w:val="24"/>
          <w:szCs w:val="24"/>
        </w:rPr>
        <w:t xml:space="preserve"> </w:t>
      </w:r>
      <w:r w:rsidRPr="000C745F">
        <w:rPr>
          <w:rFonts w:ascii="Arial" w:hAnsi="Arial"/>
          <w:color w:val="000000"/>
          <w:sz w:val="24"/>
          <w:szCs w:val="24"/>
        </w:rPr>
        <w:t>/</w:t>
      </w:r>
      <w:r w:rsidR="00141113" w:rsidRPr="000C745F">
        <w:rPr>
          <w:rFonts w:ascii="Arial" w:hAnsi="Arial"/>
          <w:color w:val="000000"/>
          <w:sz w:val="24"/>
          <w:szCs w:val="24"/>
        </w:rPr>
        <w:t xml:space="preserve"> </w:t>
      </w:r>
      <w:r w:rsidRPr="000C745F">
        <w:rPr>
          <w:rFonts w:ascii="Arial" w:hAnsi="Arial"/>
          <w:color w:val="000000"/>
          <w:sz w:val="24"/>
          <w:szCs w:val="24"/>
        </w:rPr>
        <w:t>depreciation plus reinvested investment income.</w:t>
      </w:r>
    </w:p>
    <w:p w14:paraId="3406154F" w14:textId="77777777" w:rsidR="00BD6E06" w:rsidRDefault="00BD6E06"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ind w:left="142" w:right="404"/>
        <w:jc w:val="both"/>
        <w:rPr>
          <w:rFonts w:ascii="Arial" w:hAnsi="Arial"/>
          <w:color w:val="000000"/>
          <w:sz w:val="24"/>
          <w:szCs w:val="24"/>
        </w:rPr>
      </w:pPr>
    </w:p>
    <w:p w14:paraId="686C36C9" w14:textId="77777777" w:rsidR="007A55C1" w:rsidRPr="00BD6E06" w:rsidRDefault="00BD6E06"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ind w:left="142" w:right="404"/>
        <w:jc w:val="both"/>
        <w:rPr>
          <w:rFonts w:ascii="Arial" w:hAnsi="Arial" w:cs="Arial"/>
          <w:color w:val="000000"/>
          <w:sz w:val="24"/>
          <w:szCs w:val="24"/>
        </w:rPr>
      </w:pPr>
      <w:r w:rsidRPr="00BD6E06">
        <w:rPr>
          <w:rFonts w:ascii="Arial" w:hAnsi="Arial" w:cs="Arial"/>
          <w:sz w:val="24"/>
          <w:szCs w:val="24"/>
        </w:rPr>
        <w:t xml:space="preserve">During </w:t>
      </w:r>
      <w:r w:rsidR="003F097A">
        <w:rPr>
          <w:rFonts w:ascii="Arial" w:hAnsi="Arial" w:cs="Arial"/>
          <w:sz w:val="24"/>
          <w:szCs w:val="24"/>
        </w:rPr>
        <w:t>2021/22</w:t>
      </w:r>
      <w:r w:rsidRPr="00BD6E06">
        <w:rPr>
          <w:rFonts w:ascii="Arial" w:hAnsi="Arial" w:cs="Arial"/>
          <w:sz w:val="24"/>
          <w:szCs w:val="24"/>
        </w:rPr>
        <w:t xml:space="preserve">, Link Asset Services paid distributions in respect of the income earned </w:t>
      </w:r>
      <w:r w:rsidR="00560A88">
        <w:rPr>
          <w:rFonts w:ascii="Arial" w:hAnsi="Arial" w:cs="Arial"/>
          <w:sz w:val="24"/>
          <w:szCs w:val="24"/>
        </w:rPr>
        <w:t xml:space="preserve">on </w:t>
      </w:r>
      <w:r w:rsidRPr="00BD6E06">
        <w:rPr>
          <w:rFonts w:ascii="Arial" w:hAnsi="Arial" w:cs="Arial"/>
          <w:sz w:val="24"/>
          <w:szCs w:val="24"/>
        </w:rPr>
        <w:t>all Wales Pension Partnership sub-funds in which the Fund invests. This</w:t>
      </w:r>
      <w:r w:rsidR="00BA5879">
        <w:rPr>
          <w:rFonts w:ascii="Arial" w:hAnsi="Arial" w:cs="Arial"/>
          <w:sz w:val="24"/>
          <w:szCs w:val="24"/>
        </w:rPr>
        <w:t xml:space="preserve"> income</w:t>
      </w:r>
      <w:r w:rsidRPr="00BD6E06">
        <w:rPr>
          <w:rFonts w:ascii="Arial" w:hAnsi="Arial" w:cs="Arial"/>
          <w:sz w:val="24"/>
          <w:szCs w:val="24"/>
        </w:rPr>
        <w:t xml:space="preserve"> </w:t>
      </w:r>
      <w:r w:rsidR="00865F35">
        <w:rPr>
          <w:rFonts w:ascii="Arial" w:hAnsi="Arial" w:cs="Arial"/>
          <w:sz w:val="24"/>
          <w:szCs w:val="24"/>
        </w:rPr>
        <w:t>is</w:t>
      </w:r>
      <w:r w:rsidRPr="00BD6E06">
        <w:rPr>
          <w:rFonts w:ascii="Arial" w:hAnsi="Arial" w:cs="Arial"/>
          <w:sz w:val="24"/>
          <w:szCs w:val="24"/>
        </w:rPr>
        <w:t xml:space="preserve"> automatically reinvested into the pooled fund to increase the market value of </w:t>
      </w:r>
      <w:r>
        <w:rPr>
          <w:rFonts w:ascii="Arial" w:hAnsi="Arial" w:cs="Arial"/>
          <w:sz w:val="24"/>
          <w:szCs w:val="24"/>
        </w:rPr>
        <w:t>the</w:t>
      </w:r>
      <w:r w:rsidRPr="00BD6E06">
        <w:rPr>
          <w:rFonts w:ascii="Arial" w:hAnsi="Arial" w:cs="Arial"/>
          <w:sz w:val="24"/>
          <w:szCs w:val="24"/>
        </w:rPr>
        <w:t xml:space="preserve"> holding. </w:t>
      </w:r>
      <w:r w:rsidRPr="000A7C28">
        <w:rPr>
          <w:rFonts w:ascii="Arial" w:hAnsi="Arial" w:cs="Arial"/>
          <w:sz w:val="24"/>
          <w:szCs w:val="24"/>
        </w:rPr>
        <w:t>Income is only distributed when there is a sufficient amount</w:t>
      </w:r>
      <w:r w:rsidR="00865F35">
        <w:rPr>
          <w:rFonts w:ascii="Arial" w:hAnsi="Arial" w:cs="Arial"/>
          <w:sz w:val="24"/>
          <w:szCs w:val="24"/>
        </w:rPr>
        <w:t xml:space="preserve"> to do so, after the deduction of any costs</w:t>
      </w:r>
      <w:r w:rsidR="009D12EE">
        <w:rPr>
          <w:rFonts w:ascii="Arial" w:hAnsi="Arial" w:cs="Arial"/>
          <w:sz w:val="24"/>
          <w:szCs w:val="24"/>
        </w:rPr>
        <w:t>,</w:t>
      </w:r>
      <w:r w:rsidR="00865F35">
        <w:rPr>
          <w:rFonts w:ascii="Arial" w:hAnsi="Arial" w:cs="Arial"/>
          <w:sz w:val="24"/>
          <w:szCs w:val="24"/>
        </w:rPr>
        <w:t xml:space="preserve"> the surplus income is then </w:t>
      </w:r>
      <w:r w:rsidRPr="000A7C28">
        <w:rPr>
          <w:rFonts w:ascii="Arial" w:hAnsi="Arial" w:cs="Arial"/>
          <w:sz w:val="24"/>
          <w:szCs w:val="24"/>
        </w:rPr>
        <w:t xml:space="preserve">reinvested. </w:t>
      </w:r>
      <w:r w:rsidR="00865F35">
        <w:rPr>
          <w:rFonts w:ascii="Arial" w:hAnsi="Arial" w:cs="Arial"/>
          <w:sz w:val="24"/>
          <w:szCs w:val="24"/>
        </w:rPr>
        <w:t xml:space="preserve"> </w:t>
      </w:r>
    </w:p>
    <w:p w14:paraId="1A7EBAFA" w14:textId="77777777" w:rsidR="00C53787" w:rsidRDefault="00C53787" w:rsidP="00C53787">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b/>
          <w:color w:val="000000"/>
          <w:sz w:val="24"/>
          <w:szCs w:val="24"/>
        </w:rPr>
      </w:pPr>
    </w:p>
    <w:p w14:paraId="0AD7C943" w14:textId="77777777" w:rsidR="006D789A" w:rsidRDefault="006D789A" w:rsidP="00C53787">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b/>
          <w:sz w:val="24"/>
          <w:szCs w:val="24"/>
        </w:rPr>
      </w:pPr>
    </w:p>
    <w:p w14:paraId="1350CAE9" w14:textId="77777777" w:rsidR="005401DD" w:rsidRPr="005401DD" w:rsidRDefault="005401DD" w:rsidP="00C53787">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b/>
          <w:sz w:val="24"/>
          <w:szCs w:val="24"/>
        </w:rPr>
      </w:pPr>
      <w:r w:rsidRPr="005401DD">
        <w:rPr>
          <w:rFonts w:ascii="Arial" w:hAnsi="Arial" w:cs="Arial"/>
          <w:b/>
          <w:sz w:val="24"/>
          <w:szCs w:val="24"/>
        </w:rPr>
        <w:lastRenderedPageBreak/>
        <w:t xml:space="preserve">Stock Lending </w:t>
      </w:r>
    </w:p>
    <w:p w14:paraId="1D850FA2" w14:textId="77777777" w:rsidR="005401DD" w:rsidRPr="005401DD" w:rsidRDefault="005401DD" w:rsidP="00C53787">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sz w:val="24"/>
          <w:szCs w:val="24"/>
        </w:rPr>
      </w:pPr>
    </w:p>
    <w:p w14:paraId="14B57C2B" w14:textId="77777777" w:rsidR="005401DD" w:rsidRPr="005401DD" w:rsidRDefault="005401DD" w:rsidP="00C53787">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b/>
          <w:color w:val="000000"/>
          <w:sz w:val="24"/>
          <w:szCs w:val="24"/>
        </w:rPr>
      </w:pPr>
      <w:r w:rsidRPr="005401DD">
        <w:rPr>
          <w:rFonts w:ascii="Arial" w:hAnsi="Arial" w:cs="Arial"/>
          <w:sz w:val="24"/>
          <w:szCs w:val="24"/>
        </w:rPr>
        <w:t>The Fund’s investment strategy permits stock lending subject to specific approval. The income earned by the fund through stock lending was £</w:t>
      </w:r>
      <w:r w:rsidR="00560A88">
        <w:rPr>
          <w:rFonts w:ascii="Arial" w:hAnsi="Arial" w:cs="Arial"/>
          <w:sz w:val="24"/>
          <w:szCs w:val="24"/>
        </w:rPr>
        <w:t>250k</w:t>
      </w:r>
      <w:r w:rsidRPr="005401DD">
        <w:rPr>
          <w:rFonts w:ascii="Arial" w:hAnsi="Arial" w:cs="Arial"/>
          <w:sz w:val="24"/>
          <w:szCs w:val="24"/>
        </w:rPr>
        <w:t>. Currently the Wales Pension Partnership has total quoted equities of £4</w:t>
      </w:r>
      <w:r w:rsidR="00560A88">
        <w:rPr>
          <w:rFonts w:ascii="Arial" w:hAnsi="Arial" w:cs="Arial"/>
          <w:sz w:val="24"/>
          <w:szCs w:val="24"/>
        </w:rPr>
        <w:t>31</w:t>
      </w:r>
      <w:r w:rsidRPr="005401DD">
        <w:rPr>
          <w:rFonts w:ascii="Arial" w:hAnsi="Arial" w:cs="Arial"/>
          <w:sz w:val="24"/>
          <w:szCs w:val="24"/>
        </w:rPr>
        <w:t>m on loan. These equities continue to be recognised in the relevant fund’s financial statements. No liabilities are associated with the loaned assets</w:t>
      </w:r>
    </w:p>
    <w:p w14:paraId="11692796" w14:textId="77777777" w:rsidR="005401DD" w:rsidRDefault="005401DD" w:rsidP="00C53787">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b/>
          <w:color w:val="000000"/>
          <w:sz w:val="24"/>
          <w:szCs w:val="24"/>
        </w:rPr>
      </w:pPr>
    </w:p>
    <w:p w14:paraId="0A204E2F" w14:textId="77777777" w:rsidR="00212CCA" w:rsidRDefault="00212CCA" w:rsidP="00C53787">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b/>
          <w:color w:val="000000"/>
          <w:sz w:val="24"/>
          <w:szCs w:val="24"/>
        </w:rPr>
      </w:pPr>
    </w:p>
    <w:p w14:paraId="14640664" w14:textId="77777777" w:rsidR="002E24C5" w:rsidRPr="002E24C5" w:rsidRDefault="002E24C5" w:rsidP="00E0571E">
      <w:pPr>
        <w:numPr>
          <w:ilvl w:val="0"/>
          <w:numId w:val="30"/>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b/>
          <w:color w:val="000000"/>
          <w:sz w:val="24"/>
          <w:szCs w:val="24"/>
        </w:rPr>
      </w:pPr>
      <w:r w:rsidRPr="002E24C5">
        <w:rPr>
          <w:rFonts w:ascii="Arial" w:hAnsi="Arial"/>
          <w:b/>
          <w:color w:val="000000"/>
          <w:sz w:val="24"/>
          <w:szCs w:val="24"/>
        </w:rPr>
        <w:t>Taxation</w:t>
      </w:r>
    </w:p>
    <w:p w14:paraId="5C55EF56" w14:textId="77777777" w:rsidR="003516E2" w:rsidRDefault="003516E2" w:rsidP="005E4F16">
      <w:pPr>
        <w:tabs>
          <w:tab w:val="left" w:pos="1728"/>
          <w:tab w:val="left" w:pos="2592"/>
          <w:tab w:val="left" w:pos="3456"/>
          <w:tab w:val="left" w:pos="4320"/>
          <w:tab w:val="left" w:pos="5184"/>
          <w:tab w:val="left" w:pos="6048"/>
          <w:tab w:val="left" w:pos="6912"/>
          <w:tab w:val="left" w:pos="7776"/>
          <w:tab w:val="right" w:pos="8640"/>
          <w:tab w:val="right" w:pos="10224"/>
        </w:tabs>
        <w:jc w:val="both"/>
        <w:outlineLvl w:val="0"/>
        <w:rPr>
          <w:rFonts w:ascii="Arial" w:hAnsi="Arial"/>
          <w:b/>
          <w:color w:val="000000"/>
          <w:sz w:val="24"/>
          <w:szCs w:val="24"/>
        </w:rPr>
      </w:pPr>
    </w:p>
    <w:p w14:paraId="67CB9B3E" w14:textId="77777777" w:rsidR="002E24C5" w:rsidRPr="002E24C5" w:rsidRDefault="002E24C5" w:rsidP="005E4F16">
      <w:pPr>
        <w:tabs>
          <w:tab w:val="left" w:pos="1728"/>
          <w:tab w:val="left" w:pos="2592"/>
          <w:tab w:val="left" w:pos="3456"/>
          <w:tab w:val="left" w:pos="4320"/>
          <w:tab w:val="left" w:pos="5184"/>
          <w:tab w:val="left" w:pos="6048"/>
          <w:tab w:val="left" w:pos="6912"/>
          <w:tab w:val="left" w:pos="7776"/>
          <w:tab w:val="right" w:pos="8640"/>
          <w:tab w:val="right" w:pos="10224"/>
        </w:tabs>
        <w:jc w:val="both"/>
        <w:outlineLvl w:val="0"/>
        <w:rPr>
          <w:rFonts w:ascii="Arial" w:hAnsi="Arial"/>
          <w:b/>
          <w:color w:val="000000"/>
          <w:sz w:val="24"/>
          <w:szCs w:val="24"/>
        </w:rPr>
      </w:pPr>
      <w:r w:rsidRPr="002E24C5">
        <w:rPr>
          <w:rFonts w:ascii="Arial" w:hAnsi="Arial"/>
          <w:b/>
          <w:color w:val="000000"/>
          <w:sz w:val="24"/>
          <w:szCs w:val="24"/>
        </w:rPr>
        <w:t>a) United Kingdom</w:t>
      </w:r>
    </w:p>
    <w:p w14:paraId="090F9409" w14:textId="77777777" w:rsidR="002E24C5" w:rsidRDefault="002E24C5" w:rsidP="005E4F16">
      <w:pPr>
        <w:tabs>
          <w:tab w:val="num" w:pos="0"/>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r w:rsidRPr="002E24C5">
        <w:rPr>
          <w:rFonts w:ascii="Arial" w:hAnsi="Arial"/>
          <w:color w:val="000000"/>
          <w:sz w:val="24"/>
          <w:szCs w:val="24"/>
        </w:rPr>
        <w:t xml:space="preserve">The Fund is exempt from Income Tax on interest dividends and from Capital Gains Tax but now has to bear the UK tax on other income. </w:t>
      </w:r>
      <w:r w:rsidR="009A54FC">
        <w:rPr>
          <w:rFonts w:ascii="Arial" w:hAnsi="Arial"/>
          <w:color w:val="000000"/>
          <w:sz w:val="24"/>
          <w:szCs w:val="24"/>
        </w:rPr>
        <w:t xml:space="preserve"> </w:t>
      </w:r>
      <w:r w:rsidRPr="002E24C5">
        <w:rPr>
          <w:rFonts w:ascii="Arial" w:hAnsi="Arial"/>
          <w:color w:val="000000"/>
          <w:sz w:val="24"/>
          <w:szCs w:val="24"/>
        </w:rPr>
        <w:t xml:space="preserve">The </w:t>
      </w:r>
      <w:r w:rsidR="00C73976">
        <w:rPr>
          <w:rFonts w:ascii="Arial" w:hAnsi="Arial"/>
          <w:color w:val="000000"/>
          <w:sz w:val="24"/>
          <w:szCs w:val="24"/>
        </w:rPr>
        <w:t>F</w:t>
      </w:r>
      <w:r w:rsidRPr="002E24C5">
        <w:rPr>
          <w:rFonts w:ascii="Arial" w:hAnsi="Arial"/>
          <w:color w:val="000000"/>
          <w:sz w:val="24"/>
          <w:szCs w:val="24"/>
        </w:rPr>
        <w:t xml:space="preserve">und is reimbursed V.A.T. by H.M. </w:t>
      </w:r>
      <w:r w:rsidR="000841C6">
        <w:rPr>
          <w:rFonts w:ascii="Arial" w:hAnsi="Arial"/>
          <w:color w:val="000000"/>
          <w:sz w:val="24"/>
          <w:szCs w:val="24"/>
        </w:rPr>
        <w:t>Revenue and Cus</w:t>
      </w:r>
      <w:r w:rsidRPr="002E24C5">
        <w:rPr>
          <w:rFonts w:ascii="Arial" w:hAnsi="Arial"/>
          <w:color w:val="000000"/>
          <w:sz w:val="24"/>
          <w:szCs w:val="24"/>
        </w:rPr>
        <w:t>toms and the account</w:t>
      </w:r>
      <w:r w:rsidR="009A54FC">
        <w:rPr>
          <w:rFonts w:ascii="Arial" w:hAnsi="Arial"/>
          <w:color w:val="000000"/>
          <w:sz w:val="24"/>
          <w:szCs w:val="24"/>
        </w:rPr>
        <w:t>s are shown exclusive of V.A.T.</w:t>
      </w:r>
    </w:p>
    <w:p w14:paraId="35AED012" w14:textId="77777777" w:rsidR="007A55C1" w:rsidRPr="002E24C5" w:rsidRDefault="007A55C1" w:rsidP="005E4F16">
      <w:pPr>
        <w:tabs>
          <w:tab w:val="num" w:pos="0"/>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0E71223A" w14:textId="77777777" w:rsidR="00EC5090" w:rsidRDefault="00EC5090" w:rsidP="005E4F16">
      <w:pPr>
        <w:tabs>
          <w:tab w:val="num" w:pos="0"/>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r w:rsidRPr="00EC5090">
        <w:rPr>
          <w:rFonts w:ascii="Arial" w:hAnsi="Arial"/>
          <w:b/>
          <w:color w:val="000000"/>
          <w:sz w:val="24"/>
          <w:szCs w:val="24"/>
        </w:rPr>
        <w:t>b) Overseas</w:t>
      </w:r>
    </w:p>
    <w:p w14:paraId="253ABCD3" w14:textId="77777777" w:rsidR="00EC5090" w:rsidRDefault="00EC5090" w:rsidP="005E4F16">
      <w:pPr>
        <w:tabs>
          <w:tab w:val="num" w:pos="0"/>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r>
        <w:rPr>
          <w:rFonts w:ascii="Arial" w:hAnsi="Arial"/>
          <w:color w:val="000000"/>
          <w:sz w:val="24"/>
          <w:szCs w:val="24"/>
        </w:rPr>
        <w:t>The majority of investment income f</w:t>
      </w:r>
      <w:r w:rsidR="00403E15">
        <w:rPr>
          <w:rFonts w:ascii="Arial" w:hAnsi="Arial"/>
          <w:color w:val="000000"/>
          <w:sz w:val="24"/>
          <w:szCs w:val="24"/>
        </w:rPr>
        <w:t>r</w:t>
      </w:r>
      <w:r>
        <w:rPr>
          <w:rFonts w:ascii="Arial" w:hAnsi="Arial"/>
          <w:color w:val="000000"/>
          <w:sz w:val="24"/>
          <w:szCs w:val="24"/>
        </w:rPr>
        <w:t>om overseas suffers a withholding tax in the count</w:t>
      </w:r>
      <w:r w:rsidR="00222BAC">
        <w:rPr>
          <w:rFonts w:ascii="Arial" w:hAnsi="Arial"/>
          <w:color w:val="000000"/>
          <w:sz w:val="24"/>
          <w:szCs w:val="24"/>
        </w:rPr>
        <w:t>r</w:t>
      </w:r>
      <w:r>
        <w:rPr>
          <w:rFonts w:ascii="Arial" w:hAnsi="Arial"/>
          <w:color w:val="000000"/>
          <w:sz w:val="24"/>
          <w:szCs w:val="24"/>
        </w:rPr>
        <w:t>y of origin.</w:t>
      </w:r>
    </w:p>
    <w:p w14:paraId="596AB581" w14:textId="77777777" w:rsidR="00646766" w:rsidRDefault="00646766" w:rsidP="005E4F16">
      <w:pPr>
        <w:tabs>
          <w:tab w:val="num" w:pos="0"/>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6DC2014F" w14:textId="77777777" w:rsidR="00560A88" w:rsidRDefault="00560A88" w:rsidP="005E4F16">
      <w:pPr>
        <w:tabs>
          <w:tab w:val="num" w:pos="0"/>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46B91FAC" w14:textId="77777777" w:rsidR="00560A88" w:rsidRDefault="00560A88" w:rsidP="005E4F16">
      <w:pPr>
        <w:tabs>
          <w:tab w:val="num" w:pos="0"/>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tbl>
      <w:tblPr>
        <w:tblW w:w="9780" w:type="dxa"/>
        <w:tblInd w:w="108" w:type="dxa"/>
        <w:tblLook w:val="04A0" w:firstRow="1" w:lastRow="0" w:firstColumn="1" w:lastColumn="0" w:noHBand="0" w:noVBand="1"/>
      </w:tblPr>
      <w:tblGrid>
        <w:gridCol w:w="1440"/>
        <w:gridCol w:w="6320"/>
        <w:gridCol w:w="1500"/>
        <w:gridCol w:w="520"/>
      </w:tblGrid>
      <w:tr w:rsidR="00437B8E" w:rsidRPr="00437B8E" w14:paraId="0E5B5165" w14:textId="77777777" w:rsidTr="00214926">
        <w:trPr>
          <w:trHeight w:val="312"/>
        </w:trPr>
        <w:tc>
          <w:tcPr>
            <w:tcW w:w="9780" w:type="dxa"/>
            <w:gridSpan w:val="4"/>
            <w:tcBorders>
              <w:top w:val="nil"/>
              <w:left w:val="nil"/>
              <w:bottom w:val="nil"/>
              <w:right w:val="nil"/>
            </w:tcBorders>
            <w:shd w:val="clear" w:color="000000" w:fill="FFFFFF"/>
            <w:vAlign w:val="bottom"/>
          </w:tcPr>
          <w:p w14:paraId="4700D995" w14:textId="77777777" w:rsidR="00212CCA" w:rsidRDefault="00212CCA" w:rsidP="0016539E">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b/>
                <w:color w:val="000000"/>
                <w:sz w:val="24"/>
                <w:szCs w:val="24"/>
              </w:rPr>
            </w:pPr>
          </w:p>
          <w:p w14:paraId="06A809A4" w14:textId="77777777" w:rsidR="00212CCA" w:rsidRDefault="0016539E" w:rsidP="0016539E">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b/>
                <w:color w:val="000000"/>
                <w:sz w:val="24"/>
                <w:szCs w:val="24"/>
              </w:rPr>
            </w:pPr>
            <w:r w:rsidRPr="002835C1">
              <w:rPr>
                <w:rFonts w:ascii="Arial" w:hAnsi="Arial"/>
                <w:b/>
                <w:color w:val="000000"/>
                <w:sz w:val="24"/>
                <w:szCs w:val="24"/>
              </w:rPr>
              <w:t>11. Investment Assets</w:t>
            </w:r>
          </w:p>
          <w:p w14:paraId="77868A41" w14:textId="77777777" w:rsidR="0016539E" w:rsidRPr="00422C13" w:rsidRDefault="00212CCA" w:rsidP="0016539E">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r w:rsidRPr="00212CCA">
              <w:rPr>
                <w:rFonts w:ascii="Arial" w:hAnsi="Arial"/>
                <w:bCs/>
                <w:color w:val="000000"/>
                <w:sz w:val="24"/>
                <w:szCs w:val="24"/>
              </w:rPr>
              <w:t>A</w:t>
            </w:r>
            <w:r w:rsidR="0016539E" w:rsidRPr="00422C13">
              <w:rPr>
                <w:rFonts w:ascii="Arial" w:hAnsi="Arial"/>
                <w:color w:val="000000"/>
                <w:sz w:val="24"/>
                <w:szCs w:val="24"/>
              </w:rPr>
              <w:t>n</w:t>
            </w:r>
            <w:r w:rsidR="0016539E">
              <w:rPr>
                <w:rFonts w:ascii="Arial" w:hAnsi="Arial"/>
                <w:color w:val="000000"/>
                <w:sz w:val="24"/>
                <w:szCs w:val="24"/>
              </w:rPr>
              <w:t xml:space="preserve"> analysis of investment assets based on class of investment is shown below :</w:t>
            </w:r>
          </w:p>
          <w:p w14:paraId="7F72C9DC" w14:textId="77777777" w:rsidR="0016539E" w:rsidRPr="00422C13" w:rsidRDefault="0016539E" w:rsidP="0016539E">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u w:val="single"/>
              </w:rPr>
            </w:pPr>
          </w:p>
          <w:tbl>
            <w:tblPr>
              <w:tblW w:w="0" w:type="auto"/>
              <w:tblInd w:w="392" w:type="dxa"/>
              <w:tblLook w:val="01E0" w:firstRow="1" w:lastRow="1" w:firstColumn="1" w:lastColumn="1" w:noHBand="0" w:noVBand="0"/>
            </w:tblPr>
            <w:tblGrid>
              <w:gridCol w:w="1948"/>
              <w:gridCol w:w="4794"/>
              <w:gridCol w:w="1814"/>
            </w:tblGrid>
            <w:tr w:rsidR="0016539E" w:rsidRPr="00814920" w14:paraId="1B6395D8" w14:textId="77777777" w:rsidTr="003F4508">
              <w:tc>
                <w:tcPr>
                  <w:tcW w:w="1948" w:type="dxa"/>
                  <w:shd w:val="clear" w:color="auto" w:fill="auto"/>
                </w:tcPr>
                <w:p w14:paraId="71B6ECA3" w14:textId="77777777" w:rsidR="0016539E" w:rsidRPr="00814920" w:rsidRDefault="0016539E"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jc w:val="center"/>
                    <w:rPr>
                      <w:rFonts w:ascii="Arial" w:hAnsi="Arial"/>
                      <w:b/>
                      <w:color w:val="000000"/>
                      <w:sz w:val="24"/>
                      <w:szCs w:val="24"/>
                    </w:rPr>
                  </w:pPr>
                  <w:r w:rsidRPr="00814920">
                    <w:rPr>
                      <w:rFonts w:ascii="Arial" w:hAnsi="Arial"/>
                      <w:b/>
                      <w:color w:val="000000"/>
                      <w:sz w:val="24"/>
                      <w:szCs w:val="24"/>
                    </w:rPr>
                    <w:t>31</w:t>
                  </w:r>
                  <w:r w:rsidRPr="00814920">
                    <w:rPr>
                      <w:rFonts w:ascii="Arial" w:hAnsi="Arial"/>
                      <w:b/>
                      <w:color w:val="000000"/>
                      <w:sz w:val="24"/>
                      <w:szCs w:val="24"/>
                      <w:vertAlign w:val="superscript"/>
                    </w:rPr>
                    <w:t>st</w:t>
                  </w:r>
                  <w:r w:rsidRPr="00814920">
                    <w:rPr>
                      <w:rFonts w:ascii="Arial" w:hAnsi="Arial"/>
                      <w:b/>
                      <w:color w:val="000000"/>
                      <w:sz w:val="24"/>
                      <w:szCs w:val="24"/>
                    </w:rPr>
                    <w:t xml:space="preserve"> March 20</w:t>
                  </w:r>
                  <w:r w:rsidR="00266BB7">
                    <w:rPr>
                      <w:rFonts w:ascii="Arial" w:hAnsi="Arial"/>
                      <w:b/>
                      <w:color w:val="000000"/>
                      <w:sz w:val="24"/>
                      <w:szCs w:val="24"/>
                    </w:rPr>
                    <w:t>2</w:t>
                  </w:r>
                  <w:r w:rsidR="008544C2">
                    <w:rPr>
                      <w:rFonts w:ascii="Arial" w:hAnsi="Arial"/>
                      <w:b/>
                      <w:color w:val="000000"/>
                      <w:sz w:val="24"/>
                      <w:szCs w:val="24"/>
                    </w:rPr>
                    <w:t>1</w:t>
                  </w:r>
                </w:p>
                <w:p w14:paraId="11A122D4" w14:textId="77777777" w:rsidR="0016539E" w:rsidRPr="00814920" w:rsidRDefault="0016539E"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jc w:val="center"/>
                    <w:rPr>
                      <w:rFonts w:ascii="Arial" w:hAnsi="Arial"/>
                      <w:b/>
                      <w:color w:val="000000"/>
                      <w:sz w:val="24"/>
                      <w:szCs w:val="24"/>
                    </w:rPr>
                  </w:pPr>
                  <w:r w:rsidRPr="00814920">
                    <w:rPr>
                      <w:rFonts w:ascii="Arial" w:hAnsi="Arial"/>
                      <w:b/>
                      <w:color w:val="000000"/>
                      <w:sz w:val="24"/>
                      <w:szCs w:val="24"/>
                    </w:rPr>
                    <w:t>£’000</w:t>
                  </w:r>
                </w:p>
              </w:tc>
              <w:tc>
                <w:tcPr>
                  <w:tcW w:w="4794" w:type="dxa"/>
                  <w:shd w:val="clear" w:color="auto" w:fill="auto"/>
                </w:tcPr>
                <w:p w14:paraId="6DC1CAFF" w14:textId="77777777" w:rsidR="0016539E" w:rsidRPr="00814920" w:rsidRDefault="0016539E"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b/>
                      <w:color w:val="000000"/>
                      <w:sz w:val="24"/>
                      <w:szCs w:val="24"/>
                    </w:rPr>
                  </w:pPr>
                </w:p>
                <w:p w14:paraId="3E958A61" w14:textId="77777777" w:rsidR="0016539E" w:rsidRPr="00814920" w:rsidRDefault="0016539E"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b/>
                      <w:color w:val="000000"/>
                      <w:sz w:val="24"/>
                      <w:szCs w:val="24"/>
                    </w:rPr>
                  </w:pPr>
                </w:p>
                <w:p w14:paraId="09EA7AE4" w14:textId="77777777" w:rsidR="0016539E" w:rsidRPr="00814920" w:rsidRDefault="0016539E"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b/>
                      <w:color w:val="000000"/>
                      <w:sz w:val="24"/>
                      <w:szCs w:val="24"/>
                    </w:rPr>
                  </w:pPr>
                  <w:r w:rsidRPr="00814920">
                    <w:rPr>
                      <w:rFonts w:ascii="Arial" w:hAnsi="Arial"/>
                      <w:b/>
                      <w:color w:val="000000"/>
                      <w:sz w:val="24"/>
                      <w:szCs w:val="24"/>
                    </w:rPr>
                    <w:t>Investment Assets</w:t>
                  </w:r>
                </w:p>
              </w:tc>
              <w:tc>
                <w:tcPr>
                  <w:tcW w:w="1814" w:type="dxa"/>
                  <w:shd w:val="clear" w:color="auto" w:fill="auto"/>
                </w:tcPr>
                <w:p w14:paraId="03793388" w14:textId="77777777" w:rsidR="0016539E" w:rsidRPr="00814920" w:rsidRDefault="0016539E"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jc w:val="center"/>
                    <w:rPr>
                      <w:rFonts w:ascii="Arial" w:hAnsi="Arial"/>
                      <w:b/>
                      <w:color w:val="000000"/>
                      <w:sz w:val="24"/>
                      <w:szCs w:val="24"/>
                    </w:rPr>
                  </w:pPr>
                  <w:r w:rsidRPr="00814920">
                    <w:rPr>
                      <w:rFonts w:ascii="Arial" w:hAnsi="Arial"/>
                      <w:b/>
                      <w:color w:val="000000"/>
                      <w:sz w:val="24"/>
                      <w:szCs w:val="24"/>
                    </w:rPr>
                    <w:t>31</w:t>
                  </w:r>
                  <w:r w:rsidRPr="00814920">
                    <w:rPr>
                      <w:rFonts w:ascii="Arial" w:hAnsi="Arial"/>
                      <w:b/>
                      <w:color w:val="000000"/>
                      <w:sz w:val="24"/>
                      <w:szCs w:val="24"/>
                      <w:vertAlign w:val="superscript"/>
                    </w:rPr>
                    <w:t>st</w:t>
                  </w:r>
                  <w:r w:rsidRPr="00814920">
                    <w:rPr>
                      <w:rFonts w:ascii="Arial" w:hAnsi="Arial"/>
                      <w:b/>
                      <w:color w:val="000000"/>
                      <w:sz w:val="24"/>
                      <w:szCs w:val="24"/>
                    </w:rPr>
                    <w:t xml:space="preserve"> March </w:t>
                  </w:r>
                  <w:r>
                    <w:rPr>
                      <w:rFonts w:ascii="Arial" w:hAnsi="Arial"/>
                      <w:b/>
                      <w:color w:val="000000"/>
                      <w:sz w:val="24"/>
                      <w:szCs w:val="24"/>
                    </w:rPr>
                    <w:t>202</w:t>
                  </w:r>
                  <w:r w:rsidR="008544C2">
                    <w:rPr>
                      <w:rFonts w:ascii="Arial" w:hAnsi="Arial"/>
                      <w:b/>
                      <w:color w:val="000000"/>
                      <w:sz w:val="24"/>
                      <w:szCs w:val="24"/>
                    </w:rPr>
                    <w:t>2</w:t>
                  </w:r>
                </w:p>
                <w:p w14:paraId="5BBA8C72" w14:textId="77777777" w:rsidR="0016539E" w:rsidRDefault="0016539E"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jc w:val="center"/>
                    <w:rPr>
                      <w:rFonts w:ascii="Arial" w:hAnsi="Arial"/>
                      <w:b/>
                      <w:color w:val="000000"/>
                      <w:sz w:val="24"/>
                      <w:szCs w:val="24"/>
                    </w:rPr>
                  </w:pPr>
                  <w:r w:rsidRPr="00814920">
                    <w:rPr>
                      <w:rFonts w:ascii="Arial" w:hAnsi="Arial"/>
                      <w:b/>
                      <w:color w:val="000000"/>
                      <w:sz w:val="24"/>
                      <w:szCs w:val="24"/>
                    </w:rPr>
                    <w:t>£’000</w:t>
                  </w:r>
                </w:p>
                <w:p w14:paraId="1EAAD96B" w14:textId="77777777" w:rsidR="0016539E" w:rsidRPr="00814920" w:rsidRDefault="0016539E"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jc w:val="center"/>
                    <w:rPr>
                      <w:rFonts w:ascii="Arial" w:hAnsi="Arial"/>
                      <w:b/>
                      <w:color w:val="000000"/>
                      <w:sz w:val="24"/>
                      <w:szCs w:val="24"/>
                    </w:rPr>
                  </w:pPr>
                </w:p>
              </w:tc>
            </w:tr>
            <w:tr w:rsidR="008544C2" w:rsidRPr="00814920" w14:paraId="496B417F" w14:textId="77777777" w:rsidTr="003F4508">
              <w:tc>
                <w:tcPr>
                  <w:tcW w:w="1948" w:type="dxa"/>
                  <w:shd w:val="clear" w:color="auto" w:fill="auto"/>
                </w:tcPr>
                <w:p w14:paraId="56784D3E"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230,537</w:t>
                  </w:r>
                </w:p>
              </w:tc>
              <w:tc>
                <w:tcPr>
                  <w:tcW w:w="4794" w:type="dxa"/>
                  <w:shd w:val="clear" w:color="auto" w:fill="auto"/>
                </w:tcPr>
                <w:p w14:paraId="60383231"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sidRPr="00814920">
                    <w:rPr>
                      <w:rFonts w:ascii="Arial" w:hAnsi="Arial"/>
                      <w:color w:val="000000"/>
                      <w:sz w:val="24"/>
                      <w:szCs w:val="24"/>
                    </w:rPr>
                    <w:t>Fixed Interest</w:t>
                  </w:r>
                </w:p>
              </w:tc>
              <w:tc>
                <w:tcPr>
                  <w:tcW w:w="1814" w:type="dxa"/>
                  <w:shd w:val="clear" w:color="auto" w:fill="auto"/>
                </w:tcPr>
                <w:p w14:paraId="66EA6681" w14:textId="77777777" w:rsidR="008544C2" w:rsidRPr="00814920"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241,705</w:t>
                  </w:r>
                </w:p>
              </w:tc>
            </w:tr>
            <w:tr w:rsidR="008544C2" w:rsidRPr="00814920" w14:paraId="2F032145" w14:textId="77777777" w:rsidTr="003F4508">
              <w:tc>
                <w:tcPr>
                  <w:tcW w:w="1948" w:type="dxa"/>
                  <w:shd w:val="clear" w:color="auto" w:fill="auto"/>
                </w:tcPr>
                <w:p w14:paraId="32BC8EC9"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35,919</w:t>
                  </w:r>
                </w:p>
              </w:tc>
              <w:tc>
                <w:tcPr>
                  <w:tcW w:w="4794" w:type="dxa"/>
                  <w:shd w:val="clear" w:color="auto" w:fill="auto"/>
                </w:tcPr>
                <w:p w14:paraId="06BE9335"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sidRPr="00814920">
                    <w:rPr>
                      <w:rFonts w:ascii="Arial" w:hAnsi="Arial"/>
                      <w:color w:val="000000"/>
                      <w:sz w:val="24"/>
                      <w:szCs w:val="24"/>
                    </w:rPr>
                    <w:t>Index Linked Securities</w:t>
                  </w:r>
                </w:p>
              </w:tc>
              <w:tc>
                <w:tcPr>
                  <w:tcW w:w="1814" w:type="dxa"/>
                  <w:shd w:val="clear" w:color="auto" w:fill="auto"/>
                </w:tcPr>
                <w:p w14:paraId="58221817" w14:textId="77777777" w:rsidR="008544C2" w:rsidRPr="00814920"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37,745</w:t>
                  </w:r>
                </w:p>
              </w:tc>
            </w:tr>
            <w:tr w:rsidR="008544C2" w:rsidRPr="00814920" w14:paraId="138144B1" w14:textId="77777777" w:rsidTr="003F4508">
              <w:tc>
                <w:tcPr>
                  <w:tcW w:w="1948" w:type="dxa"/>
                  <w:shd w:val="clear" w:color="auto" w:fill="auto"/>
                </w:tcPr>
                <w:p w14:paraId="262011A9" w14:textId="77777777" w:rsidR="008544C2"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1,879,292</w:t>
                  </w:r>
                </w:p>
              </w:tc>
              <w:tc>
                <w:tcPr>
                  <w:tcW w:w="4794" w:type="dxa"/>
                  <w:shd w:val="clear" w:color="auto" w:fill="auto"/>
                </w:tcPr>
                <w:p w14:paraId="37523FB6" w14:textId="77777777" w:rsidR="008544C2" w:rsidRPr="00814920"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hAnsi="Arial"/>
                      <w:color w:val="000000"/>
                      <w:sz w:val="24"/>
                      <w:szCs w:val="24"/>
                    </w:rPr>
                    <w:t>Global</w:t>
                  </w:r>
                  <w:r w:rsidR="008544C2">
                    <w:rPr>
                      <w:rFonts w:ascii="Arial" w:hAnsi="Arial"/>
                      <w:color w:val="000000"/>
                      <w:sz w:val="24"/>
                      <w:szCs w:val="24"/>
                    </w:rPr>
                    <w:t xml:space="preserve"> Equities</w:t>
                  </w:r>
                </w:p>
              </w:tc>
              <w:tc>
                <w:tcPr>
                  <w:tcW w:w="1814" w:type="dxa"/>
                  <w:shd w:val="clear" w:color="auto" w:fill="auto"/>
                </w:tcPr>
                <w:p w14:paraId="6962EF3F" w14:textId="77777777" w:rsidR="008544C2"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2,079,114</w:t>
                  </w:r>
                </w:p>
              </w:tc>
            </w:tr>
            <w:tr w:rsidR="008544C2" w:rsidRPr="00814920" w14:paraId="7AA8E16D" w14:textId="77777777" w:rsidTr="003F4508">
              <w:tc>
                <w:tcPr>
                  <w:tcW w:w="1948" w:type="dxa"/>
                  <w:shd w:val="clear" w:color="auto" w:fill="auto"/>
                </w:tcPr>
                <w:p w14:paraId="6134F6FE"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96,274</w:t>
                  </w:r>
                </w:p>
              </w:tc>
              <w:tc>
                <w:tcPr>
                  <w:tcW w:w="4794" w:type="dxa"/>
                  <w:shd w:val="clear" w:color="auto" w:fill="auto"/>
                </w:tcPr>
                <w:p w14:paraId="47F44D0F"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sidRPr="00814920">
                    <w:rPr>
                      <w:rFonts w:ascii="Arial" w:hAnsi="Arial"/>
                      <w:color w:val="000000"/>
                      <w:sz w:val="24"/>
                      <w:szCs w:val="24"/>
                    </w:rPr>
                    <w:t>Property</w:t>
                  </w:r>
                </w:p>
              </w:tc>
              <w:tc>
                <w:tcPr>
                  <w:tcW w:w="1814" w:type="dxa"/>
                  <w:shd w:val="clear" w:color="auto" w:fill="auto"/>
                </w:tcPr>
                <w:p w14:paraId="023D09AD" w14:textId="77777777" w:rsidR="008544C2" w:rsidRPr="00814920"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109,377</w:t>
                  </w:r>
                </w:p>
              </w:tc>
            </w:tr>
            <w:tr w:rsidR="008544C2" w:rsidRPr="00814920" w14:paraId="28679399" w14:textId="77777777" w:rsidTr="003F4508">
              <w:tc>
                <w:tcPr>
                  <w:tcW w:w="1948" w:type="dxa"/>
                  <w:shd w:val="clear" w:color="auto" w:fill="auto"/>
                </w:tcPr>
                <w:p w14:paraId="3BDCF98D"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60,062</w:t>
                  </w:r>
                </w:p>
              </w:tc>
              <w:tc>
                <w:tcPr>
                  <w:tcW w:w="4794" w:type="dxa"/>
                  <w:shd w:val="clear" w:color="auto" w:fill="auto"/>
                </w:tcPr>
                <w:p w14:paraId="275E76CF"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sidRPr="00814920">
                    <w:rPr>
                      <w:rFonts w:ascii="Arial" w:hAnsi="Arial"/>
                      <w:color w:val="000000"/>
                      <w:sz w:val="24"/>
                      <w:szCs w:val="24"/>
                    </w:rPr>
                    <w:t>Hedge Funds</w:t>
                  </w:r>
                </w:p>
              </w:tc>
              <w:tc>
                <w:tcPr>
                  <w:tcW w:w="1814" w:type="dxa"/>
                  <w:shd w:val="clear" w:color="auto" w:fill="auto"/>
                </w:tcPr>
                <w:p w14:paraId="6E009BD8" w14:textId="77777777" w:rsidR="008544C2" w:rsidRPr="00814920"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60,857</w:t>
                  </w:r>
                </w:p>
              </w:tc>
            </w:tr>
            <w:tr w:rsidR="008544C2" w:rsidRPr="00814920" w14:paraId="5971B923" w14:textId="77777777" w:rsidTr="003F4508">
              <w:tc>
                <w:tcPr>
                  <w:tcW w:w="1948" w:type="dxa"/>
                  <w:shd w:val="clear" w:color="auto" w:fill="auto"/>
                </w:tcPr>
                <w:p w14:paraId="28961E3D" w14:textId="77777777" w:rsidR="008544C2"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146,891</w:t>
                  </w:r>
                </w:p>
                <w:p w14:paraId="2212D2D8" w14:textId="77777777" w:rsidR="008544C2"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75,665</w:t>
                  </w:r>
                </w:p>
                <w:p w14:paraId="472F634A" w14:textId="77777777" w:rsidR="008544C2"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37,980</w:t>
                  </w:r>
                </w:p>
                <w:p w14:paraId="0000D7EB" w14:textId="77777777" w:rsidR="008544C2"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0</w:t>
                  </w:r>
                </w:p>
                <w:p w14:paraId="3B67F12B" w14:textId="77777777" w:rsidR="00560A88"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0</w:t>
                  </w:r>
                </w:p>
                <w:p w14:paraId="1D9BCB34"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2,637</w:t>
                  </w:r>
                </w:p>
              </w:tc>
              <w:tc>
                <w:tcPr>
                  <w:tcW w:w="4794" w:type="dxa"/>
                  <w:shd w:val="clear" w:color="auto" w:fill="auto"/>
                </w:tcPr>
                <w:p w14:paraId="7CCF3D37" w14:textId="77777777" w:rsidR="008544C2"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sidRPr="00814920">
                    <w:rPr>
                      <w:rFonts w:ascii="Arial" w:hAnsi="Arial"/>
                      <w:color w:val="000000"/>
                      <w:sz w:val="24"/>
                      <w:szCs w:val="24"/>
                    </w:rPr>
                    <w:t>Private Equity</w:t>
                  </w:r>
                </w:p>
                <w:p w14:paraId="356C5114" w14:textId="77777777" w:rsidR="008544C2"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hAnsi="Arial"/>
                      <w:color w:val="000000"/>
                      <w:sz w:val="24"/>
                      <w:szCs w:val="24"/>
                    </w:rPr>
                    <w:t>Infrastructure</w:t>
                  </w:r>
                </w:p>
                <w:p w14:paraId="176F4DE6" w14:textId="77777777" w:rsidR="008544C2"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hAnsi="Arial"/>
                      <w:color w:val="000000"/>
                      <w:sz w:val="24"/>
                      <w:szCs w:val="24"/>
                    </w:rPr>
                    <w:t>Private Debt</w:t>
                  </w:r>
                </w:p>
                <w:p w14:paraId="240C3E08" w14:textId="77777777" w:rsidR="008544C2"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hAnsi="Arial"/>
                      <w:color w:val="000000"/>
                      <w:sz w:val="24"/>
                      <w:szCs w:val="24"/>
                    </w:rPr>
                    <w:t>Residential Housing</w:t>
                  </w:r>
                </w:p>
                <w:p w14:paraId="04B48BB5" w14:textId="77777777" w:rsidR="00560A88"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hAnsi="Arial"/>
                      <w:color w:val="000000"/>
                      <w:sz w:val="24"/>
                      <w:szCs w:val="24"/>
                    </w:rPr>
                    <w:t>Timberland &amp; Farmland</w:t>
                  </w:r>
                </w:p>
                <w:p w14:paraId="1D604738" w14:textId="77777777" w:rsidR="008544C2"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hAnsi="Arial"/>
                      <w:color w:val="000000"/>
                      <w:sz w:val="24"/>
                      <w:szCs w:val="24"/>
                    </w:rPr>
                    <w:t>Derivatives</w:t>
                  </w:r>
                </w:p>
                <w:p w14:paraId="1198E61F"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p>
              </w:tc>
              <w:tc>
                <w:tcPr>
                  <w:tcW w:w="1814" w:type="dxa"/>
                  <w:shd w:val="clear" w:color="auto" w:fill="auto"/>
                </w:tcPr>
                <w:p w14:paraId="31C0DE46" w14:textId="77777777" w:rsidR="008544C2" w:rsidRDefault="006E0BDB"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197,918</w:t>
                  </w:r>
                </w:p>
                <w:p w14:paraId="4F1BE0F2" w14:textId="77777777" w:rsidR="00560A88"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86,613</w:t>
                  </w:r>
                </w:p>
                <w:p w14:paraId="7B91829F" w14:textId="77777777" w:rsidR="00560A88"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56,248</w:t>
                  </w:r>
                </w:p>
                <w:p w14:paraId="184CFE62" w14:textId="77777777" w:rsidR="00560A88"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18,192</w:t>
                  </w:r>
                </w:p>
                <w:p w14:paraId="5CC7A960" w14:textId="77777777" w:rsidR="00560A88"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133</w:t>
                  </w:r>
                </w:p>
                <w:p w14:paraId="72B9B56B" w14:textId="77777777" w:rsidR="00560A88" w:rsidRPr="00814920"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hAnsi="Arial"/>
                      <w:color w:val="000000"/>
                      <w:sz w:val="24"/>
                      <w:szCs w:val="24"/>
                    </w:rPr>
                    <w:t>1,632</w:t>
                  </w:r>
                </w:p>
              </w:tc>
            </w:tr>
            <w:tr w:rsidR="008544C2" w:rsidRPr="00814920" w14:paraId="5B62A15F" w14:textId="77777777" w:rsidTr="003F4508">
              <w:trPr>
                <w:gridAfter w:val="2"/>
                <w:wAfter w:w="6608" w:type="dxa"/>
              </w:trPr>
              <w:tc>
                <w:tcPr>
                  <w:tcW w:w="1948" w:type="dxa"/>
                  <w:tcBorders>
                    <w:bottom w:val="single" w:sz="4" w:space="0" w:color="auto"/>
                  </w:tcBorders>
                  <w:shd w:val="clear" w:color="auto" w:fill="auto"/>
                </w:tcPr>
                <w:p w14:paraId="7AD869E0"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p>
              </w:tc>
            </w:tr>
            <w:tr w:rsidR="008544C2" w:rsidRPr="00814920" w14:paraId="1C1893D8" w14:textId="77777777" w:rsidTr="003F4508">
              <w:tc>
                <w:tcPr>
                  <w:tcW w:w="1948" w:type="dxa"/>
                  <w:tcBorders>
                    <w:top w:val="single" w:sz="4" w:space="0" w:color="auto"/>
                    <w:bottom w:val="double" w:sz="4" w:space="0" w:color="auto"/>
                  </w:tcBorders>
                  <w:shd w:val="clear" w:color="auto" w:fill="auto"/>
                </w:tcPr>
                <w:p w14:paraId="71D5A209"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b/>
                      <w:color w:val="000000"/>
                      <w:sz w:val="24"/>
                      <w:szCs w:val="24"/>
                    </w:rPr>
                  </w:pPr>
                  <w:r>
                    <w:rPr>
                      <w:rFonts w:ascii="Arial" w:hAnsi="Arial"/>
                      <w:b/>
                      <w:color w:val="000000"/>
                      <w:sz w:val="24"/>
                      <w:szCs w:val="24"/>
                    </w:rPr>
                    <w:t>2,565,257</w:t>
                  </w:r>
                </w:p>
              </w:tc>
              <w:tc>
                <w:tcPr>
                  <w:tcW w:w="4794" w:type="dxa"/>
                  <w:shd w:val="clear" w:color="auto" w:fill="auto"/>
                </w:tcPr>
                <w:p w14:paraId="2BB61C05"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b/>
                      <w:color w:val="000000"/>
                      <w:sz w:val="24"/>
                      <w:szCs w:val="24"/>
                    </w:rPr>
                  </w:pPr>
                  <w:r w:rsidRPr="00814920">
                    <w:rPr>
                      <w:rFonts w:ascii="Arial" w:hAnsi="Arial"/>
                      <w:b/>
                      <w:color w:val="000000"/>
                      <w:sz w:val="24"/>
                      <w:szCs w:val="24"/>
                    </w:rPr>
                    <w:t>Total Investment Assets</w:t>
                  </w:r>
                </w:p>
              </w:tc>
              <w:tc>
                <w:tcPr>
                  <w:tcW w:w="1814" w:type="dxa"/>
                  <w:tcBorders>
                    <w:top w:val="single" w:sz="4" w:space="0" w:color="auto"/>
                    <w:bottom w:val="double" w:sz="4" w:space="0" w:color="auto"/>
                  </w:tcBorders>
                  <w:shd w:val="clear" w:color="auto" w:fill="auto"/>
                </w:tcPr>
                <w:p w14:paraId="045DC343" w14:textId="77777777" w:rsidR="008544C2" w:rsidRPr="00814920" w:rsidRDefault="00560A88"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b/>
                      <w:color w:val="000000"/>
                      <w:sz w:val="24"/>
                      <w:szCs w:val="24"/>
                    </w:rPr>
                  </w:pPr>
                  <w:r>
                    <w:rPr>
                      <w:rFonts w:ascii="Arial" w:hAnsi="Arial"/>
                      <w:b/>
                      <w:color w:val="000000"/>
                      <w:sz w:val="24"/>
                      <w:szCs w:val="24"/>
                    </w:rPr>
                    <w:t>2,</w:t>
                  </w:r>
                  <w:r w:rsidR="006E0BDB">
                    <w:rPr>
                      <w:rFonts w:ascii="Arial" w:hAnsi="Arial"/>
                      <w:b/>
                      <w:color w:val="000000"/>
                      <w:sz w:val="24"/>
                      <w:szCs w:val="24"/>
                    </w:rPr>
                    <w:t>889,534</w:t>
                  </w:r>
                </w:p>
              </w:tc>
            </w:tr>
          </w:tbl>
          <w:p w14:paraId="75EC8947" w14:textId="77777777" w:rsidR="00437B8E" w:rsidRPr="00AA6549" w:rsidRDefault="00437B8E" w:rsidP="00437B8E">
            <w:pPr>
              <w:rPr>
                <w:rFonts w:ascii="Arial" w:hAnsi="Arial" w:cs="Arial"/>
                <w:b/>
                <w:bCs/>
                <w:sz w:val="24"/>
                <w:szCs w:val="24"/>
                <w:highlight w:val="yellow"/>
                <w:lang w:eastAsia="en-GB"/>
              </w:rPr>
            </w:pPr>
          </w:p>
        </w:tc>
      </w:tr>
      <w:tr w:rsidR="00437B8E" w:rsidRPr="00437B8E" w14:paraId="4F95198D" w14:textId="77777777" w:rsidTr="003E4A3D">
        <w:trPr>
          <w:trHeight w:val="68"/>
        </w:trPr>
        <w:tc>
          <w:tcPr>
            <w:tcW w:w="1440" w:type="dxa"/>
            <w:tcBorders>
              <w:top w:val="nil"/>
              <w:left w:val="nil"/>
              <w:bottom w:val="nil"/>
              <w:right w:val="nil"/>
            </w:tcBorders>
            <w:shd w:val="clear" w:color="000000" w:fill="FFFFFF"/>
            <w:vAlign w:val="bottom"/>
          </w:tcPr>
          <w:p w14:paraId="604E590B" w14:textId="77777777" w:rsidR="00437B8E" w:rsidRPr="00AA6549" w:rsidRDefault="00437B8E" w:rsidP="00437B8E">
            <w:pPr>
              <w:rPr>
                <w:rFonts w:ascii="Arial" w:hAnsi="Arial" w:cs="Arial"/>
                <w:b/>
                <w:bCs/>
                <w:sz w:val="24"/>
                <w:szCs w:val="24"/>
                <w:highlight w:val="yellow"/>
                <w:lang w:eastAsia="en-GB"/>
              </w:rPr>
            </w:pPr>
          </w:p>
        </w:tc>
        <w:tc>
          <w:tcPr>
            <w:tcW w:w="6320" w:type="dxa"/>
            <w:tcBorders>
              <w:top w:val="nil"/>
              <w:left w:val="nil"/>
              <w:bottom w:val="nil"/>
              <w:right w:val="nil"/>
            </w:tcBorders>
            <w:shd w:val="clear" w:color="000000" w:fill="FFFFFF"/>
          </w:tcPr>
          <w:p w14:paraId="38BAF488" w14:textId="77777777" w:rsidR="00437B8E" w:rsidRPr="00AA6549" w:rsidRDefault="00437B8E" w:rsidP="00437B8E">
            <w:pPr>
              <w:rPr>
                <w:rFonts w:ascii="Arial (W1)" w:hAnsi="Arial (W1)" w:cs="Arial"/>
                <w:sz w:val="24"/>
                <w:szCs w:val="24"/>
                <w:highlight w:val="yellow"/>
                <w:lang w:eastAsia="en-GB"/>
              </w:rPr>
            </w:pPr>
          </w:p>
        </w:tc>
        <w:tc>
          <w:tcPr>
            <w:tcW w:w="1500" w:type="dxa"/>
            <w:tcBorders>
              <w:top w:val="nil"/>
              <w:left w:val="nil"/>
              <w:bottom w:val="nil"/>
              <w:right w:val="nil"/>
            </w:tcBorders>
            <w:shd w:val="clear" w:color="000000" w:fill="FFFFFF"/>
          </w:tcPr>
          <w:p w14:paraId="7743D0B5" w14:textId="77777777" w:rsidR="00437B8E" w:rsidRPr="00AA6549" w:rsidRDefault="00437B8E" w:rsidP="00437B8E">
            <w:pPr>
              <w:rPr>
                <w:rFonts w:ascii="Arial (W1)" w:hAnsi="Arial (W1)" w:cs="Arial"/>
                <w:sz w:val="24"/>
                <w:szCs w:val="24"/>
                <w:highlight w:val="yellow"/>
                <w:lang w:eastAsia="en-GB"/>
              </w:rPr>
            </w:pPr>
          </w:p>
        </w:tc>
        <w:tc>
          <w:tcPr>
            <w:tcW w:w="520" w:type="dxa"/>
            <w:tcBorders>
              <w:top w:val="nil"/>
              <w:left w:val="nil"/>
              <w:bottom w:val="nil"/>
              <w:right w:val="nil"/>
            </w:tcBorders>
            <w:shd w:val="clear" w:color="000000" w:fill="FFFFFF"/>
          </w:tcPr>
          <w:p w14:paraId="7FAA9EA5" w14:textId="77777777" w:rsidR="00437B8E" w:rsidRPr="00AA6549" w:rsidRDefault="00437B8E" w:rsidP="00437B8E">
            <w:pPr>
              <w:rPr>
                <w:rFonts w:ascii="Arial (W1)" w:hAnsi="Arial (W1)" w:cs="Arial"/>
                <w:sz w:val="24"/>
                <w:szCs w:val="24"/>
                <w:highlight w:val="yellow"/>
                <w:lang w:eastAsia="en-GB"/>
              </w:rPr>
            </w:pPr>
          </w:p>
        </w:tc>
      </w:tr>
    </w:tbl>
    <w:p w14:paraId="26020892" w14:textId="77777777" w:rsidR="0092210E" w:rsidRPr="0092210E" w:rsidRDefault="0092210E" w:rsidP="0092210E">
      <w:pPr>
        <w:rPr>
          <w:vanish/>
        </w:rPr>
      </w:pPr>
    </w:p>
    <w:tbl>
      <w:tblPr>
        <w:tblpPr w:leftFromText="180" w:rightFromText="180" w:vertAnchor="text" w:horzAnchor="margin" w:tblpY="-1559"/>
        <w:tblW w:w="12050" w:type="dxa"/>
        <w:tblLook w:val="0000" w:firstRow="0" w:lastRow="0" w:firstColumn="0" w:lastColumn="0" w:noHBand="0" w:noVBand="0"/>
      </w:tblPr>
      <w:tblGrid>
        <w:gridCol w:w="1387"/>
        <w:gridCol w:w="1293"/>
        <w:gridCol w:w="1244"/>
        <w:gridCol w:w="86"/>
        <w:gridCol w:w="1324"/>
        <w:gridCol w:w="200"/>
        <w:gridCol w:w="1228"/>
        <w:gridCol w:w="134"/>
        <w:gridCol w:w="1110"/>
        <w:gridCol w:w="1410"/>
        <w:gridCol w:w="1072"/>
        <w:gridCol w:w="490"/>
        <w:gridCol w:w="1072"/>
      </w:tblGrid>
      <w:tr w:rsidR="00266BB7" w:rsidRPr="00C3508B" w14:paraId="6FA5BADC" w14:textId="77777777" w:rsidTr="00D06EF0">
        <w:trPr>
          <w:trHeight w:val="528"/>
        </w:trPr>
        <w:tc>
          <w:tcPr>
            <w:tcW w:w="1387" w:type="dxa"/>
            <w:tcBorders>
              <w:top w:val="nil"/>
              <w:left w:val="nil"/>
              <w:bottom w:val="nil"/>
              <w:right w:val="nil"/>
            </w:tcBorders>
            <w:shd w:val="clear" w:color="auto" w:fill="auto"/>
            <w:vAlign w:val="center"/>
          </w:tcPr>
          <w:p w14:paraId="370F946B" w14:textId="77777777" w:rsidR="00266BB7" w:rsidRPr="00AD6B16" w:rsidRDefault="00266BB7" w:rsidP="00266BB7">
            <w:pPr>
              <w:jc w:val="both"/>
              <w:rPr>
                <w:rFonts w:ascii="Arial" w:hAnsi="Arial"/>
                <w:b/>
                <w:color w:val="000000"/>
                <w:sz w:val="24"/>
                <w:szCs w:val="24"/>
              </w:rPr>
            </w:pPr>
          </w:p>
        </w:tc>
        <w:tc>
          <w:tcPr>
            <w:tcW w:w="9101" w:type="dxa"/>
            <w:gridSpan w:val="10"/>
            <w:tcBorders>
              <w:top w:val="nil"/>
              <w:left w:val="nil"/>
              <w:bottom w:val="nil"/>
              <w:right w:val="nil"/>
            </w:tcBorders>
            <w:shd w:val="clear" w:color="auto" w:fill="auto"/>
            <w:vAlign w:val="center"/>
          </w:tcPr>
          <w:p w14:paraId="6BBD9C5E" w14:textId="77777777" w:rsidR="00266BB7" w:rsidRPr="00AD6B16" w:rsidRDefault="00266BB7" w:rsidP="00266BB7">
            <w:pPr>
              <w:jc w:val="both"/>
              <w:rPr>
                <w:rFonts w:ascii="Arial" w:hAnsi="Arial"/>
                <w:b/>
                <w:color w:val="000000"/>
                <w:sz w:val="24"/>
                <w:szCs w:val="24"/>
              </w:rPr>
            </w:pPr>
          </w:p>
        </w:tc>
        <w:tc>
          <w:tcPr>
            <w:tcW w:w="1562" w:type="dxa"/>
            <w:gridSpan w:val="2"/>
            <w:tcBorders>
              <w:top w:val="nil"/>
              <w:left w:val="nil"/>
              <w:bottom w:val="nil"/>
              <w:right w:val="nil"/>
            </w:tcBorders>
            <w:shd w:val="clear" w:color="auto" w:fill="auto"/>
            <w:vAlign w:val="bottom"/>
          </w:tcPr>
          <w:p w14:paraId="6424B7A2" w14:textId="77777777" w:rsidR="00266BB7" w:rsidRPr="00C3508B" w:rsidRDefault="00266BB7" w:rsidP="00266BB7">
            <w:pPr>
              <w:jc w:val="center"/>
              <w:rPr>
                <w:rFonts w:ascii="Arial" w:hAnsi="Arial"/>
                <w:b/>
                <w:color w:val="000000"/>
                <w:sz w:val="20"/>
              </w:rPr>
            </w:pPr>
          </w:p>
        </w:tc>
      </w:tr>
      <w:tr w:rsidR="00266BB7" w:rsidRPr="00887383" w14:paraId="48166D5A" w14:textId="77777777" w:rsidTr="00D06EF0">
        <w:trPr>
          <w:gridAfter w:val="5"/>
          <w:wAfter w:w="5154" w:type="dxa"/>
          <w:trHeight w:val="68"/>
        </w:trPr>
        <w:tc>
          <w:tcPr>
            <w:tcW w:w="2680" w:type="dxa"/>
            <w:gridSpan w:val="2"/>
            <w:tcBorders>
              <w:top w:val="nil"/>
              <w:left w:val="nil"/>
              <w:bottom w:val="nil"/>
              <w:right w:val="nil"/>
            </w:tcBorders>
            <w:shd w:val="clear" w:color="auto" w:fill="auto"/>
            <w:noWrap/>
            <w:vAlign w:val="bottom"/>
          </w:tcPr>
          <w:p w14:paraId="43FE712C" w14:textId="77777777" w:rsidR="00266BB7" w:rsidRPr="00887383" w:rsidRDefault="00266BB7" w:rsidP="00266BB7">
            <w:pPr>
              <w:rPr>
                <w:rFonts w:ascii="Arial" w:hAnsi="Arial"/>
                <w:color w:val="000000"/>
                <w:sz w:val="18"/>
                <w:szCs w:val="18"/>
              </w:rPr>
            </w:pPr>
          </w:p>
        </w:tc>
        <w:tc>
          <w:tcPr>
            <w:tcW w:w="1244" w:type="dxa"/>
            <w:tcBorders>
              <w:top w:val="nil"/>
              <w:left w:val="nil"/>
              <w:bottom w:val="nil"/>
              <w:right w:val="nil"/>
            </w:tcBorders>
            <w:shd w:val="clear" w:color="auto" w:fill="auto"/>
            <w:noWrap/>
            <w:vAlign w:val="bottom"/>
          </w:tcPr>
          <w:p w14:paraId="13488A84" w14:textId="77777777" w:rsidR="00266BB7" w:rsidRPr="00887383" w:rsidRDefault="00266BB7" w:rsidP="00266BB7">
            <w:pPr>
              <w:rPr>
                <w:rFonts w:ascii="Arial" w:hAnsi="Arial"/>
                <w:color w:val="000000"/>
                <w:sz w:val="18"/>
                <w:szCs w:val="18"/>
              </w:rPr>
            </w:pPr>
          </w:p>
        </w:tc>
        <w:tc>
          <w:tcPr>
            <w:tcW w:w="1410" w:type="dxa"/>
            <w:gridSpan w:val="2"/>
            <w:tcBorders>
              <w:top w:val="nil"/>
              <w:left w:val="nil"/>
              <w:bottom w:val="nil"/>
              <w:right w:val="nil"/>
            </w:tcBorders>
            <w:shd w:val="clear" w:color="auto" w:fill="auto"/>
            <w:noWrap/>
            <w:vAlign w:val="bottom"/>
          </w:tcPr>
          <w:p w14:paraId="60F6A226" w14:textId="77777777" w:rsidR="00266BB7" w:rsidRPr="00887383" w:rsidRDefault="00266BB7" w:rsidP="00266BB7">
            <w:pPr>
              <w:rPr>
                <w:rFonts w:ascii="Arial" w:hAnsi="Arial"/>
                <w:color w:val="000000"/>
                <w:sz w:val="18"/>
                <w:szCs w:val="18"/>
              </w:rPr>
            </w:pPr>
          </w:p>
        </w:tc>
        <w:tc>
          <w:tcPr>
            <w:tcW w:w="1562" w:type="dxa"/>
            <w:gridSpan w:val="3"/>
            <w:tcBorders>
              <w:top w:val="nil"/>
              <w:left w:val="nil"/>
              <w:bottom w:val="nil"/>
              <w:right w:val="nil"/>
            </w:tcBorders>
            <w:shd w:val="clear" w:color="auto" w:fill="auto"/>
            <w:noWrap/>
            <w:vAlign w:val="bottom"/>
          </w:tcPr>
          <w:p w14:paraId="70B76E7C" w14:textId="77777777" w:rsidR="00266BB7" w:rsidRPr="00887383" w:rsidRDefault="00266BB7" w:rsidP="00266BB7">
            <w:pPr>
              <w:ind w:right="275"/>
              <w:jc w:val="right"/>
              <w:rPr>
                <w:rFonts w:ascii="Arial" w:hAnsi="Arial"/>
                <w:color w:val="000000"/>
                <w:sz w:val="18"/>
                <w:szCs w:val="18"/>
              </w:rPr>
            </w:pPr>
          </w:p>
        </w:tc>
      </w:tr>
      <w:tr w:rsidR="00266BB7" w:rsidRPr="00887383" w14:paraId="1B53D557" w14:textId="77777777" w:rsidTr="00D06EF0">
        <w:trPr>
          <w:gridAfter w:val="1"/>
          <w:wAfter w:w="1072" w:type="dxa"/>
          <w:trHeight w:val="264"/>
        </w:trPr>
        <w:tc>
          <w:tcPr>
            <w:tcW w:w="4010" w:type="dxa"/>
            <w:gridSpan w:val="4"/>
            <w:tcBorders>
              <w:top w:val="nil"/>
              <w:left w:val="nil"/>
              <w:bottom w:val="nil"/>
              <w:right w:val="nil"/>
            </w:tcBorders>
            <w:shd w:val="clear" w:color="auto" w:fill="auto"/>
            <w:noWrap/>
            <w:vAlign w:val="bottom"/>
          </w:tcPr>
          <w:p w14:paraId="1F6DFB86" w14:textId="77777777" w:rsidR="00266BB7" w:rsidRPr="00887383" w:rsidRDefault="00266BB7" w:rsidP="00266BB7">
            <w:pPr>
              <w:rPr>
                <w:rFonts w:ascii="Arial" w:hAnsi="Arial"/>
                <w:color w:val="000000"/>
                <w:sz w:val="18"/>
                <w:szCs w:val="18"/>
              </w:rPr>
            </w:pPr>
          </w:p>
        </w:tc>
        <w:tc>
          <w:tcPr>
            <w:tcW w:w="1524" w:type="dxa"/>
            <w:gridSpan w:val="2"/>
            <w:tcBorders>
              <w:top w:val="nil"/>
              <w:left w:val="nil"/>
              <w:bottom w:val="nil"/>
              <w:right w:val="nil"/>
            </w:tcBorders>
            <w:shd w:val="clear" w:color="auto" w:fill="auto"/>
            <w:noWrap/>
            <w:vAlign w:val="bottom"/>
          </w:tcPr>
          <w:p w14:paraId="595717BF" w14:textId="77777777" w:rsidR="00266BB7" w:rsidRPr="00887383" w:rsidRDefault="00266BB7" w:rsidP="00266BB7">
            <w:pPr>
              <w:ind w:right="275"/>
              <w:jc w:val="right"/>
              <w:rPr>
                <w:rFonts w:ascii="Arial" w:hAnsi="Arial"/>
                <w:color w:val="000000"/>
                <w:sz w:val="18"/>
                <w:szCs w:val="18"/>
              </w:rPr>
            </w:pPr>
          </w:p>
        </w:tc>
        <w:tc>
          <w:tcPr>
            <w:tcW w:w="1228" w:type="dxa"/>
            <w:tcBorders>
              <w:top w:val="nil"/>
              <w:left w:val="nil"/>
              <w:bottom w:val="nil"/>
              <w:right w:val="nil"/>
            </w:tcBorders>
            <w:shd w:val="clear" w:color="auto" w:fill="auto"/>
            <w:noWrap/>
            <w:vAlign w:val="bottom"/>
          </w:tcPr>
          <w:p w14:paraId="7D36F2F1" w14:textId="77777777" w:rsidR="00266BB7" w:rsidRPr="00887383" w:rsidRDefault="00266BB7" w:rsidP="00266BB7">
            <w:pPr>
              <w:jc w:val="right"/>
              <w:rPr>
                <w:rFonts w:ascii="Arial" w:hAnsi="Arial"/>
                <w:color w:val="000000"/>
                <w:sz w:val="18"/>
                <w:szCs w:val="18"/>
              </w:rPr>
            </w:pPr>
          </w:p>
        </w:tc>
        <w:tc>
          <w:tcPr>
            <w:tcW w:w="1244" w:type="dxa"/>
            <w:gridSpan w:val="2"/>
            <w:tcBorders>
              <w:top w:val="nil"/>
              <w:left w:val="nil"/>
              <w:bottom w:val="nil"/>
              <w:right w:val="nil"/>
            </w:tcBorders>
            <w:shd w:val="clear" w:color="auto" w:fill="auto"/>
            <w:noWrap/>
            <w:vAlign w:val="bottom"/>
          </w:tcPr>
          <w:p w14:paraId="401311B8" w14:textId="77777777" w:rsidR="00266BB7" w:rsidRPr="00887383" w:rsidRDefault="00266BB7" w:rsidP="00266BB7">
            <w:pPr>
              <w:jc w:val="right"/>
              <w:rPr>
                <w:rFonts w:ascii="Arial" w:hAnsi="Arial"/>
                <w:color w:val="000000"/>
                <w:sz w:val="18"/>
                <w:szCs w:val="18"/>
              </w:rPr>
            </w:pPr>
          </w:p>
        </w:tc>
        <w:tc>
          <w:tcPr>
            <w:tcW w:w="1410" w:type="dxa"/>
            <w:tcBorders>
              <w:top w:val="nil"/>
              <w:left w:val="nil"/>
              <w:bottom w:val="nil"/>
              <w:right w:val="nil"/>
            </w:tcBorders>
            <w:shd w:val="clear" w:color="auto" w:fill="auto"/>
            <w:noWrap/>
            <w:vAlign w:val="bottom"/>
          </w:tcPr>
          <w:p w14:paraId="369B9796" w14:textId="77777777" w:rsidR="00266BB7" w:rsidRPr="00887383" w:rsidRDefault="00266BB7" w:rsidP="00266BB7">
            <w:pPr>
              <w:jc w:val="right"/>
              <w:rPr>
                <w:rFonts w:ascii="Arial" w:hAnsi="Arial"/>
                <w:color w:val="000000"/>
                <w:sz w:val="18"/>
                <w:szCs w:val="18"/>
              </w:rPr>
            </w:pPr>
          </w:p>
        </w:tc>
        <w:tc>
          <w:tcPr>
            <w:tcW w:w="1562" w:type="dxa"/>
            <w:gridSpan w:val="2"/>
            <w:tcBorders>
              <w:top w:val="nil"/>
              <w:left w:val="nil"/>
              <w:bottom w:val="nil"/>
              <w:right w:val="nil"/>
            </w:tcBorders>
            <w:shd w:val="clear" w:color="auto" w:fill="auto"/>
            <w:noWrap/>
            <w:vAlign w:val="bottom"/>
          </w:tcPr>
          <w:p w14:paraId="0A1323DF" w14:textId="77777777" w:rsidR="00266BB7" w:rsidRPr="00887383" w:rsidRDefault="00266BB7" w:rsidP="00266BB7">
            <w:pPr>
              <w:ind w:right="275"/>
              <w:jc w:val="right"/>
              <w:rPr>
                <w:rFonts w:ascii="Arial" w:hAnsi="Arial"/>
                <w:color w:val="000000"/>
                <w:sz w:val="18"/>
                <w:szCs w:val="18"/>
              </w:rPr>
            </w:pPr>
          </w:p>
        </w:tc>
      </w:tr>
    </w:tbl>
    <w:p w14:paraId="7A2C2E56" w14:textId="77777777" w:rsidR="00830728" w:rsidRDefault="00830728"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tbl>
      <w:tblPr>
        <w:tblW w:w="10960" w:type="dxa"/>
        <w:tblInd w:w="108" w:type="dxa"/>
        <w:tblLook w:val="04A0" w:firstRow="1" w:lastRow="0" w:firstColumn="1" w:lastColumn="0" w:noHBand="0" w:noVBand="1"/>
      </w:tblPr>
      <w:tblGrid>
        <w:gridCol w:w="2011"/>
        <w:gridCol w:w="2422"/>
        <w:gridCol w:w="1156"/>
        <w:gridCol w:w="1156"/>
        <w:gridCol w:w="1156"/>
        <w:gridCol w:w="1156"/>
        <w:gridCol w:w="1156"/>
        <w:gridCol w:w="747"/>
      </w:tblGrid>
      <w:tr w:rsidR="00D06EF0" w:rsidRPr="00D06EF0" w14:paraId="1F4BF1EB"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0BFAA13E" w14:textId="77777777" w:rsidR="00D06EF0" w:rsidRPr="00212CCA" w:rsidRDefault="00D06EF0" w:rsidP="00D06EF0">
            <w:pPr>
              <w:rPr>
                <w:rFonts w:ascii="Arial" w:hAnsi="Arial" w:cs="Arial"/>
                <w:b/>
                <w:bCs/>
                <w:sz w:val="20"/>
                <w:lang w:eastAsia="en-GB"/>
              </w:rPr>
            </w:pPr>
            <w:bookmarkStart w:id="0" w:name="RANGE!A1:G57"/>
            <w:r w:rsidRPr="00212CCA">
              <w:rPr>
                <w:rFonts w:ascii="Arial" w:hAnsi="Arial" w:cs="Arial"/>
                <w:b/>
                <w:bCs/>
                <w:sz w:val="20"/>
                <w:lang w:eastAsia="en-GB"/>
              </w:rPr>
              <w:t>12. Changes in Investment Assets</w:t>
            </w:r>
            <w:bookmarkEnd w:id="0"/>
          </w:p>
        </w:tc>
        <w:tc>
          <w:tcPr>
            <w:tcW w:w="1156" w:type="dxa"/>
            <w:tcBorders>
              <w:top w:val="nil"/>
              <w:left w:val="nil"/>
              <w:bottom w:val="nil"/>
              <w:right w:val="nil"/>
            </w:tcBorders>
            <w:shd w:val="clear" w:color="auto" w:fill="auto"/>
            <w:noWrap/>
            <w:vAlign w:val="bottom"/>
            <w:hideMark/>
          </w:tcPr>
          <w:p w14:paraId="29086EB6"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438C15E2"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703049CD"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078C415A"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2AB3C12F" w14:textId="77777777" w:rsidR="00D06EF0" w:rsidRPr="00D06EF0" w:rsidRDefault="00D06EF0" w:rsidP="00D06EF0">
            <w:pPr>
              <w:jc w:val="center"/>
              <w:rPr>
                <w:sz w:val="20"/>
                <w:lang w:eastAsia="en-GB"/>
              </w:rPr>
            </w:pPr>
          </w:p>
        </w:tc>
        <w:tc>
          <w:tcPr>
            <w:tcW w:w="747" w:type="dxa"/>
            <w:tcBorders>
              <w:top w:val="nil"/>
              <w:left w:val="nil"/>
              <w:bottom w:val="nil"/>
              <w:right w:val="nil"/>
            </w:tcBorders>
            <w:shd w:val="clear" w:color="auto" w:fill="auto"/>
            <w:hideMark/>
          </w:tcPr>
          <w:p w14:paraId="4D06F759" w14:textId="77777777" w:rsidR="00D06EF0" w:rsidRPr="00D06EF0" w:rsidRDefault="00D06EF0" w:rsidP="00D06EF0">
            <w:pPr>
              <w:jc w:val="center"/>
              <w:rPr>
                <w:sz w:val="20"/>
                <w:lang w:eastAsia="en-GB"/>
              </w:rPr>
            </w:pPr>
          </w:p>
        </w:tc>
      </w:tr>
      <w:tr w:rsidR="00D06EF0" w:rsidRPr="00D06EF0" w14:paraId="6D01EBB0" w14:textId="77777777" w:rsidTr="00D06EF0">
        <w:trPr>
          <w:trHeight w:val="708"/>
        </w:trPr>
        <w:tc>
          <w:tcPr>
            <w:tcW w:w="2011" w:type="dxa"/>
            <w:tcBorders>
              <w:top w:val="nil"/>
              <w:left w:val="nil"/>
              <w:bottom w:val="nil"/>
              <w:right w:val="nil"/>
            </w:tcBorders>
            <w:shd w:val="clear" w:color="auto" w:fill="auto"/>
            <w:vAlign w:val="bottom"/>
            <w:hideMark/>
          </w:tcPr>
          <w:p w14:paraId="3F8C7D04"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vAlign w:val="bottom"/>
            <w:hideMark/>
          </w:tcPr>
          <w:p w14:paraId="0BA4E895"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vAlign w:val="bottom"/>
            <w:hideMark/>
          </w:tcPr>
          <w:p w14:paraId="507B65B5" w14:textId="77777777" w:rsidR="00D06EF0" w:rsidRPr="00D06EF0" w:rsidRDefault="00D06EF0" w:rsidP="00D06EF0">
            <w:pPr>
              <w:jc w:val="center"/>
              <w:rPr>
                <w:rFonts w:ascii="Arial" w:hAnsi="Arial" w:cs="Arial"/>
                <w:b/>
                <w:bCs/>
                <w:sz w:val="18"/>
                <w:szCs w:val="18"/>
                <w:lang w:eastAsia="en-GB"/>
              </w:rPr>
            </w:pPr>
            <w:r w:rsidRPr="00D06EF0">
              <w:rPr>
                <w:rFonts w:ascii="Arial" w:hAnsi="Arial" w:cs="Arial"/>
                <w:b/>
                <w:bCs/>
                <w:sz w:val="18"/>
                <w:szCs w:val="18"/>
                <w:lang w:eastAsia="en-GB"/>
              </w:rPr>
              <w:t>Value at 31.3.21</w:t>
            </w:r>
          </w:p>
        </w:tc>
        <w:tc>
          <w:tcPr>
            <w:tcW w:w="1156" w:type="dxa"/>
            <w:tcBorders>
              <w:top w:val="nil"/>
              <w:left w:val="nil"/>
              <w:bottom w:val="nil"/>
              <w:right w:val="nil"/>
            </w:tcBorders>
            <w:shd w:val="clear" w:color="auto" w:fill="auto"/>
            <w:vAlign w:val="bottom"/>
            <w:hideMark/>
          </w:tcPr>
          <w:p w14:paraId="28F9B8D5" w14:textId="77777777" w:rsidR="00D06EF0" w:rsidRPr="00D06EF0" w:rsidRDefault="00D06EF0" w:rsidP="00D06EF0">
            <w:pPr>
              <w:jc w:val="center"/>
              <w:rPr>
                <w:rFonts w:ascii="Arial" w:hAnsi="Arial" w:cs="Arial"/>
                <w:b/>
                <w:bCs/>
                <w:sz w:val="18"/>
                <w:szCs w:val="18"/>
                <w:lang w:eastAsia="en-GB"/>
              </w:rPr>
            </w:pPr>
            <w:r w:rsidRPr="00D06EF0">
              <w:rPr>
                <w:rFonts w:ascii="Arial" w:hAnsi="Arial" w:cs="Arial"/>
                <w:b/>
                <w:bCs/>
                <w:sz w:val="18"/>
                <w:szCs w:val="18"/>
                <w:lang w:eastAsia="en-GB"/>
              </w:rPr>
              <w:t>Purchases</w:t>
            </w:r>
          </w:p>
        </w:tc>
        <w:tc>
          <w:tcPr>
            <w:tcW w:w="1156" w:type="dxa"/>
            <w:tcBorders>
              <w:top w:val="nil"/>
              <w:left w:val="nil"/>
              <w:bottom w:val="nil"/>
              <w:right w:val="nil"/>
            </w:tcBorders>
            <w:shd w:val="clear" w:color="auto" w:fill="auto"/>
            <w:vAlign w:val="bottom"/>
            <w:hideMark/>
          </w:tcPr>
          <w:p w14:paraId="0F348252" w14:textId="77777777" w:rsidR="00D06EF0" w:rsidRPr="00D06EF0" w:rsidRDefault="00D06EF0" w:rsidP="00D06EF0">
            <w:pPr>
              <w:jc w:val="center"/>
              <w:rPr>
                <w:rFonts w:ascii="Arial" w:hAnsi="Arial" w:cs="Arial"/>
                <w:b/>
                <w:bCs/>
                <w:sz w:val="18"/>
                <w:szCs w:val="18"/>
                <w:lang w:eastAsia="en-GB"/>
              </w:rPr>
            </w:pPr>
            <w:r w:rsidRPr="00D06EF0">
              <w:rPr>
                <w:rFonts w:ascii="Arial" w:hAnsi="Arial" w:cs="Arial"/>
                <w:b/>
                <w:bCs/>
                <w:sz w:val="18"/>
                <w:szCs w:val="18"/>
                <w:lang w:eastAsia="en-GB"/>
              </w:rPr>
              <w:t>Sales</w:t>
            </w:r>
          </w:p>
        </w:tc>
        <w:tc>
          <w:tcPr>
            <w:tcW w:w="1156" w:type="dxa"/>
            <w:tcBorders>
              <w:top w:val="nil"/>
              <w:left w:val="nil"/>
              <w:bottom w:val="nil"/>
              <w:right w:val="nil"/>
            </w:tcBorders>
            <w:shd w:val="clear" w:color="auto" w:fill="auto"/>
            <w:vAlign w:val="bottom"/>
            <w:hideMark/>
          </w:tcPr>
          <w:p w14:paraId="6C784D71" w14:textId="77777777" w:rsidR="00D06EF0" w:rsidRPr="00D06EF0" w:rsidRDefault="00D06EF0" w:rsidP="00D06EF0">
            <w:pPr>
              <w:jc w:val="center"/>
              <w:rPr>
                <w:rFonts w:ascii="Arial" w:hAnsi="Arial" w:cs="Arial"/>
                <w:b/>
                <w:bCs/>
                <w:sz w:val="18"/>
                <w:szCs w:val="18"/>
                <w:lang w:eastAsia="en-GB"/>
              </w:rPr>
            </w:pPr>
            <w:r w:rsidRPr="00D06EF0">
              <w:rPr>
                <w:rFonts w:ascii="Arial" w:hAnsi="Arial" w:cs="Arial"/>
                <w:b/>
                <w:bCs/>
                <w:sz w:val="18"/>
                <w:szCs w:val="18"/>
                <w:lang w:eastAsia="en-GB"/>
              </w:rPr>
              <w:t>Change in Market Value</w:t>
            </w:r>
          </w:p>
        </w:tc>
        <w:tc>
          <w:tcPr>
            <w:tcW w:w="1156" w:type="dxa"/>
            <w:tcBorders>
              <w:top w:val="nil"/>
              <w:left w:val="nil"/>
              <w:bottom w:val="nil"/>
              <w:right w:val="nil"/>
            </w:tcBorders>
            <w:shd w:val="clear" w:color="auto" w:fill="auto"/>
            <w:vAlign w:val="bottom"/>
            <w:hideMark/>
          </w:tcPr>
          <w:p w14:paraId="5E3FD718" w14:textId="77777777" w:rsidR="00D06EF0" w:rsidRPr="00D06EF0" w:rsidRDefault="00D06EF0" w:rsidP="00D06EF0">
            <w:pPr>
              <w:jc w:val="center"/>
              <w:rPr>
                <w:rFonts w:ascii="Arial" w:hAnsi="Arial" w:cs="Arial"/>
                <w:b/>
                <w:bCs/>
                <w:sz w:val="18"/>
                <w:szCs w:val="18"/>
                <w:lang w:eastAsia="en-GB"/>
              </w:rPr>
            </w:pPr>
            <w:r w:rsidRPr="00D06EF0">
              <w:rPr>
                <w:rFonts w:ascii="Arial" w:hAnsi="Arial" w:cs="Arial"/>
                <w:b/>
                <w:bCs/>
                <w:sz w:val="18"/>
                <w:szCs w:val="18"/>
                <w:lang w:eastAsia="en-GB"/>
              </w:rPr>
              <w:t>Value at 31.3.22</w:t>
            </w:r>
          </w:p>
        </w:tc>
        <w:tc>
          <w:tcPr>
            <w:tcW w:w="747" w:type="dxa"/>
            <w:tcBorders>
              <w:top w:val="nil"/>
              <w:left w:val="nil"/>
              <w:bottom w:val="nil"/>
              <w:right w:val="nil"/>
            </w:tcBorders>
            <w:shd w:val="clear" w:color="auto" w:fill="auto"/>
            <w:hideMark/>
          </w:tcPr>
          <w:p w14:paraId="522B950D" w14:textId="77777777" w:rsidR="00D06EF0" w:rsidRPr="00D06EF0" w:rsidRDefault="00D06EF0" w:rsidP="00D06EF0">
            <w:pPr>
              <w:jc w:val="center"/>
              <w:rPr>
                <w:rFonts w:ascii="Arial" w:hAnsi="Arial" w:cs="Arial"/>
                <w:b/>
                <w:bCs/>
                <w:sz w:val="18"/>
                <w:szCs w:val="18"/>
                <w:lang w:eastAsia="en-GB"/>
              </w:rPr>
            </w:pPr>
          </w:p>
        </w:tc>
      </w:tr>
      <w:tr w:rsidR="00D06EF0" w:rsidRPr="00D06EF0" w14:paraId="43FA492E" w14:textId="77777777" w:rsidTr="00D06EF0">
        <w:trPr>
          <w:trHeight w:val="885"/>
        </w:trPr>
        <w:tc>
          <w:tcPr>
            <w:tcW w:w="2011" w:type="dxa"/>
            <w:tcBorders>
              <w:top w:val="nil"/>
              <w:left w:val="nil"/>
              <w:bottom w:val="nil"/>
              <w:right w:val="nil"/>
            </w:tcBorders>
            <w:shd w:val="clear" w:color="auto" w:fill="auto"/>
            <w:vAlign w:val="bottom"/>
            <w:hideMark/>
          </w:tcPr>
          <w:p w14:paraId="7DBBA237"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vAlign w:val="bottom"/>
            <w:hideMark/>
          </w:tcPr>
          <w:p w14:paraId="224B0BBF"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340E6A4A" w14:textId="77777777" w:rsidR="00D06EF0" w:rsidRPr="00D06EF0" w:rsidRDefault="00D06EF0" w:rsidP="00D06EF0">
            <w:pPr>
              <w:jc w:val="center"/>
              <w:rPr>
                <w:rFonts w:ascii="Arial" w:hAnsi="Arial" w:cs="Arial"/>
                <w:b/>
                <w:bCs/>
                <w:sz w:val="18"/>
                <w:szCs w:val="18"/>
                <w:lang w:eastAsia="en-GB"/>
              </w:rPr>
            </w:pPr>
            <w:r w:rsidRPr="00D06EF0">
              <w:rPr>
                <w:rFonts w:ascii="Arial" w:hAnsi="Arial" w:cs="Arial"/>
                <w:b/>
                <w:bCs/>
                <w:sz w:val="18"/>
                <w:szCs w:val="18"/>
                <w:lang w:eastAsia="en-GB"/>
              </w:rPr>
              <w:t>£'000</w:t>
            </w:r>
          </w:p>
        </w:tc>
        <w:tc>
          <w:tcPr>
            <w:tcW w:w="1156" w:type="dxa"/>
            <w:tcBorders>
              <w:top w:val="nil"/>
              <w:left w:val="nil"/>
              <w:bottom w:val="nil"/>
              <w:right w:val="nil"/>
            </w:tcBorders>
            <w:shd w:val="clear" w:color="auto" w:fill="auto"/>
            <w:noWrap/>
            <w:vAlign w:val="bottom"/>
            <w:hideMark/>
          </w:tcPr>
          <w:p w14:paraId="281072CC" w14:textId="77777777" w:rsidR="00D06EF0" w:rsidRPr="00D06EF0" w:rsidRDefault="00D06EF0" w:rsidP="00D06EF0">
            <w:pPr>
              <w:jc w:val="center"/>
              <w:rPr>
                <w:rFonts w:ascii="Arial" w:hAnsi="Arial" w:cs="Arial"/>
                <w:b/>
                <w:bCs/>
                <w:sz w:val="18"/>
                <w:szCs w:val="18"/>
                <w:lang w:eastAsia="en-GB"/>
              </w:rPr>
            </w:pPr>
            <w:r w:rsidRPr="00D06EF0">
              <w:rPr>
                <w:rFonts w:ascii="Arial" w:hAnsi="Arial" w:cs="Arial"/>
                <w:b/>
                <w:bCs/>
                <w:sz w:val="18"/>
                <w:szCs w:val="18"/>
                <w:lang w:eastAsia="en-GB"/>
              </w:rPr>
              <w:t>£'000</w:t>
            </w:r>
          </w:p>
        </w:tc>
        <w:tc>
          <w:tcPr>
            <w:tcW w:w="1156" w:type="dxa"/>
            <w:tcBorders>
              <w:top w:val="nil"/>
              <w:left w:val="nil"/>
              <w:bottom w:val="nil"/>
              <w:right w:val="nil"/>
            </w:tcBorders>
            <w:shd w:val="clear" w:color="auto" w:fill="auto"/>
            <w:noWrap/>
            <w:vAlign w:val="bottom"/>
            <w:hideMark/>
          </w:tcPr>
          <w:p w14:paraId="1A10D4C1" w14:textId="77777777" w:rsidR="00D06EF0" w:rsidRPr="00D06EF0" w:rsidRDefault="00D06EF0" w:rsidP="00D06EF0">
            <w:pPr>
              <w:jc w:val="center"/>
              <w:rPr>
                <w:rFonts w:ascii="Arial" w:hAnsi="Arial" w:cs="Arial"/>
                <w:b/>
                <w:bCs/>
                <w:sz w:val="18"/>
                <w:szCs w:val="18"/>
                <w:lang w:eastAsia="en-GB"/>
              </w:rPr>
            </w:pPr>
            <w:r w:rsidRPr="00D06EF0">
              <w:rPr>
                <w:rFonts w:ascii="Arial" w:hAnsi="Arial" w:cs="Arial"/>
                <w:b/>
                <w:bCs/>
                <w:sz w:val="18"/>
                <w:szCs w:val="18"/>
                <w:lang w:eastAsia="en-GB"/>
              </w:rPr>
              <w:t>£'000</w:t>
            </w:r>
          </w:p>
        </w:tc>
        <w:tc>
          <w:tcPr>
            <w:tcW w:w="1156" w:type="dxa"/>
            <w:tcBorders>
              <w:top w:val="nil"/>
              <w:left w:val="nil"/>
              <w:bottom w:val="nil"/>
              <w:right w:val="nil"/>
            </w:tcBorders>
            <w:shd w:val="clear" w:color="auto" w:fill="auto"/>
            <w:noWrap/>
            <w:vAlign w:val="bottom"/>
            <w:hideMark/>
          </w:tcPr>
          <w:p w14:paraId="12BE9F06" w14:textId="77777777" w:rsidR="00D06EF0" w:rsidRPr="00D06EF0" w:rsidRDefault="00D06EF0" w:rsidP="00D06EF0">
            <w:pPr>
              <w:jc w:val="center"/>
              <w:rPr>
                <w:rFonts w:ascii="Arial" w:hAnsi="Arial" w:cs="Arial"/>
                <w:b/>
                <w:bCs/>
                <w:sz w:val="18"/>
                <w:szCs w:val="18"/>
                <w:lang w:eastAsia="en-GB"/>
              </w:rPr>
            </w:pPr>
            <w:r w:rsidRPr="00D06EF0">
              <w:rPr>
                <w:rFonts w:ascii="Arial" w:hAnsi="Arial" w:cs="Arial"/>
                <w:b/>
                <w:bCs/>
                <w:sz w:val="18"/>
                <w:szCs w:val="18"/>
                <w:lang w:eastAsia="en-GB"/>
              </w:rPr>
              <w:t>£'000</w:t>
            </w:r>
          </w:p>
        </w:tc>
        <w:tc>
          <w:tcPr>
            <w:tcW w:w="1156" w:type="dxa"/>
            <w:tcBorders>
              <w:top w:val="nil"/>
              <w:left w:val="nil"/>
              <w:bottom w:val="nil"/>
              <w:right w:val="nil"/>
            </w:tcBorders>
            <w:shd w:val="clear" w:color="auto" w:fill="auto"/>
            <w:noWrap/>
            <w:vAlign w:val="bottom"/>
            <w:hideMark/>
          </w:tcPr>
          <w:p w14:paraId="35E7516B" w14:textId="77777777" w:rsidR="00D06EF0" w:rsidRPr="00D06EF0" w:rsidRDefault="00D06EF0" w:rsidP="00D06EF0">
            <w:pPr>
              <w:jc w:val="center"/>
              <w:rPr>
                <w:rFonts w:ascii="Arial" w:hAnsi="Arial" w:cs="Arial"/>
                <w:b/>
                <w:bCs/>
                <w:sz w:val="18"/>
                <w:szCs w:val="18"/>
                <w:lang w:eastAsia="en-GB"/>
              </w:rPr>
            </w:pPr>
            <w:r w:rsidRPr="00D06EF0">
              <w:rPr>
                <w:rFonts w:ascii="Arial" w:hAnsi="Arial" w:cs="Arial"/>
                <w:b/>
                <w:bCs/>
                <w:sz w:val="18"/>
                <w:szCs w:val="18"/>
                <w:lang w:eastAsia="en-GB"/>
              </w:rPr>
              <w:t>£'000</w:t>
            </w:r>
          </w:p>
        </w:tc>
        <w:tc>
          <w:tcPr>
            <w:tcW w:w="747" w:type="dxa"/>
            <w:tcBorders>
              <w:top w:val="nil"/>
              <w:left w:val="nil"/>
              <w:bottom w:val="nil"/>
              <w:right w:val="nil"/>
            </w:tcBorders>
            <w:shd w:val="clear" w:color="auto" w:fill="auto"/>
            <w:hideMark/>
          </w:tcPr>
          <w:p w14:paraId="062B3E1B" w14:textId="77777777" w:rsidR="00D06EF0" w:rsidRPr="00D06EF0" w:rsidRDefault="00D06EF0" w:rsidP="00D06EF0">
            <w:pPr>
              <w:jc w:val="center"/>
              <w:rPr>
                <w:rFonts w:ascii="Arial" w:hAnsi="Arial" w:cs="Arial"/>
                <w:b/>
                <w:bCs/>
                <w:sz w:val="18"/>
                <w:szCs w:val="18"/>
                <w:lang w:eastAsia="en-GB"/>
              </w:rPr>
            </w:pPr>
          </w:p>
        </w:tc>
      </w:tr>
      <w:tr w:rsidR="00D06EF0" w:rsidRPr="00D06EF0" w14:paraId="36790D1A" w14:textId="77777777" w:rsidTr="00D06EF0">
        <w:trPr>
          <w:trHeight w:val="330"/>
        </w:trPr>
        <w:tc>
          <w:tcPr>
            <w:tcW w:w="2011" w:type="dxa"/>
            <w:tcBorders>
              <w:top w:val="nil"/>
              <w:left w:val="nil"/>
              <w:bottom w:val="nil"/>
              <w:right w:val="nil"/>
            </w:tcBorders>
            <w:shd w:val="clear" w:color="auto" w:fill="auto"/>
            <w:noWrap/>
            <w:vAlign w:val="bottom"/>
            <w:hideMark/>
          </w:tcPr>
          <w:p w14:paraId="73D64C77"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Equities</w:t>
            </w:r>
          </w:p>
        </w:tc>
        <w:tc>
          <w:tcPr>
            <w:tcW w:w="2422" w:type="dxa"/>
            <w:tcBorders>
              <w:top w:val="nil"/>
              <w:left w:val="nil"/>
              <w:bottom w:val="nil"/>
              <w:right w:val="nil"/>
            </w:tcBorders>
            <w:shd w:val="clear" w:color="auto" w:fill="auto"/>
            <w:noWrap/>
            <w:vAlign w:val="bottom"/>
            <w:hideMark/>
          </w:tcPr>
          <w:p w14:paraId="7F405A80"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62DCE8A5"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4FD5DD6E"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5A9C967B"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4445DE80"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4775AAF8" w14:textId="77777777" w:rsidR="00D06EF0" w:rsidRPr="00D06EF0" w:rsidRDefault="00D06EF0" w:rsidP="00D06EF0">
            <w:pPr>
              <w:jc w:val="center"/>
              <w:rPr>
                <w:sz w:val="20"/>
                <w:lang w:eastAsia="en-GB"/>
              </w:rPr>
            </w:pPr>
          </w:p>
        </w:tc>
        <w:tc>
          <w:tcPr>
            <w:tcW w:w="747" w:type="dxa"/>
            <w:tcBorders>
              <w:top w:val="nil"/>
              <w:left w:val="nil"/>
              <w:bottom w:val="nil"/>
              <w:right w:val="nil"/>
            </w:tcBorders>
            <w:shd w:val="clear" w:color="auto" w:fill="auto"/>
            <w:noWrap/>
            <w:hideMark/>
          </w:tcPr>
          <w:p w14:paraId="082CB71A" w14:textId="77777777" w:rsidR="00D06EF0" w:rsidRPr="00D06EF0" w:rsidRDefault="00D06EF0" w:rsidP="00D06EF0">
            <w:pPr>
              <w:jc w:val="center"/>
              <w:rPr>
                <w:sz w:val="20"/>
                <w:lang w:eastAsia="en-GB"/>
              </w:rPr>
            </w:pPr>
          </w:p>
        </w:tc>
      </w:tr>
      <w:tr w:rsidR="00D06EF0" w:rsidRPr="00D06EF0" w14:paraId="20A0536E" w14:textId="77777777" w:rsidTr="00D06EF0">
        <w:trPr>
          <w:trHeight w:val="240"/>
        </w:trPr>
        <w:tc>
          <w:tcPr>
            <w:tcW w:w="2011" w:type="dxa"/>
            <w:tcBorders>
              <w:top w:val="nil"/>
              <w:left w:val="nil"/>
              <w:bottom w:val="nil"/>
              <w:right w:val="nil"/>
            </w:tcBorders>
            <w:shd w:val="clear" w:color="auto" w:fill="auto"/>
            <w:noWrap/>
            <w:vAlign w:val="bottom"/>
            <w:hideMark/>
          </w:tcPr>
          <w:p w14:paraId="5CF8822C"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44A6C91F"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Blackrock (Passive)</w:t>
            </w:r>
          </w:p>
        </w:tc>
        <w:tc>
          <w:tcPr>
            <w:tcW w:w="1156" w:type="dxa"/>
            <w:tcBorders>
              <w:top w:val="nil"/>
              <w:left w:val="nil"/>
              <w:bottom w:val="nil"/>
              <w:right w:val="nil"/>
            </w:tcBorders>
            <w:shd w:val="clear" w:color="auto" w:fill="auto"/>
            <w:noWrap/>
            <w:vAlign w:val="bottom"/>
            <w:hideMark/>
          </w:tcPr>
          <w:p w14:paraId="4D7E7CC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656,690</w:t>
            </w:r>
          </w:p>
        </w:tc>
        <w:tc>
          <w:tcPr>
            <w:tcW w:w="1156" w:type="dxa"/>
            <w:tcBorders>
              <w:top w:val="nil"/>
              <w:left w:val="nil"/>
              <w:bottom w:val="nil"/>
              <w:right w:val="nil"/>
            </w:tcBorders>
            <w:shd w:val="clear" w:color="auto" w:fill="auto"/>
            <w:noWrap/>
            <w:vAlign w:val="bottom"/>
            <w:hideMark/>
          </w:tcPr>
          <w:p w14:paraId="0884F7CB"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7022EE00"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07116C3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93,338</w:t>
            </w:r>
          </w:p>
        </w:tc>
        <w:tc>
          <w:tcPr>
            <w:tcW w:w="1156" w:type="dxa"/>
            <w:tcBorders>
              <w:top w:val="nil"/>
              <w:left w:val="nil"/>
              <w:bottom w:val="nil"/>
              <w:right w:val="nil"/>
            </w:tcBorders>
            <w:shd w:val="clear" w:color="auto" w:fill="auto"/>
            <w:noWrap/>
            <w:vAlign w:val="bottom"/>
            <w:hideMark/>
          </w:tcPr>
          <w:p w14:paraId="42722BEA"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750,028</w:t>
            </w:r>
          </w:p>
        </w:tc>
        <w:tc>
          <w:tcPr>
            <w:tcW w:w="747" w:type="dxa"/>
            <w:tcBorders>
              <w:top w:val="nil"/>
              <w:left w:val="nil"/>
              <w:bottom w:val="nil"/>
              <w:right w:val="nil"/>
            </w:tcBorders>
            <w:shd w:val="clear" w:color="auto" w:fill="auto"/>
            <w:hideMark/>
          </w:tcPr>
          <w:p w14:paraId="310B7BFD" w14:textId="77777777" w:rsidR="00D06EF0" w:rsidRPr="00D06EF0" w:rsidRDefault="00D06EF0" w:rsidP="00D06EF0">
            <w:pPr>
              <w:jc w:val="right"/>
              <w:rPr>
                <w:rFonts w:ascii="Arial" w:hAnsi="Arial" w:cs="Arial"/>
                <w:sz w:val="18"/>
                <w:szCs w:val="18"/>
                <w:lang w:eastAsia="en-GB"/>
              </w:rPr>
            </w:pPr>
          </w:p>
        </w:tc>
      </w:tr>
      <w:tr w:rsidR="00D06EF0" w:rsidRPr="00D06EF0" w14:paraId="003AE799" w14:textId="77777777" w:rsidTr="00D06EF0">
        <w:trPr>
          <w:trHeight w:val="240"/>
        </w:trPr>
        <w:tc>
          <w:tcPr>
            <w:tcW w:w="2011" w:type="dxa"/>
            <w:tcBorders>
              <w:top w:val="nil"/>
              <w:left w:val="nil"/>
              <w:bottom w:val="nil"/>
              <w:right w:val="nil"/>
            </w:tcBorders>
            <w:shd w:val="clear" w:color="auto" w:fill="auto"/>
            <w:noWrap/>
            <w:vAlign w:val="bottom"/>
            <w:hideMark/>
          </w:tcPr>
          <w:p w14:paraId="41AD777B"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36CD7F54"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 xml:space="preserve">WPP </w:t>
            </w:r>
          </w:p>
        </w:tc>
        <w:tc>
          <w:tcPr>
            <w:tcW w:w="1156" w:type="dxa"/>
            <w:tcBorders>
              <w:top w:val="nil"/>
              <w:left w:val="nil"/>
              <w:bottom w:val="nil"/>
              <w:right w:val="nil"/>
            </w:tcBorders>
            <w:shd w:val="clear" w:color="auto" w:fill="auto"/>
            <w:noWrap/>
            <w:vAlign w:val="bottom"/>
            <w:hideMark/>
          </w:tcPr>
          <w:p w14:paraId="049A8499"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1,222,602</w:t>
            </w:r>
          </w:p>
        </w:tc>
        <w:tc>
          <w:tcPr>
            <w:tcW w:w="1156" w:type="dxa"/>
            <w:tcBorders>
              <w:top w:val="nil"/>
              <w:left w:val="nil"/>
              <w:bottom w:val="nil"/>
              <w:right w:val="nil"/>
            </w:tcBorders>
            <w:shd w:val="clear" w:color="auto" w:fill="auto"/>
            <w:noWrap/>
            <w:vAlign w:val="bottom"/>
            <w:hideMark/>
          </w:tcPr>
          <w:p w14:paraId="36DD9535"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23,117</w:t>
            </w:r>
          </w:p>
        </w:tc>
        <w:tc>
          <w:tcPr>
            <w:tcW w:w="1156" w:type="dxa"/>
            <w:tcBorders>
              <w:top w:val="nil"/>
              <w:left w:val="nil"/>
              <w:bottom w:val="nil"/>
              <w:right w:val="nil"/>
            </w:tcBorders>
            <w:shd w:val="clear" w:color="auto" w:fill="auto"/>
            <w:noWrap/>
            <w:vAlign w:val="bottom"/>
            <w:hideMark/>
          </w:tcPr>
          <w:p w14:paraId="6DB1F1D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(27,304)</w:t>
            </w:r>
          </w:p>
        </w:tc>
        <w:tc>
          <w:tcPr>
            <w:tcW w:w="1156" w:type="dxa"/>
            <w:tcBorders>
              <w:top w:val="nil"/>
              <w:left w:val="nil"/>
              <w:bottom w:val="nil"/>
              <w:right w:val="nil"/>
            </w:tcBorders>
            <w:shd w:val="clear" w:color="auto" w:fill="auto"/>
            <w:noWrap/>
            <w:vAlign w:val="bottom"/>
            <w:hideMark/>
          </w:tcPr>
          <w:p w14:paraId="5E987C6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110,671</w:t>
            </w:r>
          </w:p>
        </w:tc>
        <w:tc>
          <w:tcPr>
            <w:tcW w:w="1156" w:type="dxa"/>
            <w:tcBorders>
              <w:top w:val="nil"/>
              <w:left w:val="nil"/>
              <w:bottom w:val="nil"/>
              <w:right w:val="nil"/>
            </w:tcBorders>
            <w:shd w:val="clear" w:color="auto" w:fill="auto"/>
            <w:noWrap/>
            <w:vAlign w:val="bottom"/>
            <w:hideMark/>
          </w:tcPr>
          <w:p w14:paraId="1AEA7D60"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1,329,086</w:t>
            </w:r>
          </w:p>
        </w:tc>
        <w:tc>
          <w:tcPr>
            <w:tcW w:w="747" w:type="dxa"/>
            <w:tcBorders>
              <w:top w:val="nil"/>
              <w:left w:val="nil"/>
              <w:bottom w:val="nil"/>
              <w:right w:val="nil"/>
            </w:tcBorders>
            <w:shd w:val="clear" w:color="auto" w:fill="auto"/>
            <w:hideMark/>
          </w:tcPr>
          <w:p w14:paraId="30D8978E" w14:textId="77777777" w:rsidR="00D06EF0" w:rsidRPr="00D06EF0" w:rsidRDefault="00D06EF0" w:rsidP="00D06EF0">
            <w:pPr>
              <w:jc w:val="right"/>
              <w:rPr>
                <w:rFonts w:ascii="Arial" w:hAnsi="Arial" w:cs="Arial"/>
                <w:sz w:val="18"/>
                <w:szCs w:val="18"/>
                <w:lang w:eastAsia="en-GB"/>
              </w:rPr>
            </w:pPr>
          </w:p>
        </w:tc>
      </w:tr>
      <w:tr w:rsidR="00D06EF0" w:rsidRPr="00D06EF0" w14:paraId="12CC0E92" w14:textId="77777777" w:rsidTr="00D06EF0">
        <w:trPr>
          <w:trHeight w:val="240"/>
        </w:trPr>
        <w:tc>
          <w:tcPr>
            <w:tcW w:w="2011" w:type="dxa"/>
            <w:tcBorders>
              <w:top w:val="nil"/>
              <w:left w:val="nil"/>
              <w:bottom w:val="nil"/>
              <w:right w:val="nil"/>
            </w:tcBorders>
            <w:shd w:val="clear" w:color="auto" w:fill="auto"/>
            <w:noWrap/>
            <w:vAlign w:val="bottom"/>
            <w:hideMark/>
          </w:tcPr>
          <w:p w14:paraId="6ED39738"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465D39DA"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018147D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1,879,292</w:t>
            </w:r>
          </w:p>
        </w:tc>
        <w:tc>
          <w:tcPr>
            <w:tcW w:w="1156" w:type="dxa"/>
            <w:tcBorders>
              <w:top w:val="single" w:sz="4" w:space="0" w:color="auto"/>
              <w:left w:val="nil"/>
              <w:bottom w:val="single" w:sz="4" w:space="0" w:color="auto"/>
              <w:right w:val="nil"/>
            </w:tcBorders>
            <w:shd w:val="clear" w:color="auto" w:fill="auto"/>
            <w:noWrap/>
            <w:vAlign w:val="bottom"/>
            <w:hideMark/>
          </w:tcPr>
          <w:p w14:paraId="57AD2525"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23,117</w:t>
            </w:r>
          </w:p>
        </w:tc>
        <w:tc>
          <w:tcPr>
            <w:tcW w:w="1156" w:type="dxa"/>
            <w:tcBorders>
              <w:top w:val="single" w:sz="4" w:space="0" w:color="auto"/>
              <w:left w:val="nil"/>
              <w:bottom w:val="single" w:sz="4" w:space="0" w:color="auto"/>
              <w:right w:val="nil"/>
            </w:tcBorders>
            <w:shd w:val="clear" w:color="auto" w:fill="auto"/>
            <w:noWrap/>
            <w:vAlign w:val="bottom"/>
            <w:hideMark/>
          </w:tcPr>
          <w:p w14:paraId="2876DED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(27,304)</w:t>
            </w:r>
          </w:p>
        </w:tc>
        <w:tc>
          <w:tcPr>
            <w:tcW w:w="1156" w:type="dxa"/>
            <w:tcBorders>
              <w:top w:val="single" w:sz="4" w:space="0" w:color="auto"/>
              <w:left w:val="nil"/>
              <w:bottom w:val="single" w:sz="4" w:space="0" w:color="auto"/>
              <w:right w:val="nil"/>
            </w:tcBorders>
            <w:shd w:val="clear" w:color="auto" w:fill="auto"/>
            <w:noWrap/>
            <w:vAlign w:val="bottom"/>
            <w:hideMark/>
          </w:tcPr>
          <w:p w14:paraId="734F168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204,009</w:t>
            </w:r>
          </w:p>
        </w:tc>
        <w:tc>
          <w:tcPr>
            <w:tcW w:w="1156" w:type="dxa"/>
            <w:tcBorders>
              <w:top w:val="single" w:sz="4" w:space="0" w:color="auto"/>
              <w:left w:val="nil"/>
              <w:bottom w:val="single" w:sz="4" w:space="0" w:color="auto"/>
              <w:right w:val="nil"/>
            </w:tcBorders>
            <w:shd w:val="clear" w:color="auto" w:fill="auto"/>
            <w:noWrap/>
            <w:vAlign w:val="bottom"/>
            <w:hideMark/>
          </w:tcPr>
          <w:p w14:paraId="3C20E72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2,079,114</w:t>
            </w:r>
          </w:p>
        </w:tc>
        <w:tc>
          <w:tcPr>
            <w:tcW w:w="747" w:type="dxa"/>
            <w:tcBorders>
              <w:top w:val="nil"/>
              <w:left w:val="nil"/>
              <w:bottom w:val="nil"/>
              <w:right w:val="nil"/>
            </w:tcBorders>
            <w:shd w:val="clear" w:color="auto" w:fill="auto"/>
            <w:hideMark/>
          </w:tcPr>
          <w:p w14:paraId="5550AB64" w14:textId="77777777" w:rsidR="00D06EF0" w:rsidRPr="00D06EF0" w:rsidRDefault="00D06EF0" w:rsidP="00D06EF0">
            <w:pPr>
              <w:jc w:val="right"/>
              <w:rPr>
                <w:rFonts w:ascii="Arial" w:hAnsi="Arial" w:cs="Arial"/>
                <w:sz w:val="18"/>
                <w:szCs w:val="18"/>
                <w:lang w:eastAsia="en-GB"/>
              </w:rPr>
            </w:pPr>
          </w:p>
        </w:tc>
      </w:tr>
      <w:tr w:rsidR="00D06EF0" w:rsidRPr="00D06EF0" w14:paraId="29D04819" w14:textId="77777777" w:rsidTr="00D06EF0">
        <w:trPr>
          <w:trHeight w:val="240"/>
        </w:trPr>
        <w:tc>
          <w:tcPr>
            <w:tcW w:w="2011" w:type="dxa"/>
            <w:tcBorders>
              <w:top w:val="nil"/>
              <w:left w:val="nil"/>
              <w:bottom w:val="nil"/>
              <w:right w:val="nil"/>
            </w:tcBorders>
            <w:shd w:val="clear" w:color="auto" w:fill="auto"/>
            <w:noWrap/>
            <w:vAlign w:val="bottom"/>
            <w:hideMark/>
          </w:tcPr>
          <w:p w14:paraId="3957B874"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Property</w:t>
            </w:r>
          </w:p>
        </w:tc>
        <w:tc>
          <w:tcPr>
            <w:tcW w:w="2422" w:type="dxa"/>
            <w:tcBorders>
              <w:top w:val="nil"/>
              <w:left w:val="nil"/>
              <w:bottom w:val="nil"/>
              <w:right w:val="nil"/>
            </w:tcBorders>
            <w:shd w:val="clear" w:color="auto" w:fill="auto"/>
            <w:noWrap/>
            <w:vAlign w:val="bottom"/>
            <w:hideMark/>
          </w:tcPr>
          <w:p w14:paraId="754C0391"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0031D22F"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1258F5F9"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9E0FAF7"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708D610"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9090B4A"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2B02E9CE" w14:textId="77777777" w:rsidR="00D06EF0" w:rsidRPr="00D06EF0" w:rsidRDefault="00D06EF0" w:rsidP="00D06EF0">
            <w:pPr>
              <w:jc w:val="right"/>
              <w:rPr>
                <w:sz w:val="20"/>
                <w:lang w:eastAsia="en-GB"/>
              </w:rPr>
            </w:pPr>
          </w:p>
        </w:tc>
      </w:tr>
      <w:tr w:rsidR="00D06EF0" w:rsidRPr="00D06EF0" w14:paraId="24C22074"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366AACC4"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3572B232"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hideMark/>
          </w:tcPr>
          <w:p w14:paraId="0C2AFD96"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84F19AA"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D98751C"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CD191A9"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2ECDB5BF" w14:textId="77777777" w:rsidR="00D06EF0" w:rsidRPr="00D06EF0" w:rsidRDefault="00D06EF0" w:rsidP="00D06EF0">
            <w:pPr>
              <w:jc w:val="right"/>
              <w:rPr>
                <w:sz w:val="20"/>
                <w:lang w:eastAsia="en-GB"/>
              </w:rPr>
            </w:pPr>
          </w:p>
        </w:tc>
      </w:tr>
      <w:tr w:rsidR="00D06EF0" w:rsidRPr="00D06EF0" w14:paraId="5A2A6F74" w14:textId="77777777" w:rsidTr="00D06EF0">
        <w:trPr>
          <w:trHeight w:val="240"/>
        </w:trPr>
        <w:tc>
          <w:tcPr>
            <w:tcW w:w="2011" w:type="dxa"/>
            <w:tcBorders>
              <w:top w:val="nil"/>
              <w:left w:val="nil"/>
              <w:bottom w:val="nil"/>
              <w:right w:val="nil"/>
            </w:tcBorders>
            <w:shd w:val="clear" w:color="auto" w:fill="auto"/>
            <w:noWrap/>
            <w:vAlign w:val="bottom"/>
            <w:hideMark/>
          </w:tcPr>
          <w:p w14:paraId="4663C13B"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UK &amp; Europe</w:t>
            </w:r>
          </w:p>
        </w:tc>
        <w:tc>
          <w:tcPr>
            <w:tcW w:w="2422" w:type="dxa"/>
            <w:tcBorders>
              <w:top w:val="nil"/>
              <w:left w:val="nil"/>
              <w:bottom w:val="nil"/>
              <w:right w:val="nil"/>
            </w:tcBorders>
            <w:shd w:val="clear" w:color="auto" w:fill="auto"/>
            <w:noWrap/>
            <w:vAlign w:val="bottom"/>
            <w:hideMark/>
          </w:tcPr>
          <w:p w14:paraId="7BF8CC05"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Schroders</w:t>
            </w:r>
          </w:p>
        </w:tc>
        <w:tc>
          <w:tcPr>
            <w:tcW w:w="1156" w:type="dxa"/>
            <w:tcBorders>
              <w:top w:val="nil"/>
              <w:left w:val="nil"/>
              <w:bottom w:val="nil"/>
              <w:right w:val="nil"/>
            </w:tcBorders>
            <w:shd w:val="clear" w:color="auto" w:fill="auto"/>
            <w:noWrap/>
            <w:vAlign w:val="bottom"/>
            <w:hideMark/>
          </w:tcPr>
          <w:p w14:paraId="12B7E8F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52,971</w:t>
            </w:r>
          </w:p>
        </w:tc>
        <w:tc>
          <w:tcPr>
            <w:tcW w:w="1156" w:type="dxa"/>
            <w:tcBorders>
              <w:top w:val="nil"/>
              <w:left w:val="nil"/>
              <w:bottom w:val="nil"/>
              <w:right w:val="nil"/>
            </w:tcBorders>
            <w:shd w:val="clear" w:color="auto" w:fill="auto"/>
            <w:noWrap/>
            <w:vAlign w:val="bottom"/>
            <w:hideMark/>
          </w:tcPr>
          <w:p w14:paraId="3471C71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5,558</w:t>
            </w:r>
          </w:p>
        </w:tc>
        <w:tc>
          <w:tcPr>
            <w:tcW w:w="1156" w:type="dxa"/>
            <w:tcBorders>
              <w:top w:val="nil"/>
              <w:left w:val="nil"/>
              <w:bottom w:val="nil"/>
              <w:right w:val="nil"/>
            </w:tcBorders>
            <w:shd w:val="clear" w:color="auto" w:fill="auto"/>
            <w:noWrap/>
            <w:vAlign w:val="bottom"/>
            <w:hideMark/>
          </w:tcPr>
          <w:p w14:paraId="0BF08CE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(2,986)</w:t>
            </w:r>
          </w:p>
        </w:tc>
        <w:tc>
          <w:tcPr>
            <w:tcW w:w="1156" w:type="dxa"/>
            <w:tcBorders>
              <w:top w:val="nil"/>
              <w:left w:val="nil"/>
              <w:bottom w:val="nil"/>
              <w:right w:val="nil"/>
            </w:tcBorders>
            <w:shd w:val="clear" w:color="auto" w:fill="auto"/>
            <w:noWrap/>
            <w:vAlign w:val="bottom"/>
            <w:hideMark/>
          </w:tcPr>
          <w:p w14:paraId="2659A2C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9,467</w:t>
            </w:r>
          </w:p>
        </w:tc>
        <w:tc>
          <w:tcPr>
            <w:tcW w:w="1156" w:type="dxa"/>
            <w:tcBorders>
              <w:top w:val="nil"/>
              <w:left w:val="nil"/>
              <w:bottom w:val="nil"/>
              <w:right w:val="nil"/>
            </w:tcBorders>
            <w:shd w:val="clear" w:color="auto" w:fill="auto"/>
            <w:noWrap/>
            <w:vAlign w:val="bottom"/>
            <w:hideMark/>
          </w:tcPr>
          <w:p w14:paraId="57C67C9D"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65,010</w:t>
            </w:r>
          </w:p>
        </w:tc>
        <w:tc>
          <w:tcPr>
            <w:tcW w:w="747" w:type="dxa"/>
            <w:tcBorders>
              <w:top w:val="nil"/>
              <w:left w:val="nil"/>
              <w:bottom w:val="nil"/>
              <w:right w:val="nil"/>
            </w:tcBorders>
            <w:shd w:val="clear" w:color="auto" w:fill="auto"/>
            <w:hideMark/>
          </w:tcPr>
          <w:p w14:paraId="74A78872" w14:textId="77777777" w:rsidR="00D06EF0" w:rsidRPr="00D06EF0" w:rsidRDefault="00D06EF0" w:rsidP="00D06EF0">
            <w:pPr>
              <w:jc w:val="right"/>
              <w:rPr>
                <w:rFonts w:ascii="Arial" w:hAnsi="Arial" w:cs="Arial"/>
                <w:sz w:val="18"/>
                <w:szCs w:val="18"/>
                <w:lang w:eastAsia="en-GB"/>
              </w:rPr>
            </w:pPr>
          </w:p>
        </w:tc>
      </w:tr>
      <w:tr w:rsidR="00D06EF0" w:rsidRPr="00D06EF0" w14:paraId="71315091" w14:textId="77777777" w:rsidTr="00D06EF0">
        <w:trPr>
          <w:trHeight w:val="240"/>
        </w:trPr>
        <w:tc>
          <w:tcPr>
            <w:tcW w:w="2011" w:type="dxa"/>
            <w:tcBorders>
              <w:top w:val="nil"/>
              <w:left w:val="nil"/>
              <w:bottom w:val="nil"/>
              <w:right w:val="nil"/>
            </w:tcBorders>
            <w:shd w:val="clear" w:color="auto" w:fill="auto"/>
            <w:noWrap/>
            <w:vAlign w:val="bottom"/>
            <w:hideMark/>
          </w:tcPr>
          <w:p w14:paraId="2902A0AA"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Overseas</w:t>
            </w:r>
          </w:p>
        </w:tc>
        <w:tc>
          <w:tcPr>
            <w:tcW w:w="2422" w:type="dxa"/>
            <w:tcBorders>
              <w:top w:val="nil"/>
              <w:left w:val="nil"/>
              <w:bottom w:val="nil"/>
              <w:right w:val="nil"/>
            </w:tcBorders>
            <w:shd w:val="clear" w:color="auto" w:fill="auto"/>
            <w:noWrap/>
            <w:vAlign w:val="bottom"/>
            <w:hideMark/>
          </w:tcPr>
          <w:p w14:paraId="64DA6655"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Partners</w:t>
            </w:r>
          </w:p>
        </w:tc>
        <w:tc>
          <w:tcPr>
            <w:tcW w:w="1156" w:type="dxa"/>
            <w:tcBorders>
              <w:top w:val="nil"/>
              <w:left w:val="nil"/>
              <w:bottom w:val="nil"/>
              <w:right w:val="nil"/>
            </w:tcBorders>
            <w:shd w:val="clear" w:color="auto" w:fill="auto"/>
            <w:noWrap/>
            <w:vAlign w:val="bottom"/>
            <w:hideMark/>
          </w:tcPr>
          <w:p w14:paraId="2994BD25"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14,620</w:t>
            </w:r>
          </w:p>
        </w:tc>
        <w:tc>
          <w:tcPr>
            <w:tcW w:w="1156" w:type="dxa"/>
            <w:tcBorders>
              <w:top w:val="nil"/>
              <w:left w:val="nil"/>
              <w:bottom w:val="nil"/>
              <w:right w:val="nil"/>
            </w:tcBorders>
            <w:shd w:val="clear" w:color="auto" w:fill="auto"/>
            <w:noWrap/>
            <w:vAlign w:val="bottom"/>
            <w:hideMark/>
          </w:tcPr>
          <w:p w14:paraId="4A290E5B"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241891B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(2,427)</w:t>
            </w:r>
          </w:p>
        </w:tc>
        <w:tc>
          <w:tcPr>
            <w:tcW w:w="1156" w:type="dxa"/>
            <w:tcBorders>
              <w:top w:val="nil"/>
              <w:left w:val="nil"/>
              <w:bottom w:val="nil"/>
              <w:right w:val="nil"/>
            </w:tcBorders>
            <w:shd w:val="clear" w:color="auto" w:fill="auto"/>
            <w:noWrap/>
            <w:vAlign w:val="bottom"/>
            <w:hideMark/>
          </w:tcPr>
          <w:p w14:paraId="5D9A554B"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1,560</w:t>
            </w:r>
          </w:p>
        </w:tc>
        <w:tc>
          <w:tcPr>
            <w:tcW w:w="1156" w:type="dxa"/>
            <w:tcBorders>
              <w:top w:val="nil"/>
              <w:left w:val="nil"/>
              <w:bottom w:val="nil"/>
              <w:right w:val="nil"/>
            </w:tcBorders>
            <w:shd w:val="clear" w:color="auto" w:fill="auto"/>
            <w:noWrap/>
            <w:vAlign w:val="bottom"/>
            <w:hideMark/>
          </w:tcPr>
          <w:p w14:paraId="04C7133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13,753</w:t>
            </w:r>
          </w:p>
        </w:tc>
        <w:tc>
          <w:tcPr>
            <w:tcW w:w="747" w:type="dxa"/>
            <w:tcBorders>
              <w:top w:val="nil"/>
              <w:left w:val="nil"/>
              <w:bottom w:val="nil"/>
              <w:right w:val="nil"/>
            </w:tcBorders>
            <w:shd w:val="clear" w:color="auto" w:fill="auto"/>
            <w:hideMark/>
          </w:tcPr>
          <w:p w14:paraId="6438C6D9" w14:textId="77777777" w:rsidR="00D06EF0" w:rsidRPr="00D06EF0" w:rsidRDefault="00D06EF0" w:rsidP="00D06EF0">
            <w:pPr>
              <w:jc w:val="right"/>
              <w:rPr>
                <w:rFonts w:ascii="Arial" w:hAnsi="Arial" w:cs="Arial"/>
                <w:sz w:val="18"/>
                <w:szCs w:val="18"/>
                <w:lang w:eastAsia="en-GB"/>
              </w:rPr>
            </w:pPr>
          </w:p>
        </w:tc>
      </w:tr>
      <w:tr w:rsidR="00D06EF0" w:rsidRPr="00D06EF0" w14:paraId="36809EBF" w14:textId="77777777" w:rsidTr="00D06EF0">
        <w:trPr>
          <w:trHeight w:val="240"/>
        </w:trPr>
        <w:tc>
          <w:tcPr>
            <w:tcW w:w="2011" w:type="dxa"/>
            <w:tcBorders>
              <w:top w:val="nil"/>
              <w:left w:val="nil"/>
              <w:bottom w:val="nil"/>
              <w:right w:val="nil"/>
            </w:tcBorders>
            <w:shd w:val="clear" w:color="auto" w:fill="auto"/>
            <w:noWrap/>
            <w:vAlign w:val="bottom"/>
            <w:hideMark/>
          </w:tcPr>
          <w:p w14:paraId="0BECAD6F"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11C63E63"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Invesco</w:t>
            </w:r>
          </w:p>
        </w:tc>
        <w:tc>
          <w:tcPr>
            <w:tcW w:w="1156" w:type="dxa"/>
            <w:tcBorders>
              <w:top w:val="nil"/>
              <w:left w:val="nil"/>
              <w:bottom w:val="nil"/>
              <w:right w:val="nil"/>
            </w:tcBorders>
            <w:shd w:val="clear" w:color="auto" w:fill="auto"/>
            <w:noWrap/>
            <w:vAlign w:val="bottom"/>
            <w:hideMark/>
          </w:tcPr>
          <w:p w14:paraId="7D54253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28,683</w:t>
            </w:r>
          </w:p>
        </w:tc>
        <w:tc>
          <w:tcPr>
            <w:tcW w:w="1156" w:type="dxa"/>
            <w:tcBorders>
              <w:top w:val="nil"/>
              <w:left w:val="nil"/>
              <w:bottom w:val="nil"/>
              <w:right w:val="nil"/>
            </w:tcBorders>
            <w:shd w:val="clear" w:color="auto" w:fill="auto"/>
            <w:noWrap/>
            <w:vAlign w:val="bottom"/>
            <w:hideMark/>
          </w:tcPr>
          <w:p w14:paraId="2025AE1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609477DA"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(1,081)</w:t>
            </w:r>
          </w:p>
        </w:tc>
        <w:tc>
          <w:tcPr>
            <w:tcW w:w="1156" w:type="dxa"/>
            <w:tcBorders>
              <w:top w:val="nil"/>
              <w:left w:val="nil"/>
              <w:bottom w:val="nil"/>
              <w:right w:val="nil"/>
            </w:tcBorders>
            <w:shd w:val="clear" w:color="auto" w:fill="auto"/>
            <w:noWrap/>
            <w:vAlign w:val="bottom"/>
            <w:hideMark/>
          </w:tcPr>
          <w:p w14:paraId="3AC6DBAF"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3,012</w:t>
            </w:r>
          </w:p>
        </w:tc>
        <w:tc>
          <w:tcPr>
            <w:tcW w:w="1156" w:type="dxa"/>
            <w:tcBorders>
              <w:top w:val="nil"/>
              <w:left w:val="nil"/>
              <w:bottom w:val="nil"/>
              <w:right w:val="nil"/>
            </w:tcBorders>
            <w:shd w:val="clear" w:color="auto" w:fill="auto"/>
            <w:noWrap/>
            <w:vAlign w:val="bottom"/>
            <w:hideMark/>
          </w:tcPr>
          <w:p w14:paraId="79E69B3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30,614</w:t>
            </w:r>
          </w:p>
        </w:tc>
        <w:tc>
          <w:tcPr>
            <w:tcW w:w="747" w:type="dxa"/>
            <w:tcBorders>
              <w:top w:val="nil"/>
              <w:left w:val="nil"/>
              <w:bottom w:val="nil"/>
              <w:right w:val="nil"/>
            </w:tcBorders>
            <w:shd w:val="clear" w:color="auto" w:fill="auto"/>
            <w:hideMark/>
          </w:tcPr>
          <w:p w14:paraId="1EDD9A99" w14:textId="77777777" w:rsidR="00D06EF0" w:rsidRPr="00D06EF0" w:rsidRDefault="00D06EF0" w:rsidP="00D06EF0">
            <w:pPr>
              <w:jc w:val="right"/>
              <w:rPr>
                <w:rFonts w:ascii="Arial" w:hAnsi="Arial" w:cs="Arial"/>
                <w:sz w:val="18"/>
                <w:szCs w:val="18"/>
                <w:lang w:eastAsia="en-GB"/>
              </w:rPr>
            </w:pPr>
          </w:p>
        </w:tc>
      </w:tr>
      <w:tr w:rsidR="00D06EF0" w:rsidRPr="00D06EF0" w14:paraId="6B216551" w14:textId="77777777" w:rsidTr="00D06EF0">
        <w:trPr>
          <w:trHeight w:val="240"/>
        </w:trPr>
        <w:tc>
          <w:tcPr>
            <w:tcW w:w="2011" w:type="dxa"/>
            <w:tcBorders>
              <w:top w:val="nil"/>
              <w:left w:val="nil"/>
              <w:bottom w:val="nil"/>
              <w:right w:val="nil"/>
            </w:tcBorders>
            <w:shd w:val="clear" w:color="auto" w:fill="auto"/>
            <w:noWrap/>
            <w:vAlign w:val="bottom"/>
            <w:hideMark/>
          </w:tcPr>
          <w:p w14:paraId="7F56E3F1"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43739D98"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4571B299"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96,274</w:t>
            </w:r>
          </w:p>
        </w:tc>
        <w:tc>
          <w:tcPr>
            <w:tcW w:w="1156" w:type="dxa"/>
            <w:tcBorders>
              <w:top w:val="single" w:sz="4" w:space="0" w:color="auto"/>
              <w:left w:val="nil"/>
              <w:bottom w:val="single" w:sz="4" w:space="0" w:color="auto"/>
              <w:right w:val="nil"/>
            </w:tcBorders>
            <w:shd w:val="clear" w:color="auto" w:fill="auto"/>
            <w:noWrap/>
            <w:vAlign w:val="bottom"/>
            <w:hideMark/>
          </w:tcPr>
          <w:p w14:paraId="35DD8461"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5,558</w:t>
            </w:r>
          </w:p>
        </w:tc>
        <w:tc>
          <w:tcPr>
            <w:tcW w:w="1156" w:type="dxa"/>
            <w:tcBorders>
              <w:top w:val="single" w:sz="4" w:space="0" w:color="auto"/>
              <w:left w:val="nil"/>
              <w:bottom w:val="single" w:sz="4" w:space="0" w:color="auto"/>
              <w:right w:val="nil"/>
            </w:tcBorders>
            <w:shd w:val="clear" w:color="auto" w:fill="auto"/>
            <w:noWrap/>
            <w:vAlign w:val="bottom"/>
            <w:hideMark/>
          </w:tcPr>
          <w:p w14:paraId="0E2C4D31"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(6,494)</w:t>
            </w:r>
          </w:p>
        </w:tc>
        <w:tc>
          <w:tcPr>
            <w:tcW w:w="1156" w:type="dxa"/>
            <w:tcBorders>
              <w:top w:val="single" w:sz="4" w:space="0" w:color="auto"/>
              <w:left w:val="nil"/>
              <w:bottom w:val="single" w:sz="4" w:space="0" w:color="auto"/>
              <w:right w:val="nil"/>
            </w:tcBorders>
            <w:shd w:val="clear" w:color="auto" w:fill="auto"/>
            <w:noWrap/>
            <w:vAlign w:val="bottom"/>
            <w:hideMark/>
          </w:tcPr>
          <w:p w14:paraId="5499FD0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14,039</w:t>
            </w:r>
          </w:p>
        </w:tc>
        <w:tc>
          <w:tcPr>
            <w:tcW w:w="1156" w:type="dxa"/>
            <w:tcBorders>
              <w:top w:val="single" w:sz="4" w:space="0" w:color="auto"/>
              <w:left w:val="nil"/>
              <w:bottom w:val="single" w:sz="4" w:space="0" w:color="auto"/>
              <w:right w:val="nil"/>
            </w:tcBorders>
            <w:shd w:val="clear" w:color="auto" w:fill="auto"/>
            <w:noWrap/>
            <w:vAlign w:val="bottom"/>
            <w:hideMark/>
          </w:tcPr>
          <w:p w14:paraId="328C160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109,377</w:t>
            </w:r>
          </w:p>
        </w:tc>
        <w:tc>
          <w:tcPr>
            <w:tcW w:w="747" w:type="dxa"/>
            <w:tcBorders>
              <w:top w:val="nil"/>
              <w:left w:val="nil"/>
              <w:bottom w:val="nil"/>
              <w:right w:val="nil"/>
            </w:tcBorders>
            <w:shd w:val="clear" w:color="auto" w:fill="auto"/>
            <w:hideMark/>
          </w:tcPr>
          <w:p w14:paraId="4335343A" w14:textId="77777777" w:rsidR="00D06EF0" w:rsidRPr="00D06EF0" w:rsidRDefault="00D06EF0" w:rsidP="00D06EF0">
            <w:pPr>
              <w:jc w:val="right"/>
              <w:rPr>
                <w:rFonts w:ascii="Arial" w:hAnsi="Arial" w:cs="Arial"/>
                <w:sz w:val="18"/>
                <w:szCs w:val="18"/>
                <w:lang w:eastAsia="en-GB"/>
              </w:rPr>
            </w:pPr>
          </w:p>
        </w:tc>
      </w:tr>
      <w:tr w:rsidR="00D06EF0" w:rsidRPr="00D06EF0" w14:paraId="59C3FA0D"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7B38C2DE"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Fixed Interest</w:t>
            </w:r>
          </w:p>
        </w:tc>
        <w:tc>
          <w:tcPr>
            <w:tcW w:w="1156" w:type="dxa"/>
            <w:tcBorders>
              <w:top w:val="nil"/>
              <w:left w:val="nil"/>
              <w:bottom w:val="nil"/>
              <w:right w:val="nil"/>
            </w:tcBorders>
            <w:shd w:val="clear" w:color="auto" w:fill="auto"/>
            <w:noWrap/>
            <w:vAlign w:val="bottom"/>
            <w:hideMark/>
          </w:tcPr>
          <w:p w14:paraId="4B98B4F6"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hideMark/>
          </w:tcPr>
          <w:p w14:paraId="3C631403"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0039E57"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5DE54FB"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D6F182C"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49FF148B" w14:textId="77777777" w:rsidR="00D06EF0" w:rsidRPr="00D06EF0" w:rsidRDefault="00D06EF0" w:rsidP="00D06EF0">
            <w:pPr>
              <w:jc w:val="right"/>
              <w:rPr>
                <w:sz w:val="20"/>
                <w:lang w:eastAsia="en-GB"/>
              </w:rPr>
            </w:pPr>
          </w:p>
        </w:tc>
      </w:tr>
      <w:tr w:rsidR="00D06EF0" w:rsidRPr="00D06EF0" w14:paraId="1C4B9B94"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4E5CB198"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Fixed Interest</w:t>
            </w:r>
          </w:p>
        </w:tc>
        <w:tc>
          <w:tcPr>
            <w:tcW w:w="1156" w:type="dxa"/>
            <w:tcBorders>
              <w:top w:val="nil"/>
              <w:left w:val="nil"/>
              <w:bottom w:val="nil"/>
              <w:right w:val="nil"/>
            </w:tcBorders>
            <w:shd w:val="clear" w:color="auto" w:fill="auto"/>
            <w:noWrap/>
            <w:vAlign w:val="bottom"/>
            <w:hideMark/>
          </w:tcPr>
          <w:p w14:paraId="5515EB22" w14:textId="77777777" w:rsidR="00D06EF0" w:rsidRPr="00D06EF0" w:rsidRDefault="00D06EF0" w:rsidP="00D06EF0">
            <w:pPr>
              <w:rPr>
                <w:rFonts w:ascii="Arial" w:hAnsi="Arial" w:cs="Arial"/>
                <w:sz w:val="18"/>
                <w:szCs w:val="18"/>
                <w:lang w:eastAsia="en-GB"/>
              </w:rPr>
            </w:pPr>
          </w:p>
        </w:tc>
        <w:tc>
          <w:tcPr>
            <w:tcW w:w="1156" w:type="dxa"/>
            <w:tcBorders>
              <w:top w:val="nil"/>
              <w:left w:val="nil"/>
              <w:bottom w:val="nil"/>
              <w:right w:val="nil"/>
            </w:tcBorders>
            <w:shd w:val="clear" w:color="auto" w:fill="auto"/>
            <w:hideMark/>
          </w:tcPr>
          <w:p w14:paraId="44EA6C2A"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04467EA"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B5361FD"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8E2E2A1"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531D0B69" w14:textId="77777777" w:rsidR="00D06EF0" w:rsidRPr="00D06EF0" w:rsidRDefault="00D06EF0" w:rsidP="00D06EF0">
            <w:pPr>
              <w:jc w:val="right"/>
              <w:rPr>
                <w:sz w:val="20"/>
                <w:lang w:eastAsia="en-GB"/>
              </w:rPr>
            </w:pPr>
          </w:p>
        </w:tc>
      </w:tr>
      <w:tr w:rsidR="00D06EF0" w:rsidRPr="00D06EF0" w14:paraId="72DDFD8E" w14:textId="77777777" w:rsidTr="00D06EF0">
        <w:trPr>
          <w:trHeight w:val="240"/>
        </w:trPr>
        <w:tc>
          <w:tcPr>
            <w:tcW w:w="2011" w:type="dxa"/>
            <w:tcBorders>
              <w:top w:val="nil"/>
              <w:left w:val="nil"/>
              <w:bottom w:val="nil"/>
              <w:right w:val="nil"/>
            </w:tcBorders>
            <w:shd w:val="clear" w:color="auto" w:fill="auto"/>
            <w:noWrap/>
            <w:vAlign w:val="bottom"/>
            <w:hideMark/>
          </w:tcPr>
          <w:p w14:paraId="1B9C4DD7"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5662F91C"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Blackrock (Passive)</w:t>
            </w:r>
          </w:p>
        </w:tc>
        <w:tc>
          <w:tcPr>
            <w:tcW w:w="1156" w:type="dxa"/>
            <w:tcBorders>
              <w:top w:val="nil"/>
              <w:left w:val="nil"/>
              <w:bottom w:val="nil"/>
              <w:right w:val="nil"/>
            </w:tcBorders>
            <w:shd w:val="clear" w:color="auto" w:fill="auto"/>
            <w:noWrap/>
            <w:vAlign w:val="bottom"/>
            <w:hideMark/>
          </w:tcPr>
          <w:p w14:paraId="2DFB965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82,787</w:t>
            </w:r>
          </w:p>
        </w:tc>
        <w:tc>
          <w:tcPr>
            <w:tcW w:w="1156" w:type="dxa"/>
            <w:tcBorders>
              <w:top w:val="nil"/>
              <w:left w:val="nil"/>
              <w:bottom w:val="nil"/>
              <w:right w:val="nil"/>
            </w:tcBorders>
            <w:shd w:val="clear" w:color="auto" w:fill="auto"/>
            <w:noWrap/>
            <w:vAlign w:val="bottom"/>
            <w:hideMark/>
          </w:tcPr>
          <w:p w14:paraId="27C45CE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332CF21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5E4F627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(3,748)</w:t>
            </w:r>
          </w:p>
        </w:tc>
        <w:tc>
          <w:tcPr>
            <w:tcW w:w="1156" w:type="dxa"/>
            <w:tcBorders>
              <w:top w:val="nil"/>
              <w:left w:val="nil"/>
              <w:bottom w:val="nil"/>
              <w:right w:val="nil"/>
            </w:tcBorders>
            <w:shd w:val="clear" w:color="auto" w:fill="auto"/>
            <w:noWrap/>
            <w:vAlign w:val="bottom"/>
            <w:hideMark/>
          </w:tcPr>
          <w:p w14:paraId="26809B50"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79,039</w:t>
            </w:r>
          </w:p>
        </w:tc>
        <w:tc>
          <w:tcPr>
            <w:tcW w:w="747" w:type="dxa"/>
            <w:tcBorders>
              <w:top w:val="nil"/>
              <w:left w:val="nil"/>
              <w:bottom w:val="nil"/>
              <w:right w:val="nil"/>
            </w:tcBorders>
            <w:shd w:val="clear" w:color="auto" w:fill="auto"/>
            <w:hideMark/>
          </w:tcPr>
          <w:p w14:paraId="2ED3151E" w14:textId="77777777" w:rsidR="00D06EF0" w:rsidRPr="00D06EF0" w:rsidRDefault="00D06EF0" w:rsidP="00D06EF0">
            <w:pPr>
              <w:jc w:val="right"/>
              <w:rPr>
                <w:rFonts w:ascii="Arial" w:hAnsi="Arial" w:cs="Arial"/>
                <w:sz w:val="18"/>
                <w:szCs w:val="18"/>
                <w:lang w:eastAsia="en-GB"/>
              </w:rPr>
            </w:pPr>
          </w:p>
        </w:tc>
      </w:tr>
      <w:tr w:rsidR="00D06EF0" w:rsidRPr="00D06EF0" w14:paraId="1E81E722" w14:textId="77777777" w:rsidTr="00D06EF0">
        <w:trPr>
          <w:trHeight w:val="240"/>
        </w:trPr>
        <w:tc>
          <w:tcPr>
            <w:tcW w:w="2011" w:type="dxa"/>
            <w:tcBorders>
              <w:top w:val="nil"/>
              <w:left w:val="nil"/>
              <w:bottom w:val="nil"/>
              <w:right w:val="nil"/>
            </w:tcBorders>
            <w:shd w:val="clear" w:color="auto" w:fill="auto"/>
            <w:noWrap/>
            <w:vAlign w:val="bottom"/>
            <w:hideMark/>
          </w:tcPr>
          <w:p w14:paraId="495532BC"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648843C4"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WPP - Absolute Return Bonds</w:t>
            </w:r>
          </w:p>
        </w:tc>
        <w:tc>
          <w:tcPr>
            <w:tcW w:w="1156" w:type="dxa"/>
            <w:tcBorders>
              <w:top w:val="nil"/>
              <w:left w:val="nil"/>
              <w:bottom w:val="nil"/>
              <w:right w:val="nil"/>
            </w:tcBorders>
            <w:shd w:val="clear" w:color="auto" w:fill="auto"/>
            <w:noWrap/>
            <w:vAlign w:val="bottom"/>
            <w:hideMark/>
          </w:tcPr>
          <w:p w14:paraId="5A9C9E81"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64,102</w:t>
            </w:r>
          </w:p>
        </w:tc>
        <w:tc>
          <w:tcPr>
            <w:tcW w:w="1156" w:type="dxa"/>
            <w:tcBorders>
              <w:top w:val="nil"/>
              <w:left w:val="nil"/>
              <w:bottom w:val="nil"/>
              <w:right w:val="nil"/>
            </w:tcBorders>
            <w:shd w:val="clear" w:color="auto" w:fill="auto"/>
            <w:noWrap/>
            <w:vAlign w:val="bottom"/>
            <w:hideMark/>
          </w:tcPr>
          <w:p w14:paraId="45798EB5"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6364996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(44)</w:t>
            </w:r>
          </w:p>
        </w:tc>
        <w:tc>
          <w:tcPr>
            <w:tcW w:w="1156" w:type="dxa"/>
            <w:tcBorders>
              <w:top w:val="nil"/>
              <w:left w:val="nil"/>
              <w:bottom w:val="nil"/>
              <w:right w:val="nil"/>
            </w:tcBorders>
            <w:shd w:val="clear" w:color="auto" w:fill="auto"/>
            <w:noWrap/>
            <w:vAlign w:val="bottom"/>
            <w:hideMark/>
          </w:tcPr>
          <w:p w14:paraId="255E1AF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320</w:t>
            </w:r>
          </w:p>
        </w:tc>
        <w:tc>
          <w:tcPr>
            <w:tcW w:w="1156" w:type="dxa"/>
            <w:tcBorders>
              <w:top w:val="nil"/>
              <w:left w:val="nil"/>
              <w:bottom w:val="nil"/>
              <w:right w:val="nil"/>
            </w:tcBorders>
            <w:shd w:val="clear" w:color="auto" w:fill="auto"/>
            <w:noWrap/>
            <w:vAlign w:val="bottom"/>
            <w:hideMark/>
          </w:tcPr>
          <w:p w14:paraId="263CB2E5"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64,378</w:t>
            </w:r>
          </w:p>
        </w:tc>
        <w:tc>
          <w:tcPr>
            <w:tcW w:w="747" w:type="dxa"/>
            <w:tcBorders>
              <w:top w:val="nil"/>
              <w:left w:val="nil"/>
              <w:bottom w:val="nil"/>
              <w:right w:val="nil"/>
            </w:tcBorders>
            <w:shd w:val="clear" w:color="auto" w:fill="auto"/>
            <w:hideMark/>
          </w:tcPr>
          <w:p w14:paraId="01A7D423" w14:textId="77777777" w:rsidR="00D06EF0" w:rsidRPr="00D06EF0" w:rsidRDefault="00D06EF0" w:rsidP="00D06EF0">
            <w:pPr>
              <w:jc w:val="right"/>
              <w:rPr>
                <w:rFonts w:ascii="Arial" w:hAnsi="Arial" w:cs="Arial"/>
                <w:sz w:val="18"/>
                <w:szCs w:val="18"/>
                <w:lang w:eastAsia="en-GB"/>
              </w:rPr>
            </w:pPr>
          </w:p>
        </w:tc>
      </w:tr>
      <w:tr w:rsidR="00D06EF0" w:rsidRPr="00D06EF0" w14:paraId="3778A6D2" w14:textId="77777777" w:rsidTr="00D06EF0">
        <w:trPr>
          <w:trHeight w:val="240"/>
        </w:trPr>
        <w:tc>
          <w:tcPr>
            <w:tcW w:w="2011" w:type="dxa"/>
            <w:tcBorders>
              <w:top w:val="nil"/>
              <w:left w:val="nil"/>
              <w:bottom w:val="nil"/>
              <w:right w:val="nil"/>
            </w:tcBorders>
            <w:shd w:val="clear" w:color="auto" w:fill="auto"/>
            <w:noWrap/>
            <w:vAlign w:val="bottom"/>
            <w:hideMark/>
          </w:tcPr>
          <w:p w14:paraId="788CC177"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4AE6EDD3"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WPP - Multi Asset Credit</w:t>
            </w:r>
          </w:p>
        </w:tc>
        <w:tc>
          <w:tcPr>
            <w:tcW w:w="1156" w:type="dxa"/>
            <w:tcBorders>
              <w:top w:val="nil"/>
              <w:left w:val="nil"/>
              <w:bottom w:val="nil"/>
              <w:right w:val="nil"/>
            </w:tcBorders>
            <w:shd w:val="clear" w:color="auto" w:fill="auto"/>
            <w:noWrap/>
            <w:vAlign w:val="bottom"/>
            <w:hideMark/>
          </w:tcPr>
          <w:p w14:paraId="183E95FD"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65,578</w:t>
            </w:r>
          </w:p>
        </w:tc>
        <w:tc>
          <w:tcPr>
            <w:tcW w:w="1156" w:type="dxa"/>
            <w:tcBorders>
              <w:top w:val="nil"/>
              <w:left w:val="nil"/>
              <w:bottom w:val="nil"/>
              <w:right w:val="nil"/>
            </w:tcBorders>
            <w:shd w:val="clear" w:color="auto" w:fill="auto"/>
            <w:noWrap/>
            <w:vAlign w:val="bottom"/>
            <w:hideMark/>
          </w:tcPr>
          <w:p w14:paraId="340CD8B0"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1,709</w:t>
            </w:r>
          </w:p>
        </w:tc>
        <w:tc>
          <w:tcPr>
            <w:tcW w:w="1156" w:type="dxa"/>
            <w:tcBorders>
              <w:top w:val="nil"/>
              <w:left w:val="nil"/>
              <w:bottom w:val="nil"/>
              <w:right w:val="nil"/>
            </w:tcBorders>
            <w:shd w:val="clear" w:color="auto" w:fill="auto"/>
            <w:noWrap/>
            <w:vAlign w:val="bottom"/>
            <w:hideMark/>
          </w:tcPr>
          <w:p w14:paraId="6BE1A03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(53)</w:t>
            </w:r>
          </w:p>
        </w:tc>
        <w:tc>
          <w:tcPr>
            <w:tcW w:w="1156" w:type="dxa"/>
            <w:tcBorders>
              <w:top w:val="nil"/>
              <w:left w:val="nil"/>
              <w:bottom w:val="nil"/>
              <w:right w:val="nil"/>
            </w:tcBorders>
            <w:shd w:val="clear" w:color="auto" w:fill="auto"/>
            <w:noWrap/>
            <w:vAlign w:val="bottom"/>
            <w:hideMark/>
          </w:tcPr>
          <w:p w14:paraId="49CD4F3A"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(2,795)</w:t>
            </w:r>
          </w:p>
        </w:tc>
        <w:tc>
          <w:tcPr>
            <w:tcW w:w="1156" w:type="dxa"/>
            <w:tcBorders>
              <w:top w:val="nil"/>
              <w:left w:val="nil"/>
              <w:bottom w:val="nil"/>
              <w:right w:val="nil"/>
            </w:tcBorders>
            <w:shd w:val="clear" w:color="auto" w:fill="auto"/>
            <w:noWrap/>
            <w:vAlign w:val="bottom"/>
            <w:hideMark/>
          </w:tcPr>
          <w:p w14:paraId="646542B4"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64,439</w:t>
            </w:r>
          </w:p>
        </w:tc>
        <w:tc>
          <w:tcPr>
            <w:tcW w:w="747" w:type="dxa"/>
            <w:tcBorders>
              <w:top w:val="nil"/>
              <w:left w:val="nil"/>
              <w:bottom w:val="nil"/>
              <w:right w:val="nil"/>
            </w:tcBorders>
            <w:shd w:val="clear" w:color="auto" w:fill="auto"/>
            <w:hideMark/>
          </w:tcPr>
          <w:p w14:paraId="1BBCDD0B" w14:textId="77777777" w:rsidR="00D06EF0" w:rsidRPr="00D06EF0" w:rsidRDefault="00D06EF0" w:rsidP="00D06EF0">
            <w:pPr>
              <w:jc w:val="right"/>
              <w:rPr>
                <w:rFonts w:ascii="Arial" w:hAnsi="Arial" w:cs="Arial"/>
                <w:sz w:val="18"/>
                <w:szCs w:val="18"/>
                <w:lang w:eastAsia="en-GB"/>
              </w:rPr>
            </w:pPr>
          </w:p>
        </w:tc>
      </w:tr>
      <w:tr w:rsidR="00D06EF0" w:rsidRPr="00D06EF0" w14:paraId="51DDACB3" w14:textId="77777777" w:rsidTr="00D06EF0">
        <w:trPr>
          <w:trHeight w:val="240"/>
        </w:trPr>
        <w:tc>
          <w:tcPr>
            <w:tcW w:w="2011" w:type="dxa"/>
            <w:tcBorders>
              <w:top w:val="nil"/>
              <w:left w:val="nil"/>
              <w:bottom w:val="nil"/>
              <w:right w:val="nil"/>
            </w:tcBorders>
            <w:shd w:val="clear" w:color="auto" w:fill="auto"/>
            <w:noWrap/>
            <w:vAlign w:val="bottom"/>
            <w:hideMark/>
          </w:tcPr>
          <w:p w14:paraId="2AA48621"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4BA708A"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Russell (Equity Protection)</w:t>
            </w:r>
          </w:p>
        </w:tc>
        <w:tc>
          <w:tcPr>
            <w:tcW w:w="1156" w:type="dxa"/>
            <w:tcBorders>
              <w:top w:val="nil"/>
              <w:left w:val="nil"/>
              <w:bottom w:val="nil"/>
              <w:right w:val="nil"/>
            </w:tcBorders>
            <w:shd w:val="clear" w:color="auto" w:fill="auto"/>
            <w:noWrap/>
            <w:vAlign w:val="bottom"/>
            <w:hideMark/>
          </w:tcPr>
          <w:p w14:paraId="7F7C1BB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18,070</w:t>
            </w:r>
          </w:p>
        </w:tc>
        <w:tc>
          <w:tcPr>
            <w:tcW w:w="1156" w:type="dxa"/>
            <w:tcBorders>
              <w:top w:val="nil"/>
              <w:left w:val="nil"/>
              <w:bottom w:val="nil"/>
              <w:right w:val="nil"/>
            </w:tcBorders>
            <w:shd w:val="clear" w:color="auto" w:fill="auto"/>
            <w:noWrap/>
            <w:vAlign w:val="bottom"/>
            <w:hideMark/>
          </w:tcPr>
          <w:p w14:paraId="57406DE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5DC463A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52309EE4"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15,779</w:t>
            </w:r>
          </w:p>
        </w:tc>
        <w:tc>
          <w:tcPr>
            <w:tcW w:w="1156" w:type="dxa"/>
            <w:tcBorders>
              <w:top w:val="nil"/>
              <w:left w:val="nil"/>
              <w:bottom w:val="nil"/>
              <w:right w:val="nil"/>
            </w:tcBorders>
            <w:shd w:val="clear" w:color="auto" w:fill="auto"/>
            <w:noWrap/>
            <w:vAlign w:val="bottom"/>
            <w:hideMark/>
          </w:tcPr>
          <w:p w14:paraId="2E4C6FC4"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33,849</w:t>
            </w:r>
          </w:p>
        </w:tc>
        <w:tc>
          <w:tcPr>
            <w:tcW w:w="747" w:type="dxa"/>
            <w:tcBorders>
              <w:top w:val="nil"/>
              <w:left w:val="nil"/>
              <w:bottom w:val="nil"/>
              <w:right w:val="nil"/>
            </w:tcBorders>
            <w:shd w:val="clear" w:color="auto" w:fill="auto"/>
            <w:hideMark/>
          </w:tcPr>
          <w:p w14:paraId="45686B00" w14:textId="77777777" w:rsidR="00D06EF0" w:rsidRPr="00D06EF0" w:rsidRDefault="00D06EF0" w:rsidP="00D06EF0">
            <w:pPr>
              <w:jc w:val="right"/>
              <w:rPr>
                <w:rFonts w:ascii="Arial" w:hAnsi="Arial" w:cs="Arial"/>
                <w:sz w:val="18"/>
                <w:szCs w:val="18"/>
                <w:lang w:eastAsia="en-GB"/>
              </w:rPr>
            </w:pPr>
          </w:p>
        </w:tc>
      </w:tr>
      <w:tr w:rsidR="00D06EF0" w:rsidRPr="00D06EF0" w14:paraId="1427B003" w14:textId="77777777" w:rsidTr="00D06EF0">
        <w:trPr>
          <w:trHeight w:val="240"/>
        </w:trPr>
        <w:tc>
          <w:tcPr>
            <w:tcW w:w="2011" w:type="dxa"/>
            <w:tcBorders>
              <w:top w:val="nil"/>
              <w:left w:val="nil"/>
              <w:bottom w:val="nil"/>
              <w:right w:val="nil"/>
            </w:tcBorders>
            <w:shd w:val="clear" w:color="auto" w:fill="auto"/>
            <w:noWrap/>
            <w:vAlign w:val="bottom"/>
            <w:hideMark/>
          </w:tcPr>
          <w:p w14:paraId="403736BA"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213B6666"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7ED40EF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230,537</w:t>
            </w:r>
          </w:p>
        </w:tc>
        <w:tc>
          <w:tcPr>
            <w:tcW w:w="1156" w:type="dxa"/>
            <w:tcBorders>
              <w:top w:val="single" w:sz="4" w:space="0" w:color="auto"/>
              <w:left w:val="nil"/>
              <w:bottom w:val="single" w:sz="4" w:space="0" w:color="auto"/>
              <w:right w:val="nil"/>
            </w:tcBorders>
            <w:shd w:val="clear" w:color="auto" w:fill="auto"/>
            <w:noWrap/>
            <w:vAlign w:val="bottom"/>
            <w:hideMark/>
          </w:tcPr>
          <w:p w14:paraId="284E6D7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1,709</w:t>
            </w:r>
          </w:p>
        </w:tc>
        <w:tc>
          <w:tcPr>
            <w:tcW w:w="1156" w:type="dxa"/>
            <w:tcBorders>
              <w:top w:val="single" w:sz="4" w:space="0" w:color="auto"/>
              <w:left w:val="nil"/>
              <w:bottom w:val="single" w:sz="4" w:space="0" w:color="auto"/>
              <w:right w:val="nil"/>
            </w:tcBorders>
            <w:shd w:val="clear" w:color="auto" w:fill="auto"/>
            <w:noWrap/>
            <w:vAlign w:val="bottom"/>
            <w:hideMark/>
          </w:tcPr>
          <w:p w14:paraId="63C9A14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(97)</w:t>
            </w:r>
          </w:p>
        </w:tc>
        <w:tc>
          <w:tcPr>
            <w:tcW w:w="1156" w:type="dxa"/>
            <w:tcBorders>
              <w:top w:val="single" w:sz="4" w:space="0" w:color="auto"/>
              <w:left w:val="nil"/>
              <w:bottom w:val="single" w:sz="4" w:space="0" w:color="auto"/>
              <w:right w:val="nil"/>
            </w:tcBorders>
            <w:shd w:val="clear" w:color="auto" w:fill="auto"/>
            <w:noWrap/>
            <w:vAlign w:val="bottom"/>
            <w:hideMark/>
          </w:tcPr>
          <w:p w14:paraId="493D0C1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9,556</w:t>
            </w:r>
          </w:p>
        </w:tc>
        <w:tc>
          <w:tcPr>
            <w:tcW w:w="1156" w:type="dxa"/>
            <w:tcBorders>
              <w:top w:val="single" w:sz="4" w:space="0" w:color="auto"/>
              <w:left w:val="nil"/>
              <w:bottom w:val="single" w:sz="4" w:space="0" w:color="auto"/>
              <w:right w:val="nil"/>
            </w:tcBorders>
            <w:shd w:val="clear" w:color="auto" w:fill="auto"/>
            <w:noWrap/>
            <w:vAlign w:val="bottom"/>
            <w:hideMark/>
          </w:tcPr>
          <w:p w14:paraId="4605AC64"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241,705</w:t>
            </w:r>
          </w:p>
        </w:tc>
        <w:tc>
          <w:tcPr>
            <w:tcW w:w="747" w:type="dxa"/>
            <w:tcBorders>
              <w:top w:val="nil"/>
              <w:left w:val="nil"/>
              <w:bottom w:val="nil"/>
              <w:right w:val="nil"/>
            </w:tcBorders>
            <w:shd w:val="clear" w:color="auto" w:fill="auto"/>
            <w:hideMark/>
          </w:tcPr>
          <w:p w14:paraId="62B35098" w14:textId="77777777" w:rsidR="00D06EF0" w:rsidRPr="00D06EF0" w:rsidRDefault="00D06EF0" w:rsidP="00D06EF0">
            <w:pPr>
              <w:jc w:val="right"/>
              <w:rPr>
                <w:rFonts w:ascii="Arial" w:hAnsi="Arial" w:cs="Arial"/>
                <w:sz w:val="18"/>
                <w:szCs w:val="18"/>
                <w:lang w:eastAsia="en-GB"/>
              </w:rPr>
            </w:pPr>
          </w:p>
        </w:tc>
      </w:tr>
      <w:tr w:rsidR="00D06EF0" w:rsidRPr="00D06EF0" w14:paraId="228835B1"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51981FEE"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Index-Linked</w:t>
            </w:r>
          </w:p>
        </w:tc>
        <w:tc>
          <w:tcPr>
            <w:tcW w:w="1156" w:type="dxa"/>
            <w:tcBorders>
              <w:top w:val="nil"/>
              <w:left w:val="nil"/>
              <w:bottom w:val="nil"/>
              <w:right w:val="nil"/>
            </w:tcBorders>
            <w:shd w:val="clear" w:color="auto" w:fill="auto"/>
            <w:noWrap/>
            <w:vAlign w:val="bottom"/>
            <w:hideMark/>
          </w:tcPr>
          <w:p w14:paraId="540DDA2E"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hideMark/>
          </w:tcPr>
          <w:p w14:paraId="3278060E"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18D1DC7"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5DBC3B33"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938008D"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1479DFB7" w14:textId="77777777" w:rsidR="00D06EF0" w:rsidRPr="00D06EF0" w:rsidRDefault="00D06EF0" w:rsidP="00D06EF0">
            <w:pPr>
              <w:jc w:val="right"/>
              <w:rPr>
                <w:sz w:val="20"/>
                <w:lang w:eastAsia="en-GB"/>
              </w:rPr>
            </w:pPr>
          </w:p>
        </w:tc>
      </w:tr>
      <w:tr w:rsidR="00D06EF0" w:rsidRPr="00D06EF0" w14:paraId="78B4A75E" w14:textId="77777777" w:rsidTr="00D06EF0">
        <w:trPr>
          <w:trHeight w:val="240"/>
        </w:trPr>
        <w:tc>
          <w:tcPr>
            <w:tcW w:w="2011" w:type="dxa"/>
            <w:tcBorders>
              <w:top w:val="nil"/>
              <w:left w:val="nil"/>
              <w:bottom w:val="nil"/>
              <w:right w:val="nil"/>
            </w:tcBorders>
            <w:shd w:val="clear" w:color="auto" w:fill="auto"/>
            <w:noWrap/>
            <w:vAlign w:val="bottom"/>
            <w:hideMark/>
          </w:tcPr>
          <w:p w14:paraId="5E808258"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31548E8"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Blackrock</w:t>
            </w:r>
            <w:r w:rsidR="00E47D80">
              <w:rPr>
                <w:rFonts w:ascii="Arial" w:hAnsi="Arial" w:cs="Arial"/>
                <w:sz w:val="18"/>
                <w:szCs w:val="18"/>
                <w:lang w:eastAsia="en-GB"/>
              </w:rPr>
              <w:t xml:space="preserve"> (Passive)</w:t>
            </w:r>
          </w:p>
        </w:tc>
        <w:tc>
          <w:tcPr>
            <w:tcW w:w="1156" w:type="dxa"/>
            <w:tcBorders>
              <w:top w:val="nil"/>
              <w:left w:val="nil"/>
              <w:bottom w:val="nil"/>
              <w:right w:val="nil"/>
            </w:tcBorders>
            <w:shd w:val="clear" w:color="auto" w:fill="auto"/>
            <w:noWrap/>
            <w:vAlign w:val="bottom"/>
            <w:hideMark/>
          </w:tcPr>
          <w:p w14:paraId="629AA51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35,919</w:t>
            </w:r>
          </w:p>
        </w:tc>
        <w:tc>
          <w:tcPr>
            <w:tcW w:w="1156" w:type="dxa"/>
            <w:tcBorders>
              <w:top w:val="nil"/>
              <w:left w:val="nil"/>
              <w:bottom w:val="nil"/>
              <w:right w:val="nil"/>
            </w:tcBorders>
            <w:shd w:val="clear" w:color="auto" w:fill="auto"/>
            <w:noWrap/>
            <w:vAlign w:val="bottom"/>
            <w:hideMark/>
          </w:tcPr>
          <w:p w14:paraId="61BBBDF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7A73AB6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4284A115"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1,826</w:t>
            </w:r>
          </w:p>
        </w:tc>
        <w:tc>
          <w:tcPr>
            <w:tcW w:w="1156" w:type="dxa"/>
            <w:tcBorders>
              <w:top w:val="nil"/>
              <w:left w:val="nil"/>
              <w:bottom w:val="nil"/>
              <w:right w:val="nil"/>
            </w:tcBorders>
            <w:shd w:val="clear" w:color="auto" w:fill="auto"/>
            <w:noWrap/>
            <w:vAlign w:val="bottom"/>
            <w:hideMark/>
          </w:tcPr>
          <w:p w14:paraId="752481D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37,745</w:t>
            </w:r>
          </w:p>
        </w:tc>
        <w:tc>
          <w:tcPr>
            <w:tcW w:w="747" w:type="dxa"/>
            <w:tcBorders>
              <w:top w:val="nil"/>
              <w:left w:val="nil"/>
              <w:bottom w:val="nil"/>
              <w:right w:val="nil"/>
            </w:tcBorders>
            <w:shd w:val="clear" w:color="auto" w:fill="auto"/>
            <w:hideMark/>
          </w:tcPr>
          <w:p w14:paraId="1496CFF5" w14:textId="77777777" w:rsidR="00D06EF0" w:rsidRPr="00D06EF0" w:rsidRDefault="00D06EF0" w:rsidP="00D06EF0">
            <w:pPr>
              <w:jc w:val="right"/>
              <w:rPr>
                <w:rFonts w:ascii="Arial" w:hAnsi="Arial" w:cs="Arial"/>
                <w:sz w:val="18"/>
                <w:szCs w:val="18"/>
                <w:lang w:eastAsia="en-GB"/>
              </w:rPr>
            </w:pPr>
          </w:p>
        </w:tc>
      </w:tr>
      <w:tr w:rsidR="00D06EF0" w:rsidRPr="00D06EF0" w14:paraId="32CE0A56" w14:textId="77777777" w:rsidTr="00D06EF0">
        <w:trPr>
          <w:trHeight w:val="240"/>
        </w:trPr>
        <w:tc>
          <w:tcPr>
            <w:tcW w:w="2011" w:type="dxa"/>
            <w:tcBorders>
              <w:top w:val="nil"/>
              <w:left w:val="nil"/>
              <w:bottom w:val="nil"/>
              <w:right w:val="nil"/>
            </w:tcBorders>
            <w:shd w:val="clear" w:color="auto" w:fill="auto"/>
            <w:noWrap/>
            <w:vAlign w:val="bottom"/>
            <w:hideMark/>
          </w:tcPr>
          <w:p w14:paraId="4585B849"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35FB9B2B"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107C818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35,919</w:t>
            </w:r>
          </w:p>
        </w:tc>
        <w:tc>
          <w:tcPr>
            <w:tcW w:w="1156" w:type="dxa"/>
            <w:tcBorders>
              <w:top w:val="single" w:sz="4" w:space="0" w:color="auto"/>
              <w:left w:val="nil"/>
              <w:bottom w:val="single" w:sz="4" w:space="0" w:color="auto"/>
              <w:right w:val="nil"/>
            </w:tcBorders>
            <w:shd w:val="clear" w:color="auto" w:fill="auto"/>
            <w:noWrap/>
            <w:vAlign w:val="bottom"/>
            <w:hideMark/>
          </w:tcPr>
          <w:p w14:paraId="13813D9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602533E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0E461C6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1,826</w:t>
            </w:r>
          </w:p>
        </w:tc>
        <w:tc>
          <w:tcPr>
            <w:tcW w:w="1156" w:type="dxa"/>
            <w:tcBorders>
              <w:top w:val="single" w:sz="4" w:space="0" w:color="auto"/>
              <w:left w:val="nil"/>
              <w:bottom w:val="single" w:sz="4" w:space="0" w:color="auto"/>
              <w:right w:val="nil"/>
            </w:tcBorders>
            <w:shd w:val="clear" w:color="auto" w:fill="auto"/>
            <w:noWrap/>
            <w:vAlign w:val="bottom"/>
            <w:hideMark/>
          </w:tcPr>
          <w:p w14:paraId="32BBBD29"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37,745</w:t>
            </w:r>
          </w:p>
        </w:tc>
        <w:tc>
          <w:tcPr>
            <w:tcW w:w="747" w:type="dxa"/>
            <w:tcBorders>
              <w:top w:val="nil"/>
              <w:left w:val="nil"/>
              <w:bottom w:val="nil"/>
              <w:right w:val="nil"/>
            </w:tcBorders>
            <w:shd w:val="clear" w:color="auto" w:fill="auto"/>
            <w:hideMark/>
          </w:tcPr>
          <w:p w14:paraId="67549466" w14:textId="77777777" w:rsidR="00D06EF0" w:rsidRPr="00D06EF0" w:rsidRDefault="00D06EF0" w:rsidP="00D06EF0">
            <w:pPr>
              <w:jc w:val="right"/>
              <w:rPr>
                <w:rFonts w:ascii="Arial" w:hAnsi="Arial" w:cs="Arial"/>
                <w:sz w:val="18"/>
                <w:szCs w:val="18"/>
                <w:lang w:eastAsia="en-GB"/>
              </w:rPr>
            </w:pPr>
          </w:p>
        </w:tc>
      </w:tr>
      <w:tr w:rsidR="00D06EF0" w:rsidRPr="00D06EF0" w14:paraId="0EE51295"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256F53B2"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Hedge Funds</w:t>
            </w:r>
          </w:p>
        </w:tc>
        <w:tc>
          <w:tcPr>
            <w:tcW w:w="1156" w:type="dxa"/>
            <w:tcBorders>
              <w:top w:val="nil"/>
              <w:left w:val="nil"/>
              <w:bottom w:val="nil"/>
              <w:right w:val="nil"/>
            </w:tcBorders>
            <w:shd w:val="clear" w:color="auto" w:fill="auto"/>
            <w:noWrap/>
            <w:vAlign w:val="bottom"/>
            <w:hideMark/>
          </w:tcPr>
          <w:p w14:paraId="3AEA8DF5"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hideMark/>
          </w:tcPr>
          <w:p w14:paraId="5354D5FB"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8A1E030"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52281C1"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7D8ADBE"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5E8E29C3" w14:textId="77777777" w:rsidR="00D06EF0" w:rsidRPr="00D06EF0" w:rsidRDefault="00D06EF0" w:rsidP="00D06EF0">
            <w:pPr>
              <w:jc w:val="right"/>
              <w:rPr>
                <w:sz w:val="20"/>
                <w:lang w:eastAsia="en-GB"/>
              </w:rPr>
            </w:pPr>
          </w:p>
        </w:tc>
      </w:tr>
      <w:tr w:rsidR="00D06EF0" w:rsidRPr="00D06EF0" w14:paraId="6272020C" w14:textId="77777777" w:rsidTr="00D06EF0">
        <w:trPr>
          <w:trHeight w:val="240"/>
        </w:trPr>
        <w:tc>
          <w:tcPr>
            <w:tcW w:w="2011" w:type="dxa"/>
            <w:tcBorders>
              <w:top w:val="nil"/>
              <w:left w:val="nil"/>
              <w:bottom w:val="nil"/>
              <w:right w:val="nil"/>
            </w:tcBorders>
            <w:shd w:val="clear" w:color="auto" w:fill="auto"/>
            <w:noWrap/>
            <w:vAlign w:val="bottom"/>
            <w:hideMark/>
          </w:tcPr>
          <w:p w14:paraId="05069175"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6806F93D"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Blackrock</w:t>
            </w:r>
          </w:p>
        </w:tc>
        <w:tc>
          <w:tcPr>
            <w:tcW w:w="1156" w:type="dxa"/>
            <w:tcBorders>
              <w:top w:val="nil"/>
              <w:left w:val="nil"/>
              <w:bottom w:val="nil"/>
              <w:right w:val="nil"/>
            </w:tcBorders>
            <w:shd w:val="clear" w:color="auto" w:fill="auto"/>
            <w:noWrap/>
            <w:vAlign w:val="bottom"/>
            <w:hideMark/>
          </w:tcPr>
          <w:p w14:paraId="6E947ACA"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31,104</w:t>
            </w:r>
          </w:p>
        </w:tc>
        <w:tc>
          <w:tcPr>
            <w:tcW w:w="1156" w:type="dxa"/>
            <w:tcBorders>
              <w:top w:val="nil"/>
              <w:left w:val="nil"/>
              <w:bottom w:val="nil"/>
              <w:right w:val="nil"/>
            </w:tcBorders>
            <w:shd w:val="clear" w:color="auto" w:fill="auto"/>
            <w:noWrap/>
            <w:vAlign w:val="bottom"/>
            <w:hideMark/>
          </w:tcPr>
          <w:p w14:paraId="51378B39"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5AE4DCA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(340)</w:t>
            </w:r>
          </w:p>
        </w:tc>
        <w:tc>
          <w:tcPr>
            <w:tcW w:w="1156" w:type="dxa"/>
            <w:tcBorders>
              <w:top w:val="nil"/>
              <w:left w:val="nil"/>
              <w:bottom w:val="nil"/>
              <w:right w:val="nil"/>
            </w:tcBorders>
            <w:shd w:val="clear" w:color="auto" w:fill="auto"/>
            <w:noWrap/>
            <w:vAlign w:val="bottom"/>
            <w:hideMark/>
          </w:tcPr>
          <w:p w14:paraId="18F1CF6F"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1,817</w:t>
            </w:r>
          </w:p>
        </w:tc>
        <w:tc>
          <w:tcPr>
            <w:tcW w:w="1156" w:type="dxa"/>
            <w:tcBorders>
              <w:top w:val="nil"/>
              <w:left w:val="nil"/>
              <w:bottom w:val="nil"/>
              <w:right w:val="nil"/>
            </w:tcBorders>
            <w:shd w:val="clear" w:color="auto" w:fill="auto"/>
            <w:noWrap/>
            <w:vAlign w:val="bottom"/>
            <w:hideMark/>
          </w:tcPr>
          <w:p w14:paraId="0FAF83D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32,581</w:t>
            </w:r>
          </w:p>
        </w:tc>
        <w:tc>
          <w:tcPr>
            <w:tcW w:w="747" w:type="dxa"/>
            <w:tcBorders>
              <w:top w:val="nil"/>
              <w:left w:val="nil"/>
              <w:bottom w:val="nil"/>
              <w:right w:val="nil"/>
            </w:tcBorders>
            <w:shd w:val="clear" w:color="auto" w:fill="auto"/>
            <w:hideMark/>
          </w:tcPr>
          <w:p w14:paraId="5B623AAE" w14:textId="77777777" w:rsidR="00D06EF0" w:rsidRPr="00D06EF0" w:rsidRDefault="00D06EF0" w:rsidP="00D06EF0">
            <w:pPr>
              <w:jc w:val="right"/>
              <w:rPr>
                <w:rFonts w:ascii="Arial" w:hAnsi="Arial" w:cs="Arial"/>
                <w:sz w:val="18"/>
                <w:szCs w:val="18"/>
                <w:lang w:eastAsia="en-GB"/>
              </w:rPr>
            </w:pPr>
          </w:p>
        </w:tc>
      </w:tr>
      <w:tr w:rsidR="00D06EF0" w:rsidRPr="00D06EF0" w14:paraId="2DDE94A8" w14:textId="77777777" w:rsidTr="00D06EF0">
        <w:trPr>
          <w:trHeight w:val="240"/>
        </w:trPr>
        <w:tc>
          <w:tcPr>
            <w:tcW w:w="2011" w:type="dxa"/>
            <w:tcBorders>
              <w:top w:val="nil"/>
              <w:left w:val="nil"/>
              <w:bottom w:val="nil"/>
              <w:right w:val="nil"/>
            </w:tcBorders>
            <w:shd w:val="clear" w:color="auto" w:fill="auto"/>
            <w:noWrap/>
            <w:vAlign w:val="bottom"/>
            <w:hideMark/>
          </w:tcPr>
          <w:p w14:paraId="4AC56239"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1155F2B6"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EnTrustPermal</w:t>
            </w:r>
          </w:p>
        </w:tc>
        <w:tc>
          <w:tcPr>
            <w:tcW w:w="1156" w:type="dxa"/>
            <w:tcBorders>
              <w:top w:val="nil"/>
              <w:left w:val="nil"/>
              <w:bottom w:val="nil"/>
              <w:right w:val="nil"/>
            </w:tcBorders>
            <w:shd w:val="clear" w:color="auto" w:fill="auto"/>
            <w:noWrap/>
            <w:vAlign w:val="bottom"/>
            <w:hideMark/>
          </w:tcPr>
          <w:p w14:paraId="294CE6F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28,958</w:t>
            </w:r>
          </w:p>
        </w:tc>
        <w:tc>
          <w:tcPr>
            <w:tcW w:w="1156" w:type="dxa"/>
            <w:tcBorders>
              <w:top w:val="nil"/>
              <w:left w:val="nil"/>
              <w:bottom w:val="nil"/>
              <w:right w:val="nil"/>
            </w:tcBorders>
            <w:shd w:val="clear" w:color="auto" w:fill="auto"/>
            <w:noWrap/>
            <w:vAlign w:val="bottom"/>
            <w:hideMark/>
          </w:tcPr>
          <w:p w14:paraId="06456A1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3003144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(333)</w:t>
            </w:r>
          </w:p>
        </w:tc>
        <w:tc>
          <w:tcPr>
            <w:tcW w:w="1156" w:type="dxa"/>
            <w:tcBorders>
              <w:top w:val="nil"/>
              <w:left w:val="nil"/>
              <w:bottom w:val="nil"/>
              <w:right w:val="nil"/>
            </w:tcBorders>
            <w:shd w:val="clear" w:color="auto" w:fill="auto"/>
            <w:noWrap/>
            <w:vAlign w:val="bottom"/>
            <w:hideMark/>
          </w:tcPr>
          <w:p w14:paraId="012E86B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(349)</w:t>
            </w:r>
          </w:p>
        </w:tc>
        <w:tc>
          <w:tcPr>
            <w:tcW w:w="1156" w:type="dxa"/>
            <w:tcBorders>
              <w:top w:val="nil"/>
              <w:left w:val="nil"/>
              <w:bottom w:val="nil"/>
              <w:right w:val="nil"/>
            </w:tcBorders>
            <w:shd w:val="clear" w:color="auto" w:fill="auto"/>
            <w:noWrap/>
            <w:vAlign w:val="bottom"/>
            <w:hideMark/>
          </w:tcPr>
          <w:p w14:paraId="70F22165"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28,276</w:t>
            </w:r>
          </w:p>
        </w:tc>
        <w:tc>
          <w:tcPr>
            <w:tcW w:w="747" w:type="dxa"/>
            <w:tcBorders>
              <w:top w:val="nil"/>
              <w:left w:val="nil"/>
              <w:bottom w:val="nil"/>
              <w:right w:val="nil"/>
            </w:tcBorders>
            <w:shd w:val="clear" w:color="auto" w:fill="auto"/>
            <w:hideMark/>
          </w:tcPr>
          <w:p w14:paraId="13F80B84" w14:textId="77777777" w:rsidR="00D06EF0" w:rsidRPr="00D06EF0" w:rsidRDefault="00D06EF0" w:rsidP="00D06EF0">
            <w:pPr>
              <w:jc w:val="right"/>
              <w:rPr>
                <w:rFonts w:ascii="Arial" w:hAnsi="Arial" w:cs="Arial"/>
                <w:sz w:val="18"/>
                <w:szCs w:val="18"/>
                <w:lang w:eastAsia="en-GB"/>
              </w:rPr>
            </w:pPr>
          </w:p>
        </w:tc>
      </w:tr>
      <w:tr w:rsidR="00D06EF0" w:rsidRPr="00D06EF0" w14:paraId="4632BA86" w14:textId="77777777" w:rsidTr="00D06EF0">
        <w:trPr>
          <w:trHeight w:val="240"/>
        </w:trPr>
        <w:tc>
          <w:tcPr>
            <w:tcW w:w="2011" w:type="dxa"/>
            <w:tcBorders>
              <w:top w:val="nil"/>
              <w:left w:val="nil"/>
              <w:bottom w:val="nil"/>
              <w:right w:val="nil"/>
            </w:tcBorders>
            <w:shd w:val="clear" w:color="auto" w:fill="auto"/>
            <w:noWrap/>
            <w:vAlign w:val="bottom"/>
            <w:hideMark/>
          </w:tcPr>
          <w:p w14:paraId="4EF9B25E"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5C3CA8F9"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1E2B36B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60,062</w:t>
            </w:r>
          </w:p>
        </w:tc>
        <w:tc>
          <w:tcPr>
            <w:tcW w:w="1156" w:type="dxa"/>
            <w:tcBorders>
              <w:top w:val="single" w:sz="4" w:space="0" w:color="auto"/>
              <w:left w:val="nil"/>
              <w:bottom w:val="single" w:sz="4" w:space="0" w:color="auto"/>
              <w:right w:val="nil"/>
            </w:tcBorders>
            <w:shd w:val="clear" w:color="auto" w:fill="auto"/>
            <w:noWrap/>
            <w:vAlign w:val="bottom"/>
            <w:hideMark/>
          </w:tcPr>
          <w:p w14:paraId="7ADEF7A6"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56CF8E1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(673)</w:t>
            </w:r>
          </w:p>
        </w:tc>
        <w:tc>
          <w:tcPr>
            <w:tcW w:w="1156" w:type="dxa"/>
            <w:tcBorders>
              <w:top w:val="single" w:sz="4" w:space="0" w:color="auto"/>
              <w:left w:val="nil"/>
              <w:bottom w:val="single" w:sz="4" w:space="0" w:color="auto"/>
              <w:right w:val="nil"/>
            </w:tcBorders>
            <w:shd w:val="clear" w:color="auto" w:fill="auto"/>
            <w:noWrap/>
            <w:vAlign w:val="bottom"/>
            <w:hideMark/>
          </w:tcPr>
          <w:p w14:paraId="738B130B"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1,468</w:t>
            </w:r>
          </w:p>
        </w:tc>
        <w:tc>
          <w:tcPr>
            <w:tcW w:w="1156" w:type="dxa"/>
            <w:tcBorders>
              <w:top w:val="single" w:sz="4" w:space="0" w:color="auto"/>
              <w:left w:val="nil"/>
              <w:bottom w:val="single" w:sz="4" w:space="0" w:color="auto"/>
              <w:right w:val="nil"/>
            </w:tcBorders>
            <w:shd w:val="clear" w:color="auto" w:fill="auto"/>
            <w:noWrap/>
            <w:vAlign w:val="bottom"/>
            <w:hideMark/>
          </w:tcPr>
          <w:p w14:paraId="39669584"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60,857</w:t>
            </w:r>
          </w:p>
        </w:tc>
        <w:tc>
          <w:tcPr>
            <w:tcW w:w="747" w:type="dxa"/>
            <w:tcBorders>
              <w:top w:val="nil"/>
              <w:left w:val="nil"/>
              <w:bottom w:val="nil"/>
              <w:right w:val="nil"/>
            </w:tcBorders>
            <w:shd w:val="clear" w:color="auto" w:fill="auto"/>
            <w:hideMark/>
          </w:tcPr>
          <w:p w14:paraId="2F82C0FF" w14:textId="77777777" w:rsidR="00D06EF0" w:rsidRPr="00D06EF0" w:rsidRDefault="00D06EF0" w:rsidP="00D06EF0">
            <w:pPr>
              <w:jc w:val="right"/>
              <w:rPr>
                <w:rFonts w:ascii="Arial" w:hAnsi="Arial" w:cs="Arial"/>
                <w:sz w:val="18"/>
                <w:szCs w:val="18"/>
                <w:lang w:eastAsia="en-GB"/>
              </w:rPr>
            </w:pPr>
          </w:p>
        </w:tc>
      </w:tr>
      <w:tr w:rsidR="00D06EF0" w:rsidRPr="00D06EF0" w14:paraId="51FDCE76"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232A6FE3"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Private Equity</w:t>
            </w:r>
          </w:p>
        </w:tc>
        <w:tc>
          <w:tcPr>
            <w:tcW w:w="1156" w:type="dxa"/>
            <w:tcBorders>
              <w:top w:val="nil"/>
              <w:left w:val="nil"/>
              <w:bottom w:val="nil"/>
              <w:right w:val="nil"/>
            </w:tcBorders>
            <w:shd w:val="clear" w:color="auto" w:fill="auto"/>
            <w:noWrap/>
            <w:vAlign w:val="bottom"/>
            <w:hideMark/>
          </w:tcPr>
          <w:p w14:paraId="2E131CB3"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hideMark/>
          </w:tcPr>
          <w:p w14:paraId="2E40D293"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7DB1930"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B61FA5C"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8CE96E7"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288002F2" w14:textId="77777777" w:rsidR="00D06EF0" w:rsidRPr="00D06EF0" w:rsidRDefault="00D06EF0" w:rsidP="00D06EF0">
            <w:pPr>
              <w:jc w:val="right"/>
              <w:rPr>
                <w:sz w:val="20"/>
                <w:lang w:eastAsia="en-GB"/>
              </w:rPr>
            </w:pPr>
          </w:p>
        </w:tc>
      </w:tr>
      <w:tr w:rsidR="00D06EF0" w:rsidRPr="00D06EF0" w14:paraId="2657DB5F" w14:textId="77777777" w:rsidTr="00D06EF0">
        <w:trPr>
          <w:trHeight w:val="240"/>
        </w:trPr>
        <w:tc>
          <w:tcPr>
            <w:tcW w:w="2011" w:type="dxa"/>
            <w:tcBorders>
              <w:top w:val="nil"/>
              <w:left w:val="nil"/>
              <w:bottom w:val="nil"/>
              <w:right w:val="nil"/>
            </w:tcBorders>
            <w:shd w:val="clear" w:color="auto" w:fill="auto"/>
            <w:noWrap/>
            <w:vAlign w:val="bottom"/>
            <w:hideMark/>
          </w:tcPr>
          <w:p w14:paraId="10E668D3"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725025F7"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HarbourVest</w:t>
            </w:r>
          </w:p>
        </w:tc>
        <w:tc>
          <w:tcPr>
            <w:tcW w:w="1156" w:type="dxa"/>
            <w:tcBorders>
              <w:top w:val="nil"/>
              <w:left w:val="nil"/>
              <w:bottom w:val="nil"/>
              <w:right w:val="nil"/>
            </w:tcBorders>
            <w:shd w:val="clear" w:color="auto" w:fill="auto"/>
            <w:noWrap/>
            <w:vAlign w:val="bottom"/>
            <w:hideMark/>
          </w:tcPr>
          <w:p w14:paraId="07CD613B"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140,311</w:t>
            </w:r>
          </w:p>
        </w:tc>
        <w:tc>
          <w:tcPr>
            <w:tcW w:w="1156" w:type="dxa"/>
            <w:tcBorders>
              <w:top w:val="nil"/>
              <w:left w:val="nil"/>
              <w:bottom w:val="nil"/>
              <w:right w:val="nil"/>
            </w:tcBorders>
            <w:shd w:val="clear" w:color="auto" w:fill="auto"/>
            <w:noWrap/>
            <w:vAlign w:val="bottom"/>
            <w:hideMark/>
          </w:tcPr>
          <w:p w14:paraId="6D17C88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13,619</w:t>
            </w:r>
          </w:p>
        </w:tc>
        <w:tc>
          <w:tcPr>
            <w:tcW w:w="1156" w:type="dxa"/>
            <w:tcBorders>
              <w:top w:val="nil"/>
              <w:left w:val="nil"/>
              <w:bottom w:val="nil"/>
              <w:right w:val="nil"/>
            </w:tcBorders>
            <w:shd w:val="clear" w:color="auto" w:fill="auto"/>
            <w:noWrap/>
            <w:vAlign w:val="bottom"/>
            <w:hideMark/>
          </w:tcPr>
          <w:p w14:paraId="4474064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(42,852)</w:t>
            </w:r>
          </w:p>
        </w:tc>
        <w:tc>
          <w:tcPr>
            <w:tcW w:w="1156" w:type="dxa"/>
            <w:tcBorders>
              <w:top w:val="nil"/>
              <w:left w:val="nil"/>
              <w:bottom w:val="nil"/>
              <w:right w:val="nil"/>
            </w:tcBorders>
            <w:shd w:val="clear" w:color="auto" w:fill="auto"/>
            <w:noWrap/>
            <w:vAlign w:val="bottom"/>
            <w:hideMark/>
          </w:tcPr>
          <w:p w14:paraId="3221D717" w14:textId="77777777" w:rsidR="00D06EF0" w:rsidRPr="00D06EF0" w:rsidRDefault="006E0BDB" w:rsidP="00D06EF0">
            <w:pPr>
              <w:jc w:val="right"/>
              <w:rPr>
                <w:rFonts w:ascii="Arial" w:hAnsi="Arial" w:cs="Arial"/>
                <w:sz w:val="18"/>
                <w:szCs w:val="18"/>
                <w:lang w:eastAsia="en-GB"/>
              </w:rPr>
            </w:pPr>
            <w:r>
              <w:rPr>
                <w:rFonts w:ascii="Arial" w:hAnsi="Arial" w:cs="Arial"/>
                <w:sz w:val="18"/>
                <w:szCs w:val="18"/>
                <w:lang w:eastAsia="en-GB"/>
              </w:rPr>
              <w:t>37,947</w:t>
            </w:r>
          </w:p>
        </w:tc>
        <w:tc>
          <w:tcPr>
            <w:tcW w:w="1156" w:type="dxa"/>
            <w:tcBorders>
              <w:top w:val="nil"/>
              <w:left w:val="nil"/>
              <w:bottom w:val="nil"/>
              <w:right w:val="nil"/>
            </w:tcBorders>
            <w:shd w:val="clear" w:color="auto" w:fill="auto"/>
            <w:noWrap/>
            <w:vAlign w:val="bottom"/>
            <w:hideMark/>
          </w:tcPr>
          <w:p w14:paraId="57456C8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w:t>
            </w:r>
            <w:r w:rsidR="006E0BDB">
              <w:rPr>
                <w:rFonts w:ascii="Arial" w:hAnsi="Arial" w:cs="Arial"/>
                <w:sz w:val="18"/>
                <w:szCs w:val="18"/>
                <w:lang w:eastAsia="en-GB"/>
              </w:rPr>
              <w:t>49,025</w:t>
            </w:r>
          </w:p>
        </w:tc>
        <w:tc>
          <w:tcPr>
            <w:tcW w:w="747" w:type="dxa"/>
            <w:tcBorders>
              <w:top w:val="nil"/>
              <w:left w:val="nil"/>
              <w:bottom w:val="nil"/>
              <w:right w:val="nil"/>
            </w:tcBorders>
            <w:shd w:val="clear" w:color="auto" w:fill="auto"/>
            <w:hideMark/>
          </w:tcPr>
          <w:p w14:paraId="1D60D1A8" w14:textId="77777777" w:rsidR="00D06EF0" w:rsidRPr="00D06EF0" w:rsidRDefault="00D06EF0" w:rsidP="00D06EF0">
            <w:pPr>
              <w:jc w:val="right"/>
              <w:rPr>
                <w:rFonts w:ascii="Arial" w:hAnsi="Arial" w:cs="Arial"/>
                <w:sz w:val="18"/>
                <w:szCs w:val="18"/>
                <w:lang w:eastAsia="en-GB"/>
              </w:rPr>
            </w:pPr>
          </w:p>
        </w:tc>
      </w:tr>
      <w:tr w:rsidR="00D06EF0" w:rsidRPr="00D06EF0" w14:paraId="5AEFA11A" w14:textId="77777777" w:rsidTr="00D06EF0">
        <w:trPr>
          <w:trHeight w:val="240"/>
        </w:trPr>
        <w:tc>
          <w:tcPr>
            <w:tcW w:w="2011" w:type="dxa"/>
            <w:tcBorders>
              <w:top w:val="nil"/>
              <w:left w:val="nil"/>
              <w:bottom w:val="nil"/>
              <w:right w:val="nil"/>
            </w:tcBorders>
            <w:shd w:val="clear" w:color="auto" w:fill="auto"/>
            <w:noWrap/>
            <w:vAlign w:val="bottom"/>
            <w:hideMark/>
          </w:tcPr>
          <w:p w14:paraId="13878DFA"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525E67B7"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Blackstone</w:t>
            </w:r>
          </w:p>
        </w:tc>
        <w:tc>
          <w:tcPr>
            <w:tcW w:w="1156" w:type="dxa"/>
            <w:tcBorders>
              <w:top w:val="nil"/>
              <w:left w:val="nil"/>
              <w:bottom w:val="nil"/>
              <w:right w:val="nil"/>
            </w:tcBorders>
            <w:shd w:val="clear" w:color="auto" w:fill="auto"/>
            <w:noWrap/>
            <w:vAlign w:val="bottom"/>
            <w:hideMark/>
          </w:tcPr>
          <w:p w14:paraId="0ABDC4A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6,580</w:t>
            </w:r>
          </w:p>
        </w:tc>
        <w:tc>
          <w:tcPr>
            <w:tcW w:w="1156" w:type="dxa"/>
            <w:tcBorders>
              <w:top w:val="nil"/>
              <w:left w:val="nil"/>
              <w:bottom w:val="nil"/>
              <w:right w:val="nil"/>
            </w:tcBorders>
            <w:shd w:val="clear" w:color="auto" w:fill="auto"/>
            <w:noWrap/>
            <w:vAlign w:val="bottom"/>
            <w:hideMark/>
          </w:tcPr>
          <w:p w14:paraId="2D2E0719"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35,848</w:t>
            </w:r>
          </w:p>
        </w:tc>
        <w:tc>
          <w:tcPr>
            <w:tcW w:w="1156" w:type="dxa"/>
            <w:tcBorders>
              <w:top w:val="nil"/>
              <w:left w:val="nil"/>
              <w:bottom w:val="nil"/>
              <w:right w:val="nil"/>
            </w:tcBorders>
            <w:shd w:val="clear" w:color="auto" w:fill="auto"/>
            <w:noWrap/>
            <w:vAlign w:val="bottom"/>
            <w:hideMark/>
          </w:tcPr>
          <w:p w14:paraId="59D3080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(4,925)</w:t>
            </w:r>
          </w:p>
        </w:tc>
        <w:tc>
          <w:tcPr>
            <w:tcW w:w="1156" w:type="dxa"/>
            <w:tcBorders>
              <w:top w:val="nil"/>
              <w:left w:val="nil"/>
              <w:bottom w:val="nil"/>
              <w:right w:val="nil"/>
            </w:tcBorders>
            <w:shd w:val="clear" w:color="auto" w:fill="auto"/>
            <w:noWrap/>
            <w:vAlign w:val="bottom"/>
            <w:hideMark/>
          </w:tcPr>
          <w:p w14:paraId="0FE89685"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11,390</w:t>
            </w:r>
          </w:p>
        </w:tc>
        <w:tc>
          <w:tcPr>
            <w:tcW w:w="1156" w:type="dxa"/>
            <w:tcBorders>
              <w:top w:val="nil"/>
              <w:left w:val="nil"/>
              <w:bottom w:val="nil"/>
              <w:right w:val="nil"/>
            </w:tcBorders>
            <w:shd w:val="clear" w:color="auto" w:fill="auto"/>
            <w:noWrap/>
            <w:vAlign w:val="bottom"/>
            <w:hideMark/>
          </w:tcPr>
          <w:p w14:paraId="68E31DD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48,893</w:t>
            </w:r>
          </w:p>
        </w:tc>
        <w:tc>
          <w:tcPr>
            <w:tcW w:w="747" w:type="dxa"/>
            <w:tcBorders>
              <w:top w:val="nil"/>
              <w:left w:val="nil"/>
              <w:bottom w:val="nil"/>
              <w:right w:val="nil"/>
            </w:tcBorders>
            <w:shd w:val="clear" w:color="auto" w:fill="auto"/>
            <w:hideMark/>
          </w:tcPr>
          <w:p w14:paraId="6BFCC3C7" w14:textId="77777777" w:rsidR="00D06EF0" w:rsidRPr="00D06EF0" w:rsidRDefault="00D06EF0" w:rsidP="00D06EF0">
            <w:pPr>
              <w:jc w:val="right"/>
              <w:rPr>
                <w:rFonts w:ascii="Arial" w:hAnsi="Arial" w:cs="Arial"/>
                <w:sz w:val="18"/>
                <w:szCs w:val="18"/>
                <w:lang w:eastAsia="en-GB"/>
              </w:rPr>
            </w:pPr>
          </w:p>
        </w:tc>
      </w:tr>
      <w:tr w:rsidR="00D06EF0" w:rsidRPr="00D06EF0" w14:paraId="78B2D02F" w14:textId="77777777" w:rsidTr="00D06EF0">
        <w:trPr>
          <w:trHeight w:val="240"/>
        </w:trPr>
        <w:tc>
          <w:tcPr>
            <w:tcW w:w="2011" w:type="dxa"/>
            <w:tcBorders>
              <w:top w:val="nil"/>
              <w:left w:val="nil"/>
              <w:bottom w:val="nil"/>
              <w:right w:val="nil"/>
            </w:tcBorders>
            <w:shd w:val="clear" w:color="auto" w:fill="auto"/>
            <w:noWrap/>
            <w:vAlign w:val="bottom"/>
            <w:hideMark/>
          </w:tcPr>
          <w:p w14:paraId="36044D5E"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5E18F0B4"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7DD7164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146,891</w:t>
            </w:r>
          </w:p>
        </w:tc>
        <w:tc>
          <w:tcPr>
            <w:tcW w:w="1156" w:type="dxa"/>
            <w:tcBorders>
              <w:top w:val="single" w:sz="4" w:space="0" w:color="auto"/>
              <w:left w:val="nil"/>
              <w:bottom w:val="single" w:sz="4" w:space="0" w:color="auto"/>
              <w:right w:val="nil"/>
            </w:tcBorders>
            <w:shd w:val="clear" w:color="auto" w:fill="auto"/>
            <w:noWrap/>
            <w:vAlign w:val="bottom"/>
            <w:hideMark/>
          </w:tcPr>
          <w:p w14:paraId="3F7DDF4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49,467</w:t>
            </w:r>
          </w:p>
        </w:tc>
        <w:tc>
          <w:tcPr>
            <w:tcW w:w="1156" w:type="dxa"/>
            <w:tcBorders>
              <w:top w:val="single" w:sz="4" w:space="0" w:color="auto"/>
              <w:left w:val="nil"/>
              <w:bottom w:val="single" w:sz="4" w:space="0" w:color="auto"/>
              <w:right w:val="nil"/>
            </w:tcBorders>
            <w:shd w:val="clear" w:color="auto" w:fill="auto"/>
            <w:noWrap/>
            <w:vAlign w:val="bottom"/>
            <w:hideMark/>
          </w:tcPr>
          <w:p w14:paraId="5AEAB56D"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(47,777)</w:t>
            </w:r>
          </w:p>
        </w:tc>
        <w:tc>
          <w:tcPr>
            <w:tcW w:w="1156" w:type="dxa"/>
            <w:tcBorders>
              <w:top w:val="single" w:sz="4" w:space="0" w:color="auto"/>
              <w:left w:val="nil"/>
              <w:bottom w:val="single" w:sz="4" w:space="0" w:color="auto"/>
              <w:right w:val="nil"/>
            </w:tcBorders>
            <w:shd w:val="clear" w:color="auto" w:fill="auto"/>
            <w:noWrap/>
            <w:vAlign w:val="bottom"/>
            <w:hideMark/>
          </w:tcPr>
          <w:p w14:paraId="793EF741" w14:textId="77777777" w:rsidR="00D06EF0" w:rsidRPr="00D06EF0" w:rsidRDefault="006E0BDB" w:rsidP="00D06EF0">
            <w:pPr>
              <w:jc w:val="right"/>
              <w:rPr>
                <w:rFonts w:ascii="Arial" w:hAnsi="Arial" w:cs="Arial"/>
                <w:sz w:val="18"/>
                <w:szCs w:val="18"/>
                <w:lang w:eastAsia="en-GB"/>
              </w:rPr>
            </w:pPr>
            <w:r>
              <w:rPr>
                <w:rFonts w:ascii="Arial" w:hAnsi="Arial" w:cs="Arial"/>
                <w:sz w:val="18"/>
                <w:szCs w:val="18"/>
                <w:lang w:eastAsia="en-GB"/>
              </w:rPr>
              <w:t>49,337</w:t>
            </w:r>
          </w:p>
        </w:tc>
        <w:tc>
          <w:tcPr>
            <w:tcW w:w="1156" w:type="dxa"/>
            <w:tcBorders>
              <w:top w:val="single" w:sz="4" w:space="0" w:color="auto"/>
              <w:left w:val="nil"/>
              <w:bottom w:val="single" w:sz="4" w:space="0" w:color="auto"/>
              <w:right w:val="nil"/>
            </w:tcBorders>
            <w:shd w:val="clear" w:color="auto" w:fill="auto"/>
            <w:noWrap/>
            <w:vAlign w:val="bottom"/>
            <w:hideMark/>
          </w:tcPr>
          <w:p w14:paraId="7FA05E96" w14:textId="77777777" w:rsidR="00D06EF0" w:rsidRPr="00D06EF0" w:rsidRDefault="006E0BDB" w:rsidP="00D06EF0">
            <w:pPr>
              <w:jc w:val="right"/>
              <w:rPr>
                <w:rFonts w:ascii="Arial" w:hAnsi="Arial" w:cs="Arial"/>
                <w:sz w:val="18"/>
                <w:szCs w:val="18"/>
                <w:lang w:eastAsia="en-GB"/>
              </w:rPr>
            </w:pPr>
            <w:r>
              <w:rPr>
                <w:rFonts w:ascii="Arial" w:hAnsi="Arial" w:cs="Arial"/>
                <w:sz w:val="18"/>
                <w:szCs w:val="18"/>
                <w:lang w:eastAsia="en-GB"/>
              </w:rPr>
              <w:t>197,918</w:t>
            </w:r>
          </w:p>
        </w:tc>
        <w:tc>
          <w:tcPr>
            <w:tcW w:w="747" w:type="dxa"/>
            <w:tcBorders>
              <w:top w:val="nil"/>
              <w:left w:val="nil"/>
              <w:bottom w:val="nil"/>
              <w:right w:val="nil"/>
            </w:tcBorders>
            <w:shd w:val="clear" w:color="auto" w:fill="auto"/>
            <w:hideMark/>
          </w:tcPr>
          <w:p w14:paraId="4659A8F0" w14:textId="77777777" w:rsidR="00D06EF0" w:rsidRPr="00D06EF0" w:rsidRDefault="00D06EF0" w:rsidP="00D06EF0">
            <w:pPr>
              <w:jc w:val="right"/>
              <w:rPr>
                <w:rFonts w:ascii="Arial" w:hAnsi="Arial" w:cs="Arial"/>
                <w:sz w:val="18"/>
                <w:szCs w:val="18"/>
                <w:lang w:eastAsia="en-GB"/>
              </w:rPr>
            </w:pPr>
          </w:p>
        </w:tc>
      </w:tr>
      <w:tr w:rsidR="00D06EF0" w:rsidRPr="00D06EF0" w14:paraId="699FF526" w14:textId="77777777" w:rsidTr="00D06EF0">
        <w:trPr>
          <w:trHeight w:val="240"/>
        </w:trPr>
        <w:tc>
          <w:tcPr>
            <w:tcW w:w="2011" w:type="dxa"/>
            <w:tcBorders>
              <w:top w:val="nil"/>
              <w:left w:val="nil"/>
              <w:bottom w:val="nil"/>
              <w:right w:val="nil"/>
            </w:tcBorders>
            <w:shd w:val="clear" w:color="auto" w:fill="auto"/>
            <w:noWrap/>
            <w:vAlign w:val="bottom"/>
            <w:hideMark/>
          </w:tcPr>
          <w:p w14:paraId="7EE98279"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Infrastructure</w:t>
            </w:r>
          </w:p>
        </w:tc>
        <w:tc>
          <w:tcPr>
            <w:tcW w:w="2422" w:type="dxa"/>
            <w:tcBorders>
              <w:top w:val="nil"/>
              <w:left w:val="nil"/>
              <w:bottom w:val="nil"/>
              <w:right w:val="nil"/>
            </w:tcBorders>
            <w:shd w:val="clear" w:color="auto" w:fill="auto"/>
            <w:noWrap/>
            <w:vAlign w:val="bottom"/>
            <w:hideMark/>
          </w:tcPr>
          <w:p w14:paraId="5F3F4F45"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1AD0F8E3"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5DE8E8BE"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B35976A"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1FEA7E7"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17C466D"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17A68098" w14:textId="77777777" w:rsidR="00D06EF0" w:rsidRPr="00D06EF0" w:rsidRDefault="00D06EF0" w:rsidP="00D06EF0">
            <w:pPr>
              <w:jc w:val="right"/>
              <w:rPr>
                <w:sz w:val="20"/>
                <w:lang w:eastAsia="en-GB"/>
              </w:rPr>
            </w:pPr>
          </w:p>
        </w:tc>
      </w:tr>
      <w:tr w:rsidR="00D06EF0" w:rsidRPr="00D06EF0" w14:paraId="03DE45EB" w14:textId="77777777" w:rsidTr="00D06EF0">
        <w:trPr>
          <w:trHeight w:val="240"/>
        </w:trPr>
        <w:tc>
          <w:tcPr>
            <w:tcW w:w="2011" w:type="dxa"/>
            <w:tcBorders>
              <w:top w:val="nil"/>
              <w:left w:val="nil"/>
              <w:bottom w:val="nil"/>
              <w:right w:val="nil"/>
            </w:tcBorders>
            <w:shd w:val="clear" w:color="auto" w:fill="auto"/>
            <w:noWrap/>
            <w:vAlign w:val="bottom"/>
            <w:hideMark/>
          </w:tcPr>
          <w:p w14:paraId="388CA569"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6B26CD6"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First Sentier</w:t>
            </w:r>
          </w:p>
        </w:tc>
        <w:tc>
          <w:tcPr>
            <w:tcW w:w="1156" w:type="dxa"/>
            <w:tcBorders>
              <w:top w:val="nil"/>
              <w:left w:val="nil"/>
              <w:bottom w:val="nil"/>
              <w:right w:val="nil"/>
            </w:tcBorders>
            <w:shd w:val="clear" w:color="auto" w:fill="auto"/>
            <w:noWrap/>
            <w:vAlign w:val="bottom"/>
            <w:hideMark/>
          </w:tcPr>
          <w:p w14:paraId="0606105B"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73,822</w:t>
            </w:r>
          </w:p>
        </w:tc>
        <w:tc>
          <w:tcPr>
            <w:tcW w:w="1156" w:type="dxa"/>
            <w:tcBorders>
              <w:top w:val="nil"/>
              <w:left w:val="nil"/>
              <w:bottom w:val="nil"/>
              <w:right w:val="nil"/>
            </w:tcBorders>
            <w:shd w:val="clear" w:color="auto" w:fill="auto"/>
            <w:noWrap/>
            <w:vAlign w:val="bottom"/>
            <w:hideMark/>
          </w:tcPr>
          <w:p w14:paraId="31AE38E5"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03C967C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(9,789)</w:t>
            </w:r>
          </w:p>
        </w:tc>
        <w:tc>
          <w:tcPr>
            <w:tcW w:w="1156" w:type="dxa"/>
            <w:tcBorders>
              <w:top w:val="nil"/>
              <w:left w:val="nil"/>
              <w:bottom w:val="nil"/>
              <w:right w:val="nil"/>
            </w:tcBorders>
            <w:shd w:val="clear" w:color="auto" w:fill="auto"/>
            <w:noWrap/>
            <w:vAlign w:val="bottom"/>
            <w:hideMark/>
          </w:tcPr>
          <w:p w14:paraId="609E4AA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17,877</w:t>
            </w:r>
          </w:p>
        </w:tc>
        <w:tc>
          <w:tcPr>
            <w:tcW w:w="1156" w:type="dxa"/>
            <w:tcBorders>
              <w:top w:val="nil"/>
              <w:left w:val="nil"/>
              <w:bottom w:val="nil"/>
              <w:right w:val="nil"/>
            </w:tcBorders>
            <w:shd w:val="clear" w:color="auto" w:fill="auto"/>
            <w:noWrap/>
            <w:vAlign w:val="bottom"/>
            <w:hideMark/>
          </w:tcPr>
          <w:p w14:paraId="33A2C5F4"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81,910</w:t>
            </w:r>
          </w:p>
        </w:tc>
        <w:tc>
          <w:tcPr>
            <w:tcW w:w="747" w:type="dxa"/>
            <w:tcBorders>
              <w:top w:val="nil"/>
              <w:left w:val="nil"/>
              <w:bottom w:val="nil"/>
              <w:right w:val="nil"/>
            </w:tcBorders>
            <w:shd w:val="clear" w:color="auto" w:fill="auto"/>
            <w:hideMark/>
          </w:tcPr>
          <w:p w14:paraId="069100F4" w14:textId="77777777" w:rsidR="00D06EF0" w:rsidRPr="00D06EF0" w:rsidRDefault="00D06EF0" w:rsidP="00D06EF0">
            <w:pPr>
              <w:jc w:val="right"/>
              <w:rPr>
                <w:rFonts w:ascii="Arial" w:hAnsi="Arial" w:cs="Arial"/>
                <w:sz w:val="18"/>
                <w:szCs w:val="18"/>
                <w:lang w:eastAsia="en-GB"/>
              </w:rPr>
            </w:pPr>
          </w:p>
        </w:tc>
      </w:tr>
      <w:tr w:rsidR="00D06EF0" w:rsidRPr="00D06EF0" w14:paraId="5D9A8F6B" w14:textId="77777777" w:rsidTr="00D06EF0">
        <w:trPr>
          <w:trHeight w:val="240"/>
        </w:trPr>
        <w:tc>
          <w:tcPr>
            <w:tcW w:w="2011" w:type="dxa"/>
            <w:tcBorders>
              <w:top w:val="nil"/>
              <w:left w:val="nil"/>
              <w:bottom w:val="nil"/>
              <w:right w:val="nil"/>
            </w:tcBorders>
            <w:shd w:val="clear" w:color="auto" w:fill="auto"/>
            <w:noWrap/>
            <w:vAlign w:val="bottom"/>
            <w:hideMark/>
          </w:tcPr>
          <w:p w14:paraId="012D0178"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369E1BCE"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Blackrock GRP</w:t>
            </w:r>
          </w:p>
        </w:tc>
        <w:tc>
          <w:tcPr>
            <w:tcW w:w="1156" w:type="dxa"/>
            <w:tcBorders>
              <w:top w:val="nil"/>
              <w:left w:val="nil"/>
              <w:bottom w:val="nil"/>
              <w:right w:val="nil"/>
            </w:tcBorders>
            <w:shd w:val="clear" w:color="auto" w:fill="auto"/>
            <w:noWrap/>
            <w:vAlign w:val="bottom"/>
            <w:hideMark/>
          </w:tcPr>
          <w:p w14:paraId="6A9D850D"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1,843</w:t>
            </w:r>
          </w:p>
        </w:tc>
        <w:tc>
          <w:tcPr>
            <w:tcW w:w="1156" w:type="dxa"/>
            <w:tcBorders>
              <w:top w:val="nil"/>
              <w:left w:val="nil"/>
              <w:bottom w:val="nil"/>
              <w:right w:val="nil"/>
            </w:tcBorders>
            <w:shd w:val="clear" w:color="auto" w:fill="auto"/>
            <w:noWrap/>
            <w:vAlign w:val="bottom"/>
            <w:hideMark/>
          </w:tcPr>
          <w:p w14:paraId="3806398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3,146</w:t>
            </w:r>
          </w:p>
        </w:tc>
        <w:tc>
          <w:tcPr>
            <w:tcW w:w="1156" w:type="dxa"/>
            <w:tcBorders>
              <w:top w:val="nil"/>
              <w:left w:val="nil"/>
              <w:bottom w:val="nil"/>
              <w:right w:val="nil"/>
            </w:tcBorders>
            <w:shd w:val="clear" w:color="auto" w:fill="auto"/>
            <w:noWrap/>
            <w:vAlign w:val="bottom"/>
            <w:hideMark/>
          </w:tcPr>
          <w:p w14:paraId="61D91EB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(644)</w:t>
            </w:r>
          </w:p>
        </w:tc>
        <w:tc>
          <w:tcPr>
            <w:tcW w:w="1156" w:type="dxa"/>
            <w:tcBorders>
              <w:top w:val="nil"/>
              <w:left w:val="nil"/>
              <w:bottom w:val="nil"/>
              <w:right w:val="nil"/>
            </w:tcBorders>
            <w:shd w:val="clear" w:color="auto" w:fill="auto"/>
            <w:noWrap/>
            <w:vAlign w:val="bottom"/>
            <w:hideMark/>
          </w:tcPr>
          <w:p w14:paraId="617D5C2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358</w:t>
            </w:r>
          </w:p>
        </w:tc>
        <w:tc>
          <w:tcPr>
            <w:tcW w:w="1156" w:type="dxa"/>
            <w:tcBorders>
              <w:top w:val="nil"/>
              <w:left w:val="nil"/>
              <w:bottom w:val="nil"/>
              <w:right w:val="nil"/>
            </w:tcBorders>
            <w:shd w:val="clear" w:color="auto" w:fill="auto"/>
            <w:noWrap/>
            <w:vAlign w:val="bottom"/>
            <w:hideMark/>
          </w:tcPr>
          <w:p w14:paraId="21452B0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4,703</w:t>
            </w:r>
          </w:p>
        </w:tc>
        <w:tc>
          <w:tcPr>
            <w:tcW w:w="747" w:type="dxa"/>
            <w:tcBorders>
              <w:top w:val="nil"/>
              <w:left w:val="nil"/>
              <w:bottom w:val="nil"/>
              <w:right w:val="nil"/>
            </w:tcBorders>
            <w:shd w:val="clear" w:color="auto" w:fill="auto"/>
            <w:hideMark/>
          </w:tcPr>
          <w:p w14:paraId="75912DE5" w14:textId="77777777" w:rsidR="00D06EF0" w:rsidRPr="00D06EF0" w:rsidRDefault="00D06EF0" w:rsidP="00D06EF0">
            <w:pPr>
              <w:jc w:val="right"/>
              <w:rPr>
                <w:rFonts w:ascii="Arial" w:hAnsi="Arial" w:cs="Arial"/>
                <w:sz w:val="18"/>
                <w:szCs w:val="18"/>
                <w:lang w:eastAsia="en-GB"/>
              </w:rPr>
            </w:pPr>
          </w:p>
        </w:tc>
      </w:tr>
      <w:tr w:rsidR="00D06EF0" w:rsidRPr="00D06EF0" w14:paraId="01782AD9" w14:textId="77777777" w:rsidTr="00D06EF0">
        <w:trPr>
          <w:trHeight w:val="240"/>
        </w:trPr>
        <w:tc>
          <w:tcPr>
            <w:tcW w:w="2011" w:type="dxa"/>
            <w:tcBorders>
              <w:top w:val="nil"/>
              <w:left w:val="nil"/>
              <w:bottom w:val="nil"/>
              <w:right w:val="nil"/>
            </w:tcBorders>
            <w:shd w:val="clear" w:color="auto" w:fill="auto"/>
            <w:noWrap/>
            <w:vAlign w:val="bottom"/>
            <w:hideMark/>
          </w:tcPr>
          <w:p w14:paraId="0D7CE500"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B69DE69"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7786187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75,665</w:t>
            </w:r>
          </w:p>
        </w:tc>
        <w:tc>
          <w:tcPr>
            <w:tcW w:w="1156" w:type="dxa"/>
            <w:tcBorders>
              <w:top w:val="single" w:sz="4" w:space="0" w:color="auto"/>
              <w:left w:val="nil"/>
              <w:bottom w:val="single" w:sz="4" w:space="0" w:color="auto"/>
              <w:right w:val="nil"/>
            </w:tcBorders>
            <w:shd w:val="clear" w:color="auto" w:fill="auto"/>
            <w:noWrap/>
            <w:vAlign w:val="bottom"/>
            <w:hideMark/>
          </w:tcPr>
          <w:p w14:paraId="6E658184"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3,146</w:t>
            </w:r>
          </w:p>
        </w:tc>
        <w:tc>
          <w:tcPr>
            <w:tcW w:w="1156" w:type="dxa"/>
            <w:tcBorders>
              <w:top w:val="single" w:sz="4" w:space="0" w:color="auto"/>
              <w:left w:val="nil"/>
              <w:bottom w:val="single" w:sz="4" w:space="0" w:color="auto"/>
              <w:right w:val="nil"/>
            </w:tcBorders>
            <w:shd w:val="clear" w:color="auto" w:fill="auto"/>
            <w:noWrap/>
            <w:vAlign w:val="bottom"/>
            <w:hideMark/>
          </w:tcPr>
          <w:p w14:paraId="4726A18F"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(10,433)</w:t>
            </w:r>
          </w:p>
        </w:tc>
        <w:tc>
          <w:tcPr>
            <w:tcW w:w="1156" w:type="dxa"/>
            <w:tcBorders>
              <w:top w:val="single" w:sz="4" w:space="0" w:color="auto"/>
              <w:left w:val="nil"/>
              <w:bottom w:val="single" w:sz="4" w:space="0" w:color="auto"/>
              <w:right w:val="nil"/>
            </w:tcBorders>
            <w:shd w:val="clear" w:color="auto" w:fill="auto"/>
            <w:noWrap/>
            <w:vAlign w:val="bottom"/>
            <w:hideMark/>
          </w:tcPr>
          <w:p w14:paraId="3010C77D"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18,235</w:t>
            </w:r>
          </w:p>
        </w:tc>
        <w:tc>
          <w:tcPr>
            <w:tcW w:w="1156" w:type="dxa"/>
            <w:tcBorders>
              <w:top w:val="single" w:sz="4" w:space="0" w:color="auto"/>
              <w:left w:val="nil"/>
              <w:bottom w:val="single" w:sz="4" w:space="0" w:color="auto"/>
              <w:right w:val="nil"/>
            </w:tcBorders>
            <w:shd w:val="clear" w:color="auto" w:fill="auto"/>
            <w:noWrap/>
            <w:vAlign w:val="bottom"/>
            <w:hideMark/>
          </w:tcPr>
          <w:p w14:paraId="0EC1C66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86,613</w:t>
            </w:r>
          </w:p>
        </w:tc>
        <w:tc>
          <w:tcPr>
            <w:tcW w:w="747" w:type="dxa"/>
            <w:tcBorders>
              <w:top w:val="nil"/>
              <w:left w:val="nil"/>
              <w:bottom w:val="nil"/>
              <w:right w:val="nil"/>
            </w:tcBorders>
            <w:shd w:val="clear" w:color="auto" w:fill="auto"/>
            <w:hideMark/>
          </w:tcPr>
          <w:p w14:paraId="3AE5158A" w14:textId="77777777" w:rsidR="00D06EF0" w:rsidRPr="00D06EF0" w:rsidRDefault="00D06EF0" w:rsidP="00D06EF0">
            <w:pPr>
              <w:jc w:val="right"/>
              <w:rPr>
                <w:rFonts w:ascii="Arial" w:hAnsi="Arial" w:cs="Arial"/>
                <w:sz w:val="18"/>
                <w:szCs w:val="18"/>
                <w:lang w:eastAsia="en-GB"/>
              </w:rPr>
            </w:pPr>
          </w:p>
        </w:tc>
      </w:tr>
      <w:tr w:rsidR="00D06EF0" w:rsidRPr="00D06EF0" w14:paraId="1E6616D9" w14:textId="77777777" w:rsidTr="00D06EF0">
        <w:trPr>
          <w:trHeight w:val="240"/>
        </w:trPr>
        <w:tc>
          <w:tcPr>
            <w:tcW w:w="2011" w:type="dxa"/>
            <w:tcBorders>
              <w:top w:val="nil"/>
              <w:left w:val="nil"/>
              <w:bottom w:val="nil"/>
              <w:right w:val="nil"/>
            </w:tcBorders>
            <w:shd w:val="clear" w:color="auto" w:fill="auto"/>
            <w:noWrap/>
            <w:vAlign w:val="bottom"/>
            <w:hideMark/>
          </w:tcPr>
          <w:p w14:paraId="7A1086E4"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Private Debt</w:t>
            </w:r>
          </w:p>
        </w:tc>
        <w:tc>
          <w:tcPr>
            <w:tcW w:w="2422" w:type="dxa"/>
            <w:tcBorders>
              <w:top w:val="nil"/>
              <w:left w:val="nil"/>
              <w:bottom w:val="nil"/>
              <w:right w:val="nil"/>
            </w:tcBorders>
            <w:shd w:val="clear" w:color="auto" w:fill="auto"/>
            <w:noWrap/>
            <w:vAlign w:val="bottom"/>
            <w:hideMark/>
          </w:tcPr>
          <w:p w14:paraId="6713E4A5"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01377113"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46F9A54B"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246FB59"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825671E"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DF19F06"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796E7AB3" w14:textId="77777777" w:rsidR="00D06EF0" w:rsidRPr="00D06EF0" w:rsidRDefault="00D06EF0" w:rsidP="00D06EF0">
            <w:pPr>
              <w:jc w:val="right"/>
              <w:rPr>
                <w:sz w:val="20"/>
                <w:lang w:eastAsia="en-GB"/>
              </w:rPr>
            </w:pPr>
          </w:p>
        </w:tc>
      </w:tr>
      <w:tr w:rsidR="00D06EF0" w:rsidRPr="00D06EF0" w14:paraId="0868F4E1" w14:textId="77777777" w:rsidTr="00D06EF0">
        <w:trPr>
          <w:trHeight w:val="240"/>
        </w:trPr>
        <w:tc>
          <w:tcPr>
            <w:tcW w:w="2011" w:type="dxa"/>
            <w:tcBorders>
              <w:top w:val="nil"/>
              <w:left w:val="nil"/>
              <w:bottom w:val="nil"/>
              <w:right w:val="nil"/>
            </w:tcBorders>
            <w:shd w:val="clear" w:color="auto" w:fill="auto"/>
            <w:noWrap/>
            <w:vAlign w:val="bottom"/>
            <w:hideMark/>
          </w:tcPr>
          <w:p w14:paraId="4D873303"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56BCCC0F"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Alcentra</w:t>
            </w:r>
          </w:p>
        </w:tc>
        <w:tc>
          <w:tcPr>
            <w:tcW w:w="1156" w:type="dxa"/>
            <w:tcBorders>
              <w:top w:val="nil"/>
              <w:left w:val="nil"/>
              <w:bottom w:val="nil"/>
              <w:right w:val="nil"/>
            </w:tcBorders>
            <w:shd w:val="clear" w:color="auto" w:fill="auto"/>
            <w:noWrap/>
            <w:vAlign w:val="bottom"/>
            <w:hideMark/>
          </w:tcPr>
          <w:p w14:paraId="23ED50B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16,501</w:t>
            </w:r>
          </w:p>
        </w:tc>
        <w:tc>
          <w:tcPr>
            <w:tcW w:w="1156" w:type="dxa"/>
            <w:tcBorders>
              <w:top w:val="nil"/>
              <w:left w:val="nil"/>
              <w:bottom w:val="nil"/>
              <w:right w:val="nil"/>
            </w:tcBorders>
            <w:shd w:val="clear" w:color="auto" w:fill="auto"/>
            <w:noWrap/>
            <w:vAlign w:val="bottom"/>
            <w:hideMark/>
          </w:tcPr>
          <w:p w14:paraId="623E3A3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(119)</w:t>
            </w:r>
          </w:p>
        </w:tc>
        <w:tc>
          <w:tcPr>
            <w:tcW w:w="1156" w:type="dxa"/>
            <w:tcBorders>
              <w:top w:val="nil"/>
              <w:left w:val="nil"/>
              <w:bottom w:val="nil"/>
              <w:right w:val="nil"/>
            </w:tcBorders>
            <w:shd w:val="clear" w:color="auto" w:fill="auto"/>
            <w:noWrap/>
            <w:vAlign w:val="bottom"/>
            <w:hideMark/>
          </w:tcPr>
          <w:p w14:paraId="084C69F6"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(1,259)</w:t>
            </w:r>
          </w:p>
        </w:tc>
        <w:tc>
          <w:tcPr>
            <w:tcW w:w="1156" w:type="dxa"/>
            <w:tcBorders>
              <w:top w:val="nil"/>
              <w:left w:val="nil"/>
              <w:bottom w:val="nil"/>
              <w:right w:val="nil"/>
            </w:tcBorders>
            <w:shd w:val="clear" w:color="auto" w:fill="auto"/>
            <w:noWrap/>
            <w:vAlign w:val="bottom"/>
            <w:hideMark/>
          </w:tcPr>
          <w:p w14:paraId="7689C041"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761</w:t>
            </w:r>
          </w:p>
        </w:tc>
        <w:tc>
          <w:tcPr>
            <w:tcW w:w="1156" w:type="dxa"/>
            <w:tcBorders>
              <w:top w:val="nil"/>
              <w:left w:val="nil"/>
              <w:bottom w:val="nil"/>
              <w:right w:val="nil"/>
            </w:tcBorders>
            <w:shd w:val="clear" w:color="auto" w:fill="auto"/>
            <w:noWrap/>
            <w:vAlign w:val="bottom"/>
            <w:hideMark/>
          </w:tcPr>
          <w:p w14:paraId="1DA17F2B"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15,884</w:t>
            </w:r>
          </w:p>
        </w:tc>
        <w:tc>
          <w:tcPr>
            <w:tcW w:w="747" w:type="dxa"/>
            <w:tcBorders>
              <w:top w:val="nil"/>
              <w:left w:val="nil"/>
              <w:bottom w:val="nil"/>
              <w:right w:val="nil"/>
            </w:tcBorders>
            <w:shd w:val="clear" w:color="auto" w:fill="auto"/>
            <w:hideMark/>
          </w:tcPr>
          <w:p w14:paraId="57984A58" w14:textId="77777777" w:rsidR="00D06EF0" w:rsidRPr="00D06EF0" w:rsidRDefault="00D06EF0" w:rsidP="00D06EF0">
            <w:pPr>
              <w:jc w:val="right"/>
              <w:rPr>
                <w:rFonts w:ascii="Arial" w:hAnsi="Arial" w:cs="Arial"/>
                <w:sz w:val="18"/>
                <w:szCs w:val="18"/>
                <w:lang w:eastAsia="en-GB"/>
              </w:rPr>
            </w:pPr>
          </w:p>
        </w:tc>
      </w:tr>
      <w:tr w:rsidR="00D06EF0" w:rsidRPr="00D06EF0" w14:paraId="7393454C" w14:textId="77777777" w:rsidTr="00D06EF0">
        <w:trPr>
          <w:trHeight w:val="240"/>
        </w:trPr>
        <w:tc>
          <w:tcPr>
            <w:tcW w:w="2011" w:type="dxa"/>
            <w:tcBorders>
              <w:top w:val="nil"/>
              <w:left w:val="nil"/>
              <w:bottom w:val="nil"/>
              <w:right w:val="nil"/>
            </w:tcBorders>
            <w:shd w:val="clear" w:color="auto" w:fill="auto"/>
            <w:noWrap/>
            <w:vAlign w:val="bottom"/>
            <w:hideMark/>
          </w:tcPr>
          <w:p w14:paraId="3D870639"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006922D"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CVC</w:t>
            </w:r>
          </w:p>
        </w:tc>
        <w:tc>
          <w:tcPr>
            <w:tcW w:w="1156" w:type="dxa"/>
            <w:tcBorders>
              <w:top w:val="nil"/>
              <w:left w:val="nil"/>
              <w:bottom w:val="nil"/>
              <w:right w:val="nil"/>
            </w:tcBorders>
            <w:shd w:val="clear" w:color="auto" w:fill="auto"/>
            <w:noWrap/>
            <w:vAlign w:val="bottom"/>
            <w:hideMark/>
          </w:tcPr>
          <w:p w14:paraId="1722772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13,184</w:t>
            </w:r>
          </w:p>
        </w:tc>
        <w:tc>
          <w:tcPr>
            <w:tcW w:w="1156" w:type="dxa"/>
            <w:tcBorders>
              <w:top w:val="nil"/>
              <w:left w:val="nil"/>
              <w:bottom w:val="nil"/>
              <w:right w:val="nil"/>
            </w:tcBorders>
            <w:shd w:val="clear" w:color="auto" w:fill="auto"/>
            <w:noWrap/>
            <w:vAlign w:val="bottom"/>
            <w:hideMark/>
          </w:tcPr>
          <w:p w14:paraId="2042E759"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6,158</w:t>
            </w:r>
          </w:p>
        </w:tc>
        <w:tc>
          <w:tcPr>
            <w:tcW w:w="1156" w:type="dxa"/>
            <w:tcBorders>
              <w:top w:val="nil"/>
              <w:left w:val="nil"/>
              <w:bottom w:val="nil"/>
              <w:right w:val="nil"/>
            </w:tcBorders>
            <w:shd w:val="clear" w:color="auto" w:fill="auto"/>
            <w:noWrap/>
            <w:vAlign w:val="bottom"/>
            <w:hideMark/>
          </w:tcPr>
          <w:p w14:paraId="41B1F4FA"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(1,295)</w:t>
            </w:r>
          </w:p>
        </w:tc>
        <w:tc>
          <w:tcPr>
            <w:tcW w:w="1156" w:type="dxa"/>
            <w:tcBorders>
              <w:top w:val="nil"/>
              <w:left w:val="nil"/>
              <w:bottom w:val="nil"/>
              <w:right w:val="nil"/>
            </w:tcBorders>
            <w:shd w:val="clear" w:color="auto" w:fill="auto"/>
            <w:noWrap/>
            <w:vAlign w:val="bottom"/>
            <w:hideMark/>
          </w:tcPr>
          <w:p w14:paraId="630FF28F"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1,500</w:t>
            </w:r>
          </w:p>
        </w:tc>
        <w:tc>
          <w:tcPr>
            <w:tcW w:w="1156" w:type="dxa"/>
            <w:tcBorders>
              <w:top w:val="nil"/>
              <w:left w:val="nil"/>
              <w:bottom w:val="nil"/>
              <w:right w:val="nil"/>
            </w:tcBorders>
            <w:shd w:val="clear" w:color="auto" w:fill="auto"/>
            <w:noWrap/>
            <w:vAlign w:val="bottom"/>
            <w:hideMark/>
          </w:tcPr>
          <w:p w14:paraId="75D94CAF"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19,547</w:t>
            </w:r>
          </w:p>
        </w:tc>
        <w:tc>
          <w:tcPr>
            <w:tcW w:w="747" w:type="dxa"/>
            <w:tcBorders>
              <w:top w:val="nil"/>
              <w:left w:val="nil"/>
              <w:bottom w:val="nil"/>
              <w:right w:val="nil"/>
            </w:tcBorders>
            <w:shd w:val="clear" w:color="auto" w:fill="auto"/>
            <w:hideMark/>
          </w:tcPr>
          <w:p w14:paraId="2C5FD5A1" w14:textId="77777777" w:rsidR="00D06EF0" w:rsidRPr="00D06EF0" w:rsidRDefault="00D06EF0" w:rsidP="00D06EF0">
            <w:pPr>
              <w:jc w:val="right"/>
              <w:rPr>
                <w:rFonts w:ascii="Arial" w:hAnsi="Arial" w:cs="Arial"/>
                <w:sz w:val="18"/>
                <w:szCs w:val="18"/>
                <w:lang w:eastAsia="en-GB"/>
              </w:rPr>
            </w:pPr>
          </w:p>
        </w:tc>
      </w:tr>
      <w:tr w:rsidR="00D06EF0" w:rsidRPr="00D06EF0" w14:paraId="7A71FF6E" w14:textId="77777777" w:rsidTr="00D06EF0">
        <w:trPr>
          <w:trHeight w:val="240"/>
        </w:trPr>
        <w:tc>
          <w:tcPr>
            <w:tcW w:w="2011" w:type="dxa"/>
            <w:tcBorders>
              <w:top w:val="nil"/>
              <w:left w:val="nil"/>
              <w:bottom w:val="nil"/>
              <w:right w:val="nil"/>
            </w:tcBorders>
            <w:shd w:val="clear" w:color="auto" w:fill="auto"/>
            <w:noWrap/>
            <w:vAlign w:val="bottom"/>
            <w:hideMark/>
          </w:tcPr>
          <w:p w14:paraId="73D65D35"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1C2A9FA"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GSAM Broad Street</w:t>
            </w:r>
          </w:p>
        </w:tc>
        <w:tc>
          <w:tcPr>
            <w:tcW w:w="1156" w:type="dxa"/>
            <w:tcBorders>
              <w:top w:val="nil"/>
              <w:left w:val="nil"/>
              <w:bottom w:val="nil"/>
              <w:right w:val="nil"/>
            </w:tcBorders>
            <w:shd w:val="clear" w:color="auto" w:fill="auto"/>
            <w:noWrap/>
            <w:vAlign w:val="bottom"/>
            <w:hideMark/>
          </w:tcPr>
          <w:p w14:paraId="23FF88B4"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8,295</w:t>
            </w:r>
          </w:p>
        </w:tc>
        <w:tc>
          <w:tcPr>
            <w:tcW w:w="1156" w:type="dxa"/>
            <w:tcBorders>
              <w:top w:val="nil"/>
              <w:left w:val="nil"/>
              <w:bottom w:val="nil"/>
              <w:right w:val="nil"/>
            </w:tcBorders>
            <w:shd w:val="clear" w:color="auto" w:fill="auto"/>
            <w:noWrap/>
            <w:vAlign w:val="bottom"/>
            <w:hideMark/>
          </w:tcPr>
          <w:p w14:paraId="1D2C33AB"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10,276</w:t>
            </w:r>
          </w:p>
        </w:tc>
        <w:tc>
          <w:tcPr>
            <w:tcW w:w="1156" w:type="dxa"/>
            <w:tcBorders>
              <w:top w:val="nil"/>
              <w:left w:val="nil"/>
              <w:bottom w:val="nil"/>
              <w:right w:val="nil"/>
            </w:tcBorders>
            <w:shd w:val="clear" w:color="auto" w:fill="auto"/>
            <w:noWrap/>
            <w:vAlign w:val="bottom"/>
            <w:hideMark/>
          </w:tcPr>
          <w:p w14:paraId="43C6DC2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(546)</w:t>
            </w:r>
          </w:p>
        </w:tc>
        <w:tc>
          <w:tcPr>
            <w:tcW w:w="1156" w:type="dxa"/>
            <w:tcBorders>
              <w:top w:val="nil"/>
              <w:left w:val="nil"/>
              <w:bottom w:val="nil"/>
              <w:right w:val="nil"/>
            </w:tcBorders>
            <w:shd w:val="clear" w:color="auto" w:fill="auto"/>
            <w:noWrap/>
            <w:vAlign w:val="bottom"/>
            <w:hideMark/>
          </w:tcPr>
          <w:p w14:paraId="3EF94E8A"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2,792</w:t>
            </w:r>
          </w:p>
        </w:tc>
        <w:tc>
          <w:tcPr>
            <w:tcW w:w="1156" w:type="dxa"/>
            <w:tcBorders>
              <w:top w:val="nil"/>
              <w:left w:val="nil"/>
              <w:bottom w:val="nil"/>
              <w:right w:val="nil"/>
            </w:tcBorders>
            <w:shd w:val="clear" w:color="auto" w:fill="auto"/>
            <w:noWrap/>
            <w:vAlign w:val="bottom"/>
            <w:hideMark/>
          </w:tcPr>
          <w:p w14:paraId="7D46D3B4"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20,817</w:t>
            </w:r>
          </w:p>
        </w:tc>
        <w:tc>
          <w:tcPr>
            <w:tcW w:w="747" w:type="dxa"/>
            <w:tcBorders>
              <w:top w:val="nil"/>
              <w:left w:val="nil"/>
              <w:bottom w:val="nil"/>
              <w:right w:val="nil"/>
            </w:tcBorders>
            <w:shd w:val="clear" w:color="auto" w:fill="auto"/>
            <w:hideMark/>
          </w:tcPr>
          <w:p w14:paraId="21349CD9" w14:textId="77777777" w:rsidR="00D06EF0" w:rsidRPr="00D06EF0" w:rsidRDefault="00D06EF0" w:rsidP="00D06EF0">
            <w:pPr>
              <w:jc w:val="right"/>
              <w:rPr>
                <w:rFonts w:ascii="Arial" w:hAnsi="Arial" w:cs="Arial"/>
                <w:sz w:val="18"/>
                <w:szCs w:val="18"/>
                <w:lang w:eastAsia="en-GB"/>
              </w:rPr>
            </w:pPr>
          </w:p>
        </w:tc>
      </w:tr>
      <w:tr w:rsidR="00D06EF0" w:rsidRPr="00D06EF0" w14:paraId="1CECEB8F" w14:textId="77777777" w:rsidTr="00D06EF0">
        <w:trPr>
          <w:trHeight w:val="240"/>
        </w:trPr>
        <w:tc>
          <w:tcPr>
            <w:tcW w:w="2011" w:type="dxa"/>
            <w:tcBorders>
              <w:top w:val="nil"/>
              <w:left w:val="nil"/>
              <w:bottom w:val="nil"/>
              <w:right w:val="nil"/>
            </w:tcBorders>
            <w:shd w:val="clear" w:color="auto" w:fill="auto"/>
            <w:noWrap/>
            <w:vAlign w:val="bottom"/>
            <w:hideMark/>
          </w:tcPr>
          <w:p w14:paraId="02610D8F"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6051DE52"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3FCAD28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37,980</w:t>
            </w:r>
          </w:p>
        </w:tc>
        <w:tc>
          <w:tcPr>
            <w:tcW w:w="1156" w:type="dxa"/>
            <w:tcBorders>
              <w:top w:val="single" w:sz="4" w:space="0" w:color="auto"/>
              <w:left w:val="nil"/>
              <w:bottom w:val="single" w:sz="4" w:space="0" w:color="auto"/>
              <w:right w:val="nil"/>
            </w:tcBorders>
            <w:shd w:val="clear" w:color="auto" w:fill="auto"/>
            <w:noWrap/>
            <w:vAlign w:val="bottom"/>
            <w:hideMark/>
          </w:tcPr>
          <w:p w14:paraId="62FC1EC6"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16,315</w:t>
            </w:r>
          </w:p>
        </w:tc>
        <w:tc>
          <w:tcPr>
            <w:tcW w:w="1156" w:type="dxa"/>
            <w:tcBorders>
              <w:top w:val="single" w:sz="4" w:space="0" w:color="auto"/>
              <w:left w:val="nil"/>
              <w:bottom w:val="single" w:sz="4" w:space="0" w:color="auto"/>
              <w:right w:val="nil"/>
            </w:tcBorders>
            <w:shd w:val="clear" w:color="auto" w:fill="auto"/>
            <w:noWrap/>
            <w:vAlign w:val="bottom"/>
            <w:hideMark/>
          </w:tcPr>
          <w:p w14:paraId="7D356A91"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(3,100)</w:t>
            </w:r>
          </w:p>
        </w:tc>
        <w:tc>
          <w:tcPr>
            <w:tcW w:w="1156" w:type="dxa"/>
            <w:tcBorders>
              <w:top w:val="single" w:sz="4" w:space="0" w:color="auto"/>
              <w:left w:val="nil"/>
              <w:bottom w:val="single" w:sz="4" w:space="0" w:color="auto"/>
              <w:right w:val="nil"/>
            </w:tcBorders>
            <w:shd w:val="clear" w:color="auto" w:fill="auto"/>
            <w:noWrap/>
            <w:vAlign w:val="bottom"/>
            <w:hideMark/>
          </w:tcPr>
          <w:p w14:paraId="05463850"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5,053</w:t>
            </w:r>
          </w:p>
        </w:tc>
        <w:tc>
          <w:tcPr>
            <w:tcW w:w="1156" w:type="dxa"/>
            <w:tcBorders>
              <w:top w:val="single" w:sz="4" w:space="0" w:color="auto"/>
              <w:left w:val="nil"/>
              <w:bottom w:val="single" w:sz="4" w:space="0" w:color="auto"/>
              <w:right w:val="nil"/>
            </w:tcBorders>
            <w:shd w:val="clear" w:color="auto" w:fill="auto"/>
            <w:noWrap/>
            <w:vAlign w:val="bottom"/>
            <w:hideMark/>
          </w:tcPr>
          <w:p w14:paraId="71EAFD7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56,248</w:t>
            </w:r>
          </w:p>
        </w:tc>
        <w:tc>
          <w:tcPr>
            <w:tcW w:w="747" w:type="dxa"/>
            <w:tcBorders>
              <w:top w:val="nil"/>
              <w:left w:val="nil"/>
              <w:bottom w:val="nil"/>
              <w:right w:val="nil"/>
            </w:tcBorders>
            <w:shd w:val="clear" w:color="auto" w:fill="auto"/>
            <w:hideMark/>
          </w:tcPr>
          <w:p w14:paraId="5F09FAF1" w14:textId="77777777" w:rsidR="00D06EF0" w:rsidRPr="00D06EF0" w:rsidRDefault="00D06EF0" w:rsidP="00D06EF0">
            <w:pPr>
              <w:jc w:val="right"/>
              <w:rPr>
                <w:rFonts w:ascii="Arial" w:hAnsi="Arial" w:cs="Arial"/>
                <w:sz w:val="18"/>
                <w:szCs w:val="18"/>
                <w:lang w:eastAsia="en-GB"/>
              </w:rPr>
            </w:pPr>
          </w:p>
        </w:tc>
      </w:tr>
      <w:tr w:rsidR="00D06EF0" w:rsidRPr="00D06EF0" w14:paraId="41C3FA88" w14:textId="77777777" w:rsidTr="00D06EF0">
        <w:trPr>
          <w:trHeight w:val="240"/>
        </w:trPr>
        <w:tc>
          <w:tcPr>
            <w:tcW w:w="2011" w:type="dxa"/>
            <w:tcBorders>
              <w:top w:val="nil"/>
              <w:left w:val="nil"/>
              <w:bottom w:val="nil"/>
              <w:right w:val="nil"/>
            </w:tcBorders>
            <w:shd w:val="clear" w:color="auto" w:fill="auto"/>
            <w:noWrap/>
            <w:vAlign w:val="bottom"/>
            <w:hideMark/>
          </w:tcPr>
          <w:p w14:paraId="48159807"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7F761E87"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717E2703"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0FAB959B"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49703FF"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0811950"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3B4FD70"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716B7066" w14:textId="77777777" w:rsidR="00D06EF0" w:rsidRPr="00D06EF0" w:rsidRDefault="00D06EF0" w:rsidP="00D06EF0">
            <w:pPr>
              <w:jc w:val="right"/>
              <w:rPr>
                <w:sz w:val="20"/>
                <w:lang w:eastAsia="en-GB"/>
              </w:rPr>
            </w:pPr>
          </w:p>
        </w:tc>
      </w:tr>
      <w:tr w:rsidR="00D06EF0" w:rsidRPr="00D06EF0" w14:paraId="61BCCDFC" w14:textId="77777777" w:rsidTr="00D06EF0">
        <w:trPr>
          <w:trHeight w:val="240"/>
        </w:trPr>
        <w:tc>
          <w:tcPr>
            <w:tcW w:w="2011" w:type="dxa"/>
            <w:tcBorders>
              <w:top w:val="nil"/>
              <w:left w:val="nil"/>
              <w:bottom w:val="nil"/>
              <w:right w:val="nil"/>
            </w:tcBorders>
            <w:shd w:val="clear" w:color="auto" w:fill="auto"/>
            <w:noWrap/>
            <w:vAlign w:val="bottom"/>
            <w:hideMark/>
          </w:tcPr>
          <w:p w14:paraId="166F0874"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Residential Housing</w:t>
            </w:r>
          </w:p>
        </w:tc>
        <w:tc>
          <w:tcPr>
            <w:tcW w:w="2422" w:type="dxa"/>
            <w:tcBorders>
              <w:top w:val="nil"/>
              <w:left w:val="nil"/>
              <w:bottom w:val="nil"/>
              <w:right w:val="nil"/>
            </w:tcBorders>
            <w:shd w:val="clear" w:color="auto" w:fill="auto"/>
            <w:noWrap/>
            <w:vAlign w:val="bottom"/>
            <w:hideMark/>
          </w:tcPr>
          <w:p w14:paraId="3CA403D6"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BMO</w:t>
            </w:r>
          </w:p>
        </w:tc>
        <w:tc>
          <w:tcPr>
            <w:tcW w:w="1156" w:type="dxa"/>
            <w:tcBorders>
              <w:top w:val="nil"/>
              <w:left w:val="nil"/>
              <w:bottom w:val="nil"/>
              <w:right w:val="nil"/>
            </w:tcBorders>
            <w:shd w:val="clear" w:color="auto" w:fill="auto"/>
            <w:noWrap/>
            <w:vAlign w:val="bottom"/>
            <w:hideMark/>
          </w:tcPr>
          <w:p w14:paraId="7B33FD55"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148AA8DB"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267CA084"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1626C25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67F9798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747" w:type="dxa"/>
            <w:tcBorders>
              <w:top w:val="nil"/>
              <w:left w:val="nil"/>
              <w:bottom w:val="nil"/>
              <w:right w:val="nil"/>
            </w:tcBorders>
            <w:shd w:val="clear" w:color="auto" w:fill="auto"/>
            <w:hideMark/>
          </w:tcPr>
          <w:p w14:paraId="68B7797E" w14:textId="77777777" w:rsidR="00D06EF0" w:rsidRPr="00D06EF0" w:rsidRDefault="00D06EF0" w:rsidP="00D06EF0">
            <w:pPr>
              <w:jc w:val="right"/>
              <w:rPr>
                <w:rFonts w:ascii="Arial" w:hAnsi="Arial" w:cs="Arial"/>
                <w:sz w:val="18"/>
                <w:szCs w:val="18"/>
                <w:lang w:eastAsia="en-GB"/>
              </w:rPr>
            </w:pPr>
          </w:p>
        </w:tc>
      </w:tr>
      <w:tr w:rsidR="00D06EF0" w:rsidRPr="00D06EF0" w14:paraId="5A2DE3C5" w14:textId="77777777" w:rsidTr="00D06EF0">
        <w:trPr>
          <w:trHeight w:val="240"/>
        </w:trPr>
        <w:tc>
          <w:tcPr>
            <w:tcW w:w="2011" w:type="dxa"/>
            <w:tcBorders>
              <w:top w:val="nil"/>
              <w:left w:val="nil"/>
              <w:bottom w:val="nil"/>
              <w:right w:val="nil"/>
            </w:tcBorders>
            <w:shd w:val="clear" w:color="auto" w:fill="auto"/>
            <w:noWrap/>
            <w:vAlign w:val="bottom"/>
            <w:hideMark/>
          </w:tcPr>
          <w:p w14:paraId="23371603"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13544649"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Man Group</w:t>
            </w:r>
          </w:p>
        </w:tc>
        <w:tc>
          <w:tcPr>
            <w:tcW w:w="1156" w:type="dxa"/>
            <w:tcBorders>
              <w:top w:val="nil"/>
              <w:left w:val="nil"/>
              <w:bottom w:val="nil"/>
              <w:right w:val="nil"/>
            </w:tcBorders>
            <w:shd w:val="clear" w:color="auto" w:fill="auto"/>
            <w:noWrap/>
            <w:vAlign w:val="bottom"/>
            <w:hideMark/>
          </w:tcPr>
          <w:p w14:paraId="2319262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16D97286"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18,524</w:t>
            </w:r>
          </w:p>
        </w:tc>
        <w:tc>
          <w:tcPr>
            <w:tcW w:w="1156" w:type="dxa"/>
            <w:tcBorders>
              <w:top w:val="nil"/>
              <w:left w:val="nil"/>
              <w:bottom w:val="nil"/>
              <w:right w:val="nil"/>
            </w:tcBorders>
            <w:shd w:val="clear" w:color="auto" w:fill="auto"/>
            <w:noWrap/>
            <w:vAlign w:val="bottom"/>
            <w:hideMark/>
          </w:tcPr>
          <w:p w14:paraId="2F0B35A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(710)</w:t>
            </w:r>
          </w:p>
        </w:tc>
        <w:tc>
          <w:tcPr>
            <w:tcW w:w="1156" w:type="dxa"/>
            <w:tcBorders>
              <w:top w:val="nil"/>
              <w:left w:val="nil"/>
              <w:bottom w:val="nil"/>
              <w:right w:val="nil"/>
            </w:tcBorders>
            <w:shd w:val="clear" w:color="auto" w:fill="auto"/>
            <w:noWrap/>
            <w:vAlign w:val="bottom"/>
            <w:hideMark/>
          </w:tcPr>
          <w:p w14:paraId="5C171420"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378</w:t>
            </w:r>
          </w:p>
        </w:tc>
        <w:tc>
          <w:tcPr>
            <w:tcW w:w="1156" w:type="dxa"/>
            <w:tcBorders>
              <w:top w:val="nil"/>
              <w:left w:val="nil"/>
              <w:bottom w:val="nil"/>
              <w:right w:val="nil"/>
            </w:tcBorders>
            <w:shd w:val="clear" w:color="auto" w:fill="auto"/>
            <w:noWrap/>
            <w:vAlign w:val="bottom"/>
            <w:hideMark/>
          </w:tcPr>
          <w:p w14:paraId="7C6BE72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18,192</w:t>
            </w:r>
          </w:p>
        </w:tc>
        <w:tc>
          <w:tcPr>
            <w:tcW w:w="747" w:type="dxa"/>
            <w:tcBorders>
              <w:top w:val="nil"/>
              <w:left w:val="nil"/>
              <w:bottom w:val="nil"/>
              <w:right w:val="nil"/>
            </w:tcBorders>
            <w:shd w:val="clear" w:color="auto" w:fill="auto"/>
            <w:hideMark/>
          </w:tcPr>
          <w:p w14:paraId="528F2FE9" w14:textId="77777777" w:rsidR="00D06EF0" w:rsidRPr="00D06EF0" w:rsidRDefault="00D06EF0" w:rsidP="00D06EF0">
            <w:pPr>
              <w:jc w:val="right"/>
              <w:rPr>
                <w:rFonts w:ascii="Arial" w:hAnsi="Arial" w:cs="Arial"/>
                <w:sz w:val="18"/>
                <w:szCs w:val="18"/>
                <w:lang w:eastAsia="en-GB"/>
              </w:rPr>
            </w:pPr>
          </w:p>
        </w:tc>
      </w:tr>
      <w:tr w:rsidR="00D06EF0" w:rsidRPr="00D06EF0" w14:paraId="6936018F" w14:textId="77777777" w:rsidTr="00D06EF0">
        <w:trPr>
          <w:trHeight w:val="240"/>
        </w:trPr>
        <w:tc>
          <w:tcPr>
            <w:tcW w:w="2011" w:type="dxa"/>
            <w:tcBorders>
              <w:top w:val="nil"/>
              <w:left w:val="nil"/>
              <w:bottom w:val="nil"/>
              <w:right w:val="nil"/>
            </w:tcBorders>
            <w:shd w:val="clear" w:color="auto" w:fill="auto"/>
            <w:noWrap/>
            <w:vAlign w:val="bottom"/>
            <w:hideMark/>
          </w:tcPr>
          <w:p w14:paraId="2D87EC83"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52891F4D"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7182B246"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3DFE177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18,524</w:t>
            </w:r>
          </w:p>
        </w:tc>
        <w:tc>
          <w:tcPr>
            <w:tcW w:w="1156" w:type="dxa"/>
            <w:tcBorders>
              <w:top w:val="single" w:sz="4" w:space="0" w:color="auto"/>
              <w:left w:val="nil"/>
              <w:bottom w:val="single" w:sz="4" w:space="0" w:color="auto"/>
              <w:right w:val="nil"/>
            </w:tcBorders>
            <w:shd w:val="clear" w:color="auto" w:fill="auto"/>
            <w:noWrap/>
            <w:vAlign w:val="bottom"/>
            <w:hideMark/>
          </w:tcPr>
          <w:p w14:paraId="57D65F8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(710)</w:t>
            </w:r>
          </w:p>
        </w:tc>
        <w:tc>
          <w:tcPr>
            <w:tcW w:w="1156" w:type="dxa"/>
            <w:tcBorders>
              <w:top w:val="single" w:sz="4" w:space="0" w:color="auto"/>
              <w:left w:val="nil"/>
              <w:bottom w:val="single" w:sz="4" w:space="0" w:color="auto"/>
              <w:right w:val="nil"/>
            </w:tcBorders>
            <w:shd w:val="clear" w:color="auto" w:fill="auto"/>
            <w:noWrap/>
            <w:vAlign w:val="bottom"/>
            <w:hideMark/>
          </w:tcPr>
          <w:p w14:paraId="561BCC8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378</w:t>
            </w:r>
          </w:p>
        </w:tc>
        <w:tc>
          <w:tcPr>
            <w:tcW w:w="1156" w:type="dxa"/>
            <w:tcBorders>
              <w:top w:val="single" w:sz="4" w:space="0" w:color="auto"/>
              <w:left w:val="nil"/>
              <w:bottom w:val="single" w:sz="4" w:space="0" w:color="auto"/>
              <w:right w:val="nil"/>
            </w:tcBorders>
            <w:shd w:val="clear" w:color="auto" w:fill="auto"/>
            <w:noWrap/>
            <w:vAlign w:val="bottom"/>
            <w:hideMark/>
          </w:tcPr>
          <w:p w14:paraId="03834FDD"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18,192</w:t>
            </w:r>
          </w:p>
        </w:tc>
        <w:tc>
          <w:tcPr>
            <w:tcW w:w="747" w:type="dxa"/>
            <w:tcBorders>
              <w:top w:val="nil"/>
              <w:left w:val="nil"/>
              <w:bottom w:val="nil"/>
              <w:right w:val="nil"/>
            </w:tcBorders>
            <w:shd w:val="clear" w:color="auto" w:fill="auto"/>
            <w:hideMark/>
          </w:tcPr>
          <w:p w14:paraId="5F9B7074" w14:textId="77777777" w:rsidR="00D06EF0" w:rsidRPr="00D06EF0" w:rsidRDefault="00D06EF0" w:rsidP="00D06EF0">
            <w:pPr>
              <w:jc w:val="right"/>
              <w:rPr>
                <w:rFonts w:ascii="Arial" w:hAnsi="Arial" w:cs="Arial"/>
                <w:sz w:val="18"/>
                <w:szCs w:val="18"/>
                <w:lang w:eastAsia="en-GB"/>
              </w:rPr>
            </w:pPr>
          </w:p>
        </w:tc>
      </w:tr>
      <w:tr w:rsidR="00D06EF0" w:rsidRPr="00D06EF0" w14:paraId="4F0C4A4D" w14:textId="77777777" w:rsidTr="00D06EF0">
        <w:trPr>
          <w:trHeight w:val="240"/>
        </w:trPr>
        <w:tc>
          <w:tcPr>
            <w:tcW w:w="2011" w:type="dxa"/>
            <w:tcBorders>
              <w:top w:val="nil"/>
              <w:left w:val="nil"/>
              <w:bottom w:val="nil"/>
              <w:right w:val="nil"/>
            </w:tcBorders>
            <w:shd w:val="clear" w:color="auto" w:fill="auto"/>
            <w:noWrap/>
            <w:vAlign w:val="bottom"/>
            <w:hideMark/>
          </w:tcPr>
          <w:p w14:paraId="57E6A89C"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46DF4475"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7E5229E5"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311E3DE3"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0390581"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5695101C"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F97F1E4"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73278AFF" w14:textId="77777777" w:rsidR="00D06EF0" w:rsidRPr="00D06EF0" w:rsidRDefault="00D06EF0" w:rsidP="00D06EF0">
            <w:pPr>
              <w:jc w:val="right"/>
              <w:rPr>
                <w:sz w:val="20"/>
                <w:lang w:eastAsia="en-GB"/>
              </w:rPr>
            </w:pPr>
          </w:p>
        </w:tc>
      </w:tr>
      <w:tr w:rsidR="00D06EF0" w:rsidRPr="00D06EF0" w14:paraId="21949222" w14:textId="77777777" w:rsidTr="00D06EF0">
        <w:trPr>
          <w:trHeight w:val="240"/>
        </w:trPr>
        <w:tc>
          <w:tcPr>
            <w:tcW w:w="2011" w:type="dxa"/>
            <w:tcBorders>
              <w:top w:val="nil"/>
              <w:left w:val="nil"/>
              <w:bottom w:val="nil"/>
              <w:right w:val="nil"/>
            </w:tcBorders>
            <w:shd w:val="clear" w:color="auto" w:fill="auto"/>
            <w:noWrap/>
            <w:vAlign w:val="bottom"/>
            <w:hideMark/>
          </w:tcPr>
          <w:p w14:paraId="258B5AF2"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Timberland &amp; Farmland</w:t>
            </w:r>
          </w:p>
        </w:tc>
        <w:tc>
          <w:tcPr>
            <w:tcW w:w="2422" w:type="dxa"/>
            <w:tcBorders>
              <w:top w:val="nil"/>
              <w:left w:val="nil"/>
              <w:bottom w:val="nil"/>
              <w:right w:val="nil"/>
            </w:tcBorders>
            <w:shd w:val="clear" w:color="auto" w:fill="auto"/>
            <w:noWrap/>
            <w:vAlign w:val="bottom"/>
            <w:hideMark/>
          </w:tcPr>
          <w:p w14:paraId="6E2CA9C3"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Manulife</w:t>
            </w:r>
          </w:p>
        </w:tc>
        <w:tc>
          <w:tcPr>
            <w:tcW w:w="1156" w:type="dxa"/>
            <w:tcBorders>
              <w:top w:val="nil"/>
              <w:left w:val="nil"/>
              <w:bottom w:val="nil"/>
              <w:right w:val="nil"/>
            </w:tcBorders>
            <w:shd w:val="clear" w:color="auto" w:fill="auto"/>
            <w:noWrap/>
            <w:vAlign w:val="bottom"/>
            <w:hideMark/>
          </w:tcPr>
          <w:p w14:paraId="4279925B"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4CF071EB"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123</w:t>
            </w:r>
          </w:p>
        </w:tc>
        <w:tc>
          <w:tcPr>
            <w:tcW w:w="1156" w:type="dxa"/>
            <w:tcBorders>
              <w:top w:val="nil"/>
              <w:left w:val="nil"/>
              <w:bottom w:val="nil"/>
              <w:right w:val="nil"/>
            </w:tcBorders>
            <w:shd w:val="clear" w:color="auto" w:fill="auto"/>
            <w:noWrap/>
            <w:vAlign w:val="bottom"/>
            <w:hideMark/>
          </w:tcPr>
          <w:p w14:paraId="3F4F1B70"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w:t>
            </w:r>
          </w:p>
        </w:tc>
        <w:tc>
          <w:tcPr>
            <w:tcW w:w="1156" w:type="dxa"/>
            <w:tcBorders>
              <w:top w:val="nil"/>
              <w:left w:val="nil"/>
              <w:bottom w:val="nil"/>
              <w:right w:val="nil"/>
            </w:tcBorders>
            <w:shd w:val="clear" w:color="auto" w:fill="auto"/>
            <w:noWrap/>
            <w:vAlign w:val="bottom"/>
            <w:hideMark/>
          </w:tcPr>
          <w:p w14:paraId="58DC741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11</w:t>
            </w:r>
          </w:p>
        </w:tc>
        <w:tc>
          <w:tcPr>
            <w:tcW w:w="1156" w:type="dxa"/>
            <w:tcBorders>
              <w:top w:val="nil"/>
              <w:left w:val="nil"/>
              <w:bottom w:val="nil"/>
              <w:right w:val="nil"/>
            </w:tcBorders>
            <w:shd w:val="clear" w:color="auto" w:fill="auto"/>
            <w:noWrap/>
            <w:vAlign w:val="bottom"/>
            <w:hideMark/>
          </w:tcPr>
          <w:p w14:paraId="1C5DD55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133</w:t>
            </w:r>
          </w:p>
        </w:tc>
        <w:tc>
          <w:tcPr>
            <w:tcW w:w="747" w:type="dxa"/>
            <w:tcBorders>
              <w:top w:val="nil"/>
              <w:left w:val="nil"/>
              <w:bottom w:val="nil"/>
              <w:right w:val="nil"/>
            </w:tcBorders>
            <w:shd w:val="clear" w:color="auto" w:fill="auto"/>
            <w:hideMark/>
          </w:tcPr>
          <w:p w14:paraId="56CD6B27" w14:textId="77777777" w:rsidR="00D06EF0" w:rsidRPr="00D06EF0" w:rsidRDefault="00D06EF0" w:rsidP="00D06EF0">
            <w:pPr>
              <w:jc w:val="right"/>
              <w:rPr>
                <w:rFonts w:ascii="Arial" w:hAnsi="Arial" w:cs="Arial"/>
                <w:sz w:val="18"/>
                <w:szCs w:val="18"/>
                <w:lang w:eastAsia="en-GB"/>
              </w:rPr>
            </w:pPr>
          </w:p>
        </w:tc>
      </w:tr>
      <w:tr w:rsidR="00D06EF0" w:rsidRPr="00D06EF0" w14:paraId="52394DC8" w14:textId="77777777" w:rsidTr="00D06EF0">
        <w:trPr>
          <w:trHeight w:val="240"/>
        </w:trPr>
        <w:tc>
          <w:tcPr>
            <w:tcW w:w="2011" w:type="dxa"/>
            <w:tcBorders>
              <w:top w:val="nil"/>
              <w:left w:val="nil"/>
              <w:bottom w:val="nil"/>
              <w:right w:val="nil"/>
            </w:tcBorders>
            <w:shd w:val="clear" w:color="auto" w:fill="auto"/>
            <w:noWrap/>
            <w:vAlign w:val="bottom"/>
            <w:hideMark/>
          </w:tcPr>
          <w:p w14:paraId="5BB6E975"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132715CF"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5D7C53A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05A31DDF"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123</w:t>
            </w:r>
          </w:p>
        </w:tc>
        <w:tc>
          <w:tcPr>
            <w:tcW w:w="1156" w:type="dxa"/>
            <w:tcBorders>
              <w:top w:val="single" w:sz="4" w:space="0" w:color="auto"/>
              <w:left w:val="nil"/>
              <w:bottom w:val="single" w:sz="4" w:space="0" w:color="auto"/>
              <w:right w:val="nil"/>
            </w:tcBorders>
            <w:shd w:val="clear" w:color="auto" w:fill="auto"/>
            <w:noWrap/>
            <w:vAlign w:val="bottom"/>
            <w:hideMark/>
          </w:tcPr>
          <w:p w14:paraId="5DBD9774"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w:t>
            </w:r>
          </w:p>
        </w:tc>
        <w:tc>
          <w:tcPr>
            <w:tcW w:w="1156" w:type="dxa"/>
            <w:tcBorders>
              <w:top w:val="single" w:sz="4" w:space="0" w:color="auto"/>
              <w:left w:val="nil"/>
              <w:bottom w:val="single" w:sz="4" w:space="0" w:color="auto"/>
              <w:right w:val="nil"/>
            </w:tcBorders>
            <w:shd w:val="clear" w:color="auto" w:fill="auto"/>
            <w:noWrap/>
            <w:vAlign w:val="bottom"/>
            <w:hideMark/>
          </w:tcPr>
          <w:p w14:paraId="4D6813C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11</w:t>
            </w:r>
          </w:p>
        </w:tc>
        <w:tc>
          <w:tcPr>
            <w:tcW w:w="1156" w:type="dxa"/>
            <w:tcBorders>
              <w:top w:val="single" w:sz="4" w:space="0" w:color="auto"/>
              <w:left w:val="nil"/>
              <w:bottom w:val="single" w:sz="4" w:space="0" w:color="auto"/>
              <w:right w:val="nil"/>
            </w:tcBorders>
            <w:shd w:val="clear" w:color="auto" w:fill="auto"/>
            <w:noWrap/>
            <w:vAlign w:val="bottom"/>
            <w:hideMark/>
          </w:tcPr>
          <w:p w14:paraId="2CCAD26B"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133</w:t>
            </w:r>
          </w:p>
        </w:tc>
        <w:tc>
          <w:tcPr>
            <w:tcW w:w="747" w:type="dxa"/>
            <w:tcBorders>
              <w:top w:val="nil"/>
              <w:left w:val="nil"/>
              <w:bottom w:val="nil"/>
              <w:right w:val="nil"/>
            </w:tcBorders>
            <w:shd w:val="clear" w:color="auto" w:fill="auto"/>
            <w:hideMark/>
          </w:tcPr>
          <w:p w14:paraId="7BF71DA5" w14:textId="77777777" w:rsidR="00D06EF0" w:rsidRPr="00D06EF0" w:rsidRDefault="00D06EF0" w:rsidP="00D06EF0">
            <w:pPr>
              <w:jc w:val="right"/>
              <w:rPr>
                <w:rFonts w:ascii="Arial" w:hAnsi="Arial" w:cs="Arial"/>
                <w:sz w:val="18"/>
                <w:szCs w:val="18"/>
                <w:lang w:eastAsia="en-GB"/>
              </w:rPr>
            </w:pPr>
          </w:p>
        </w:tc>
      </w:tr>
      <w:tr w:rsidR="00D06EF0" w:rsidRPr="00D06EF0" w14:paraId="4B91670C" w14:textId="77777777" w:rsidTr="00D06EF0">
        <w:trPr>
          <w:trHeight w:val="240"/>
        </w:trPr>
        <w:tc>
          <w:tcPr>
            <w:tcW w:w="2011" w:type="dxa"/>
            <w:tcBorders>
              <w:top w:val="nil"/>
              <w:left w:val="nil"/>
              <w:bottom w:val="nil"/>
              <w:right w:val="nil"/>
            </w:tcBorders>
            <w:shd w:val="clear" w:color="auto" w:fill="auto"/>
            <w:noWrap/>
            <w:vAlign w:val="bottom"/>
            <w:hideMark/>
          </w:tcPr>
          <w:p w14:paraId="7B69E1D2"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28093245"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03DA5A03"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6ABBC981"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12E3E58"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61A7FB3"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1A1C5AD"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16295AE9" w14:textId="77777777" w:rsidR="00D06EF0" w:rsidRPr="00D06EF0" w:rsidRDefault="00D06EF0" w:rsidP="00D06EF0">
            <w:pPr>
              <w:jc w:val="right"/>
              <w:rPr>
                <w:sz w:val="20"/>
                <w:lang w:eastAsia="en-GB"/>
              </w:rPr>
            </w:pPr>
          </w:p>
        </w:tc>
      </w:tr>
      <w:tr w:rsidR="00D06EF0" w:rsidRPr="00D06EF0" w14:paraId="6112F86E" w14:textId="77777777" w:rsidTr="00D06EF0">
        <w:trPr>
          <w:trHeight w:val="240"/>
        </w:trPr>
        <w:tc>
          <w:tcPr>
            <w:tcW w:w="2011" w:type="dxa"/>
            <w:tcBorders>
              <w:top w:val="nil"/>
              <w:left w:val="nil"/>
              <w:bottom w:val="nil"/>
              <w:right w:val="nil"/>
            </w:tcBorders>
            <w:shd w:val="clear" w:color="auto" w:fill="auto"/>
            <w:noWrap/>
            <w:vAlign w:val="bottom"/>
            <w:hideMark/>
          </w:tcPr>
          <w:p w14:paraId="242B1F5D" w14:textId="77777777" w:rsidR="00D06EF0" w:rsidRDefault="00D06EF0" w:rsidP="00D06EF0">
            <w:pPr>
              <w:rPr>
                <w:rFonts w:ascii="Arial" w:hAnsi="Arial" w:cs="Arial"/>
                <w:b/>
                <w:bCs/>
                <w:sz w:val="18"/>
                <w:szCs w:val="18"/>
                <w:lang w:eastAsia="en-GB"/>
              </w:rPr>
            </w:pPr>
          </w:p>
          <w:p w14:paraId="255EEAC2"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lastRenderedPageBreak/>
              <w:t>Derivatives</w:t>
            </w:r>
          </w:p>
        </w:tc>
        <w:tc>
          <w:tcPr>
            <w:tcW w:w="2422" w:type="dxa"/>
            <w:tcBorders>
              <w:top w:val="nil"/>
              <w:left w:val="nil"/>
              <w:bottom w:val="nil"/>
              <w:right w:val="nil"/>
            </w:tcBorders>
            <w:shd w:val="clear" w:color="auto" w:fill="auto"/>
            <w:noWrap/>
            <w:vAlign w:val="bottom"/>
            <w:hideMark/>
          </w:tcPr>
          <w:p w14:paraId="4560E241"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30D49FEC"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6807DF13"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105BA8A"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3D2036C"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AD9FE0E"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27F4454A" w14:textId="77777777" w:rsidR="00D06EF0" w:rsidRPr="00D06EF0" w:rsidRDefault="00D06EF0" w:rsidP="00D06EF0">
            <w:pPr>
              <w:jc w:val="right"/>
              <w:rPr>
                <w:sz w:val="20"/>
                <w:lang w:eastAsia="en-GB"/>
              </w:rPr>
            </w:pPr>
          </w:p>
        </w:tc>
      </w:tr>
      <w:tr w:rsidR="00D06EF0" w:rsidRPr="00D06EF0" w14:paraId="0DA7F90F" w14:textId="77777777" w:rsidTr="00D06EF0">
        <w:trPr>
          <w:trHeight w:val="240"/>
        </w:trPr>
        <w:tc>
          <w:tcPr>
            <w:tcW w:w="2011" w:type="dxa"/>
            <w:tcBorders>
              <w:top w:val="nil"/>
              <w:left w:val="nil"/>
              <w:bottom w:val="nil"/>
              <w:right w:val="nil"/>
            </w:tcBorders>
            <w:shd w:val="clear" w:color="auto" w:fill="auto"/>
            <w:noWrap/>
            <w:vAlign w:val="bottom"/>
            <w:hideMark/>
          </w:tcPr>
          <w:p w14:paraId="2FD177EB"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11F231B0"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Russell</w:t>
            </w:r>
          </w:p>
        </w:tc>
        <w:tc>
          <w:tcPr>
            <w:tcW w:w="1156" w:type="dxa"/>
            <w:tcBorders>
              <w:top w:val="nil"/>
              <w:left w:val="nil"/>
              <w:bottom w:val="nil"/>
              <w:right w:val="nil"/>
            </w:tcBorders>
            <w:shd w:val="clear" w:color="auto" w:fill="auto"/>
            <w:noWrap/>
            <w:vAlign w:val="bottom"/>
            <w:hideMark/>
          </w:tcPr>
          <w:p w14:paraId="1368F31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2,637</w:t>
            </w:r>
          </w:p>
        </w:tc>
        <w:tc>
          <w:tcPr>
            <w:tcW w:w="1156" w:type="dxa"/>
            <w:tcBorders>
              <w:top w:val="nil"/>
              <w:left w:val="nil"/>
              <w:bottom w:val="nil"/>
              <w:right w:val="nil"/>
            </w:tcBorders>
            <w:shd w:val="clear" w:color="auto" w:fill="auto"/>
            <w:noWrap/>
            <w:vAlign w:val="bottom"/>
            <w:hideMark/>
          </w:tcPr>
          <w:p w14:paraId="3C41D3FA"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25,000</w:t>
            </w:r>
          </w:p>
        </w:tc>
        <w:tc>
          <w:tcPr>
            <w:tcW w:w="1156" w:type="dxa"/>
            <w:tcBorders>
              <w:top w:val="nil"/>
              <w:left w:val="nil"/>
              <w:bottom w:val="nil"/>
              <w:right w:val="nil"/>
            </w:tcBorders>
            <w:shd w:val="clear" w:color="auto" w:fill="auto"/>
            <w:noWrap/>
            <w:vAlign w:val="bottom"/>
            <w:hideMark/>
          </w:tcPr>
          <w:p w14:paraId="446E00E0"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4B247029"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(26,005)</w:t>
            </w:r>
          </w:p>
        </w:tc>
        <w:tc>
          <w:tcPr>
            <w:tcW w:w="1156" w:type="dxa"/>
            <w:tcBorders>
              <w:top w:val="nil"/>
              <w:left w:val="nil"/>
              <w:bottom w:val="nil"/>
              <w:right w:val="nil"/>
            </w:tcBorders>
            <w:shd w:val="clear" w:color="auto" w:fill="auto"/>
            <w:noWrap/>
            <w:vAlign w:val="bottom"/>
            <w:hideMark/>
          </w:tcPr>
          <w:p w14:paraId="4FEFA61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1,632</w:t>
            </w:r>
          </w:p>
        </w:tc>
        <w:tc>
          <w:tcPr>
            <w:tcW w:w="747" w:type="dxa"/>
            <w:tcBorders>
              <w:top w:val="nil"/>
              <w:left w:val="nil"/>
              <w:bottom w:val="nil"/>
              <w:right w:val="nil"/>
            </w:tcBorders>
            <w:shd w:val="clear" w:color="auto" w:fill="auto"/>
            <w:hideMark/>
          </w:tcPr>
          <w:p w14:paraId="37C4A2D8" w14:textId="77777777" w:rsidR="00D06EF0" w:rsidRPr="00D06EF0" w:rsidRDefault="00D06EF0" w:rsidP="00D06EF0">
            <w:pPr>
              <w:jc w:val="right"/>
              <w:rPr>
                <w:rFonts w:ascii="Arial" w:hAnsi="Arial" w:cs="Arial"/>
                <w:sz w:val="18"/>
                <w:szCs w:val="18"/>
                <w:lang w:eastAsia="en-GB"/>
              </w:rPr>
            </w:pPr>
          </w:p>
        </w:tc>
      </w:tr>
      <w:tr w:rsidR="00D06EF0" w:rsidRPr="00D06EF0" w14:paraId="040E9203" w14:textId="77777777" w:rsidTr="00D06EF0">
        <w:trPr>
          <w:trHeight w:val="240"/>
        </w:trPr>
        <w:tc>
          <w:tcPr>
            <w:tcW w:w="2011" w:type="dxa"/>
            <w:tcBorders>
              <w:top w:val="nil"/>
              <w:left w:val="nil"/>
              <w:bottom w:val="nil"/>
              <w:right w:val="nil"/>
            </w:tcBorders>
            <w:shd w:val="clear" w:color="auto" w:fill="auto"/>
            <w:noWrap/>
            <w:vAlign w:val="bottom"/>
            <w:hideMark/>
          </w:tcPr>
          <w:p w14:paraId="000A7DF5"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2D8EDAC0"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5C6ABAD0"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2,637</w:t>
            </w:r>
          </w:p>
        </w:tc>
        <w:tc>
          <w:tcPr>
            <w:tcW w:w="1156" w:type="dxa"/>
            <w:tcBorders>
              <w:top w:val="single" w:sz="4" w:space="0" w:color="auto"/>
              <w:left w:val="nil"/>
              <w:bottom w:val="single" w:sz="4" w:space="0" w:color="auto"/>
              <w:right w:val="nil"/>
            </w:tcBorders>
            <w:shd w:val="clear" w:color="auto" w:fill="auto"/>
            <w:noWrap/>
            <w:vAlign w:val="bottom"/>
            <w:hideMark/>
          </w:tcPr>
          <w:p w14:paraId="058D947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25,000</w:t>
            </w:r>
          </w:p>
        </w:tc>
        <w:tc>
          <w:tcPr>
            <w:tcW w:w="1156" w:type="dxa"/>
            <w:tcBorders>
              <w:top w:val="single" w:sz="4" w:space="0" w:color="auto"/>
              <w:left w:val="nil"/>
              <w:bottom w:val="single" w:sz="4" w:space="0" w:color="auto"/>
              <w:right w:val="nil"/>
            </w:tcBorders>
            <w:shd w:val="clear" w:color="auto" w:fill="auto"/>
            <w:noWrap/>
            <w:vAlign w:val="bottom"/>
            <w:hideMark/>
          </w:tcPr>
          <w:p w14:paraId="23860123"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66E6560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(26,005)</w:t>
            </w:r>
          </w:p>
        </w:tc>
        <w:tc>
          <w:tcPr>
            <w:tcW w:w="1156" w:type="dxa"/>
            <w:tcBorders>
              <w:top w:val="single" w:sz="4" w:space="0" w:color="auto"/>
              <w:left w:val="nil"/>
              <w:bottom w:val="single" w:sz="4" w:space="0" w:color="auto"/>
              <w:right w:val="nil"/>
            </w:tcBorders>
            <w:shd w:val="clear" w:color="auto" w:fill="auto"/>
            <w:noWrap/>
            <w:vAlign w:val="bottom"/>
            <w:hideMark/>
          </w:tcPr>
          <w:p w14:paraId="2D7E70B5"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1,632</w:t>
            </w:r>
          </w:p>
        </w:tc>
        <w:tc>
          <w:tcPr>
            <w:tcW w:w="747" w:type="dxa"/>
            <w:tcBorders>
              <w:top w:val="nil"/>
              <w:left w:val="nil"/>
              <w:bottom w:val="nil"/>
              <w:right w:val="nil"/>
            </w:tcBorders>
            <w:shd w:val="clear" w:color="auto" w:fill="auto"/>
            <w:noWrap/>
            <w:vAlign w:val="bottom"/>
            <w:hideMark/>
          </w:tcPr>
          <w:p w14:paraId="66B68B65" w14:textId="77777777" w:rsidR="00D06EF0" w:rsidRPr="00D06EF0" w:rsidRDefault="00D06EF0" w:rsidP="00D06EF0">
            <w:pPr>
              <w:jc w:val="right"/>
              <w:rPr>
                <w:rFonts w:ascii="Arial" w:hAnsi="Arial" w:cs="Arial"/>
                <w:sz w:val="18"/>
                <w:szCs w:val="18"/>
                <w:lang w:eastAsia="en-GB"/>
              </w:rPr>
            </w:pPr>
          </w:p>
        </w:tc>
      </w:tr>
      <w:tr w:rsidR="00D06EF0" w:rsidRPr="00D06EF0" w14:paraId="07135417"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3E043B48"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Cash funds</w:t>
            </w:r>
          </w:p>
        </w:tc>
        <w:tc>
          <w:tcPr>
            <w:tcW w:w="1156" w:type="dxa"/>
            <w:tcBorders>
              <w:top w:val="nil"/>
              <w:left w:val="nil"/>
              <w:bottom w:val="nil"/>
              <w:right w:val="nil"/>
            </w:tcBorders>
            <w:shd w:val="clear" w:color="auto" w:fill="auto"/>
            <w:noWrap/>
            <w:vAlign w:val="bottom"/>
            <w:hideMark/>
          </w:tcPr>
          <w:p w14:paraId="436309DB"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497DE216"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D57436D"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7C299D9"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F94C704"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29A3AC3C" w14:textId="77777777" w:rsidR="00D06EF0" w:rsidRPr="00D06EF0" w:rsidRDefault="00D06EF0" w:rsidP="00D06EF0">
            <w:pPr>
              <w:jc w:val="right"/>
              <w:rPr>
                <w:sz w:val="20"/>
                <w:lang w:eastAsia="en-GB"/>
              </w:rPr>
            </w:pPr>
          </w:p>
        </w:tc>
      </w:tr>
      <w:tr w:rsidR="00D06EF0" w:rsidRPr="00D06EF0" w14:paraId="109EBE1F" w14:textId="77777777" w:rsidTr="00D06EF0">
        <w:trPr>
          <w:trHeight w:val="240"/>
        </w:trPr>
        <w:tc>
          <w:tcPr>
            <w:tcW w:w="2011" w:type="dxa"/>
            <w:tcBorders>
              <w:top w:val="nil"/>
              <w:left w:val="nil"/>
              <w:bottom w:val="nil"/>
              <w:right w:val="nil"/>
            </w:tcBorders>
            <w:shd w:val="clear" w:color="auto" w:fill="auto"/>
            <w:noWrap/>
            <w:vAlign w:val="bottom"/>
            <w:hideMark/>
          </w:tcPr>
          <w:p w14:paraId="0B8DA51D"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54040A33"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Schroders</w:t>
            </w:r>
          </w:p>
        </w:tc>
        <w:tc>
          <w:tcPr>
            <w:tcW w:w="1156" w:type="dxa"/>
            <w:tcBorders>
              <w:top w:val="nil"/>
              <w:left w:val="nil"/>
              <w:bottom w:val="nil"/>
              <w:right w:val="nil"/>
            </w:tcBorders>
            <w:shd w:val="clear" w:color="auto" w:fill="auto"/>
            <w:noWrap/>
            <w:vAlign w:val="bottom"/>
            <w:hideMark/>
          </w:tcPr>
          <w:p w14:paraId="3A081700"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4,330</w:t>
            </w:r>
          </w:p>
        </w:tc>
        <w:tc>
          <w:tcPr>
            <w:tcW w:w="1156" w:type="dxa"/>
            <w:tcBorders>
              <w:top w:val="nil"/>
              <w:left w:val="nil"/>
              <w:bottom w:val="nil"/>
              <w:right w:val="nil"/>
            </w:tcBorders>
            <w:shd w:val="clear" w:color="auto" w:fill="auto"/>
            <w:noWrap/>
            <w:vAlign w:val="bottom"/>
            <w:hideMark/>
          </w:tcPr>
          <w:p w14:paraId="636737FC"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09DBA859"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(4,330)</w:t>
            </w:r>
          </w:p>
        </w:tc>
        <w:tc>
          <w:tcPr>
            <w:tcW w:w="1156" w:type="dxa"/>
            <w:tcBorders>
              <w:top w:val="nil"/>
              <w:left w:val="nil"/>
              <w:bottom w:val="nil"/>
              <w:right w:val="nil"/>
            </w:tcBorders>
            <w:shd w:val="clear" w:color="auto" w:fill="auto"/>
            <w:noWrap/>
            <w:vAlign w:val="bottom"/>
            <w:hideMark/>
          </w:tcPr>
          <w:p w14:paraId="4AD62417"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14336452"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747" w:type="dxa"/>
            <w:tcBorders>
              <w:top w:val="nil"/>
              <w:left w:val="nil"/>
              <w:bottom w:val="nil"/>
              <w:right w:val="nil"/>
            </w:tcBorders>
            <w:shd w:val="clear" w:color="auto" w:fill="auto"/>
            <w:hideMark/>
          </w:tcPr>
          <w:p w14:paraId="129C48BA" w14:textId="77777777" w:rsidR="00D06EF0" w:rsidRPr="00D06EF0" w:rsidRDefault="00D06EF0" w:rsidP="00D06EF0">
            <w:pPr>
              <w:jc w:val="right"/>
              <w:rPr>
                <w:rFonts w:ascii="Arial" w:hAnsi="Arial" w:cs="Arial"/>
                <w:sz w:val="18"/>
                <w:szCs w:val="18"/>
                <w:lang w:eastAsia="en-GB"/>
              </w:rPr>
            </w:pPr>
          </w:p>
        </w:tc>
      </w:tr>
      <w:tr w:rsidR="00D06EF0" w:rsidRPr="00D06EF0" w14:paraId="47668907" w14:textId="77777777" w:rsidTr="00D06EF0">
        <w:trPr>
          <w:trHeight w:val="240"/>
        </w:trPr>
        <w:tc>
          <w:tcPr>
            <w:tcW w:w="2011" w:type="dxa"/>
            <w:tcBorders>
              <w:top w:val="nil"/>
              <w:left w:val="nil"/>
              <w:bottom w:val="nil"/>
              <w:right w:val="nil"/>
            </w:tcBorders>
            <w:shd w:val="clear" w:color="auto" w:fill="auto"/>
            <w:noWrap/>
            <w:vAlign w:val="bottom"/>
            <w:hideMark/>
          </w:tcPr>
          <w:p w14:paraId="34F067BB"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5C83AD1"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Fidante</w:t>
            </w:r>
          </w:p>
        </w:tc>
        <w:tc>
          <w:tcPr>
            <w:tcW w:w="1156" w:type="dxa"/>
            <w:tcBorders>
              <w:top w:val="nil"/>
              <w:left w:val="nil"/>
              <w:bottom w:val="nil"/>
              <w:right w:val="nil"/>
            </w:tcBorders>
            <w:shd w:val="clear" w:color="auto" w:fill="auto"/>
            <w:noWrap/>
            <w:vAlign w:val="bottom"/>
            <w:hideMark/>
          </w:tcPr>
          <w:p w14:paraId="6D851B25"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266F55A0"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1834A648"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36DBD2C0"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2A30EB3D"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747" w:type="dxa"/>
            <w:tcBorders>
              <w:top w:val="nil"/>
              <w:left w:val="nil"/>
              <w:bottom w:val="nil"/>
              <w:right w:val="nil"/>
            </w:tcBorders>
            <w:shd w:val="clear" w:color="auto" w:fill="auto"/>
            <w:hideMark/>
          </w:tcPr>
          <w:p w14:paraId="31BD54AF" w14:textId="77777777" w:rsidR="00D06EF0" w:rsidRPr="00D06EF0" w:rsidRDefault="00D06EF0" w:rsidP="00D06EF0">
            <w:pPr>
              <w:jc w:val="right"/>
              <w:rPr>
                <w:rFonts w:ascii="Arial" w:hAnsi="Arial" w:cs="Arial"/>
                <w:sz w:val="18"/>
                <w:szCs w:val="18"/>
                <w:lang w:eastAsia="en-GB"/>
              </w:rPr>
            </w:pPr>
          </w:p>
        </w:tc>
      </w:tr>
      <w:tr w:rsidR="00D06EF0" w:rsidRPr="00D06EF0" w14:paraId="3B51D828" w14:textId="77777777" w:rsidTr="00D06EF0">
        <w:trPr>
          <w:trHeight w:val="240"/>
        </w:trPr>
        <w:tc>
          <w:tcPr>
            <w:tcW w:w="2011" w:type="dxa"/>
            <w:tcBorders>
              <w:top w:val="nil"/>
              <w:left w:val="nil"/>
              <w:bottom w:val="nil"/>
              <w:right w:val="nil"/>
            </w:tcBorders>
            <w:shd w:val="clear" w:color="auto" w:fill="auto"/>
            <w:noWrap/>
            <w:vAlign w:val="bottom"/>
            <w:hideMark/>
          </w:tcPr>
          <w:p w14:paraId="43A3A803"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78714617" w14:textId="77777777" w:rsidR="00D06EF0" w:rsidRPr="00D06EF0" w:rsidRDefault="00D06EF0" w:rsidP="00D06EF0">
            <w:pPr>
              <w:rPr>
                <w:rFonts w:ascii="Arial" w:hAnsi="Arial" w:cs="Arial"/>
                <w:sz w:val="18"/>
                <w:szCs w:val="18"/>
                <w:lang w:eastAsia="en-GB"/>
              </w:rPr>
            </w:pPr>
            <w:r w:rsidRPr="00D06EF0">
              <w:rPr>
                <w:rFonts w:ascii="Arial" w:hAnsi="Arial" w:cs="Arial"/>
                <w:sz w:val="18"/>
                <w:szCs w:val="18"/>
                <w:lang w:eastAsia="en-GB"/>
              </w:rPr>
              <w:t>T Rowe Price</w:t>
            </w:r>
          </w:p>
        </w:tc>
        <w:tc>
          <w:tcPr>
            <w:tcW w:w="1156" w:type="dxa"/>
            <w:tcBorders>
              <w:top w:val="nil"/>
              <w:left w:val="nil"/>
              <w:bottom w:val="nil"/>
              <w:right w:val="nil"/>
            </w:tcBorders>
            <w:shd w:val="clear" w:color="auto" w:fill="auto"/>
            <w:noWrap/>
            <w:vAlign w:val="bottom"/>
            <w:hideMark/>
          </w:tcPr>
          <w:p w14:paraId="2C9AD9B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4BA00B64"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55E1CC1A"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525FD3F1"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nil"/>
              <w:left w:val="nil"/>
              <w:bottom w:val="nil"/>
              <w:right w:val="nil"/>
            </w:tcBorders>
            <w:shd w:val="clear" w:color="auto" w:fill="auto"/>
            <w:noWrap/>
            <w:vAlign w:val="bottom"/>
            <w:hideMark/>
          </w:tcPr>
          <w:p w14:paraId="41529DD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747" w:type="dxa"/>
            <w:tcBorders>
              <w:top w:val="nil"/>
              <w:left w:val="nil"/>
              <w:bottom w:val="nil"/>
              <w:right w:val="nil"/>
            </w:tcBorders>
            <w:shd w:val="clear" w:color="auto" w:fill="auto"/>
            <w:hideMark/>
          </w:tcPr>
          <w:p w14:paraId="197F14E8" w14:textId="77777777" w:rsidR="00D06EF0" w:rsidRPr="00D06EF0" w:rsidRDefault="00D06EF0" w:rsidP="00D06EF0">
            <w:pPr>
              <w:jc w:val="right"/>
              <w:rPr>
                <w:rFonts w:ascii="Arial" w:hAnsi="Arial" w:cs="Arial"/>
                <w:sz w:val="18"/>
                <w:szCs w:val="18"/>
                <w:lang w:eastAsia="en-GB"/>
              </w:rPr>
            </w:pPr>
          </w:p>
        </w:tc>
      </w:tr>
      <w:tr w:rsidR="00D06EF0" w:rsidRPr="00D06EF0" w14:paraId="57BFEA95" w14:textId="77777777" w:rsidTr="00D06EF0">
        <w:trPr>
          <w:trHeight w:val="240"/>
        </w:trPr>
        <w:tc>
          <w:tcPr>
            <w:tcW w:w="2011" w:type="dxa"/>
            <w:tcBorders>
              <w:top w:val="nil"/>
              <w:left w:val="nil"/>
              <w:bottom w:val="nil"/>
              <w:right w:val="nil"/>
            </w:tcBorders>
            <w:shd w:val="clear" w:color="auto" w:fill="auto"/>
            <w:noWrap/>
            <w:vAlign w:val="bottom"/>
            <w:hideMark/>
          </w:tcPr>
          <w:p w14:paraId="4DDE4222"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629BF6C1"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1456333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4,330</w:t>
            </w:r>
          </w:p>
        </w:tc>
        <w:tc>
          <w:tcPr>
            <w:tcW w:w="1156" w:type="dxa"/>
            <w:tcBorders>
              <w:top w:val="single" w:sz="4" w:space="0" w:color="auto"/>
              <w:left w:val="nil"/>
              <w:bottom w:val="single" w:sz="4" w:space="0" w:color="auto"/>
              <w:right w:val="nil"/>
            </w:tcBorders>
            <w:shd w:val="clear" w:color="auto" w:fill="auto"/>
            <w:noWrap/>
            <w:vAlign w:val="bottom"/>
            <w:hideMark/>
          </w:tcPr>
          <w:p w14:paraId="49F87EE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5D2A4D25"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(4,330)</w:t>
            </w:r>
          </w:p>
        </w:tc>
        <w:tc>
          <w:tcPr>
            <w:tcW w:w="1156" w:type="dxa"/>
            <w:tcBorders>
              <w:top w:val="single" w:sz="4" w:space="0" w:color="auto"/>
              <w:left w:val="nil"/>
              <w:bottom w:val="single" w:sz="4" w:space="0" w:color="auto"/>
              <w:right w:val="nil"/>
            </w:tcBorders>
            <w:shd w:val="clear" w:color="auto" w:fill="auto"/>
            <w:noWrap/>
            <w:vAlign w:val="bottom"/>
            <w:hideMark/>
          </w:tcPr>
          <w:p w14:paraId="3ADE78BB"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03CA742E" w14:textId="77777777" w:rsidR="00D06EF0" w:rsidRPr="00D06EF0" w:rsidRDefault="00D06EF0" w:rsidP="00D06EF0">
            <w:pPr>
              <w:jc w:val="right"/>
              <w:rPr>
                <w:rFonts w:ascii="Arial" w:hAnsi="Arial" w:cs="Arial"/>
                <w:sz w:val="18"/>
                <w:szCs w:val="18"/>
                <w:lang w:eastAsia="en-GB"/>
              </w:rPr>
            </w:pPr>
            <w:r w:rsidRPr="00D06EF0">
              <w:rPr>
                <w:rFonts w:ascii="Arial" w:hAnsi="Arial" w:cs="Arial"/>
                <w:sz w:val="18"/>
                <w:szCs w:val="18"/>
                <w:lang w:eastAsia="en-GB"/>
              </w:rPr>
              <w:t>0</w:t>
            </w:r>
          </w:p>
        </w:tc>
        <w:tc>
          <w:tcPr>
            <w:tcW w:w="747" w:type="dxa"/>
            <w:tcBorders>
              <w:top w:val="nil"/>
              <w:left w:val="nil"/>
              <w:bottom w:val="nil"/>
              <w:right w:val="nil"/>
            </w:tcBorders>
            <w:shd w:val="clear" w:color="auto" w:fill="auto"/>
            <w:hideMark/>
          </w:tcPr>
          <w:p w14:paraId="08D7BED0" w14:textId="77777777" w:rsidR="00D06EF0" w:rsidRPr="00D06EF0" w:rsidRDefault="00D06EF0" w:rsidP="00D06EF0">
            <w:pPr>
              <w:jc w:val="right"/>
              <w:rPr>
                <w:rFonts w:ascii="Arial" w:hAnsi="Arial" w:cs="Arial"/>
                <w:sz w:val="18"/>
                <w:szCs w:val="18"/>
                <w:lang w:eastAsia="en-GB"/>
              </w:rPr>
            </w:pPr>
          </w:p>
        </w:tc>
      </w:tr>
      <w:tr w:rsidR="00D06EF0" w:rsidRPr="00D06EF0" w14:paraId="2BA74619" w14:textId="77777777" w:rsidTr="00D06EF0">
        <w:trPr>
          <w:trHeight w:val="240"/>
        </w:trPr>
        <w:tc>
          <w:tcPr>
            <w:tcW w:w="2011" w:type="dxa"/>
            <w:tcBorders>
              <w:top w:val="nil"/>
              <w:left w:val="nil"/>
              <w:bottom w:val="nil"/>
              <w:right w:val="nil"/>
            </w:tcBorders>
            <w:shd w:val="clear" w:color="auto" w:fill="auto"/>
            <w:noWrap/>
            <w:vAlign w:val="bottom"/>
            <w:hideMark/>
          </w:tcPr>
          <w:p w14:paraId="789738BB"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5C685FA2"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2B29B3E0"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79E67309"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8D8183C"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52661EE"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C87C0C7"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1EFB598D" w14:textId="77777777" w:rsidR="00D06EF0" w:rsidRPr="00D06EF0" w:rsidRDefault="00D06EF0" w:rsidP="00D06EF0">
            <w:pPr>
              <w:jc w:val="right"/>
              <w:rPr>
                <w:sz w:val="20"/>
                <w:lang w:eastAsia="en-GB"/>
              </w:rPr>
            </w:pPr>
          </w:p>
        </w:tc>
      </w:tr>
      <w:tr w:rsidR="00D06EF0" w:rsidRPr="00D06EF0" w14:paraId="4F1A5FFF" w14:textId="77777777" w:rsidTr="00D06EF0">
        <w:trPr>
          <w:trHeight w:val="240"/>
        </w:trPr>
        <w:tc>
          <w:tcPr>
            <w:tcW w:w="2011" w:type="dxa"/>
            <w:tcBorders>
              <w:top w:val="nil"/>
              <w:left w:val="nil"/>
              <w:bottom w:val="nil"/>
              <w:right w:val="nil"/>
            </w:tcBorders>
            <w:shd w:val="clear" w:color="auto" w:fill="auto"/>
            <w:noWrap/>
            <w:vAlign w:val="bottom"/>
            <w:hideMark/>
          </w:tcPr>
          <w:p w14:paraId="4B38F8AF"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63A935FA"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6D88A0F1"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2D9337AF"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3CC116A"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6C4C502"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5C6ABBB"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31B6DBC8" w14:textId="77777777" w:rsidR="00D06EF0" w:rsidRPr="00D06EF0" w:rsidRDefault="00D06EF0" w:rsidP="00D06EF0">
            <w:pPr>
              <w:jc w:val="right"/>
              <w:rPr>
                <w:sz w:val="20"/>
                <w:lang w:eastAsia="en-GB"/>
              </w:rPr>
            </w:pPr>
          </w:p>
        </w:tc>
      </w:tr>
      <w:tr w:rsidR="00D06EF0" w:rsidRPr="00D06EF0" w14:paraId="416C5E2E" w14:textId="77777777" w:rsidTr="00D06EF0">
        <w:trPr>
          <w:trHeight w:val="240"/>
        </w:trPr>
        <w:tc>
          <w:tcPr>
            <w:tcW w:w="2011" w:type="dxa"/>
            <w:tcBorders>
              <w:top w:val="nil"/>
              <w:left w:val="nil"/>
              <w:bottom w:val="nil"/>
              <w:right w:val="nil"/>
            </w:tcBorders>
            <w:shd w:val="clear" w:color="auto" w:fill="auto"/>
            <w:noWrap/>
            <w:vAlign w:val="bottom"/>
            <w:hideMark/>
          </w:tcPr>
          <w:p w14:paraId="41E19965"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SUB TOTAL</w:t>
            </w:r>
          </w:p>
        </w:tc>
        <w:tc>
          <w:tcPr>
            <w:tcW w:w="2422" w:type="dxa"/>
            <w:tcBorders>
              <w:top w:val="nil"/>
              <w:left w:val="nil"/>
              <w:bottom w:val="nil"/>
              <w:right w:val="nil"/>
            </w:tcBorders>
            <w:shd w:val="clear" w:color="auto" w:fill="auto"/>
            <w:noWrap/>
            <w:vAlign w:val="bottom"/>
            <w:hideMark/>
          </w:tcPr>
          <w:p w14:paraId="06C696C7" w14:textId="77777777" w:rsidR="00D06EF0" w:rsidRPr="00D06EF0" w:rsidRDefault="00D06EF0" w:rsidP="00D06EF0">
            <w:pPr>
              <w:rPr>
                <w:rFonts w:ascii="Arial" w:hAnsi="Arial" w:cs="Arial"/>
                <w:b/>
                <w:bCs/>
                <w:sz w:val="18"/>
                <w:szCs w:val="18"/>
                <w:lang w:eastAsia="en-GB"/>
              </w:rPr>
            </w:pPr>
          </w:p>
        </w:tc>
        <w:tc>
          <w:tcPr>
            <w:tcW w:w="1156" w:type="dxa"/>
            <w:tcBorders>
              <w:top w:val="single" w:sz="8" w:space="0" w:color="auto"/>
              <w:left w:val="nil"/>
              <w:bottom w:val="double" w:sz="6" w:space="0" w:color="auto"/>
              <w:right w:val="nil"/>
            </w:tcBorders>
            <w:shd w:val="clear" w:color="auto" w:fill="auto"/>
            <w:noWrap/>
            <w:vAlign w:val="bottom"/>
            <w:hideMark/>
          </w:tcPr>
          <w:p w14:paraId="0B931707" w14:textId="77777777" w:rsidR="00D06EF0" w:rsidRPr="00D06EF0" w:rsidRDefault="00D06EF0" w:rsidP="00D06EF0">
            <w:pPr>
              <w:jc w:val="right"/>
              <w:rPr>
                <w:rFonts w:ascii="Arial" w:hAnsi="Arial" w:cs="Arial"/>
                <w:b/>
                <w:bCs/>
                <w:sz w:val="18"/>
                <w:szCs w:val="18"/>
                <w:lang w:eastAsia="en-GB"/>
              </w:rPr>
            </w:pPr>
            <w:r w:rsidRPr="00D06EF0">
              <w:rPr>
                <w:rFonts w:ascii="Arial" w:hAnsi="Arial" w:cs="Arial"/>
                <w:b/>
                <w:bCs/>
                <w:sz w:val="18"/>
                <w:szCs w:val="18"/>
                <w:lang w:eastAsia="en-GB"/>
              </w:rPr>
              <w:t>2,569,587</w:t>
            </w:r>
          </w:p>
        </w:tc>
        <w:tc>
          <w:tcPr>
            <w:tcW w:w="1156" w:type="dxa"/>
            <w:tcBorders>
              <w:top w:val="single" w:sz="8" w:space="0" w:color="auto"/>
              <w:left w:val="nil"/>
              <w:bottom w:val="double" w:sz="6" w:space="0" w:color="auto"/>
              <w:right w:val="nil"/>
            </w:tcBorders>
            <w:shd w:val="clear" w:color="auto" w:fill="auto"/>
            <w:noWrap/>
            <w:vAlign w:val="bottom"/>
            <w:hideMark/>
          </w:tcPr>
          <w:p w14:paraId="24E72D01" w14:textId="77777777" w:rsidR="00D06EF0" w:rsidRPr="00D06EF0" w:rsidRDefault="00D06EF0" w:rsidP="00D06EF0">
            <w:pPr>
              <w:jc w:val="right"/>
              <w:rPr>
                <w:rFonts w:ascii="Arial" w:hAnsi="Arial" w:cs="Arial"/>
                <w:b/>
                <w:bCs/>
                <w:sz w:val="18"/>
                <w:szCs w:val="18"/>
                <w:lang w:eastAsia="en-GB"/>
              </w:rPr>
            </w:pPr>
            <w:r w:rsidRPr="00D06EF0">
              <w:rPr>
                <w:rFonts w:ascii="Arial" w:hAnsi="Arial" w:cs="Arial"/>
                <w:b/>
                <w:bCs/>
                <w:sz w:val="18"/>
                <w:szCs w:val="18"/>
                <w:lang w:eastAsia="en-GB"/>
              </w:rPr>
              <w:t>142,959</w:t>
            </w:r>
          </w:p>
        </w:tc>
        <w:tc>
          <w:tcPr>
            <w:tcW w:w="1156" w:type="dxa"/>
            <w:tcBorders>
              <w:top w:val="single" w:sz="8" w:space="0" w:color="auto"/>
              <w:left w:val="nil"/>
              <w:bottom w:val="double" w:sz="6" w:space="0" w:color="auto"/>
              <w:right w:val="nil"/>
            </w:tcBorders>
            <w:shd w:val="clear" w:color="auto" w:fill="auto"/>
            <w:noWrap/>
            <w:vAlign w:val="bottom"/>
            <w:hideMark/>
          </w:tcPr>
          <w:p w14:paraId="53B64173" w14:textId="77777777" w:rsidR="00D06EF0" w:rsidRPr="00D06EF0" w:rsidRDefault="00D06EF0" w:rsidP="00D06EF0">
            <w:pPr>
              <w:jc w:val="right"/>
              <w:rPr>
                <w:rFonts w:ascii="Arial" w:hAnsi="Arial" w:cs="Arial"/>
                <w:b/>
                <w:bCs/>
                <w:sz w:val="18"/>
                <w:szCs w:val="18"/>
                <w:lang w:eastAsia="en-GB"/>
              </w:rPr>
            </w:pPr>
            <w:r w:rsidRPr="00D06EF0">
              <w:rPr>
                <w:rFonts w:ascii="Arial" w:hAnsi="Arial" w:cs="Arial"/>
                <w:b/>
                <w:bCs/>
                <w:sz w:val="18"/>
                <w:szCs w:val="18"/>
                <w:lang w:eastAsia="en-GB"/>
              </w:rPr>
              <w:t>(100,919)</w:t>
            </w:r>
          </w:p>
        </w:tc>
        <w:tc>
          <w:tcPr>
            <w:tcW w:w="1156" w:type="dxa"/>
            <w:tcBorders>
              <w:top w:val="single" w:sz="8" w:space="0" w:color="auto"/>
              <w:left w:val="nil"/>
              <w:bottom w:val="double" w:sz="6" w:space="0" w:color="auto"/>
              <w:right w:val="nil"/>
            </w:tcBorders>
            <w:shd w:val="clear" w:color="auto" w:fill="auto"/>
            <w:noWrap/>
            <w:vAlign w:val="bottom"/>
            <w:hideMark/>
          </w:tcPr>
          <w:p w14:paraId="11F9BA90" w14:textId="77777777" w:rsidR="00D06EF0" w:rsidRPr="00D06EF0" w:rsidRDefault="006E0BDB" w:rsidP="00D06EF0">
            <w:pPr>
              <w:jc w:val="right"/>
              <w:rPr>
                <w:rFonts w:ascii="Arial" w:hAnsi="Arial" w:cs="Arial"/>
                <w:b/>
                <w:bCs/>
                <w:sz w:val="18"/>
                <w:szCs w:val="18"/>
                <w:lang w:eastAsia="en-GB"/>
              </w:rPr>
            </w:pPr>
            <w:r>
              <w:rPr>
                <w:rFonts w:ascii="Arial" w:hAnsi="Arial" w:cs="Arial"/>
                <w:b/>
                <w:bCs/>
                <w:sz w:val="18"/>
                <w:szCs w:val="18"/>
                <w:lang w:eastAsia="en-GB"/>
              </w:rPr>
              <w:t>277,907</w:t>
            </w:r>
          </w:p>
        </w:tc>
        <w:tc>
          <w:tcPr>
            <w:tcW w:w="1156" w:type="dxa"/>
            <w:tcBorders>
              <w:top w:val="single" w:sz="8" w:space="0" w:color="auto"/>
              <w:left w:val="nil"/>
              <w:bottom w:val="double" w:sz="6" w:space="0" w:color="auto"/>
              <w:right w:val="nil"/>
            </w:tcBorders>
            <w:shd w:val="clear" w:color="auto" w:fill="auto"/>
            <w:noWrap/>
            <w:vAlign w:val="bottom"/>
            <w:hideMark/>
          </w:tcPr>
          <w:p w14:paraId="3476DB5D" w14:textId="77777777" w:rsidR="00D06EF0" w:rsidRPr="00D06EF0" w:rsidRDefault="00D06EF0" w:rsidP="00D06EF0">
            <w:pPr>
              <w:jc w:val="right"/>
              <w:rPr>
                <w:rFonts w:ascii="Arial" w:hAnsi="Arial" w:cs="Arial"/>
                <w:b/>
                <w:bCs/>
                <w:sz w:val="18"/>
                <w:szCs w:val="18"/>
                <w:lang w:eastAsia="en-GB"/>
              </w:rPr>
            </w:pPr>
            <w:r w:rsidRPr="00D06EF0">
              <w:rPr>
                <w:rFonts w:ascii="Arial" w:hAnsi="Arial" w:cs="Arial"/>
                <w:b/>
                <w:bCs/>
                <w:sz w:val="18"/>
                <w:szCs w:val="18"/>
                <w:lang w:eastAsia="en-GB"/>
              </w:rPr>
              <w:t>2,</w:t>
            </w:r>
            <w:r w:rsidR="006E0BDB">
              <w:rPr>
                <w:rFonts w:ascii="Arial" w:hAnsi="Arial" w:cs="Arial"/>
                <w:b/>
                <w:bCs/>
                <w:sz w:val="18"/>
                <w:szCs w:val="18"/>
                <w:lang w:eastAsia="en-GB"/>
              </w:rPr>
              <w:t>889,534</w:t>
            </w:r>
          </w:p>
        </w:tc>
        <w:tc>
          <w:tcPr>
            <w:tcW w:w="747" w:type="dxa"/>
            <w:tcBorders>
              <w:top w:val="nil"/>
              <w:left w:val="nil"/>
              <w:bottom w:val="nil"/>
              <w:right w:val="nil"/>
            </w:tcBorders>
            <w:shd w:val="clear" w:color="auto" w:fill="auto"/>
            <w:hideMark/>
          </w:tcPr>
          <w:p w14:paraId="4ECA4957" w14:textId="77777777" w:rsidR="00D06EF0" w:rsidRPr="00D06EF0" w:rsidRDefault="00D06EF0" w:rsidP="00D06EF0">
            <w:pPr>
              <w:jc w:val="right"/>
              <w:rPr>
                <w:rFonts w:ascii="Arial" w:hAnsi="Arial" w:cs="Arial"/>
                <w:b/>
                <w:bCs/>
                <w:sz w:val="18"/>
                <w:szCs w:val="18"/>
                <w:lang w:eastAsia="en-GB"/>
              </w:rPr>
            </w:pPr>
          </w:p>
        </w:tc>
      </w:tr>
      <w:tr w:rsidR="00D06EF0" w:rsidRPr="00D06EF0" w14:paraId="0F1845F3" w14:textId="77777777" w:rsidTr="00D06EF0">
        <w:trPr>
          <w:trHeight w:val="240"/>
        </w:trPr>
        <w:tc>
          <w:tcPr>
            <w:tcW w:w="2011" w:type="dxa"/>
            <w:tcBorders>
              <w:top w:val="nil"/>
              <w:left w:val="nil"/>
              <w:bottom w:val="nil"/>
              <w:right w:val="nil"/>
            </w:tcBorders>
            <w:shd w:val="clear" w:color="auto" w:fill="auto"/>
            <w:noWrap/>
            <w:vAlign w:val="bottom"/>
            <w:hideMark/>
          </w:tcPr>
          <w:p w14:paraId="7565E0CD"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606E0D5C"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79036A0B"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13083038"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C2E9083"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16AC5F5"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58393613"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25DC4A39" w14:textId="77777777" w:rsidR="00D06EF0" w:rsidRPr="00D06EF0" w:rsidRDefault="00D06EF0" w:rsidP="00D06EF0">
            <w:pPr>
              <w:jc w:val="right"/>
              <w:rPr>
                <w:sz w:val="20"/>
                <w:lang w:eastAsia="en-GB"/>
              </w:rPr>
            </w:pPr>
          </w:p>
        </w:tc>
      </w:tr>
      <w:tr w:rsidR="00D06EF0" w:rsidRPr="00D06EF0" w14:paraId="7501834E" w14:textId="77777777" w:rsidTr="00D06EF0">
        <w:trPr>
          <w:trHeight w:val="240"/>
        </w:trPr>
        <w:tc>
          <w:tcPr>
            <w:tcW w:w="2011" w:type="dxa"/>
            <w:tcBorders>
              <w:top w:val="nil"/>
              <w:left w:val="nil"/>
              <w:bottom w:val="nil"/>
              <w:right w:val="nil"/>
            </w:tcBorders>
            <w:shd w:val="clear" w:color="auto" w:fill="auto"/>
            <w:noWrap/>
            <w:vAlign w:val="bottom"/>
            <w:hideMark/>
          </w:tcPr>
          <w:p w14:paraId="31403B91"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Cash</w:t>
            </w:r>
          </w:p>
        </w:tc>
        <w:tc>
          <w:tcPr>
            <w:tcW w:w="2422" w:type="dxa"/>
            <w:tcBorders>
              <w:top w:val="nil"/>
              <w:left w:val="nil"/>
              <w:bottom w:val="nil"/>
              <w:right w:val="nil"/>
            </w:tcBorders>
            <w:shd w:val="clear" w:color="auto" w:fill="auto"/>
            <w:noWrap/>
            <w:vAlign w:val="bottom"/>
            <w:hideMark/>
          </w:tcPr>
          <w:p w14:paraId="0839FDAD"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33C57AB7" w14:textId="77777777" w:rsidR="00D06EF0" w:rsidRPr="00D06EF0" w:rsidRDefault="00D06EF0" w:rsidP="00D06EF0">
            <w:pPr>
              <w:jc w:val="right"/>
              <w:rPr>
                <w:rFonts w:ascii="Arial" w:hAnsi="Arial" w:cs="Arial"/>
                <w:b/>
                <w:bCs/>
                <w:sz w:val="18"/>
                <w:szCs w:val="18"/>
                <w:lang w:eastAsia="en-GB"/>
              </w:rPr>
            </w:pPr>
            <w:r w:rsidRPr="00D06EF0">
              <w:rPr>
                <w:rFonts w:ascii="Arial" w:hAnsi="Arial" w:cs="Arial"/>
                <w:b/>
                <w:bCs/>
                <w:sz w:val="18"/>
                <w:szCs w:val="18"/>
                <w:lang w:eastAsia="en-GB"/>
              </w:rPr>
              <w:t>40,346</w:t>
            </w:r>
          </w:p>
        </w:tc>
        <w:tc>
          <w:tcPr>
            <w:tcW w:w="1156" w:type="dxa"/>
            <w:tcBorders>
              <w:top w:val="nil"/>
              <w:left w:val="nil"/>
              <w:bottom w:val="nil"/>
              <w:right w:val="nil"/>
            </w:tcBorders>
            <w:shd w:val="clear" w:color="auto" w:fill="auto"/>
            <w:noWrap/>
            <w:vAlign w:val="bottom"/>
            <w:hideMark/>
          </w:tcPr>
          <w:p w14:paraId="3A01800B" w14:textId="77777777" w:rsidR="00D06EF0" w:rsidRPr="00D06EF0" w:rsidRDefault="00D06EF0" w:rsidP="00D06EF0">
            <w:pPr>
              <w:jc w:val="right"/>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6699FD5C"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C99AAAF"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E35C381" w14:textId="77777777" w:rsidR="00D06EF0" w:rsidRPr="00D06EF0" w:rsidRDefault="00D06EF0" w:rsidP="00D06EF0">
            <w:pPr>
              <w:jc w:val="right"/>
              <w:rPr>
                <w:rFonts w:ascii="Arial" w:hAnsi="Arial" w:cs="Arial"/>
                <w:b/>
                <w:bCs/>
                <w:sz w:val="18"/>
                <w:szCs w:val="18"/>
                <w:lang w:eastAsia="en-GB"/>
              </w:rPr>
            </w:pPr>
            <w:r w:rsidRPr="00D06EF0">
              <w:rPr>
                <w:rFonts w:ascii="Arial" w:hAnsi="Arial" w:cs="Arial"/>
                <w:b/>
                <w:bCs/>
                <w:sz w:val="18"/>
                <w:szCs w:val="18"/>
                <w:lang w:eastAsia="en-GB"/>
              </w:rPr>
              <w:t>31,832</w:t>
            </w:r>
          </w:p>
        </w:tc>
        <w:tc>
          <w:tcPr>
            <w:tcW w:w="747" w:type="dxa"/>
            <w:tcBorders>
              <w:top w:val="nil"/>
              <w:left w:val="nil"/>
              <w:bottom w:val="nil"/>
              <w:right w:val="nil"/>
            </w:tcBorders>
            <w:shd w:val="clear" w:color="auto" w:fill="auto"/>
            <w:hideMark/>
          </w:tcPr>
          <w:p w14:paraId="1F9A1417" w14:textId="77777777" w:rsidR="00D06EF0" w:rsidRPr="00D06EF0" w:rsidRDefault="00D06EF0" w:rsidP="00D06EF0">
            <w:pPr>
              <w:jc w:val="right"/>
              <w:rPr>
                <w:rFonts w:ascii="Arial" w:hAnsi="Arial" w:cs="Arial"/>
                <w:b/>
                <w:bCs/>
                <w:sz w:val="18"/>
                <w:szCs w:val="18"/>
                <w:lang w:eastAsia="en-GB"/>
              </w:rPr>
            </w:pPr>
          </w:p>
        </w:tc>
      </w:tr>
      <w:tr w:rsidR="00D06EF0" w:rsidRPr="00D06EF0" w14:paraId="23E0AEEE" w14:textId="77777777" w:rsidTr="00D06EF0">
        <w:trPr>
          <w:trHeight w:val="240"/>
        </w:trPr>
        <w:tc>
          <w:tcPr>
            <w:tcW w:w="2011" w:type="dxa"/>
            <w:tcBorders>
              <w:top w:val="nil"/>
              <w:left w:val="nil"/>
              <w:bottom w:val="nil"/>
              <w:right w:val="nil"/>
            </w:tcBorders>
            <w:shd w:val="clear" w:color="auto" w:fill="auto"/>
            <w:noWrap/>
            <w:vAlign w:val="bottom"/>
            <w:hideMark/>
          </w:tcPr>
          <w:p w14:paraId="56173614"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53828916"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51D1F971"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7F5B45D4"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B92D7CA"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B6D514C"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BD4C69F"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1CD49EE6" w14:textId="77777777" w:rsidR="00D06EF0" w:rsidRPr="00D06EF0" w:rsidRDefault="00D06EF0" w:rsidP="00D06EF0">
            <w:pPr>
              <w:jc w:val="right"/>
              <w:rPr>
                <w:sz w:val="20"/>
                <w:lang w:eastAsia="en-GB"/>
              </w:rPr>
            </w:pPr>
          </w:p>
        </w:tc>
      </w:tr>
      <w:tr w:rsidR="00D06EF0" w:rsidRPr="00D06EF0" w14:paraId="43802D8D"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7DA39DF9"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Other Investment Balances -</w:t>
            </w:r>
          </w:p>
        </w:tc>
        <w:tc>
          <w:tcPr>
            <w:tcW w:w="1156" w:type="dxa"/>
            <w:tcBorders>
              <w:top w:val="nil"/>
              <w:left w:val="nil"/>
              <w:bottom w:val="nil"/>
              <w:right w:val="nil"/>
            </w:tcBorders>
            <w:shd w:val="clear" w:color="auto" w:fill="auto"/>
            <w:noWrap/>
            <w:vAlign w:val="bottom"/>
            <w:hideMark/>
          </w:tcPr>
          <w:p w14:paraId="08F05E89"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086751AA"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EB49A74"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1966114"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1172FBB"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618EEF53" w14:textId="77777777" w:rsidR="00D06EF0" w:rsidRPr="00D06EF0" w:rsidRDefault="00D06EF0" w:rsidP="00D06EF0">
            <w:pPr>
              <w:jc w:val="right"/>
              <w:rPr>
                <w:sz w:val="20"/>
                <w:lang w:eastAsia="en-GB"/>
              </w:rPr>
            </w:pPr>
          </w:p>
        </w:tc>
      </w:tr>
      <w:tr w:rsidR="00D06EF0" w:rsidRPr="00D06EF0" w14:paraId="385921F8" w14:textId="77777777" w:rsidTr="00D06EF0">
        <w:trPr>
          <w:trHeight w:val="240"/>
        </w:trPr>
        <w:tc>
          <w:tcPr>
            <w:tcW w:w="2011" w:type="dxa"/>
            <w:tcBorders>
              <w:top w:val="nil"/>
              <w:left w:val="nil"/>
              <w:bottom w:val="nil"/>
              <w:right w:val="nil"/>
            </w:tcBorders>
            <w:shd w:val="clear" w:color="auto" w:fill="auto"/>
            <w:noWrap/>
            <w:vAlign w:val="bottom"/>
            <w:hideMark/>
          </w:tcPr>
          <w:p w14:paraId="2760515E"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Dividends Due</w:t>
            </w:r>
          </w:p>
        </w:tc>
        <w:tc>
          <w:tcPr>
            <w:tcW w:w="2422" w:type="dxa"/>
            <w:tcBorders>
              <w:top w:val="nil"/>
              <w:left w:val="nil"/>
              <w:bottom w:val="nil"/>
              <w:right w:val="nil"/>
            </w:tcBorders>
            <w:shd w:val="clear" w:color="auto" w:fill="auto"/>
            <w:noWrap/>
            <w:vAlign w:val="bottom"/>
            <w:hideMark/>
          </w:tcPr>
          <w:p w14:paraId="351E4024"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648F795F" w14:textId="77777777" w:rsidR="00D06EF0" w:rsidRPr="00D06EF0" w:rsidRDefault="00D06EF0" w:rsidP="00D06EF0">
            <w:pPr>
              <w:jc w:val="right"/>
              <w:rPr>
                <w:rFonts w:ascii="Arial" w:hAnsi="Arial" w:cs="Arial"/>
                <w:b/>
                <w:bCs/>
                <w:sz w:val="18"/>
                <w:szCs w:val="18"/>
                <w:lang w:eastAsia="en-GB"/>
              </w:rPr>
            </w:pPr>
            <w:r w:rsidRPr="00D06EF0">
              <w:rPr>
                <w:rFonts w:ascii="Arial" w:hAnsi="Arial" w:cs="Arial"/>
                <w:b/>
                <w:bCs/>
                <w:sz w:val="18"/>
                <w:szCs w:val="18"/>
                <w:lang w:eastAsia="en-GB"/>
              </w:rPr>
              <w:t>40</w:t>
            </w:r>
          </w:p>
        </w:tc>
        <w:tc>
          <w:tcPr>
            <w:tcW w:w="1156" w:type="dxa"/>
            <w:tcBorders>
              <w:top w:val="nil"/>
              <w:left w:val="nil"/>
              <w:bottom w:val="nil"/>
              <w:right w:val="nil"/>
            </w:tcBorders>
            <w:shd w:val="clear" w:color="auto" w:fill="auto"/>
            <w:noWrap/>
            <w:vAlign w:val="bottom"/>
            <w:hideMark/>
          </w:tcPr>
          <w:p w14:paraId="6F30189C" w14:textId="77777777" w:rsidR="00D06EF0" w:rsidRPr="00D06EF0" w:rsidRDefault="00D06EF0" w:rsidP="00D06EF0">
            <w:pPr>
              <w:jc w:val="right"/>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232D167B"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3C41F43"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5F0181E" w14:textId="77777777" w:rsidR="00D06EF0" w:rsidRPr="00D06EF0" w:rsidRDefault="00D06EF0" w:rsidP="00D06EF0">
            <w:pPr>
              <w:jc w:val="right"/>
              <w:rPr>
                <w:rFonts w:ascii="Arial" w:hAnsi="Arial" w:cs="Arial"/>
                <w:b/>
                <w:bCs/>
                <w:sz w:val="18"/>
                <w:szCs w:val="18"/>
                <w:lang w:eastAsia="en-GB"/>
              </w:rPr>
            </w:pPr>
            <w:r w:rsidRPr="00D06EF0">
              <w:rPr>
                <w:rFonts w:ascii="Arial" w:hAnsi="Arial" w:cs="Arial"/>
                <w:b/>
                <w:bCs/>
                <w:sz w:val="18"/>
                <w:szCs w:val="18"/>
                <w:lang w:eastAsia="en-GB"/>
              </w:rPr>
              <w:t>301</w:t>
            </w:r>
          </w:p>
        </w:tc>
        <w:tc>
          <w:tcPr>
            <w:tcW w:w="747" w:type="dxa"/>
            <w:tcBorders>
              <w:top w:val="nil"/>
              <w:left w:val="nil"/>
              <w:bottom w:val="nil"/>
              <w:right w:val="nil"/>
            </w:tcBorders>
            <w:shd w:val="clear" w:color="auto" w:fill="auto"/>
            <w:hideMark/>
          </w:tcPr>
          <w:p w14:paraId="46DA1B61" w14:textId="77777777" w:rsidR="00D06EF0" w:rsidRPr="00D06EF0" w:rsidRDefault="00D06EF0" w:rsidP="00D06EF0">
            <w:pPr>
              <w:jc w:val="right"/>
              <w:rPr>
                <w:rFonts w:ascii="Arial" w:hAnsi="Arial" w:cs="Arial"/>
                <w:b/>
                <w:bCs/>
                <w:sz w:val="18"/>
                <w:szCs w:val="18"/>
                <w:lang w:eastAsia="en-GB"/>
              </w:rPr>
            </w:pPr>
          </w:p>
        </w:tc>
      </w:tr>
      <w:tr w:rsidR="00D06EF0" w:rsidRPr="00D06EF0" w14:paraId="33AAEE3B" w14:textId="77777777" w:rsidTr="00D06EF0">
        <w:trPr>
          <w:trHeight w:val="240"/>
        </w:trPr>
        <w:tc>
          <w:tcPr>
            <w:tcW w:w="2011" w:type="dxa"/>
            <w:tcBorders>
              <w:top w:val="nil"/>
              <w:left w:val="nil"/>
              <w:bottom w:val="nil"/>
              <w:right w:val="nil"/>
            </w:tcBorders>
            <w:shd w:val="clear" w:color="auto" w:fill="auto"/>
            <w:noWrap/>
            <w:vAlign w:val="bottom"/>
            <w:hideMark/>
          </w:tcPr>
          <w:p w14:paraId="4E78F6BE"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119EB416"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106F7A66"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1FB75CB2"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586BD0A2"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B2FCAFE"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38B3A95"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7F532477" w14:textId="77777777" w:rsidR="00D06EF0" w:rsidRPr="00D06EF0" w:rsidRDefault="00D06EF0" w:rsidP="00D06EF0">
            <w:pPr>
              <w:jc w:val="right"/>
              <w:rPr>
                <w:sz w:val="20"/>
                <w:lang w:eastAsia="en-GB"/>
              </w:rPr>
            </w:pPr>
          </w:p>
        </w:tc>
      </w:tr>
      <w:tr w:rsidR="00D06EF0" w:rsidRPr="00D06EF0" w14:paraId="0CE77F02" w14:textId="77777777" w:rsidTr="00D06EF0">
        <w:trPr>
          <w:trHeight w:val="240"/>
        </w:trPr>
        <w:tc>
          <w:tcPr>
            <w:tcW w:w="2011" w:type="dxa"/>
            <w:tcBorders>
              <w:top w:val="nil"/>
              <w:left w:val="nil"/>
              <w:bottom w:val="nil"/>
              <w:right w:val="nil"/>
            </w:tcBorders>
            <w:shd w:val="clear" w:color="auto" w:fill="auto"/>
            <w:noWrap/>
            <w:vAlign w:val="bottom"/>
            <w:hideMark/>
          </w:tcPr>
          <w:p w14:paraId="3F8210CB" w14:textId="77777777" w:rsidR="00D06EF0" w:rsidRPr="00D06EF0" w:rsidRDefault="00D06EF0" w:rsidP="00D06EF0">
            <w:pPr>
              <w:rPr>
                <w:rFonts w:ascii="Arial" w:hAnsi="Arial" w:cs="Arial"/>
                <w:b/>
                <w:bCs/>
                <w:sz w:val="18"/>
                <w:szCs w:val="18"/>
                <w:lang w:eastAsia="en-GB"/>
              </w:rPr>
            </w:pPr>
            <w:r w:rsidRPr="00D06EF0">
              <w:rPr>
                <w:rFonts w:ascii="Arial" w:hAnsi="Arial" w:cs="Arial"/>
                <w:b/>
                <w:bCs/>
                <w:sz w:val="18"/>
                <w:szCs w:val="18"/>
                <w:lang w:eastAsia="en-GB"/>
              </w:rPr>
              <w:t>TOTAL</w:t>
            </w:r>
          </w:p>
        </w:tc>
        <w:tc>
          <w:tcPr>
            <w:tcW w:w="2422" w:type="dxa"/>
            <w:tcBorders>
              <w:top w:val="nil"/>
              <w:left w:val="nil"/>
              <w:bottom w:val="nil"/>
              <w:right w:val="nil"/>
            </w:tcBorders>
            <w:shd w:val="clear" w:color="auto" w:fill="auto"/>
            <w:noWrap/>
            <w:vAlign w:val="bottom"/>
            <w:hideMark/>
          </w:tcPr>
          <w:p w14:paraId="7BCB20E5" w14:textId="77777777" w:rsidR="00D06EF0" w:rsidRPr="00D06EF0" w:rsidRDefault="00D06EF0" w:rsidP="00D06EF0">
            <w:pPr>
              <w:rPr>
                <w:rFonts w:ascii="Arial" w:hAnsi="Arial" w:cs="Arial"/>
                <w:b/>
                <w:bCs/>
                <w:sz w:val="18"/>
                <w:szCs w:val="18"/>
                <w:lang w:eastAsia="en-GB"/>
              </w:rPr>
            </w:pPr>
          </w:p>
        </w:tc>
        <w:tc>
          <w:tcPr>
            <w:tcW w:w="1156" w:type="dxa"/>
            <w:tcBorders>
              <w:top w:val="single" w:sz="8" w:space="0" w:color="auto"/>
              <w:left w:val="nil"/>
              <w:bottom w:val="double" w:sz="6" w:space="0" w:color="auto"/>
              <w:right w:val="nil"/>
            </w:tcBorders>
            <w:shd w:val="clear" w:color="auto" w:fill="auto"/>
            <w:noWrap/>
            <w:vAlign w:val="bottom"/>
            <w:hideMark/>
          </w:tcPr>
          <w:p w14:paraId="3AB9F9A3" w14:textId="77777777" w:rsidR="00D06EF0" w:rsidRPr="00D06EF0" w:rsidRDefault="00D06EF0" w:rsidP="00D06EF0">
            <w:pPr>
              <w:jc w:val="right"/>
              <w:rPr>
                <w:rFonts w:ascii="Arial" w:hAnsi="Arial" w:cs="Arial"/>
                <w:b/>
                <w:bCs/>
                <w:sz w:val="18"/>
                <w:szCs w:val="18"/>
                <w:lang w:eastAsia="en-GB"/>
              </w:rPr>
            </w:pPr>
            <w:r w:rsidRPr="00D06EF0">
              <w:rPr>
                <w:rFonts w:ascii="Arial" w:hAnsi="Arial" w:cs="Arial"/>
                <w:b/>
                <w:bCs/>
                <w:sz w:val="18"/>
                <w:szCs w:val="18"/>
                <w:lang w:eastAsia="en-GB"/>
              </w:rPr>
              <w:t>2,609,973</w:t>
            </w:r>
          </w:p>
        </w:tc>
        <w:tc>
          <w:tcPr>
            <w:tcW w:w="1156" w:type="dxa"/>
            <w:tcBorders>
              <w:top w:val="nil"/>
              <w:left w:val="nil"/>
              <w:bottom w:val="nil"/>
              <w:right w:val="nil"/>
            </w:tcBorders>
            <w:shd w:val="clear" w:color="auto" w:fill="auto"/>
            <w:noWrap/>
            <w:vAlign w:val="bottom"/>
            <w:hideMark/>
          </w:tcPr>
          <w:p w14:paraId="0BAAB337" w14:textId="77777777" w:rsidR="00D06EF0" w:rsidRPr="00D06EF0" w:rsidRDefault="00D06EF0" w:rsidP="00D06EF0">
            <w:pPr>
              <w:jc w:val="right"/>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2EAA0605" w14:textId="77777777" w:rsidR="00D06EF0" w:rsidRPr="00D06EF0" w:rsidRDefault="00D06EF0" w:rsidP="00D06EF0">
            <w:pPr>
              <w:jc w:val="right"/>
              <w:rPr>
                <w:sz w:val="20"/>
                <w:lang w:eastAsia="en-GB"/>
              </w:rPr>
            </w:pPr>
          </w:p>
        </w:tc>
        <w:tc>
          <w:tcPr>
            <w:tcW w:w="1156" w:type="dxa"/>
            <w:tcBorders>
              <w:top w:val="single" w:sz="8" w:space="0" w:color="auto"/>
              <w:left w:val="nil"/>
              <w:bottom w:val="double" w:sz="6" w:space="0" w:color="auto"/>
              <w:right w:val="nil"/>
            </w:tcBorders>
            <w:shd w:val="clear" w:color="auto" w:fill="auto"/>
            <w:noWrap/>
            <w:vAlign w:val="bottom"/>
            <w:hideMark/>
          </w:tcPr>
          <w:p w14:paraId="4BB5BAC4" w14:textId="77777777" w:rsidR="00D06EF0" w:rsidRPr="00D06EF0" w:rsidRDefault="006E0BDB" w:rsidP="00D06EF0">
            <w:pPr>
              <w:jc w:val="right"/>
              <w:rPr>
                <w:rFonts w:ascii="Arial" w:hAnsi="Arial" w:cs="Arial"/>
                <w:b/>
                <w:bCs/>
                <w:sz w:val="18"/>
                <w:szCs w:val="18"/>
                <w:lang w:eastAsia="en-GB"/>
              </w:rPr>
            </w:pPr>
            <w:r>
              <w:rPr>
                <w:rFonts w:ascii="Arial" w:hAnsi="Arial" w:cs="Arial"/>
                <w:b/>
                <w:bCs/>
                <w:sz w:val="18"/>
                <w:szCs w:val="18"/>
                <w:lang w:eastAsia="en-GB"/>
              </w:rPr>
              <w:t>277,907</w:t>
            </w:r>
          </w:p>
        </w:tc>
        <w:tc>
          <w:tcPr>
            <w:tcW w:w="1156" w:type="dxa"/>
            <w:tcBorders>
              <w:top w:val="single" w:sz="8" w:space="0" w:color="auto"/>
              <w:left w:val="nil"/>
              <w:bottom w:val="double" w:sz="6" w:space="0" w:color="auto"/>
              <w:right w:val="nil"/>
            </w:tcBorders>
            <w:shd w:val="clear" w:color="auto" w:fill="auto"/>
            <w:noWrap/>
            <w:vAlign w:val="bottom"/>
            <w:hideMark/>
          </w:tcPr>
          <w:p w14:paraId="15CADFF3" w14:textId="77777777" w:rsidR="00D06EF0" w:rsidRPr="00D06EF0" w:rsidRDefault="00D06EF0" w:rsidP="00D06EF0">
            <w:pPr>
              <w:jc w:val="right"/>
              <w:rPr>
                <w:rFonts w:ascii="Arial" w:hAnsi="Arial" w:cs="Arial"/>
                <w:b/>
                <w:bCs/>
                <w:sz w:val="18"/>
                <w:szCs w:val="18"/>
                <w:lang w:eastAsia="en-GB"/>
              </w:rPr>
            </w:pPr>
            <w:r w:rsidRPr="00D06EF0">
              <w:rPr>
                <w:rFonts w:ascii="Arial" w:hAnsi="Arial" w:cs="Arial"/>
                <w:b/>
                <w:bCs/>
                <w:sz w:val="18"/>
                <w:szCs w:val="18"/>
                <w:lang w:eastAsia="en-GB"/>
              </w:rPr>
              <w:t>2,92</w:t>
            </w:r>
            <w:r w:rsidR="006E0BDB">
              <w:rPr>
                <w:rFonts w:ascii="Arial" w:hAnsi="Arial" w:cs="Arial"/>
                <w:b/>
                <w:bCs/>
                <w:sz w:val="18"/>
                <w:szCs w:val="18"/>
                <w:lang w:eastAsia="en-GB"/>
              </w:rPr>
              <w:t>1</w:t>
            </w:r>
            <w:r w:rsidRPr="00D06EF0">
              <w:rPr>
                <w:rFonts w:ascii="Arial" w:hAnsi="Arial" w:cs="Arial"/>
                <w:b/>
                <w:bCs/>
                <w:sz w:val="18"/>
                <w:szCs w:val="18"/>
                <w:lang w:eastAsia="en-GB"/>
              </w:rPr>
              <w:t>,</w:t>
            </w:r>
            <w:r w:rsidR="006E0BDB">
              <w:rPr>
                <w:rFonts w:ascii="Arial" w:hAnsi="Arial" w:cs="Arial"/>
                <w:b/>
                <w:bCs/>
                <w:sz w:val="18"/>
                <w:szCs w:val="18"/>
                <w:lang w:eastAsia="en-GB"/>
              </w:rPr>
              <w:t>667</w:t>
            </w:r>
          </w:p>
        </w:tc>
        <w:tc>
          <w:tcPr>
            <w:tcW w:w="747" w:type="dxa"/>
            <w:tcBorders>
              <w:top w:val="nil"/>
              <w:left w:val="nil"/>
              <w:bottom w:val="nil"/>
              <w:right w:val="nil"/>
            </w:tcBorders>
            <w:shd w:val="clear" w:color="auto" w:fill="auto"/>
            <w:hideMark/>
          </w:tcPr>
          <w:p w14:paraId="22FE3297" w14:textId="77777777" w:rsidR="00D06EF0" w:rsidRPr="00D06EF0" w:rsidRDefault="00D06EF0" w:rsidP="00D06EF0">
            <w:pPr>
              <w:jc w:val="right"/>
              <w:rPr>
                <w:rFonts w:ascii="Arial" w:hAnsi="Arial" w:cs="Arial"/>
                <w:b/>
                <w:bCs/>
                <w:sz w:val="18"/>
                <w:szCs w:val="18"/>
                <w:lang w:eastAsia="en-GB"/>
              </w:rPr>
            </w:pPr>
          </w:p>
        </w:tc>
      </w:tr>
      <w:tr w:rsidR="00D06EF0" w:rsidRPr="00D06EF0" w14:paraId="4E96FCA9" w14:textId="77777777" w:rsidTr="00D06EF0">
        <w:trPr>
          <w:trHeight w:val="240"/>
        </w:trPr>
        <w:tc>
          <w:tcPr>
            <w:tcW w:w="2011" w:type="dxa"/>
            <w:tcBorders>
              <w:top w:val="nil"/>
              <w:left w:val="nil"/>
              <w:bottom w:val="nil"/>
              <w:right w:val="nil"/>
            </w:tcBorders>
            <w:shd w:val="clear" w:color="auto" w:fill="auto"/>
            <w:hideMark/>
          </w:tcPr>
          <w:p w14:paraId="28003363"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hideMark/>
          </w:tcPr>
          <w:p w14:paraId="2AC037A1"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hideMark/>
          </w:tcPr>
          <w:p w14:paraId="2B22ED16"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hideMark/>
          </w:tcPr>
          <w:p w14:paraId="75EE3769"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hideMark/>
          </w:tcPr>
          <w:p w14:paraId="4ED0AFDA"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hideMark/>
          </w:tcPr>
          <w:p w14:paraId="36F73003"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hideMark/>
          </w:tcPr>
          <w:p w14:paraId="43F9B98F" w14:textId="77777777" w:rsidR="00D06EF0" w:rsidRPr="00D06EF0" w:rsidRDefault="00D06EF0" w:rsidP="00D06EF0">
            <w:pPr>
              <w:rPr>
                <w:sz w:val="20"/>
                <w:lang w:eastAsia="en-GB"/>
              </w:rPr>
            </w:pPr>
          </w:p>
        </w:tc>
        <w:tc>
          <w:tcPr>
            <w:tcW w:w="747" w:type="dxa"/>
            <w:tcBorders>
              <w:top w:val="nil"/>
              <w:left w:val="nil"/>
              <w:bottom w:val="nil"/>
              <w:right w:val="nil"/>
            </w:tcBorders>
            <w:shd w:val="clear" w:color="auto" w:fill="auto"/>
            <w:hideMark/>
          </w:tcPr>
          <w:p w14:paraId="5E506DF3" w14:textId="77777777" w:rsidR="00D06EF0" w:rsidRPr="00D06EF0" w:rsidRDefault="00D06EF0" w:rsidP="00D06EF0">
            <w:pPr>
              <w:rPr>
                <w:sz w:val="20"/>
                <w:lang w:eastAsia="en-GB"/>
              </w:rPr>
            </w:pPr>
          </w:p>
        </w:tc>
      </w:tr>
    </w:tbl>
    <w:p w14:paraId="1167C321" w14:textId="77777777" w:rsidR="00830728" w:rsidRDefault="00830728"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54B57366" w14:textId="77777777" w:rsidR="00830728" w:rsidRDefault="00830728"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5018E28D" w14:textId="77777777" w:rsidR="00830728" w:rsidRDefault="00830728"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65B81489" w14:textId="77777777" w:rsidR="002E24C5" w:rsidRPr="00236678" w:rsidRDefault="002E24C5" w:rsidP="00E023BF">
      <w:pPr>
        <w:numPr>
          <w:ilvl w:val="0"/>
          <w:numId w:val="6"/>
        </w:numPr>
        <w:tabs>
          <w:tab w:val="left" w:pos="864"/>
          <w:tab w:val="left" w:pos="1728"/>
          <w:tab w:val="left" w:pos="2592"/>
          <w:tab w:val="left" w:pos="3456"/>
          <w:tab w:val="left" w:pos="4320"/>
          <w:tab w:val="left" w:pos="5184"/>
          <w:tab w:val="left" w:pos="6048"/>
          <w:tab w:val="left" w:pos="6912"/>
          <w:tab w:val="left" w:pos="7776"/>
          <w:tab w:val="right" w:pos="8640"/>
          <w:tab w:val="right" w:pos="10224"/>
        </w:tabs>
        <w:ind w:hanging="720"/>
        <w:jc w:val="both"/>
        <w:rPr>
          <w:rFonts w:ascii="Arial" w:hAnsi="Arial"/>
          <w:color w:val="000000"/>
          <w:sz w:val="24"/>
          <w:szCs w:val="24"/>
        </w:rPr>
      </w:pPr>
      <w:r w:rsidRPr="00236678">
        <w:rPr>
          <w:rFonts w:ascii="Arial" w:hAnsi="Arial"/>
          <w:b/>
          <w:color w:val="000000"/>
          <w:sz w:val="24"/>
          <w:szCs w:val="24"/>
        </w:rPr>
        <w:t>Realised Profit on the Sale of Investments</w:t>
      </w:r>
    </w:p>
    <w:tbl>
      <w:tblPr>
        <w:tblpPr w:leftFromText="180" w:rightFromText="180" w:vertAnchor="text" w:horzAnchor="margin" w:tblpXSpec="center" w:tblpY="279"/>
        <w:tblW w:w="0" w:type="auto"/>
        <w:tblBorders>
          <w:top w:val="single" w:sz="4" w:space="0" w:color="auto"/>
        </w:tblBorders>
        <w:tblLayout w:type="fixed"/>
        <w:tblLook w:val="0000" w:firstRow="0" w:lastRow="0" w:firstColumn="0" w:lastColumn="0" w:noHBand="0" w:noVBand="0"/>
      </w:tblPr>
      <w:tblGrid>
        <w:gridCol w:w="1668"/>
        <w:gridCol w:w="3895"/>
        <w:gridCol w:w="1842"/>
      </w:tblGrid>
      <w:tr w:rsidR="00D64C55" w:rsidRPr="00117F66" w14:paraId="37B10D2E" w14:textId="77777777" w:rsidTr="0057057C">
        <w:tc>
          <w:tcPr>
            <w:tcW w:w="1668" w:type="dxa"/>
            <w:tcBorders>
              <w:top w:val="nil"/>
            </w:tcBorders>
          </w:tcPr>
          <w:p w14:paraId="61F8B963" w14:textId="77777777" w:rsidR="00D64C55" w:rsidRPr="00117F66" w:rsidRDefault="008544C2" w:rsidP="00095F75">
            <w:pPr>
              <w:pStyle w:val="Header"/>
              <w:tabs>
                <w:tab w:val="clear" w:pos="4153"/>
                <w:tab w:val="clear" w:pos="8306"/>
                <w:tab w:val="left" w:pos="622"/>
                <w:tab w:val="left" w:pos="1244"/>
                <w:tab w:val="left" w:pos="1866"/>
                <w:tab w:val="left" w:pos="2488"/>
                <w:tab w:val="left" w:pos="3110"/>
                <w:tab w:val="left" w:pos="3732"/>
                <w:tab w:val="left" w:pos="4354"/>
                <w:tab w:val="left" w:pos="4976"/>
                <w:tab w:val="left" w:pos="5598"/>
                <w:tab w:val="right" w:pos="6220"/>
                <w:tab w:val="right" w:pos="7361"/>
              </w:tabs>
              <w:jc w:val="center"/>
              <w:rPr>
                <w:rFonts w:ascii="Arial" w:hAnsi="Arial"/>
                <w:b/>
                <w:sz w:val="24"/>
                <w:szCs w:val="24"/>
              </w:rPr>
            </w:pPr>
            <w:r>
              <w:rPr>
                <w:rFonts w:ascii="Arial" w:hAnsi="Arial"/>
                <w:b/>
                <w:sz w:val="24"/>
                <w:szCs w:val="24"/>
              </w:rPr>
              <w:t>2020/21</w:t>
            </w:r>
          </w:p>
        </w:tc>
        <w:tc>
          <w:tcPr>
            <w:tcW w:w="3895" w:type="dxa"/>
            <w:tcBorders>
              <w:top w:val="nil"/>
            </w:tcBorders>
          </w:tcPr>
          <w:p w14:paraId="1DED0134" w14:textId="77777777" w:rsidR="00D64C55" w:rsidRPr="00117F66" w:rsidRDefault="00D64C55" w:rsidP="005E4F16">
            <w:pPr>
              <w:tabs>
                <w:tab w:val="left" w:pos="622"/>
                <w:tab w:val="left" w:pos="1244"/>
                <w:tab w:val="left" w:pos="1866"/>
                <w:tab w:val="left" w:pos="2488"/>
                <w:tab w:val="left" w:pos="3110"/>
                <w:tab w:val="left" w:pos="3732"/>
                <w:tab w:val="left" w:pos="4354"/>
                <w:tab w:val="left" w:pos="4976"/>
                <w:tab w:val="left" w:pos="5598"/>
                <w:tab w:val="right" w:pos="6220"/>
                <w:tab w:val="right" w:pos="7361"/>
              </w:tabs>
              <w:rPr>
                <w:rFonts w:ascii="Arial" w:hAnsi="Arial"/>
                <w:color w:val="000000"/>
                <w:sz w:val="24"/>
                <w:szCs w:val="24"/>
              </w:rPr>
            </w:pPr>
          </w:p>
        </w:tc>
        <w:tc>
          <w:tcPr>
            <w:tcW w:w="1842" w:type="dxa"/>
            <w:tcBorders>
              <w:top w:val="nil"/>
            </w:tcBorders>
          </w:tcPr>
          <w:p w14:paraId="2853F37F" w14:textId="77777777" w:rsidR="00D64C55" w:rsidRPr="00117F66" w:rsidRDefault="008544C2" w:rsidP="00095F75">
            <w:pPr>
              <w:pStyle w:val="Header"/>
              <w:tabs>
                <w:tab w:val="clear" w:pos="4153"/>
                <w:tab w:val="clear" w:pos="8306"/>
                <w:tab w:val="left" w:pos="622"/>
                <w:tab w:val="left" w:pos="1244"/>
                <w:tab w:val="left" w:pos="1866"/>
                <w:tab w:val="left" w:pos="2488"/>
                <w:tab w:val="left" w:pos="3110"/>
                <w:tab w:val="left" w:pos="3732"/>
                <w:tab w:val="left" w:pos="4354"/>
                <w:tab w:val="left" w:pos="4976"/>
                <w:tab w:val="left" w:pos="5598"/>
                <w:tab w:val="right" w:pos="6220"/>
                <w:tab w:val="right" w:pos="7361"/>
              </w:tabs>
              <w:jc w:val="center"/>
              <w:rPr>
                <w:rFonts w:ascii="Arial" w:hAnsi="Arial"/>
                <w:b/>
                <w:sz w:val="24"/>
                <w:szCs w:val="24"/>
              </w:rPr>
            </w:pPr>
            <w:r>
              <w:rPr>
                <w:rFonts w:ascii="Arial" w:hAnsi="Arial"/>
                <w:b/>
                <w:sz w:val="24"/>
                <w:szCs w:val="24"/>
              </w:rPr>
              <w:t>2021/22</w:t>
            </w:r>
          </w:p>
        </w:tc>
      </w:tr>
      <w:tr w:rsidR="00D64C55" w:rsidRPr="00117F66" w14:paraId="6E326607" w14:textId="77777777" w:rsidTr="0057057C">
        <w:tc>
          <w:tcPr>
            <w:tcW w:w="1668" w:type="dxa"/>
          </w:tcPr>
          <w:p w14:paraId="1E536079" w14:textId="77777777" w:rsidR="00D64C55" w:rsidRPr="00117F66" w:rsidRDefault="00D64C55" w:rsidP="005E4F16">
            <w:pPr>
              <w:pStyle w:val="Header"/>
              <w:tabs>
                <w:tab w:val="clear" w:pos="4153"/>
                <w:tab w:val="clear" w:pos="8306"/>
                <w:tab w:val="left" w:pos="622"/>
                <w:tab w:val="left" w:pos="1244"/>
                <w:tab w:val="left" w:pos="1866"/>
                <w:tab w:val="left" w:pos="2488"/>
                <w:tab w:val="left" w:pos="3110"/>
                <w:tab w:val="left" w:pos="3732"/>
                <w:tab w:val="left" w:pos="4354"/>
                <w:tab w:val="left" w:pos="4976"/>
                <w:tab w:val="left" w:pos="5598"/>
                <w:tab w:val="right" w:pos="6220"/>
                <w:tab w:val="right" w:pos="7361"/>
              </w:tabs>
              <w:jc w:val="center"/>
              <w:rPr>
                <w:rFonts w:ascii="Arial" w:hAnsi="Arial"/>
                <w:b/>
                <w:sz w:val="24"/>
                <w:szCs w:val="24"/>
              </w:rPr>
            </w:pPr>
            <w:r w:rsidRPr="00117F66">
              <w:rPr>
                <w:rFonts w:ascii="Arial" w:hAnsi="Arial"/>
                <w:b/>
                <w:sz w:val="24"/>
                <w:szCs w:val="24"/>
              </w:rPr>
              <w:t>£’000</w:t>
            </w:r>
          </w:p>
        </w:tc>
        <w:tc>
          <w:tcPr>
            <w:tcW w:w="3895" w:type="dxa"/>
          </w:tcPr>
          <w:p w14:paraId="7FA8D5B9" w14:textId="77777777" w:rsidR="00D64C55" w:rsidRPr="00117F66" w:rsidRDefault="00D64C55" w:rsidP="005E4F16">
            <w:pPr>
              <w:tabs>
                <w:tab w:val="left" w:pos="622"/>
                <w:tab w:val="left" w:pos="1244"/>
                <w:tab w:val="left" w:pos="1866"/>
                <w:tab w:val="left" w:pos="2488"/>
                <w:tab w:val="left" w:pos="3110"/>
                <w:tab w:val="left" w:pos="3732"/>
                <w:tab w:val="left" w:pos="4354"/>
                <w:tab w:val="left" w:pos="4976"/>
                <w:tab w:val="left" w:pos="5598"/>
                <w:tab w:val="right" w:pos="6220"/>
                <w:tab w:val="right" w:pos="7361"/>
              </w:tabs>
              <w:rPr>
                <w:rFonts w:ascii="Arial" w:hAnsi="Arial"/>
                <w:color w:val="000000"/>
                <w:sz w:val="24"/>
                <w:szCs w:val="24"/>
                <w:u w:val="single"/>
              </w:rPr>
            </w:pPr>
          </w:p>
          <w:p w14:paraId="0B1C1D43" w14:textId="77777777" w:rsidR="00D64C55" w:rsidRPr="00117F66" w:rsidRDefault="00D64C55" w:rsidP="005E4F16">
            <w:pPr>
              <w:tabs>
                <w:tab w:val="left" w:pos="622"/>
                <w:tab w:val="left" w:pos="1244"/>
                <w:tab w:val="left" w:pos="1866"/>
                <w:tab w:val="left" w:pos="2488"/>
                <w:tab w:val="left" w:pos="3110"/>
                <w:tab w:val="left" w:pos="3732"/>
                <w:tab w:val="left" w:pos="4354"/>
                <w:tab w:val="left" w:pos="4976"/>
                <w:tab w:val="left" w:pos="5598"/>
                <w:tab w:val="right" w:pos="6220"/>
                <w:tab w:val="right" w:pos="7361"/>
              </w:tabs>
              <w:rPr>
                <w:rFonts w:ascii="Arial" w:hAnsi="Arial"/>
                <w:color w:val="000000"/>
                <w:sz w:val="24"/>
                <w:szCs w:val="24"/>
                <w:u w:val="single"/>
              </w:rPr>
            </w:pPr>
          </w:p>
        </w:tc>
        <w:tc>
          <w:tcPr>
            <w:tcW w:w="1842" w:type="dxa"/>
          </w:tcPr>
          <w:p w14:paraId="509B3AFA" w14:textId="77777777" w:rsidR="00D64C55" w:rsidRPr="00117F66" w:rsidRDefault="00D64C55" w:rsidP="005E4F16">
            <w:pPr>
              <w:pStyle w:val="Header"/>
              <w:tabs>
                <w:tab w:val="clear" w:pos="4153"/>
                <w:tab w:val="clear" w:pos="8306"/>
                <w:tab w:val="left" w:pos="622"/>
                <w:tab w:val="left" w:pos="1244"/>
                <w:tab w:val="left" w:pos="1866"/>
                <w:tab w:val="left" w:pos="2488"/>
                <w:tab w:val="left" w:pos="3110"/>
                <w:tab w:val="left" w:pos="3732"/>
                <w:tab w:val="left" w:pos="4354"/>
                <w:tab w:val="left" w:pos="4976"/>
                <w:tab w:val="left" w:pos="5598"/>
                <w:tab w:val="right" w:pos="6220"/>
                <w:tab w:val="right" w:pos="7361"/>
              </w:tabs>
              <w:jc w:val="center"/>
              <w:rPr>
                <w:rFonts w:ascii="Arial" w:hAnsi="Arial"/>
                <w:b/>
                <w:sz w:val="24"/>
                <w:szCs w:val="24"/>
              </w:rPr>
            </w:pPr>
          </w:p>
        </w:tc>
      </w:tr>
      <w:tr w:rsidR="008544C2" w:rsidRPr="00117F66" w14:paraId="77551F2A" w14:textId="77777777" w:rsidTr="0057057C">
        <w:tc>
          <w:tcPr>
            <w:tcW w:w="1668" w:type="dxa"/>
          </w:tcPr>
          <w:p w14:paraId="1E811940" w14:textId="77777777" w:rsidR="008544C2" w:rsidRPr="00117F66" w:rsidRDefault="008544C2" w:rsidP="008544C2">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143</w:t>
            </w:r>
          </w:p>
        </w:tc>
        <w:tc>
          <w:tcPr>
            <w:tcW w:w="3895" w:type="dxa"/>
          </w:tcPr>
          <w:p w14:paraId="59B265B8" w14:textId="77777777" w:rsidR="008544C2" w:rsidRPr="00117F66" w:rsidRDefault="008544C2" w:rsidP="008544C2">
            <w:pPr>
              <w:pStyle w:val="Header"/>
              <w:tabs>
                <w:tab w:val="clear" w:pos="4153"/>
                <w:tab w:val="clear" w:pos="8306"/>
                <w:tab w:val="right" w:pos="2017"/>
                <w:tab w:val="right" w:pos="5326"/>
                <w:tab w:val="right" w:pos="6557"/>
              </w:tabs>
              <w:rPr>
                <w:rFonts w:ascii="Arial" w:hAnsi="Arial"/>
                <w:color w:val="000000"/>
                <w:sz w:val="24"/>
                <w:szCs w:val="24"/>
              </w:rPr>
            </w:pPr>
            <w:r>
              <w:rPr>
                <w:rFonts w:ascii="Arial" w:hAnsi="Arial"/>
                <w:color w:val="000000"/>
                <w:sz w:val="24"/>
                <w:szCs w:val="24"/>
              </w:rPr>
              <w:t>Fixed Interest</w:t>
            </w:r>
          </w:p>
        </w:tc>
        <w:tc>
          <w:tcPr>
            <w:tcW w:w="1842" w:type="dxa"/>
          </w:tcPr>
          <w:p w14:paraId="2BF529E6" w14:textId="77777777" w:rsidR="008544C2" w:rsidRPr="00117F66" w:rsidRDefault="00D06EF0" w:rsidP="008544C2">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0</w:t>
            </w:r>
          </w:p>
        </w:tc>
      </w:tr>
      <w:tr w:rsidR="008544C2" w:rsidRPr="00117F66" w14:paraId="46238DEA" w14:textId="77777777" w:rsidTr="0057057C">
        <w:tc>
          <w:tcPr>
            <w:tcW w:w="1668" w:type="dxa"/>
          </w:tcPr>
          <w:p w14:paraId="17997A75" w14:textId="77777777" w:rsidR="008544C2" w:rsidRPr="00117F66" w:rsidRDefault="008544C2" w:rsidP="008544C2">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1,239</w:t>
            </w:r>
          </w:p>
        </w:tc>
        <w:tc>
          <w:tcPr>
            <w:tcW w:w="3895" w:type="dxa"/>
          </w:tcPr>
          <w:p w14:paraId="75FB9911" w14:textId="77777777" w:rsidR="008544C2" w:rsidRPr="00117F66" w:rsidRDefault="008544C2" w:rsidP="008544C2">
            <w:pPr>
              <w:pStyle w:val="Header"/>
              <w:tabs>
                <w:tab w:val="clear" w:pos="4153"/>
                <w:tab w:val="clear" w:pos="8306"/>
                <w:tab w:val="right" w:pos="2017"/>
                <w:tab w:val="right" w:pos="5326"/>
                <w:tab w:val="right" w:pos="6557"/>
              </w:tabs>
              <w:rPr>
                <w:rFonts w:ascii="Arial" w:hAnsi="Arial"/>
                <w:color w:val="000000"/>
                <w:sz w:val="24"/>
                <w:szCs w:val="24"/>
              </w:rPr>
            </w:pPr>
            <w:r w:rsidRPr="00117F66">
              <w:rPr>
                <w:rFonts w:ascii="Arial" w:hAnsi="Arial"/>
                <w:color w:val="000000"/>
                <w:sz w:val="24"/>
                <w:szCs w:val="24"/>
              </w:rPr>
              <w:t>Overseas</w:t>
            </w:r>
            <w:r>
              <w:rPr>
                <w:rFonts w:ascii="Arial" w:hAnsi="Arial"/>
                <w:color w:val="000000"/>
                <w:sz w:val="24"/>
                <w:szCs w:val="24"/>
              </w:rPr>
              <w:t xml:space="preserve"> Equities</w:t>
            </w:r>
          </w:p>
        </w:tc>
        <w:tc>
          <w:tcPr>
            <w:tcW w:w="1842" w:type="dxa"/>
          </w:tcPr>
          <w:p w14:paraId="502C14B7" w14:textId="77777777" w:rsidR="008544C2" w:rsidRPr="00117F66" w:rsidRDefault="00D06EF0" w:rsidP="008544C2">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0</w:t>
            </w:r>
          </w:p>
        </w:tc>
      </w:tr>
      <w:tr w:rsidR="008544C2" w:rsidRPr="00117F66" w14:paraId="11679B5C" w14:textId="77777777" w:rsidTr="0039095B">
        <w:trPr>
          <w:trHeight w:val="312"/>
        </w:trPr>
        <w:tc>
          <w:tcPr>
            <w:tcW w:w="1668" w:type="dxa"/>
          </w:tcPr>
          <w:p w14:paraId="5D083740" w14:textId="77777777" w:rsidR="008544C2" w:rsidRPr="00117F66" w:rsidRDefault="008544C2" w:rsidP="008544C2">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409</w:t>
            </w:r>
          </w:p>
        </w:tc>
        <w:tc>
          <w:tcPr>
            <w:tcW w:w="3895" w:type="dxa"/>
          </w:tcPr>
          <w:p w14:paraId="1F3C8C03" w14:textId="77777777" w:rsidR="008544C2" w:rsidRPr="00117F66" w:rsidRDefault="008544C2" w:rsidP="008544C2">
            <w:pPr>
              <w:pStyle w:val="Header"/>
              <w:tabs>
                <w:tab w:val="clear" w:pos="4153"/>
                <w:tab w:val="clear" w:pos="8306"/>
                <w:tab w:val="right" w:pos="2017"/>
                <w:tab w:val="right" w:pos="5326"/>
                <w:tab w:val="right" w:pos="6557"/>
              </w:tabs>
              <w:rPr>
                <w:rFonts w:ascii="Arial" w:hAnsi="Arial"/>
                <w:color w:val="000000"/>
                <w:sz w:val="24"/>
                <w:szCs w:val="24"/>
              </w:rPr>
            </w:pPr>
            <w:r w:rsidRPr="00117F66">
              <w:rPr>
                <w:rFonts w:ascii="Arial" w:hAnsi="Arial"/>
                <w:color w:val="000000"/>
                <w:sz w:val="24"/>
                <w:szCs w:val="24"/>
              </w:rPr>
              <w:t>Property Fund</w:t>
            </w:r>
          </w:p>
        </w:tc>
        <w:tc>
          <w:tcPr>
            <w:tcW w:w="1842" w:type="dxa"/>
          </w:tcPr>
          <w:p w14:paraId="70D408EF" w14:textId="77777777" w:rsidR="008544C2" w:rsidRPr="00117F66" w:rsidRDefault="00D06EF0" w:rsidP="008544C2">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hAnsi="Arial"/>
                <w:color w:val="000000"/>
                <w:sz w:val="24"/>
                <w:szCs w:val="24"/>
              </w:rPr>
              <w:t>396</w:t>
            </w:r>
          </w:p>
        </w:tc>
      </w:tr>
      <w:tr w:rsidR="008544C2" w:rsidRPr="0009530D" w14:paraId="2053587F" w14:textId="77777777" w:rsidTr="0057057C">
        <w:trPr>
          <w:trHeight w:val="402"/>
        </w:trPr>
        <w:tc>
          <w:tcPr>
            <w:tcW w:w="1668" w:type="dxa"/>
            <w:tcBorders>
              <w:top w:val="single" w:sz="4" w:space="0" w:color="auto"/>
              <w:bottom w:val="double" w:sz="4" w:space="0" w:color="auto"/>
            </w:tcBorders>
          </w:tcPr>
          <w:p w14:paraId="4EBFC681" w14:textId="77777777" w:rsidR="008544C2" w:rsidRPr="0009530D" w:rsidRDefault="008544C2" w:rsidP="008544C2">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1,791</w:t>
            </w:r>
          </w:p>
        </w:tc>
        <w:tc>
          <w:tcPr>
            <w:tcW w:w="3895" w:type="dxa"/>
          </w:tcPr>
          <w:p w14:paraId="2E2F118A" w14:textId="77777777" w:rsidR="008544C2" w:rsidRPr="00095F75" w:rsidRDefault="008544C2" w:rsidP="008544C2">
            <w:pPr>
              <w:pStyle w:val="Header"/>
              <w:tabs>
                <w:tab w:val="clear" w:pos="4153"/>
                <w:tab w:val="clear" w:pos="8306"/>
                <w:tab w:val="right" w:pos="2017"/>
                <w:tab w:val="right" w:pos="5326"/>
                <w:tab w:val="right" w:pos="6557"/>
              </w:tabs>
              <w:rPr>
                <w:rFonts w:ascii="Arial" w:hAnsi="Arial"/>
                <w:b/>
                <w:color w:val="000000"/>
                <w:sz w:val="24"/>
                <w:szCs w:val="24"/>
              </w:rPr>
            </w:pPr>
            <w:r w:rsidRPr="00095F75">
              <w:rPr>
                <w:rFonts w:ascii="Arial" w:hAnsi="Arial"/>
                <w:b/>
                <w:color w:val="000000"/>
                <w:sz w:val="24"/>
                <w:szCs w:val="24"/>
              </w:rPr>
              <w:t xml:space="preserve">Net Profit </w:t>
            </w:r>
          </w:p>
        </w:tc>
        <w:tc>
          <w:tcPr>
            <w:tcW w:w="1842" w:type="dxa"/>
            <w:tcBorders>
              <w:top w:val="single" w:sz="4" w:space="0" w:color="auto"/>
              <w:bottom w:val="double" w:sz="4" w:space="0" w:color="auto"/>
            </w:tcBorders>
          </w:tcPr>
          <w:p w14:paraId="5EC0AA55" w14:textId="77777777" w:rsidR="008544C2" w:rsidRPr="0009530D" w:rsidRDefault="00D06EF0" w:rsidP="008544C2">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hAnsi="Arial"/>
                <w:b/>
                <w:color w:val="000000"/>
                <w:sz w:val="24"/>
                <w:szCs w:val="24"/>
              </w:rPr>
              <w:t>396</w:t>
            </w:r>
          </w:p>
        </w:tc>
      </w:tr>
    </w:tbl>
    <w:p w14:paraId="3876BCE8"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p>
    <w:p w14:paraId="3E39CFAC"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4AE0C696"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2C2F3ED0"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2B896EA1"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5265F1C0"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2BF835BB"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6C321EBF"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59D28118" w14:textId="77777777" w:rsidR="002E24C5"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7BAF4B5C" w14:textId="77777777" w:rsidR="00095F75" w:rsidRDefault="00095F7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0EEAF9DE" w14:textId="77777777" w:rsidR="00D06EF0" w:rsidRDefault="00D06E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67806D6C" w14:textId="77777777" w:rsidR="001F3FCA" w:rsidRPr="00236678" w:rsidRDefault="001F3FCA" w:rsidP="001F3FCA">
      <w:pPr>
        <w:pStyle w:val="Header"/>
        <w:numPr>
          <w:ilvl w:val="0"/>
          <w:numId w:val="6"/>
        </w:numPr>
        <w:tabs>
          <w:tab w:val="clear" w:pos="4153"/>
          <w:tab w:val="clear" w:pos="8306"/>
          <w:tab w:val="left" w:pos="720"/>
          <w:tab w:val="right" w:pos="5184"/>
          <w:tab w:val="right" w:pos="6624"/>
          <w:tab w:val="right" w:pos="8640"/>
          <w:tab w:val="right" w:pos="10080"/>
        </w:tabs>
        <w:ind w:left="0" w:firstLine="0"/>
        <w:rPr>
          <w:rFonts w:ascii="Arial" w:hAnsi="Arial"/>
          <w:b/>
          <w:sz w:val="24"/>
          <w:szCs w:val="24"/>
        </w:rPr>
      </w:pPr>
      <w:r>
        <w:rPr>
          <w:rFonts w:ascii="Arial" w:hAnsi="Arial"/>
          <w:b/>
          <w:sz w:val="24"/>
          <w:szCs w:val="24"/>
        </w:rPr>
        <w:t>Concentration of Investments</w:t>
      </w:r>
    </w:p>
    <w:p w14:paraId="44F2B5C8" w14:textId="77777777" w:rsidR="001F3FCA" w:rsidRPr="00117F66" w:rsidRDefault="001F3FCA" w:rsidP="001F3FCA">
      <w:pPr>
        <w:pStyle w:val="Header"/>
        <w:tabs>
          <w:tab w:val="clear" w:pos="4153"/>
          <w:tab w:val="clear" w:pos="8306"/>
          <w:tab w:val="left" w:pos="864"/>
          <w:tab w:val="right" w:pos="5184"/>
          <w:tab w:val="right" w:pos="6624"/>
          <w:tab w:val="right" w:pos="8640"/>
          <w:tab w:val="right" w:pos="10080"/>
        </w:tabs>
        <w:rPr>
          <w:rFonts w:ascii="Arial" w:hAnsi="Arial"/>
          <w:sz w:val="24"/>
          <w:szCs w:val="24"/>
        </w:rPr>
      </w:pPr>
    </w:p>
    <w:p w14:paraId="2E348290" w14:textId="77777777" w:rsidR="001F3FCA" w:rsidRDefault="001F3FCA" w:rsidP="001F3FCA">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r>
        <w:rPr>
          <w:rFonts w:ascii="Arial" w:hAnsi="Arial"/>
          <w:color w:val="000000"/>
          <w:sz w:val="24"/>
          <w:szCs w:val="24"/>
        </w:rPr>
        <w:t>The following investments represented more than 5% of the Plan’s net assets as at 31</w:t>
      </w:r>
      <w:r w:rsidRPr="002E3CA2">
        <w:rPr>
          <w:rFonts w:ascii="Arial" w:hAnsi="Arial"/>
          <w:color w:val="000000"/>
          <w:sz w:val="24"/>
          <w:szCs w:val="24"/>
          <w:vertAlign w:val="superscript"/>
        </w:rPr>
        <w:t>st</w:t>
      </w:r>
      <w:r>
        <w:rPr>
          <w:rFonts w:ascii="Arial" w:hAnsi="Arial"/>
          <w:color w:val="000000"/>
          <w:sz w:val="24"/>
          <w:szCs w:val="24"/>
        </w:rPr>
        <w:t xml:space="preserve"> March 202</w:t>
      </w:r>
      <w:r w:rsidR="008544C2">
        <w:rPr>
          <w:rFonts w:ascii="Arial" w:hAnsi="Arial"/>
          <w:color w:val="000000"/>
          <w:sz w:val="24"/>
          <w:szCs w:val="24"/>
        </w:rPr>
        <w:t>2</w:t>
      </w:r>
      <w:r>
        <w:rPr>
          <w:rFonts w:ascii="Arial" w:hAnsi="Arial"/>
          <w:color w:val="000000"/>
          <w:sz w:val="24"/>
          <w:szCs w:val="24"/>
        </w:rPr>
        <w:t>.</w:t>
      </w:r>
    </w:p>
    <w:p w14:paraId="2F819E0A" w14:textId="77777777" w:rsidR="001F3FCA" w:rsidRDefault="001F3FCA" w:rsidP="001F3FCA">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p>
    <w:tbl>
      <w:tblPr>
        <w:tblW w:w="0" w:type="auto"/>
        <w:tblLook w:val="04A0" w:firstRow="1" w:lastRow="0" w:firstColumn="1" w:lastColumn="0" w:noHBand="0" w:noVBand="1"/>
      </w:tblPr>
      <w:tblGrid>
        <w:gridCol w:w="4053"/>
        <w:gridCol w:w="1674"/>
        <w:gridCol w:w="1452"/>
        <w:gridCol w:w="1517"/>
        <w:gridCol w:w="1527"/>
      </w:tblGrid>
      <w:tr w:rsidR="001F3FCA" w:rsidRPr="0056192A" w14:paraId="1EB43918" w14:textId="77777777" w:rsidTr="0056192A">
        <w:tc>
          <w:tcPr>
            <w:tcW w:w="4219" w:type="dxa"/>
            <w:shd w:val="clear" w:color="auto" w:fill="auto"/>
          </w:tcPr>
          <w:p w14:paraId="1A98A34D" w14:textId="77777777" w:rsidR="001F3FCA" w:rsidRPr="0056192A" w:rsidRDefault="001F3FCA" w:rsidP="0056192A">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p>
        </w:tc>
        <w:tc>
          <w:tcPr>
            <w:tcW w:w="1701" w:type="dxa"/>
            <w:shd w:val="clear" w:color="auto" w:fill="auto"/>
          </w:tcPr>
          <w:p w14:paraId="6CBD8741" w14:textId="77777777" w:rsidR="001F3FCA" w:rsidRPr="0056192A" w:rsidRDefault="001F3FCA" w:rsidP="008544C2">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r w:rsidRPr="0056192A">
              <w:rPr>
                <w:rFonts w:ascii="Arial" w:hAnsi="Arial"/>
                <w:b/>
                <w:color w:val="000000"/>
                <w:sz w:val="24"/>
                <w:szCs w:val="24"/>
              </w:rPr>
              <w:t>Value as at 31</w:t>
            </w:r>
            <w:r w:rsidRPr="0056192A">
              <w:rPr>
                <w:rFonts w:ascii="Arial" w:hAnsi="Arial"/>
                <w:b/>
                <w:color w:val="000000"/>
                <w:sz w:val="24"/>
                <w:szCs w:val="24"/>
                <w:vertAlign w:val="superscript"/>
              </w:rPr>
              <w:t>st</w:t>
            </w:r>
            <w:r w:rsidRPr="0056192A">
              <w:rPr>
                <w:rFonts w:ascii="Arial" w:hAnsi="Arial"/>
                <w:b/>
                <w:color w:val="000000"/>
                <w:sz w:val="24"/>
                <w:szCs w:val="24"/>
              </w:rPr>
              <w:t xml:space="preserve"> March 202</w:t>
            </w:r>
            <w:r w:rsidR="008544C2">
              <w:rPr>
                <w:rFonts w:ascii="Arial" w:hAnsi="Arial"/>
                <w:b/>
                <w:color w:val="000000"/>
                <w:sz w:val="24"/>
                <w:szCs w:val="24"/>
              </w:rPr>
              <w:t>1</w:t>
            </w:r>
          </w:p>
        </w:tc>
        <w:tc>
          <w:tcPr>
            <w:tcW w:w="1453" w:type="dxa"/>
            <w:shd w:val="clear" w:color="auto" w:fill="auto"/>
          </w:tcPr>
          <w:p w14:paraId="3DFAB0FD" w14:textId="77777777" w:rsidR="001F3FCA" w:rsidRPr="0056192A" w:rsidRDefault="001F3FCA" w:rsidP="0056192A">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r w:rsidRPr="0056192A">
              <w:rPr>
                <w:rFonts w:ascii="Arial" w:hAnsi="Arial"/>
                <w:b/>
                <w:color w:val="000000"/>
                <w:sz w:val="24"/>
                <w:szCs w:val="24"/>
              </w:rPr>
              <w:t>Proportion of Net Assets</w:t>
            </w:r>
          </w:p>
        </w:tc>
        <w:tc>
          <w:tcPr>
            <w:tcW w:w="1533" w:type="dxa"/>
            <w:shd w:val="clear" w:color="auto" w:fill="auto"/>
          </w:tcPr>
          <w:p w14:paraId="5564B4CC" w14:textId="77777777" w:rsidR="001F3FCA" w:rsidRPr="0056192A" w:rsidRDefault="001F3FCA" w:rsidP="008544C2">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r w:rsidRPr="0056192A">
              <w:rPr>
                <w:rFonts w:ascii="Arial" w:hAnsi="Arial"/>
                <w:b/>
                <w:color w:val="000000"/>
                <w:sz w:val="24"/>
                <w:szCs w:val="24"/>
              </w:rPr>
              <w:t>Value as at 31</w:t>
            </w:r>
            <w:r w:rsidRPr="0056192A">
              <w:rPr>
                <w:rFonts w:ascii="Arial" w:hAnsi="Arial"/>
                <w:b/>
                <w:color w:val="000000"/>
                <w:sz w:val="24"/>
                <w:szCs w:val="24"/>
                <w:vertAlign w:val="superscript"/>
              </w:rPr>
              <w:t>st</w:t>
            </w:r>
            <w:r w:rsidRPr="0056192A">
              <w:rPr>
                <w:rFonts w:ascii="Arial" w:hAnsi="Arial"/>
                <w:b/>
                <w:color w:val="000000"/>
                <w:sz w:val="24"/>
                <w:szCs w:val="24"/>
              </w:rPr>
              <w:t xml:space="preserve"> March 202</w:t>
            </w:r>
            <w:r w:rsidR="008544C2">
              <w:rPr>
                <w:rFonts w:ascii="Arial" w:hAnsi="Arial"/>
                <w:b/>
                <w:color w:val="000000"/>
                <w:sz w:val="24"/>
                <w:szCs w:val="24"/>
              </w:rPr>
              <w:t>2</w:t>
            </w:r>
          </w:p>
        </w:tc>
        <w:tc>
          <w:tcPr>
            <w:tcW w:w="1533" w:type="dxa"/>
            <w:shd w:val="clear" w:color="auto" w:fill="auto"/>
          </w:tcPr>
          <w:p w14:paraId="1378DC9D" w14:textId="77777777" w:rsidR="001F3FCA" w:rsidRPr="0056192A" w:rsidRDefault="001F3FCA" w:rsidP="0056192A">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r w:rsidRPr="0056192A">
              <w:rPr>
                <w:rFonts w:ascii="Arial" w:hAnsi="Arial"/>
                <w:b/>
                <w:color w:val="000000"/>
                <w:sz w:val="24"/>
                <w:szCs w:val="24"/>
              </w:rPr>
              <w:t>Proportion of Net Assets</w:t>
            </w:r>
          </w:p>
        </w:tc>
      </w:tr>
      <w:tr w:rsidR="001F3FCA" w:rsidRPr="0056192A" w14:paraId="5ED05633" w14:textId="77777777" w:rsidTr="0056192A">
        <w:tc>
          <w:tcPr>
            <w:tcW w:w="4219" w:type="dxa"/>
            <w:shd w:val="clear" w:color="auto" w:fill="auto"/>
          </w:tcPr>
          <w:p w14:paraId="02FF2131" w14:textId="77777777" w:rsidR="001F3FCA" w:rsidRPr="0056192A" w:rsidRDefault="001F3FCA" w:rsidP="0056192A">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p>
        </w:tc>
        <w:tc>
          <w:tcPr>
            <w:tcW w:w="1701" w:type="dxa"/>
            <w:shd w:val="clear" w:color="auto" w:fill="auto"/>
          </w:tcPr>
          <w:p w14:paraId="10A9159E" w14:textId="77777777" w:rsidR="001F3FCA" w:rsidRPr="0056192A" w:rsidRDefault="001F3FCA" w:rsidP="0056192A">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r w:rsidRPr="0056192A">
              <w:rPr>
                <w:rFonts w:ascii="Arial" w:hAnsi="Arial"/>
                <w:b/>
                <w:color w:val="000000"/>
                <w:sz w:val="24"/>
                <w:szCs w:val="24"/>
              </w:rPr>
              <w:t>£’000</w:t>
            </w:r>
          </w:p>
        </w:tc>
        <w:tc>
          <w:tcPr>
            <w:tcW w:w="1453" w:type="dxa"/>
            <w:shd w:val="clear" w:color="auto" w:fill="auto"/>
          </w:tcPr>
          <w:p w14:paraId="41AF0673" w14:textId="77777777" w:rsidR="001F3FCA" w:rsidRPr="0056192A" w:rsidRDefault="001F3FCA" w:rsidP="0056192A">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p>
        </w:tc>
        <w:tc>
          <w:tcPr>
            <w:tcW w:w="1533" w:type="dxa"/>
            <w:shd w:val="clear" w:color="auto" w:fill="auto"/>
          </w:tcPr>
          <w:p w14:paraId="72972F28" w14:textId="77777777" w:rsidR="001F3FCA" w:rsidRPr="0056192A" w:rsidRDefault="001F3FCA" w:rsidP="0056192A">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r w:rsidRPr="0056192A">
              <w:rPr>
                <w:rFonts w:ascii="Arial" w:hAnsi="Arial"/>
                <w:b/>
                <w:color w:val="000000"/>
                <w:sz w:val="24"/>
                <w:szCs w:val="24"/>
              </w:rPr>
              <w:t>£’000</w:t>
            </w:r>
          </w:p>
        </w:tc>
        <w:tc>
          <w:tcPr>
            <w:tcW w:w="1533" w:type="dxa"/>
            <w:shd w:val="clear" w:color="auto" w:fill="auto"/>
          </w:tcPr>
          <w:p w14:paraId="2CF91961" w14:textId="77777777" w:rsidR="001F3FCA" w:rsidRDefault="001F3FCA" w:rsidP="008B760E">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p>
          <w:p w14:paraId="6B4F5DDA" w14:textId="77777777" w:rsidR="008B760E" w:rsidRPr="0056192A" w:rsidRDefault="008B760E" w:rsidP="008B760E">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p>
        </w:tc>
      </w:tr>
      <w:tr w:rsidR="008544C2" w:rsidRPr="00D66A79" w14:paraId="52AD685D" w14:textId="77777777" w:rsidTr="0056192A">
        <w:tc>
          <w:tcPr>
            <w:tcW w:w="4219" w:type="dxa"/>
            <w:shd w:val="clear" w:color="auto" w:fill="auto"/>
          </w:tcPr>
          <w:p w14:paraId="7987D2D7"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r w:rsidRPr="00D66A79">
              <w:rPr>
                <w:rFonts w:ascii="Arial" w:hAnsi="Arial"/>
                <w:color w:val="000000"/>
                <w:sz w:val="24"/>
                <w:szCs w:val="24"/>
              </w:rPr>
              <w:t>Blackrock ACS Low Carbon Tracker</w:t>
            </w:r>
          </w:p>
        </w:tc>
        <w:tc>
          <w:tcPr>
            <w:tcW w:w="1701" w:type="dxa"/>
            <w:shd w:val="clear" w:color="auto" w:fill="auto"/>
          </w:tcPr>
          <w:p w14:paraId="6AB08D05"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sidRPr="00D66A79">
              <w:rPr>
                <w:rFonts w:ascii="Arial" w:hAnsi="Arial"/>
                <w:color w:val="000000"/>
                <w:sz w:val="24"/>
                <w:szCs w:val="24"/>
              </w:rPr>
              <w:t>605,237</w:t>
            </w:r>
          </w:p>
        </w:tc>
        <w:tc>
          <w:tcPr>
            <w:tcW w:w="1453" w:type="dxa"/>
            <w:shd w:val="clear" w:color="auto" w:fill="auto"/>
          </w:tcPr>
          <w:p w14:paraId="121EF008"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sidRPr="00D66A79">
              <w:rPr>
                <w:rFonts w:ascii="Arial" w:hAnsi="Arial"/>
                <w:color w:val="000000"/>
                <w:sz w:val="24"/>
                <w:szCs w:val="24"/>
              </w:rPr>
              <w:t>23.1%</w:t>
            </w:r>
          </w:p>
        </w:tc>
        <w:tc>
          <w:tcPr>
            <w:tcW w:w="1533" w:type="dxa"/>
            <w:shd w:val="clear" w:color="auto" w:fill="auto"/>
          </w:tcPr>
          <w:p w14:paraId="47EB1602" w14:textId="77777777" w:rsidR="008544C2" w:rsidRPr="00D66A79" w:rsidRDefault="00B26C17"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Pr>
                <w:rFonts w:ascii="Arial" w:hAnsi="Arial"/>
                <w:color w:val="000000"/>
                <w:sz w:val="24"/>
                <w:szCs w:val="24"/>
              </w:rPr>
              <w:t>702,440</w:t>
            </w:r>
          </w:p>
        </w:tc>
        <w:tc>
          <w:tcPr>
            <w:tcW w:w="1533" w:type="dxa"/>
            <w:shd w:val="clear" w:color="auto" w:fill="auto"/>
          </w:tcPr>
          <w:p w14:paraId="20B81FEC" w14:textId="77777777" w:rsidR="008544C2" w:rsidRPr="00D66A79" w:rsidRDefault="00B26C17"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Pr>
                <w:rFonts w:ascii="Arial" w:hAnsi="Arial"/>
                <w:color w:val="000000"/>
                <w:sz w:val="24"/>
                <w:szCs w:val="24"/>
              </w:rPr>
              <w:t>24.0%</w:t>
            </w:r>
          </w:p>
        </w:tc>
      </w:tr>
      <w:tr w:rsidR="008544C2" w:rsidRPr="00D66A79" w14:paraId="1E4E74F6" w14:textId="77777777" w:rsidTr="0056192A">
        <w:tc>
          <w:tcPr>
            <w:tcW w:w="4219" w:type="dxa"/>
            <w:shd w:val="clear" w:color="auto" w:fill="auto"/>
          </w:tcPr>
          <w:p w14:paraId="6189AA80"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r w:rsidRPr="00D66A79">
              <w:rPr>
                <w:rFonts w:ascii="Arial" w:hAnsi="Arial"/>
                <w:color w:val="000000"/>
                <w:sz w:val="24"/>
                <w:szCs w:val="24"/>
              </w:rPr>
              <w:t>Goldman Sachs Global Libor Plus 11</w:t>
            </w:r>
          </w:p>
        </w:tc>
        <w:tc>
          <w:tcPr>
            <w:tcW w:w="1701" w:type="dxa"/>
            <w:shd w:val="clear" w:color="auto" w:fill="auto"/>
          </w:tcPr>
          <w:p w14:paraId="795ECDDC"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sidRPr="00D66A79">
              <w:rPr>
                <w:rFonts w:ascii="Arial" w:hAnsi="Arial"/>
                <w:color w:val="000000"/>
                <w:sz w:val="24"/>
                <w:szCs w:val="24"/>
              </w:rPr>
              <w:t>-</w:t>
            </w:r>
          </w:p>
        </w:tc>
        <w:tc>
          <w:tcPr>
            <w:tcW w:w="1453" w:type="dxa"/>
            <w:shd w:val="clear" w:color="auto" w:fill="auto"/>
          </w:tcPr>
          <w:p w14:paraId="450C5733"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sidRPr="00D66A79">
              <w:rPr>
                <w:rFonts w:ascii="Arial" w:hAnsi="Arial"/>
                <w:color w:val="000000"/>
                <w:sz w:val="24"/>
                <w:szCs w:val="24"/>
              </w:rPr>
              <w:t>-</w:t>
            </w:r>
          </w:p>
        </w:tc>
        <w:tc>
          <w:tcPr>
            <w:tcW w:w="1533" w:type="dxa"/>
            <w:shd w:val="clear" w:color="auto" w:fill="auto"/>
          </w:tcPr>
          <w:p w14:paraId="057A171F"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p>
        </w:tc>
        <w:tc>
          <w:tcPr>
            <w:tcW w:w="1533" w:type="dxa"/>
            <w:shd w:val="clear" w:color="auto" w:fill="auto"/>
          </w:tcPr>
          <w:p w14:paraId="37D5C0B3"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p>
        </w:tc>
      </w:tr>
      <w:tr w:rsidR="008544C2" w:rsidRPr="00D66A79" w14:paraId="3E071A9B" w14:textId="77777777" w:rsidTr="0056192A">
        <w:tc>
          <w:tcPr>
            <w:tcW w:w="4219" w:type="dxa"/>
            <w:shd w:val="clear" w:color="auto" w:fill="auto"/>
          </w:tcPr>
          <w:p w14:paraId="42E9C45A"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r w:rsidRPr="00D66A79">
              <w:rPr>
                <w:rFonts w:ascii="Arial" w:hAnsi="Arial"/>
                <w:color w:val="000000"/>
                <w:sz w:val="24"/>
                <w:szCs w:val="24"/>
              </w:rPr>
              <w:t>WPP Global Opportunities Fund</w:t>
            </w:r>
          </w:p>
        </w:tc>
        <w:tc>
          <w:tcPr>
            <w:tcW w:w="1701" w:type="dxa"/>
            <w:shd w:val="clear" w:color="auto" w:fill="auto"/>
          </w:tcPr>
          <w:p w14:paraId="1D1E995F"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sidRPr="00D66A79">
              <w:rPr>
                <w:rFonts w:ascii="Arial" w:hAnsi="Arial"/>
                <w:color w:val="000000"/>
                <w:sz w:val="24"/>
                <w:szCs w:val="24"/>
              </w:rPr>
              <w:t>1,222,602</w:t>
            </w:r>
          </w:p>
        </w:tc>
        <w:tc>
          <w:tcPr>
            <w:tcW w:w="1453" w:type="dxa"/>
            <w:shd w:val="clear" w:color="auto" w:fill="auto"/>
          </w:tcPr>
          <w:p w14:paraId="39EEA1D6"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sidRPr="00D66A79">
              <w:rPr>
                <w:rFonts w:ascii="Arial" w:hAnsi="Arial"/>
                <w:color w:val="000000"/>
                <w:sz w:val="24"/>
                <w:szCs w:val="24"/>
              </w:rPr>
              <w:t>46.8%</w:t>
            </w:r>
          </w:p>
        </w:tc>
        <w:tc>
          <w:tcPr>
            <w:tcW w:w="1533" w:type="dxa"/>
            <w:shd w:val="clear" w:color="auto" w:fill="auto"/>
          </w:tcPr>
          <w:p w14:paraId="12C35DCB" w14:textId="77777777" w:rsidR="008544C2" w:rsidRPr="00D66A79" w:rsidRDefault="00B26C17"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Pr>
                <w:rFonts w:ascii="Arial" w:hAnsi="Arial"/>
                <w:color w:val="000000"/>
                <w:sz w:val="24"/>
                <w:szCs w:val="24"/>
              </w:rPr>
              <w:t>1,329,086</w:t>
            </w:r>
          </w:p>
        </w:tc>
        <w:tc>
          <w:tcPr>
            <w:tcW w:w="1533" w:type="dxa"/>
            <w:shd w:val="clear" w:color="auto" w:fill="auto"/>
          </w:tcPr>
          <w:p w14:paraId="6BF2006C" w14:textId="77777777" w:rsidR="008544C2" w:rsidRPr="00D66A79" w:rsidRDefault="00B26C17"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Pr>
                <w:rFonts w:ascii="Arial" w:hAnsi="Arial"/>
                <w:color w:val="000000"/>
                <w:sz w:val="24"/>
                <w:szCs w:val="24"/>
              </w:rPr>
              <w:t>45.4%</w:t>
            </w:r>
          </w:p>
        </w:tc>
      </w:tr>
    </w:tbl>
    <w:p w14:paraId="31949163" w14:textId="77777777" w:rsidR="001F3FCA" w:rsidRDefault="00AF7588" w:rsidP="00AF7588">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r w:rsidRPr="00D66A79">
        <w:rPr>
          <w:rFonts w:ascii="Arial" w:hAnsi="Arial"/>
          <w:color w:val="000000"/>
          <w:sz w:val="24"/>
          <w:szCs w:val="24"/>
        </w:rPr>
        <w:t xml:space="preserve">HarbourVest Private Equity Fund                   </w:t>
      </w:r>
      <w:r w:rsidR="008544C2" w:rsidRPr="00D66A79">
        <w:rPr>
          <w:rFonts w:ascii="Arial" w:hAnsi="Arial"/>
          <w:color w:val="000000"/>
          <w:sz w:val="24"/>
          <w:szCs w:val="24"/>
        </w:rPr>
        <w:t>140,311</w:t>
      </w:r>
      <w:r w:rsidR="008544C2" w:rsidRPr="00D66A79">
        <w:rPr>
          <w:rFonts w:ascii="Arial" w:hAnsi="Arial"/>
          <w:color w:val="000000"/>
          <w:sz w:val="24"/>
          <w:szCs w:val="24"/>
        </w:rPr>
        <w:tab/>
      </w:r>
      <w:r w:rsidR="008544C2">
        <w:rPr>
          <w:rFonts w:ascii="Arial" w:hAnsi="Arial"/>
          <w:color w:val="000000"/>
          <w:sz w:val="24"/>
          <w:szCs w:val="24"/>
        </w:rPr>
        <w:t xml:space="preserve">       </w:t>
      </w:r>
      <w:r w:rsidR="008544C2" w:rsidRPr="00D66A79">
        <w:rPr>
          <w:rFonts w:ascii="Arial" w:hAnsi="Arial"/>
          <w:color w:val="000000"/>
          <w:sz w:val="24"/>
          <w:szCs w:val="24"/>
        </w:rPr>
        <w:t>5.4</w:t>
      </w:r>
      <w:r w:rsidR="008544C2">
        <w:rPr>
          <w:rFonts w:ascii="Arial" w:hAnsi="Arial"/>
          <w:color w:val="000000"/>
          <w:sz w:val="24"/>
          <w:szCs w:val="24"/>
        </w:rPr>
        <w:t>%</w:t>
      </w:r>
      <w:r w:rsidRPr="00D66A79">
        <w:rPr>
          <w:rFonts w:ascii="Arial" w:hAnsi="Arial"/>
          <w:b/>
          <w:color w:val="000000"/>
          <w:sz w:val="24"/>
          <w:szCs w:val="24"/>
        </w:rPr>
        <w:t xml:space="preserve">        </w:t>
      </w:r>
      <w:r w:rsidR="00A65F67">
        <w:rPr>
          <w:rFonts w:ascii="Arial" w:hAnsi="Arial"/>
          <w:b/>
          <w:color w:val="000000"/>
          <w:sz w:val="24"/>
          <w:szCs w:val="24"/>
        </w:rPr>
        <w:t xml:space="preserve">  </w:t>
      </w:r>
      <w:r w:rsidRPr="00D66A79">
        <w:rPr>
          <w:rFonts w:ascii="Arial" w:hAnsi="Arial"/>
          <w:b/>
          <w:color w:val="000000"/>
          <w:sz w:val="24"/>
          <w:szCs w:val="24"/>
        </w:rPr>
        <w:t xml:space="preserve"> </w:t>
      </w:r>
      <w:r w:rsidRPr="00D66A79">
        <w:rPr>
          <w:rFonts w:ascii="Arial" w:hAnsi="Arial"/>
          <w:color w:val="000000"/>
          <w:sz w:val="24"/>
          <w:szCs w:val="24"/>
        </w:rPr>
        <w:tab/>
      </w:r>
      <w:r w:rsidR="00A65F67">
        <w:rPr>
          <w:rFonts w:ascii="Arial" w:hAnsi="Arial"/>
          <w:color w:val="000000"/>
          <w:sz w:val="24"/>
          <w:szCs w:val="24"/>
        </w:rPr>
        <w:t>149,025               5.1</w:t>
      </w:r>
      <w:r w:rsidR="00B26C17">
        <w:rPr>
          <w:rFonts w:ascii="Arial" w:hAnsi="Arial"/>
          <w:color w:val="000000"/>
          <w:sz w:val="24"/>
          <w:szCs w:val="24"/>
        </w:rPr>
        <w:t>%</w:t>
      </w:r>
    </w:p>
    <w:p w14:paraId="2B9A5E14" w14:textId="77777777" w:rsidR="001F3FCA" w:rsidRDefault="001F3FCA" w:rsidP="001F3FCA">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p>
    <w:p w14:paraId="5C17FA4F" w14:textId="77777777" w:rsidR="00DD248C" w:rsidRDefault="00DD248C" w:rsidP="005E4F16">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p>
    <w:p w14:paraId="1EEA88C2" w14:textId="77777777" w:rsidR="00DD248C" w:rsidRDefault="00DD248C" w:rsidP="005E4F16">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p>
    <w:p w14:paraId="268D4F13" w14:textId="77777777" w:rsidR="00F32FFA" w:rsidRDefault="00F32FFA" w:rsidP="005E4F16">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p>
    <w:p w14:paraId="161F4227" w14:textId="77777777" w:rsidR="00472A56" w:rsidRPr="00472A56" w:rsidRDefault="00472A56" w:rsidP="005E4F16">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r w:rsidRPr="002109FF">
        <w:rPr>
          <w:rFonts w:ascii="Arial" w:hAnsi="Arial"/>
          <w:b/>
          <w:color w:val="000000"/>
          <w:sz w:val="24"/>
          <w:szCs w:val="24"/>
        </w:rPr>
        <w:t>1</w:t>
      </w:r>
      <w:r w:rsidR="00E6618D">
        <w:rPr>
          <w:rFonts w:ascii="Arial" w:hAnsi="Arial"/>
          <w:b/>
          <w:color w:val="000000"/>
          <w:sz w:val="24"/>
          <w:szCs w:val="24"/>
        </w:rPr>
        <w:t>5</w:t>
      </w:r>
      <w:r w:rsidRPr="002109FF">
        <w:rPr>
          <w:rFonts w:ascii="Arial" w:hAnsi="Arial"/>
          <w:b/>
          <w:color w:val="000000"/>
          <w:sz w:val="24"/>
          <w:szCs w:val="24"/>
        </w:rPr>
        <w:t>.</w:t>
      </w:r>
      <w:r w:rsidRPr="00472A56">
        <w:rPr>
          <w:rFonts w:ascii="Arial" w:hAnsi="Arial"/>
          <w:b/>
          <w:color w:val="000000"/>
          <w:sz w:val="24"/>
          <w:szCs w:val="24"/>
        </w:rPr>
        <w:t xml:space="preserve"> </w:t>
      </w:r>
      <w:r>
        <w:rPr>
          <w:rFonts w:ascii="Arial" w:hAnsi="Arial"/>
          <w:b/>
          <w:color w:val="000000"/>
          <w:sz w:val="24"/>
          <w:szCs w:val="24"/>
        </w:rPr>
        <w:t xml:space="preserve">    </w:t>
      </w:r>
      <w:r w:rsidRPr="00472A56">
        <w:rPr>
          <w:rFonts w:ascii="Arial" w:hAnsi="Arial"/>
          <w:b/>
          <w:color w:val="000000"/>
          <w:sz w:val="24"/>
          <w:szCs w:val="24"/>
        </w:rPr>
        <w:t>Current Assets &amp; Liab</w:t>
      </w:r>
      <w:r>
        <w:rPr>
          <w:rFonts w:ascii="Arial" w:hAnsi="Arial"/>
          <w:b/>
          <w:color w:val="000000"/>
          <w:sz w:val="24"/>
          <w:szCs w:val="24"/>
        </w:rPr>
        <w:t>i</w:t>
      </w:r>
      <w:r w:rsidRPr="00472A56">
        <w:rPr>
          <w:rFonts w:ascii="Arial" w:hAnsi="Arial"/>
          <w:b/>
          <w:color w:val="000000"/>
          <w:sz w:val="24"/>
          <w:szCs w:val="24"/>
        </w:rPr>
        <w:t>lities</w:t>
      </w:r>
    </w:p>
    <w:p w14:paraId="48399920" w14:textId="77777777" w:rsidR="00646766" w:rsidRPr="00117F66" w:rsidRDefault="00646766" w:rsidP="005E4F16">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p>
    <w:p w14:paraId="64B43AFD" w14:textId="77777777" w:rsidR="002E24C5" w:rsidRPr="00117F66" w:rsidRDefault="002E24C5" w:rsidP="005E4F16">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sz w:val="24"/>
          <w:szCs w:val="24"/>
        </w:rPr>
      </w:pPr>
      <w:r w:rsidRPr="00117F66">
        <w:rPr>
          <w:rFonts w:ascii="Arial" w:hAnsi="Arial"/>
          <w:sz w:val="24"/>
          <w:szCs w:val="24"/>
        </w:rPr>
        <w:t>The amounts shown in the statement of Net Assets are comprised of:</w:t>
      </w:r>
    </w:p>
    <w:p w14:paraId="7147D7FF" w14:textId="77777777" w:rsidR="002E24C5" w:rsidRPr="00117F66" w:rsidRDefault="002E24C5"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rPr>
          <w:rFonts w:ascii="Arial" w:hAnsi="Arial"/>
          <w:sz w:val="24"/>
          <w:szCs w:val="24"/>
        </w:rPr>
      </w:pPr>
    </w:p>
    <w:tbl>
      <w:tblPr>
        <w:tblW w:w="0" w:type="auto"/>
        <w:jc w:val="center"/>
        <w:tblLayout w:type="fixed"/>
        <w:tblLook w:val="0000" w:firstRow="0" w:lastRow="0" w:firstColumn="0" w:lastColumn="0" w:noHBand="0" w:noVBand="0"/>
      </w:tblPr>
      <w:tblGrid>
        <w:gridCol w:w="1500"/>
        <w:gridCol w:w="5670"/>
        <w:gridCol w:w="1441"/>
      </w:tblGrid>
      <w:tr w:rsidR="002E24C5" w:rsidRPr="00117F66" w14:paraId="709AF8B5" w14:textId="77777777" w:rsidTr="00651633">
        <w:trPr>
          <w:jc w:val="center"/>
        </w:trPr>
        <w:tc>
          <w:tcPr>
            <w:tcW w:w="1500" w:type="dxa"/>
          </w:tcPr>
          <w:p w14:paraId="6C36348A" w14:textId="77777777" w:rsidR="002E24C5" w:rsidRDefault="007F6F33" w:rsidP="007F6F33">
            <w:pPr>
              <w:pStyle w:val="Header"/>
              <w:tabs>
                <w:tab w:val="clear" w:pos="4153"/>
                <w:tab w:val="clear" w:pos="8306"/>
                <w:tab w:val="left" w:pos="622"/>
                <w:tab w:val="right" w:pos="3732"/>
                <w:tab w:val="right" w:pos="4769"/>
                <w:tab w:val="right" w:pos="6220"/>
                <w:tab w:val="right" w:pos="7257"/>
              </w:tabs>
              <w:jc w:val="center"/>
              <w:rPr>
                <w:rFonts w:ascii="Arial" w:hAnsi="Arial"/>
                <w:b/>
                <w:sz w:val="24"/>
                <w:szCs w:val="24"/>
              </w:rPr>
            </w:pPr>
            <w:r>
              <w:rPr>
                <w:rFonts w:ascii="Arial" w:hAnsi="Arial"/>
                <w:b/>
                <w:sz w:val="24"/>
                <w:szCs w:val="24"/>
              </w:rPr>
              <w:t>31</w:t>
            </w:r>
            <w:r w:rsidRPr="007F6F33">
              <w:rPr>
                <w:rFonts w:ascii="Arial" w:hAnsi="Arial"/>
                <w:b/>
                <w:sz w:val="24"/>
                <w:szCs w:val="24"/>
                <w:vertAlign w:val="superscript"/>
              </w:rPr>
              <w:t>st</w:t>
            </w:r>
            <w:r>
              <w:rPr>
                <w:rFonts w:ascii="Arial" w:hAnsi="Arial"/>
                <w:b/>
                <w:sz w:val="24"/>
                <w:szCs w:val="24"/>
              </w:rPr>
              <w:t xml:space="preserve"> March </w:t>
            </w:r>
            <w:r w:rsidR="00236678">
              <w:rPr>
                <w:rFonts w:ascii="Arial" w:hAnsi="Arial"/>
                <w:b/>
                <w:sz w:val="24"/>
                <w:szCs w:val="24"/>
              </w:rPr>
              <w:t>20</w:t>
            </w:r>
            <w:r w:rsidR="002A3370">
              <w:rPr>
                <w:rFonts w:ascii="Arial" w:hAnsi="Arial"/>
                <w:b/>
                <w:sz w:val="24"/>
                <w:szCs w:val="24"/>
              </w:rPr>
              <w:t>2</w:t>
            </w:r>
            <w:r w:rsidR="00EB476D">
              <w:rPr>
                <w:rFonts w:ascii="Arial" w:hAnsi="Arial"/>
                <w:b/>
                <w:sz w:val="24"/>
                <w:szCs w:val="24"/>
              </w:rPr>
              <w:t>1</w:t>
            </w:r>
          </w:p>
          <w:p w14:paraId="768A8957" w14:textId="77777777" w:rsidR="00FA02A6" w:rsidRPr="00117F66" w:rsidRDefault="00FA02A6" w:rsidP="007F6F33">
            <w:pPr>
              <w:pStyle w:val="Header"/>
              <w:tabs>
                <w:tab w:val="clear" w:pos="4153"/>
                <w:tab w:val="clear" w:pos="8306"/>
                <w:tab w:val="left" w:pos="622"/>
                <w:tab w:val="right" w:pos="3732"/>
                <w:tab w:val="right" w:pos="4769"/>
                <w:tab w:val="right" w:pos="6220"/>
                <w:tab w:val="right" w:pos="7257"/>
              </w:tabs>
              <w:jc w:val="center"/>
              <w:rPr>
                <w:rFonts w:ascii="Arial" w:hAnsi="Arial"/>
                <w:b/>
                <w:sz w:val="24"/>
                <w:szCs w:val="24"/>
              </w:rPr>
            </w:pPr>
          </w:p>
        </w:tc>
        <w:tc>
          <w:tcPr>
            <w:tcW w:w="5670" w:type="dxa"/>
          </w:tcPr>
          <w:p w14:paraId="3BC3CE82" w14:textId="77777777" w:rsidR="002E24C5" w:rsidRPr="00117F66" w:rsidRDefault="002E24C5" w:rsidP="005E4F16">
            <w:pPr>
              <w:pStyle w:val="Header"/>
              <w:tabs>
                <w:tab w:val="clear" w:pos="4153"/>
                <w:tab w:val="clear" w:pos="8306"/>
                <w:tab w:val="left" w:pos="622"/>
                <w:tab w:val="right" w:pos="3732"/>
                <w:tab w:val="right" w:pos="4769"/>
                <w:tab w:val="right" w:pos="6220"/>
                <w:tab w:val="right" w:pos="7257"/>
              </w:tabs>
              <w:jc w:val="right"/>
              <w:rPr>
                <w:rFonts w:ascii="Arial" w:hAnsi="Arial"/>
                <w:b/>
                <w:i/>
                <w:sz w:val="24"/>
                <w:szCs w:val="24"/>
              </w:rPr>
            </w:pPr>
          </w:p>
        </w:tc>
        <w:tc>
          <w:tcPr>
            <w:tcW w:w="1441" w:type="dxa"/>
          </w:tcPr>
          <w:p w14:paraId="61D62D76" w14:textId="77777777" w:rsidR="002E24C5" w:rsidRPr="00117F66" w:rsidRDefault="007F6F33" w:rsidP="00EB476D">
            <w:pPr>
              <w:pStyle w:val="Header"/>
              <w:tabs>
                <w:tab w:val="clear" w:pos="4153"/>
                <w:tab w:val="clear" w:pos="8306"/>
                <w:tab w:val="left" w:pos="622"/>
                <w:tab w:val="right" w:pos="3732"/>
                <w:tab w:val="right" w:pos="4769"/>
                <w:tab w:val="right" w:pos="6220"/>
                <w:tab w:val="right" w:pos="7257"/>
              </w:tabs>
              <w:jc w:val="center"/>
              <w:rPr>
                <w:rFonts w:ascii="Arial" w:hAnsi="Arial"/>
                <w:b/>
                <w:sz w:val="24"/>
                <w:szCs w:val="24"/>
              </w:rPr>
            </w:pPr>
            <w:r>
              <w:rPr>
                <w:rFonts w:ascii="Arial" w:hAnsi="Arial"/>
                <w:b/>
                <w:sz w:val="24"/>
                <w:szCs w:val="24"/>
              </w:rPr>
              <w:t>31</w:t>
            </w:r>
            <w:r w:rsidRPr="007F6F33">
              <w:rPr>
                <w:rFonts w:ascii="Arial" w:hAnsi="Arial"/>
                <w:b/>
                <w:sz w:val="24"/>
                <w:szCs w:val="24"/>
                <w:vertAlign w:val="superscript"/>
              </w:rPr>
              <w:t>st</w:t>
            </w:r>
            <w:r>
              <w:rPr>
                <w:rFonts w:ascii="Arial" w:hAnsi="Arial"/>
                <w:b/>
                <w:sz w:val="24"/>
                <w:szCs w:val="24"/>
              </w:rPr>
              <w:t xml:space="preserve"> March 20</w:t>
            </w:r>
            <w:r w:rsidR="00236678">
              <w:rPr>
                <w:rFonts w:ascii="Arial" w:hAnsi="Arial"/>
                <w:b/>
                <w:sz w:val="24"/>
                <w:szCs w:val="24"/>
              </w:rPr>
              <w:t>2</w:t>
            </w:r>
            <w:r w:rsidR="00EB476D">
              <w:rPr>
                <w:rFonts w:ascii="Arial" w:hAnsi="Arial"/>
                <w:b/>
                <w:sz w:val="24"/>
                <w:szCs w:val="24"/>
              </w:rPr>
              <w:t>2</w:t>
            </w:r>
          </w:p>
        </w:tc>
      </w:tr>
      <w:tr w:rsidR="002E24C5" w:rsidRPr="00117F66" w14:paraId="49DF16A4" w14:textId="77777777" w:rsidTr="00651633">
        <w:trPr>
          <w:jc w:val="center"/>
        </w:trPr>
        <w:tc>
          <w:tcPr>
            <w:tcW w:w="1500" w:type="dxa"/>
          </w:tcPr>
          <w:p w14:paraId="044426BA" w14:textId="77777777" w:rsidR="002E24C5" w:rsidRPr="00117F66" w:rsidRDefault="002E24C5" w:rsidP="005E4F16">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sidRPr="00117F66">
              <w:rPr>
                <w:rFonts w:ascii="Arial" w:hAnsi="Arial"/>
                <w:b/>
                <w:sz w:val="24"/>
                <w:szCs w:val="24"/>
              </w:rPr>
              <w:t>£’000</w:t>
            </w:r>
          </w:p>
        </w:tc>
        <w:tc>
          <w:tcPr>
            <w:tcW w:w="5670" w:type="dxa"/>
          </w:tcPr>
          <w:p w14:paraId="458E617F" w14:textId="77777777" w:rsidR="002E24C5" w:rsidRPr="00117F66" w:rsidRDefault="002E24C5" w:rsidP="005E4F16">
            <w:pPr>
              <w:pStyle w:val="Header"/>
              <w:tabs>
                <w:tab w:val="clear" w:pos="4153"/>
                <w:tab w:val="clear" w:pos="8306"/>
                <w:tab w:val="left" w:pos="622"/>
                <w:tab w:val="right" w:pos="3732"/>
                <w:tab w:val="right" w:pos="4769"/>
                <w:tab w:val="right" w:pos="6220"/>
                <w:tab w:val="right" w:pos="7257"/>
              </w:tabs>
              <w:jc w:val="right"/>
              <w:rPr>
                <w:rFonts w:ascii="Arial" w:hAnsi="Arial"/>
                <w:b/>
                <w:i/>
                <w:sz w:val="24"/>
                <w:szCs w:val="24"/>
              </w:rPr>
            </w:pPr>
          </w:p>
        </w:tc>
        <w:tc>
          <w:tcPr>
            <w:tcW w:w="1441" w:type="dxa"/>
          </w:tcPr>
          <w:p w14:paraId="023F1A42" w14:textId="77777777" w:rsidR="002E24C5" w:rsidRPr="00117F66" w:rsidRDefault="002E24C5" w:rsidP="005E4F16">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sidRPr="00117F66">
              <w:rPr>
                <w:rFonts w:ascii="Arial" w:hAnsi="Arial"/>
                <w:b/>
                <w:sz w:val="24"/>
                <w:szCs w:val="24"/>
              </w:rPr>
              <w:t>£’000</w:t>
            </w:r>
          </w:p>
        </w:tc>
      </w:tr>
      <w:tr w:rsidR="002E24C5" w:rsidRPr="00117F66" w14:paraId="41BDBFC7" w14:textId="77777777" w:rsidTr="00651633">
        <w:trPr>
          <w:jc w:val="center"/>
        </w:trPr>
        <w:tc>
          <w:tcPr>
            <w:tcW w:w="1500" w:type="dxa"/>
          </w:tcPr>
          <w:p w14:paraId="0E74620F" w14:textId="77777777" w:rsidR="002E24C5" w:rsidRPr="00117F66" w:rsidRDefault="002E24C5" w:rsidP="005E4F16">
            <w:pPr>
              <w:pStyle w:val="Header"/>
              <w:tabs>
                <w:tab w:val="clear" w:pos="4153"/>
                <w:tab w:val="clear" w:pos="8306"/>
                <w:tab w:val="left" w:pos="622"/>
                <w:tab w:val="right" w:pos="3732"/>
                <w:tab w:val="right" w:pos="4769"/>
                <w:tab w:val="right" w:pos="6220"/>
                <w:tab w:val="right" w:pos="7257"/>
              </w:tabs>
              <w:jc w:val="right"/>
              <w:rPr>
                <w:rFonts w:ascii="Arial" w:hAnsi="Arial"/>
                <w:i/>
                <w:sz w:val="24"/>
                <w:szCs w:val="24"/>
              </w:rPr>
            </w:pPr>
          </w:p>
        </w:tc>
        <w:tc>
          <w:tcPr>
            <w:tcW w:w="5670" w:type="dxa"/>
          </w:tcPr>
          <w:p w14:paraId="21E280B7" w14:textId="77777777" w:rsidR="002E24C5" w:rsidRPr="00117F66" w:rsidRDefault="002E24C5" w:rsidP="005E4F16">
            <w:pPr>
              <w:pStyle w:val="Header"/>
              <w:tabs>
                <w:tab w:val="clear" w:pos="4153"/>
                <w:tab w:val="clear" w:pos="8306"/>
                <w:tab w:val="left" w:pos="622"/>
                <w:tab w:val="right" w:pos="3732"/>
                <w:tab w:val="right" w:pos="4769"/>
                <w:tab w:val="right" w:pos="6220"/>
                <w:tab w:val="right" w:pos="7257"/>
              </w:tabs>
              <w:rPr>
                <w:rFonts w:ascii="Arial" w:hAnsi="Arial"/>
                <w:b/>
                <w:sz w:val="24"/>
                <w:szCs w:val="24"/>
              </w:rPr>
            </w:pPr>
            <w:r w:rsidRPr="00117F66">
              <w:rPr>
                <w:rFonts w:ascii="Arial" w:hAnsi="Arial"/>
                <w:b/>
                <w:sz w:val="24"/>
                <w:szCs w:val="24"/>
              </w:rPr>
              <w:t>Current Assets</w:t>
            </w:r>
          </w:p>
        </w:tc>
        <w:tc>
          <w:tcPr>
            <w:tcW w:w="1441" w:type="dxa"/>
          </w:tcPr>
          <w:p w14:paraId="0970A6DA" w14:textId="77777777" w:rsidR="002E24C5" w:rsidRPr="00117F66" w:rsidRDefault="002E24C5" w:rsidP="005E4F16">
            <w:pPr>
              <w:pStyle w:val="Header"/>
              <w:tabs>
                <w:tab w:val="clear" w:pos="4153"/>
                <w:tab w:val="clear" w:pos="8306"/>
                <w:tab w:val="left" w:pos="622"/>
                <w:tab w:val="right" w:pos="3732"/>
                <w:tab w:val="right" w:pos="4769"/>
                <w:tab w:val="right" w:pos="6220"/>
                <w:tab w:val="right" w:pos="7257"/>
              </w:tabs>
              <w:jc w:val="right"/>
              <w:rPr>
                <w:rFonts w:ascii="Arial" w:hAnsi="Arial"/>
                <w:i/>
                <w:sz w:val="24"/>
                <w:szCs w:val="24"/>
              </w:rPr>
            </w:pPr>
          </w:p>
        </w:tc>
      </w:tr>
      <w:tr w:rsidR="00EB476D" w:rsidRPr="00117F66" w14:paraId="425E0237" w14:textId="77777777" w:rsidTr="00651633">
        <w:trPr>
          <w:jc w:val="center"/>
        </w:trPr>
        <w:tc>
          <w:tcPr>
            <w:tcW w:w="1500" w:type="dxa"/>
          </w:tcPr>
          <w:p w14:paraId="2773132E"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745</w:t>
            </w:r>
          </w:p>
        </w:tc>
        <w:tc>
          <w:tcPr>
            <w:tcW w:w="5670" w:type="dxa"/>
          </w:tcPr>
          <w:p w14:paraId="04B3960B"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sidRPr="00117F66">
              <w:rPr>
                <w:rFonts w:ascii="Arial" w:hAnsi="Arial"/>
                <w:sz w:val="24"/>
                <w:szCs w:val="24"/>
              </w:rPr>
              <w:t>Contributions</w:t>
            </w:r>
            <w:r>
              <w:rPr>
                <w:rFonts w:ascii="Arial" w:hAnsi="Arial"/>
                <w:sz w:val="24"/>
                <w:szCs w:val="24"/>
              </w:rPr>
              <w:t xml:space="preserve"> - Employees</w:t>
            </w:r>
          </w:p>
        </w:tc>
        <w:tc>
          <w:tcPr>
            <w:tcW w:w="1441" w:type="dxa"/>
          </w:tcPr>
          <w:p w14:paraId="788FDEA9" w14:textId="77777777" w:rsidR="00EB476D" w:rsidRPr="00117F66" w:rsidRDefault="005B2EC5"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900</w:t>
            </w:r>
          </w:p>
        </w:tc>
      </w:tr>
      <w:tr w:rsidR="00EB476D" w:rsidRPr="00117F66" w14:paraId="76F30372" w14:textId="77777777" w:rsidTr="00651633">
        <w:trPr>
          <w:jc w:val="center"/>
        </w:trPr>
        <w:tc>
          <w:tcPr>
            <w:tcW w:w="1500" w:type="dxa"/>
          </w:tcPr>
          <w:p w14:paraId="2B87C588" w14:textId="77777777" w:rsidR="00EB476D"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3,081</w:t>
            </w:r>
          </w:p>
        </w:tc>
        <w:tc>
          <w:tcPr>
            <w:tcW w:w="5670" w:type="dxa"/>
          </w:tcPr>
          <w:p w14:paraId="12B1CC2C"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hAnsi="Arial"/>
                <w:sz w:val="24"/>
                <w:szCs w:val="24"/>
              </w:rPr>
              <w:t>Contributions – Employers</w:t>
            </w:r>
          </w:p>
        </w:tc>
        <w:tc>
          <w:tcPr>
            <w:tcW w:w="1441" w:type="dxa"/>
          </w:tcPr>
          <w:p w14:paraId="49F27EB0" w14:textId="77777777" w:rsidR="00EB476D" w:rsidRDefault="005B2EC5"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3,656</w:t>
            </w:r>
          </w:p>
        </w:tc>
      </w:tr>
      <w:tr w:rsidR="00EB476D" w:rsidRPr="00117F66" w14:paraId="390FD449" w14:textId="77777777" w:rsidTr="00651633">
        <w:trPr>
          <w:jc w:val="center"/>
        </w:trPr>
        <w:tc>
          <w:tcPr>
            <w:tcW w:w="1500" w:type="dxa"/>
          </w:tcPr>
          <w:p w14:paraId="63D820A0"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636</w:t>
            </w:r>
          </w:p>
        </w:tc>
        <w:tc>
          <w:tcPr>
            <w:tcW w:w="5670" w:type="dxa"/>
          </w:tcPr>
          <w:p w14:paraId="75688FD6"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hAnsi="Arial"/>
                <w:sz w:val="24"/>
                <w:szCs w:val="24"/>
              </w:rPr>
              <w:t>Early Access Contributions Debtor</w:t>
            </w:r>
          </w:p>
        </w:tc>
        <w:tc>
          <w:tcPr>
            <w:tcW w:w="1441" w:type="dxa"/>
          </w:tcPr>
          <w:p w14:paraId="4762EC4B" w14:textId="77777777" w:rsidR="00EB476D" w:rsidRPr="00117F66" w:rsidRDefault="005B2EC5"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661</w:t>
            </w:r>
          </w:p>
        </w:tc>
      </w:tr>
      <w:tr w:rsidR="00EB476D" w:rsidRPr="00117F66" w14:paraId="7BFAF38F" w14:textId="77777777" w:rsidTr="00651633">
        <w:trPr>
          <w:jc w:val="center"/>
        </w:trPr>
        <w:tc>
          <w:tcPr>
            <w:tcW w:w="1500" w:type="dxa"/>
          </w:tcPr>
          <w:p w14:paraId="2F4FC299" w14:textId="77777777" w:rsidR="00EB476D"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282</w:t>
            </w:r>
          </w:p>
        </w:tc>
        <w:tc>
          <w:tcPr>
            <w:tcW w:w="5670" w:type="dxa"/>
          </w:tcPr>
          <w:p w14:paraId="21E92566" w14:textId="77777777" w:rsidR="00EB476D" w:rsidRDefault="00EB476D"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hAnsi="Arial"/>
                <w:sz w:val="24"/>
                <w:szCs w:val="24"/>
              </w:rPr>
              <w:t>Transfer Values</w:t>
            </w:r>
          </w:p>
        </w:tc>
        <w:tc>
          <w:tcPr>
            <w:tcW w:w="1441" w:type="dxa"/>
          </w:tcPr>
          <w:p w14:paraId="084C8E47" w14:textId="77777777" w:rsidR="00EB476D" w:rsidRDefault="005B2EC5"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488</w:t>
            </w:r>
          </w:p>
        </w:tc>
      </w:tr>
      <w:tr w:rsidR="00EB476D" w:rsidRPr="00117F66" w14:paraId="1A1A45F6" w14:textId="77777777" w:rsidTr="00651633">
        <w:trPr>
          <w:jc w:val="center"/>
        </w:trPr>
        <w:tc>
          <w:tcPr>
            <w:tcW w:w="1500" w:type="dxa"/>
          </w:tcPr>
          <w:p w14:paraId="655EB6DF"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2,512</w:t>
            </w:r>
          </w:p>
        </w:tc>
        <w:tc>
          <w:tcPr>
            <w:tcW w:w="5670" w:type="dxa"/>
          </w:tcPr>
          <w:p w14:paraId="7D9A8803"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sidRPr="00117F66">
              <w:rPr>
                <w:rFonts w:ascii="Arial" w:hAnsi="Arial"/>
                <w:sz w:val="24"/>
                <w:szCs w:val="24"/>
              </w:rPr>
              <w:t>Other</w:t>
            </w:r>
            <w:r w:rsidRPr="00117F66">
              <w:rPr>
                <w:rFonts w:ascii="Arial" w:hAnsi="Arial"/>
                <w:sz w:val="24"/>
                <w:szCs w:val="24"/>
              </w:rPr>
              <w:tab/>
            </w:r>
          </w:p>
        </w:tc>
        <w:tc>
          <w:tcPr>
            <w:tcW w:w="1441" w:type="dxa"/>
          </w:tcPr>
          <w:p w14:paraId="2C60D6B9" w14:textId="77777777" w:rsidR="00EB476D" w:rsidRPr="00117F66" w:rsidRDefault="005B2EC5"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981</w:t>
            </w:r>
          </w:p>
        </w:tc>
      </w:tr>
      <w:tr w:rsidR="00EB476D" w:rsidRPr="00117F66" w14:paraId="78F2AAC0" w14:textId="77777777" w:rsidTr="00651633">
        <w:trPr>
          <w:jc w:val="center"/>
        </w:trPr>
        <w:tc>
          <w:tcPr>
            <w:tcW w:w="1500" w:type="dxa"/>
            <w:tcBorders>
              <w:top w:val="single" w:sz="6" w:space="0" w:color="auto"/>
              <w:bottom w:val="single" w:sz="6" w:space="0" w:color="auto"/>
            </w:tcBorders>
          </w:tcPr>
          <w:p w14:paraId="7CFA9E2B"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hAnsi="Arial"/>
                <w:b/>
                <w:sz w:val="24"/>
                <w:szCs w:val="24"/>
              </w:rPr>
              <w:t>7,256</w:t>
            </w:r>
          </w:p>
        </w:tc>
        <w:tc>
          <w:tcPr>
            <w:tcW w:w="5670" w:type="dxa"/>
          </w:tcPr>
          <w:p w14:paraId="3592D37B"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b/>
                <w:sz w:val="24"/>
                <w:szCs w:val="24"/>
              </w:rPr>
            </w:pPr>
          </w:p>
        </w:tc>
        <w:tc>
          <w:tcPr>
            <w:tcW w:w="1441" w:type="dxa"/>
            <w:tcBorders>
              <w:top w:val="single" w:sz="6" w:space="0" w:color="auto"/>
              <w:bottom w:val="single" w:sz="6" w:space="0" w:color="auto"/>
            </w:tcBorders>
          </w:tcPr>
          <w:p w14:paraId="5CC7D2E6" w14:textId="77777777" w:rsidR="00EB476D" w:rsidRPr="00117F66" w:rsidRDefault="005B2EC5"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hAnsi="Arial"/>
                <w:b/>
                <w:sz w:val="24"/>
                <w:szCs w:val="24"/>
              </w:rPr>
              <w:t>6,686</w:t>
            </w:r>
          </w:p>
        </w:tc>
      </w:tr>
      <w:tr w:rsidR="0077529E" w:rsidRPr="00117F66" w14:paraId="4F1DAFB0" w14:textId="77777777" w:rsidTr="00651633">
        <w:trPr>
          <w:jc w:val="center"/>
        </w:trPr>
        <w:tc>
          <w:tcPr>
            <w:tcW w:w="1500" w:type="dxa"/>
            <w:tcBorders>
              <w:top w:val="single" w:sz="6" w:space="0" w:color="auto"/>
            </w:tcBorders>
          </w:tcPr>
          <w:p w14:paraId="108D88DB" w14:textId="77777777" w:rsidR="0077529E" w:rsidRDefault="0077529E" w:rsidP="003C3089">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p>
        </w:tc>
        <w:tc>
          <w:tcPr>
            <w:tcW w:w="5670" w:type="dxa"/>
          </w:tcPr>
          <w:p w14:paraId="20C7EBD6" w14:textId="77777777" w:rsidR="0077529E" w:rsidRPr="00117F66" w:rsidRDefault="0077529E" w:rsidP="005E4F16">
            <w:pPr>
              <w:pStyle w:val="Header"/>
              <w:tabs>
                <w:tab w:val="clear" w:pos="4153"/>
                <w:tab w:val="clear" w:pos="8306"/>
                <w:tab w:val="left" w:pos="622"/>
                <w:tab w:val="right" w:pos="3732"/>
                <w:tab w:val="right" w:pos="4769"/>
                <w:tab w:val="right" w:pos="6220"/>
                <w:tab w:val="right" w:pos="7257"/>
              </w:tabs>
              <w:rPr>
                <w:rFonts w:ascii="Arial" w:hAnsi="Arial"/>
                <w:b/>
                <w:sz w:val="24"/>
                <w:szCs w:val="24"/>
              </w:rPr>
            </w:pPr>
          </w:p>
        </w:tc>
        <w:tc>
          <w:tcPr>
            <w:tcW w:w="1441" w:type="dxa"/>
            <w:tcBorders>
              <w:top w:val="single" w:sz="6" w:space="0" w:color="auto"/>
            </w:tcBorders>
          </w:tcPr>
          <w:p w14:paraId="30AF4603" w14:textId="77777777" w:rsidR="0077529E" w:rsidRDefault="0077529E" w:rsidP="005E4F16">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p>
        </w:tc>
      </w:tr>
      <w:tr w:rsidR="0077529E" w:rsidRPr="00117F66" w14:paraId="70517BA7" w14:textId="77777777" w:rsidTr="00651633">
        <w:trPr>
          <w:trHeight w:val="177"/>
          <w:jc w:val="center"/>
        </w:trPr>
        <w:tc>
          <w:tcPr>
            <w:tcW w:w="1500" w:type="dxa"/>
          </w:tcPr>
          <w:p w14:paraId="40E9E188" w14:textId="77777777" w:rsidR="0077529E" w:rsidRPr="00117F66" w:rsidRDefault="0077529E" w:rsidP="003C3089">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p>
        </w:tc>
        <w:tc>
          <w:tcPr>
            <w:tcW w:w="5670" w:type="dxa"/>
          </w:tcPr>
          <w:p w14:paraId="677DFC24" w14:textId="77777777" w:rsidR="0077529E" w:rsidRPr="00117F66" w:rsidRDefault="0077529E" w:rsidP="005E4F16">
            <w:pPr>
              <w:pStyle w:val="Header"/>
              <w:tabs>
                <w:tab w:val="clear" w:pos="4153"/>
                <w:tab w:val="clear" w:pos="8306"/>
                <w:tab w:val="left" w:pos="622"/>
                <w:tab w:val="right" w:pos="3732"/>
                <w:tab w:val="right" w:pos="4769"/>
                <w:tab w:val="right" w:pos="6220"/>
                <w:tab w:val="right" w:pos="7257"/>
              </w:tabs>
              <w:rPr>
                <w:rFonts w:ascii="Arial" w:hAnsi="Arial"/>
                <w:b/>
                <w:sz w:val="24"/>
                <w:szCs w:val="24"/>
              </w:rPr>
            </w:pPr>
            <w:r w:rsidRPr="00117F66">
              <w:rPr>
                <w:rFonts w:ascii="Arial" w:hAnsi="Arial"/>
                <w:b/>
                <w:sz w:val="24"/>
                <w:szCs w:val="24"/>
              </w:rPr>
              <w:t>Current Liabilities</w:t>
            </w:r>
            <w:r w:rsidRPr="00117F66">
              <w:rPr>
                <w:rFonts w:ascii="Arial" w:hAnsi="Arial"/>
                <w:b/>
                <w:sz w:val="24"/>
                <w:szCs w:val="24"/>
              </w:rPr>
              <w:tab/>
            </w:r>
          </w:p>
        </w:tc>
        <w:tc>
          <w:tcPr>
            <w:tcW w:w="1441" w:type="dxa"/>
          </w:tcPr>
          <w:p w14:paraId="673ED3D5" w14:textId="77777777" w:rsidR="0077529E" w:rsidRPr="00117F66" w:rsidRDefault="0077529E" w:rsidP="005E4F16">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p>
        </w:tc>
      </w:tr>
      <w:tr w:rsidR="00EB476D" w:rsidRPr="00117F66" w14:paraId="4DC589EE" w14:textId="77777777" w:rsidTr="00651633">
        <w:trPr>
          <w:jc w:val="center"/>
        </w:trPr>
        <w:tc>
          <w:tcPr>
            <w:tcW w:w="1500" w:type="dxa"/>
          </w:tcPr>
          <w:p w14:paraId="01019761"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-108</w:t>
            </w:r>
          </w:p>
        </w:tc>
        <w:tc>
          <w:tcPr>
            <w:tcW w:w="5670" w:type="dxa"/>
          </w:tcPr>
          <w:p w14:paraId="35191252"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sidRPr="00117F66">
              <w:rPr>
                <w:rFonts w:ascii="Arial" w:hAnsi="Arial"/>
                <w:sz w:val="24"/>
                <w:szCs w:val="24"/>
              </w:rPr>
              <w:t>Investment Management Expenses</w:t>
            </w:r>
          </w:p>
        </w:tc>
        <w:tc>
          <w:tcPr>
            <w:tcW w:w="1441" w:type="dxa"/>
          </w:tcPr>
          <w:p w14:paraId="1DE0A278" w14:textId="77777777" w:rsidR="00EB476D" w:rsidRPr="00117F66" w:rsidRDefault="005B2EC5"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-89</w:t>
            </w:r>
          </w:p>
        </w:tc>
      </w:tr>
      <w:tr w:rsidR="00EB476D" w:rsidRPr="00117F66" w14:paraId="0915EC32" w14:textId="77777777" w:rsidTr="00651633">
        <w:trPr>
          <w:jc w:val="center"/>
        </w:trPr>
        <w:tc>
          <w:tcPr>
            <w:tcW w:w="1500" w:type="dxa"/>
          </w:tcPr>
          <w:p w14:paraId="2E4957BA"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-824</w:t>
            </w:r>
          </w:p>
        </w:tc>
        <w:tc>
          <w:tcPr>
            <w:tcW w:w="5670" w:type="dxa"/>
          </w:tcPr>
          <w:p w14:paraId="4EB737B6"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hAnsi="Arial"/>
                <w:sz w:val="24"/>
                <w:szCs w:val="24"/>
              </w:rPr>
              <w:t>Commutation and Lump Sum Retirement Benefits</w:t>
            </w:r>
          </w:p>
        </w:tc>
        <w:tc>
          <w:tcPr>
            <w:tcW w:w="1441" w:type="dxa"/>
          </w:tcPr>
          <w:p w14:paraId="65E12359" w14:textId="77777777" w:rsidR="00EB476D" w:rsidRPr="00117F66" w:rsidRDefault="005B2EC5"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-1,585</w:t>
            </w:r>
          </w:p>
        </w:tc>
      </w:tr>
      <w:tr w:rsidR="00EB476D" w:rsidRPr="00117F66" w14:paraId="32D11B58" w14:textId="77777777" w:rsidTr="00651633">
        <w:trPr>
          <w:jc w:val="center"/>
        </w:trPr>
        <w:tc>
          <w:tcPr>
            <w:tcW w:w="1500" w:type="dxa"/>
          </w:tcPr>
          <w:p w14:paraId="2912EBFE"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-313</w:t>
            </w:r>
          </w:p>
        </w:tc>
        <w:tc>
          <w:tcPr>
            <w:tcW w:w="5670" w:type="dxa"/>
          </w:tcPr>
          <w:p w14:paraId="55F44118"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hAnsi="Arial"/>
                <w:sz w:val="24"/>
                <w:szCs w:val="24"/>
              </w:rPr>
              <w:t>Lump Sum Death Benefits</w:t>
            </w:r>
          </w:p>
        </w:tc>
        <w:tc>
          <w:tcPr>
            <w:tcW w:w="1441" w:type="dxa"/>
          </w:tcPr>
          <w:p w14:paraId="16721D0C" w14:textId="77777777" w:rsidR="00EB476D" w:rsidRPr="00117F66" w:rsidRDefault="005B2EC5"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-322</w:t>
            </w:r>
          </w:p>
        </w:tc>
      </w:tr>
      <w:tr w:rsidR="00EB476D" w:rsidRPr="00117F66" w14:paraId="327A6B8D" w14:textId="77777777" w:rsidTr="00651633">
        <w:trPr>
          <w:jc w:val="center"/>
        </w:trPr>
        <w:tc>
          <w:tcPr>
            <w:tcW w:w="1500" w:type="dxa"/>
          </w:tcPr>
          <w:p w14:paraId="1B12CB79" w14:textId="77777777" w:rsidR="00EB476D"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-317</w:t>
            </w:r>
          </w:p>
        </w:tc>
        <w:tc>
          <w:tcPr>
            <w:tcW w:w="5670" w:type="dxa"/>
          </w:tcPr>
          <w:p w14:paraId="3B14A5E4" w14:textId="77777777" w:rsidR="00EB476D" w:rsidRDefault="00EB476D"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hAnsi="Arial"/>
                <w:sz w:val="24"/>
                <w:szCs w:val="24"/>
              </w:rPr>
              <w:t>Transfers to Other Schemes</w:t>
            </w:r>
          </w:p>
        </w:tc>
        <w:tc>
          <w:tcPr>
            <w:tcW w:w="1441" w:type="dxa"/>
          </w:tcPr>
          <w:p w14:paraId="222CF9DE" w14:textId="77777777" w:rsidR="00EB476D" w:rsidRDefault="005B2EC5"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-601</w:t>
            </w:r>
          </w:p>
        </w:tc>
      </w:tr>
      <w:tr w:rsidR="00EB476D" w:rsidRPr="00117F66" w14:paraId="40FD9B13" w14:textId="77777777" w:rsidTr="00651633">
        <w:trPr>
          <w:jc w:val="center"/>
        </w:trPr>
        <w:tc>
          <w:tcPr>
            <w:tcW w:w="1500" w:type="dxa"/>
          </w:tcPr>
          <w:p w14:paraId="1D7CD904" w14:textId="77777777" w:rsidR="00EB476D"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-671</w:t>
            </w:r>
          </w:p>
        </w:tc>
        <w:tc>
          <w:tcPr>
            <w:tcW w:w="5670" w:type="dxa"/>
          </w:tcPr>
          <w:p w14:paraId="599E2B4B" w14:textId="77777777" w:rsidR="00EB476D" w:rsidRDefault="00EB476D"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hAnsi="Arial"/>
                <w:sz w:val="24"/>
                <w:szCs w:val="24"/>
              </w:rPr>
              <w:t>Payroll Deductions - Tax</w:t>
            </w:r>
          </w:p>
        </w:tc>
        <w:tc>
          <w:tcPr>
            <w:tcW w:w="1441" w:type="dxa"/>
          </w:tcPr>
          <w:p w14:paraId="23EFC8F8" w14:textId="77777777" w:rsidR="00EB476D" w:rsidRDefault="005B2EC5"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-705</w:t>
            </w:r>
          </w:p>
        </w:tc>
      </w:tr>
      <w:tr w:rsidR="00EB476D" w:rsidRPr="00117F66" w14:paraId="499D8BCB" w14:textId="77777777" w:rsidTr="00651633">
        <w:trPr>
          <w:jc w:val="center"/>
        </w:trPr>
        <w:tc>
          <w:tcPr>
            <w:tcW w:w="1500" w:type="dxa"/>
          </w:tcPr>
          <w:p w14:paraId="5C32FE98"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-541</w:t>
            </w:r>
          </w:p>
        </w:tc>
        <w:tc>
          <w:tcPr>
            <w:tcW w:w="5670" w:type="dxa"/>
          </w:tcPr>
          <w:p w14:paraId="2B5DED21"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hAnsi="Arial"/>
                <w:sz w:val="24"/>
                <w:szCs w:val="24"/>
              </w:rPr>
              <w:t>Other</w:t>
            </w:r>
          </w:p>
        </w:tc>
        <w:tc>
          <w:tcPr>
            <w:tcW w:w="1441" w:type="dxa"/>
          </w:tcPr>
          <w:p w14:paraId="4D5ED1A5" w14:textId="77777777" w:rsidR="00EB476D" w:rsidRPr="00117F66" w:rsidRDefault="005B2EC5"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-819</w:t>
            </w:r>
          </w:p>
        </w:tc>
      </w:tr>
      <w:tr w:rsidR="00EB476D" w:rsidRPr="00117F66" w14:paraId="24169539" w14:textId="77777777" w:rsidTr="00651633">
        <w:trPr>
          <w:jc w:val="center"/>
        </w:trPr>
        <w:tc>
          <w:tcPr>
            <w:tcW w:w="1500" w:type="dxa"/>
            <w:tcBorders>
              <w:top w:val="single" w:sz="6" w:space="0" w:color="auto"/>
            </w:tcBorders>
          </w:tcPr>
          <w:p w14:paraId="3C08D751"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hAnsi="Arial"/>
                <w:b/>
                <w:sz w:val="24"/>
                <w:szCs w:val="24"/>
              </w:rPr>
              <w:t>-2,774</w:t>
            </w:r>
          </w:p>
        </w:tc>
        <w:tc>
          <w:tcPr>
            <w:tcW w:w="5670" w:type="dxa"/>
          </w:tcPr>
          <w:p w14:paraId="3A391FD5"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b/>
                <w:sz w:val="24"/>
                <w:szCs w:val="24"/>
              </w:rPr>
            </w:pPr>
          </w:p>
        </w:tc>
        <w:tc>
          <w:tcPr>
            <w:tcW w:w="1441" w:type="dxa"/>
            <w:tcBorders>
              <w:top w:val="single" w:sz="6" w:space="0" w:color="auto"/>
            </w:tcBorders>
          </w:tcPr>
          <w:p w14:paraId="3C870D50" w14:textId="77777777" w:rsidR="00EB476D" w:rsidRPr="00117F66" w:rsidRDefault="007F1EC2"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hAnsi="Arial"/>
                <w:b/>
                <w:sz w:val="24"/>
                <w:szCs w:val="24"/>
              </w:rPr>
              <w:t>-4,121</w:t>
            </w:r>
          </w:p>
        </w:tc>
      </w:tr>
      <w:tr w:rsidR="00EB476D" w:rsidRPr="00117F66" w14:paraId="19A1767D" w14:textId="77777777" w:rsidTr="00651633">
        <w:trPr>
          <w:jc w:val="center"/>
        </w:trPr>
        <w:tc>
          <w:tcPr>
            <w:tcW w:w="1500" w:type="dxa"/>
            <w:tcBorders>
              <w:top w:val="single" w:sz="6" w:space="0" w:color="auto"/>
              <w:bottom w:val="single" w:sz="4" w:space="0" w:color="auto"/>
            </w:tcBorders>
          </w:tcPr>
          <w:p w14:paraId="11677969"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p>
        </w:tc>
        <w:tc>
          <w:tcPr>
            <w:tcW w:w="5670" w:type="dxa"/>
          </w:tcPr>
          <w:p w14:paraId="49A9727B"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b/>
                <w:sz w:val="24"/>
                <w:szCs w:val="24"/>
              </w:rPr>
            </w:pPr>
          </w:p>
        </w:tc>
        <w:tc>
          <w:tcPr>
            <w:tcW w:w="1441" w:type="dxa"/>
            <w:tcBorders>
              <w:top w:val="single" w:sz="6" w:space="0" w:color="auto"/>
              <w:bottom w:val="single" w:sz="4" w:space="0" w:color="auto"/>
            </w:tcBorders>
          </w:tcPr>
          <w:p w14:paraId="0499C183"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p>
        </w:tc>
      </w:tr>
      <w:tr w:rsidR="00EB476D" w:rsidRPr="00117F66" w14:paraId="6BB8E859" w14:textId="77777777" w:rsidTr="00651633">
        <w:trPr>
          <w:jc w:val="center"/>
        </w:trPr>
        <w:tc>
          <w:tcPr>
            <w:tcW w:w="1500" w:type="dxa"/>
            <w:tcBorders>
              <w:top w:val="single" w:sz="4" w:space="0" w:color="auto"/>
              <w:bottom w:val="double" w:sz="4" w:space="0" w:color="auto"/>
            </w:tcBorders>
          </w:tcPr>
          <w:p w14:paraId="624B6037"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hAnsi="Arial"/>
                <w:b/>
                <w:sz w:val="24"/>
                <w:szCs w:val="24"/>
              </w:rPr>
              <w:t>4,482</w:t>
            </w:r>
          </w:p>
        </w:tc>
        <w:tc>
          <w:tcPr>
            <w:tcW w:w="5670" w:type="dxa"/>
          </w:tcPr>
          <w:p w14:paraId="00B710C6"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b/>
                <w:sz w:val="24"/>
                <w:szCs w:val="24"/>
              </w:rPr>
            </w:pPr>
            <w:r w:rsidRPr="00117F66">
              <w:rPr>
                <w:rFonts w:ascii="Arial" w:hAnsi="Arial"/>
                <w:b/>
                <w:sz w:val="24"/>
                <w:szCs w:val="24"/>
              </w:rPr>
              <w:t>Net</w:t>
            </w:r>
          </w:p>
        </w:tc>
        <w:tc>
          <w:tcPr>
            <w:tcW w:w="1441" w:type="dxa"/>
            <w:tcBorders>
              <w:top w:val="single" w:sz="4" w:space="0" w:color="auto"/>
              <w:bottom w:val="double" w:sz="4" w:space="0" w:color="auto"/>
            </w:tcBorders>
          </w:tcPr>
          <w:p w14:paraId="0A0B39E6" w14:textId="77777777" w:rsidR="00EB476D" w:rsidRPr="00117F66" w:rsidRDefault="007F1EC2"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hAnsi="Arial"/>
                <w:b/>
                <w:sz w:val="24"/>
                <w:szCs w:val="24"/>
              </w:rPr>
              <w:t>2,565</w:t>
            </w:r>
          </w:p>
        </w:tc>
      </w:tr>
    </w:tbl>
    <w:p w14:paraId="2FB681BA" w14:textId="77777777" w:rsidR="00364088" w:rsidRDefault="00364088" w:rsidP="005E4F16">
      <w:pPr>
        <w:pStyle w:val="Header"/>
        <w:tabs>
          <w:tab w:val="clear" w:pos="4153"/>
          <w:tab w:val="clear" w:pos="8306"/>
          <w:tab w:val="right" w:pos="5184"/>
          <w:tab w:val="right" w:pos="6624"/>
          <w:tab w:val="right" w:pos="8640"/>
          <w:tab w:val="right" w:pos="10080"/>
        </w:tabs>
        <w:rPr>
          <w:rFonts w:ascii="Arial" w:hAnsi="Arial"/>
          <w:sz w:val="24"/>
          <w:szCs w:val="24"/>
        </w:rPr>
      </w:pPr>
    </w:p>
    <w:p w14:paraId="079B8149" w14:textId="77777777" w:rsidR="002A3370" w:rsidRDefault="002A3370" w:rsidP="005E4F16">
      <w:pPr>
        <w:pStyle w:val="Header"/>
        <w:tabs>
          <w:tab w:val="clear" w:pos="4153"/>
          <w:tab w:val="clear" w:pos="8306"/>
          <w:tab w:val="right" w:pos="5184"/>
          <w:tab w:val="right" w:pos="6624"/>
          <w:tab w:val="right" w:pos="8640"/>
          <w:tab w:val="right" w:pos="10080"/>
        </w:tabs>
        <w:rPr>
          <w:rFonts w:ascii="Arial" w:hAnsi="Arial"/>
          <w:sz w:val="24"/>
          <w:szCs w:val="24"/>
        </w:rPr>
      </w:pPr>
    </w:p>
    <w:p w14:paraId="73BB7049" w14:textId="77777777" w:rsidR="002A3370" w:rsidRDefault="002A3370" w:rsidP="005E4F16">
      <w:pPr>
        <w:pStyle w:val="Header"/>
        <w:tabs>
          <w:tab w:val="clear" w:pos="4153"/>
          <w:tab w:val="clear" w:pos="8306"/>
          <w:tab w:val="right" w:pos="5184"/>
          <w:tab w:val="right" w:pos="6624"/>
          <w:tab w:val="right" w:pos="8640"/>
          <w:tab w:val="right" w:pos="10080"/>
        </w:tabs>
        <w:rPr>
          <w:rFonts w:ascii="Arial" w:hAnsi="Arial"/>
          <w:sz w:val="24"/>
          <w:szCs w:val="24"/>
        </w:rPr>
      </w:pPr>
    </w:p>
    <w:p w14:paraId="78CF8525" w14:textId="77777777" w:rsidR="007D7077" w:rsidRPr="00472A56" w:rsidRDefault="007D7077" w:rsidP="007D7077">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r w:rsidRPr="00472A56">
        <w:rPr>
          <w:rFonts w:ascii="Arial" w:hAnsi="Arial"/>
          <w:b/>
          <w:color w:val="000000"/>
          <w:sz w:val="24"/>
          <w:szCs w:val="24"/>
        </w:rPr>
        <w:t xml:space="preserve">16. </w:t>
      </w:r>
      <w:r>
        <w:rPr>
          <w:rFonts w:ascii="Arial" w:hAnsi="Arial"/>
          <w:b/>
          <w:color w:val="000000"/>
          <w:sz w:val="24"/>
          <w:szCs w:val="24"/>
        </w:rPr>
        <w:t xml:space="preserve">    </w:t>
      </w:r>
      <w:r w:rsidRPr="00472A56">
        <w:rPr>
          <w:rFonts w:ascii="Arial" w:hAnsi="Arial"/>
          <w:b/>
          <w:color w:val="000000"/>
          <w:sz w:val="24"/>
          <w:szCs w:val="24"/>
        </w:rPr>
        <w:t>Current Assets &amp; Liab</w:t>
      </w:r>
      <w:r>
        <w:rPr>
          <w:rFonts w:ascii="Arial" w:hAnsi="Arial"/>
          <w:b/>
          <w:color w:val="000000"/>
          <w:sz w:val="24"/>
          <w:szCs w:val="24"/>
        </w:rPr>
        <w:t>i</w:t>
      </w:r>
      <w:r w:rsidRPr="00472A56">
        <w:rPr>
          <w:rFonts w:ascii="Arial" w:hAnsi="Arial"/>
          <w:b/>
          <w:color w:val="000000"/>
          <w:sz w:val="24"/>
          <w:szCs w:val="24"/>
        </w:rPr>
        <w:t>lities</w:t>
      </w:r>
      <w:r>
        <w:rPr>
          <w:rFonts w:ascii="Arial" w:hAnsi="Arial"/>
          <w:b/>
          <w:color w:val="000000"/>
          <w:sz w:val="24"/>
          <w:szCs w:val="24"/>
        </w:rPr>
        <w:t xml:space="preserve"> </w:t>
      </w:r>
      <w:r w:rsidR="00E6618D">
        <w:rPr>
          <w:rFonts w:ascii="Arial" w:hAnsi="Arial"/>
          <w:b/>
          <w:color w:val="000000"/>
          <w:sz w:val="24"/>
          <w:szCs w:val="24"/>
        </w:rPr>
        <w:t>– Early Access Debtor</w:t>
      </w:r>
    </w:p>
    <w:p w14:paraId="4C33DA8C" w14:textId="77777777" w:rsidR="00646766" w:rsidRDefault="00646766" w:rsidP="005E4F16">
      <w:pPr>
        <w:pStyle w:val="Header"/>
        <w:tabs>
          <w:tab w:val="clear" w:pos="4153"/>
          <w:tab w:val="clear" w:pos="8306"/>
          <w:tab w:val="right" w:pos="5184"/>
          <w:tab w:val="right" w:pos="6624"/>
          <w:tab w:val="right" w:pos="8640"/>
          <w:tab w:val="right" w:pos="10080"/>
        </w:tabs>
        <w:rPr>
          <w:rFonts w:ascii="Arial" w:hAnsi="Arial"/>
          <w:b/>
          <w:sz w:val="24"/>
          <w:szCs w:val="24"/>
        </w:rPr>
      </w:pPr>
    </w:p>
    <w:p w14:paraId="7C53FB4E" w14:textId="77777777" w:rsidR="005A2D11" w:rsidRDefault="005A2D11" w:rsidP="005A2D11">
      <w:pPr>
        <w:pStyle w:val="Header"/>
        <w:tabs>
          <w:tab w:val="clear" w:pos="4153"/>
          <w:tab w:val="clear" w:pos="8306"/>
          <w:tab w:val="right" w:pos="5184"/>
          <w:tab w:val="right" w:pos="6624"/>
          <w:tab w:val="right" w:pos="8640"/>
          <w:tab w:val="right" w:pos="10080"/>
        </w:tabs>
        <w:rPr>
          <w:rFonts w:ascii="Arial" w:hAnsi="Arial"/>
          <w:b/>
          <w:sz w:val="24"/>
          <w:szCs w:val="24"/>
        </w:rPr>
      </w:pPr>
    </w:p>
    <w:p w14:paraId="3CDCE65B" w14:textId="77777777" w:rsidR="00351FDB" w:rsidRDefault="00351FDB" w:rsidP="005E4F16">
      <w:pPr>
        <w:pStyle w:val="Header"/>
        <w:tabs>
          <w:tab w:val="clear" w:pos="4153"/>
          <w:tab w:val="clear" w:pos="8306"/>
          <w:tab w:val="right" w:pos="5184"/>
          <w:tab w:val="right" w:pos="6624"/>
          <w:tab w:val="right" w:pos="8640"/>
          <w:tab w:val="right" w:pos="10080"/>
        </w:tabs>
        <w:rPr>
          <w:rFonts w:ascii="Arial" w:hAnsi="Arial"/>
          <w:sz w:val="24"/>
          <w:szCs w:val="24"/>
        </w:rPr>
      </w:pPr>
    </w:p>
    <w:tbl>
      <w:tblPr>
        <w:tblW w:w="0" w:type="auto"/>
        <w:tblInd w:w="-318" w:type="dxa"/>
        <w:tblLook w:val="01E0" w:firstRow="1" w:lastRow="1" w:firstColumn="1" w:lastColumn="1" w:noHBand="0" w:noVBand="0"/>
      </w:tblPr>
      <w:tblGrid>
        <w:gridCol w:w="1993"/>
        <w:gridCol w:w="1540"/>
        <w:gridCol w:w="1540"/>
        <w:gridCol w:w="1590"/>
        <w:gridCol w:w="1114"/>
      </w:tblGrid>
      <w:tr w:rsidR="00B84CE1" w:rsidRPr="00814920" w14:paraId="3C18E2AD" w14:textId="77777777" w:rsidTr="006714B0">
        <w:tc>
          <w:tcPr>
            <w:tcW w:w="1993" w:type="dxa"/>
            <w:shd w:val="clear" w:color="auto" w:fill="auto"/>
          </w:tcPr>
          <w:p w14:paraId="017E1731" w14:textId="77777777" w:rsidR="00B84CE1" w:rsidRPr="00814920" w:rsidRDefault="00B84CE1" w:rsidP="00814920">
            <w:pPr>
              <w:pStyle w:val="Header"/>
              <w:tabs>
                <w:tab w:val="clear" w:pos="4153"/>
                <w:tab w:val="clear" w:pos="8306"/>
                <w:tab w:val="right" w:pos="3732"/>
                <w:tab w:val="right" w:pos="4769"/>
                <w:tab w:val="right" w:pos="6220"/>
                <w:tab w:val="right" w:pos="7257"/>
              </w:tabs>
              <w:rPr>
                <w:rFonts w:ascii="Arial" w:hAnsi="Arial"/>
                <w:sz w:val="24"/>
                <w:szCs w:val="24"/>
              </w:rPr>
            </w:pPr>
          </w:p>
        </w:tc>
        <w:tc>
          <w:tcPr>
            <w:tcW w:w="1540" w:type="dxa"/>
            <w:shd w:val="clear" w:color="auto" w:fill="auto"/>
          </w:tcPr>
          <w:p w14:paraId="5D4C5604" w14:textId="77777777" w:rsidR="00B84CE1" w:rsidRDefault="00B84CE1" w:rsidP="001F5439">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814920">
              <w:rPr>
                <w:rFonts w:ascii="Arial" w:hAnsi="Arial"/>
                <w:b/>
                <w:sz w:val="24"/>
                <w:szCs w:val="24"/>
              </w:rPr>
              <w:t xml:space="preserve">Instalment Due </w:t>
            </w:r>
          </w:p>
          <w:p w14:paraId="548CBF87" w14:textId="77777777" w:rsidR="00B84CE1" w:rsidRPr="00814920" w:rsidRDefault="00B84CE1" w:rsidP="002A3370">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814920">
              <w:rPr>
                <w:rFonts w:ascii="Arial" w:hAnsi="Arial"/>
                <w:b/>
                <w:sz w:val="24"/>
                <w:szCs w:val="24"/>
              </w:rPr>
              <w:t>20</w:t>
            </w:r>
            <w:r>
              <w:rPr>
                <w:rFonts w:ascii="Arial" w:hAnsi="Arial"/>
                <w:b/>
                <w:sz w:val="24"/>
                <w:szCs w:val="24"/>
              </w:rPr>
              <w:t>22/23</w:t>
            </w:r>
          </w:p>
        </w:tc>
        <w:tc>
          <w:tcPr>
            <w:tcW w:w="1540" w:type="dxa"/>
            <w:shd w:val="clear" w:color="auto" w:fill="auto"/>
          </w:tcPr>
          <w:p w14:paraId="369C8ED0" w14:textId="77777777" w:rsidR="00B84CE1" w:rsidRPr="00814920" w:rsidRDefault="00B84CE1" w:rsidP="002A3370">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814920">
              <w:rPr>
                <w:rFonts w:ascii="Arial" w:hAnsi="Arial"/>
                <w:b/>
                <w:sz w:val="24"/>
                <w:szCs w:val="24"/>
              </w:rPr>
              <w:t>Instalment Due 20</w:t>
            </w:r>
            <w:r>
              <w:rPr>
                <w:rFonts w:ascii="Arial" w:hAnsi="Arial"/>
                <w:b/>
                <w:sz w:val="24"/>
                <w:szCs w:val="24"/>
              </w:rPr>
              <w:t>23/24</w:t>
            </w:r>
          </w:p>
        </w:tc>
        <w:tc>
          <w:tcPr>
            <w:tcW w:w="1590" w:type="dxa"/>
            <w:shd w:val="clear" w:color="auto" w:fill="auto"/>
          </w:tcPr>
          <w:p w14:paraId="2F1F8333" w14:textId="77777777" w:rsidR="00B84CE1" w:rsidRDefault="00B84CE1" w:rsidP="001A5541">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814920">
              <w:rPr>
                <w:rFonts w:ascii="Arial" w:hAnsi="Arial"/>
                <w:b/>
                <w:sz w:val="24"/>
                <w:szCs w:val="24"/>
              </w:rPr>
              <w:t>Instalment Due</w:t>
            </w:r>
          </w:p>
          <w:p w14:paraId="66F919DC" w14:textId="77777777" w:rsidR="00B84CE1" w:rsidRPr="00814920" w:rsidRDefault="00B84CE1" w:rsidP="002A3370">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814920">
              <w:rPr>
                <w:rFonts w:ascii="Arial" w:hAnsi="Arial"/>
                <w:b/>
                <w:sz w:val="24"/>
                <w:szCs w:val="24"/>
              </w:rPr>
              <w:t xml:space="preserve"> 20</w:t>
            </w:r>
            <w:r>
              <w:rPr>
                <w:rFonts w:ascii="Arial" w:hAnsi="Arial"/>
                <w:b/>
                <w:sz w:val="24"/>
                <w:szCs w:val="24"/>
              </w:rPr>
              <w:t>24/25</w:t>
            </w:r>
          </w:p>
        </w:tc>
        <w:tc>
          <w:tcPr>
            <w:tcW w:w="1114" w:type="dxa"/>
            <w:shd w:val="clear" w:color="auto" w:fill="auto"/>
          </w:tcPr>
          <w:p w14:paraId="7D62010F" w14:textId="77777777" w:rsidR="00B84CE1" w:rsidRPr="00814920" w:rsidRDefault="00B84CE1" w:rsidP="00814920">
            <w:pPr>
              <w:pStyle w:val="Header"/>
              <w:tabs>
                <w:tab w:val="clear" w:pos="4153"/>
                <w:tab w:val="clear" w:pos="8306"/>
                <w:tab w:val="right" w:pos="3732"/>
                <w:tab w:val="right" w:pos="4769"/>
                <w:tab w:val="right" w:pos="6220"/>
                <w:tab w:val="right" w:pos="7257"/>
              </w:tabs>
              <w:jc w:val="center"/>
              <w:rPr>
                <w:rFonts w:ascii="Arial" w:hAnsi="Arial"/>
                <w:b/>
                <w:sz w:val="24"/>
                <w:szCs w:val="24"/>
              </w:rPr>
            </w:pPr>
          </w:p>
          <w:p w14:paraId="33CF8B1F" w14:textId="77777777" w:rsidR="00B84CE1" w:rsidRPr="00814920" w:rsidRDefault="00B84CE1" w:rsidP="00814920">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814920">
              <w:rPr>
                <w:rFonts w:ascii="Arial" w:hAnsi="Arial"/>
                <w:b/>
                <w:sz w:val="24"/>
                <w:szCs w:val="24"/>
              </w:rPr>
              <w:t>Total</w:t>
            </w:r>
          </w:p>
        </w:tc>
      </w:tr>
      <w:tr w:rsidR="00B84CE1" w:rsidRPr="00814920" w14:paraId="1C932020" w14:textId="77777777" w:rsidTr="006714B0">
        <w:tc>
          <w:tcPr>
            <w:tcW w:w="1993" w:type="dxa"/>
            <w:shd w:val="clear" w:color="auto" w:fill="auto"/>
          </w:tcPr>
          <w:p w14:paraId="21BCEC74" w14:textId="77777777" w:rsidR="00B84CE1" w:rsidRPr="00814920" w:rsidRDefault="00B84CE1" w:rsidP="00814920">
            <w:pPr>
              <w:pStyle w:val="Header"/>
              <w:tabs>
                <w:tab w:val="clear" w:pos="4153"/>
                <w:tab w:val="clear" w:pos="8306"/>
                <w:tab w:val="right" w:pos="3732"/>
                <w:tab w:val="right" w:pos="4769"/>
                <w:tab w:val="right" w:pos="6220"/>
                <w:tab w:val="right" w:pos="7257"/>
              </w:tabs>
              <w:rPr>
                <w:rFonts w:ascii="Arial" w:hAnsi="Arial"/>
                <w:sz w:val="24"/>
                <w:szCs w:val="24"/>
              </w:rPr>
            </w:pPr>
          </w:p>
        </w:tc>
        <w:tc>
          <w:tcPr>
            <w:tcW w:w="1540" w:type="dxa"/>
            <w:shd w:val="clear" w:color="auto" w:fill="auto"/>
          </w:tcPr>
          <w:p w14:paraId="67C7DD4E" w14:textId="77777777" w:rsidR="00B84CE1" w:rsidRPr="00814920" w:rsidRDefault="00B84CE1" w:rsidP="00814920">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814920">
              <w:rPr>
                <w:rFonts w:ascii="Arial" w:hAnsi="Arial"/>
                <w:b/>
                <w:sz w:val="24"/>
                <w:szCs w:val="24"/>
              </w:rPr>
              <w:t>£’000</w:t>
            </w:r>
          </w:p>
        </w:tc>
        <w:tc>
          <w:tcPr>
            <w:tcW w:w="1540" w:type="dxa"/>
            <w:shd w:val="clear" w:color="auto" w:fill="auto"/>
          </w:tcPr>
          <w:p w14:paraId="7981D7E4" w14:textId="77777777" w:rsidR="00B84CE1" w:rsidRPr="00814920" w:rsidRDefault="00B84CE1" w:rsidP="00814920">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814920">
              <w:rPr>
                <w:rFonts w:ascii="Arial" w:hAnsi="Arial"/>
                <w:b/>
                <w:sz w:val="24"/>
                <w:szCs w:val="24"/>
              </w:rPr>
              <w:t>£’000</w:t>
            </w:r>
          </w:p>
        </w:tc>
        <w:tc>
          <w:tcPr>
            <w:tcW w:w="1590" w:type="dxa"/>
            <w:shd w:val="clear" w:color="auto" w:fill="auto"/>
          </w:tcPr>
          <w:p w14:paraId="05444EE0" w14:textId="77777777" w:rsidR="00B84CE1" w:rsidRPr="00814920" w:rsidRDefault="00B84CE1" w:rsidP="00814920">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814920">
              <w:rPr>
                <w:rFonts w:ascii="Arial" w:hAnsi="Arial"/>
                <w:b/>
                <w:sz w:val="24"/>
                <w:szCs w:val="24"/>
              </w:rPr>
              <w:t>£’000</w:t>
            </w:r>
          </w:p>
        </w:tc>
        <w:tc>
          <w:tcPr>
            <w:tcW w:w="1114" w:type="dxa"/>
            <w:shd w:val="clear" w:color="auto" w:fill="auto"/>
          </w:tcPr>
          <w:p w14:paraId="2892A365" w14:textId="77777777" w:rsidR="00B84CE1" w:rsidRPr="00814920" w:rsidRDefault="00B84CE1" w:rsidP="00814920">
            <w:pPr>
              <w:pStyle w:val="Header"/>
              <w:tabs>
                <w:tab w:val="clear" w:pos="4153"/>
                <w:tab w:val="clear" w:pos="8306"/>
                <w:tab w:val="right" w:pos="3732"/>
                <w:tab w:val="right" w:pos="4769"/>
                <w:tab w:val="right" w:pos="6220"/>
                <w:tab w:val="right" w:pos="7257"/>
              </w:tabs>
              <w:jc w:val="center"/>
              <w:rPr>
                <w:rFonts w:ascii="Arial" w:hAnsi="Arial"/>
                <w:b/>
                <w:sz w:val="24"/>
                <w:szCs w:val="24"/>
              </w:rPr>
            </w:pPr>
            <w:r w:rsidRPr="00814920">
              <w:rPr>
                <w:rFonts w:ascii="Arial" w:hAnsi="Arial"/>
                <w:b/>
                <w:sz w:val="24"/>
                <w:szCs w:val="24"/>
              </w:rPr>
              <w:t>£’000</w:t>
            </w:r>
          </w:p>
        </w:tc>
      </w:tr>
      <w:tr w:rsidR="00B84CE1" w:rsidRPr="00814920" w14:paraId="42053A9E" w14:textId="77777777" w:rsidTr="006714B0">
        <w:tc>
          <w:tcPr>
            <w:tcW w:w="1993" w:type="dxa"/>
            <w:shd w:val="clear" w:color="auto" w:fill="auto"/>
          </w:tcPr>
          <w:p w14:paraId="53443B93" w14:textId="77777777" w:rsidR="00B84CE1" w:rsidRDefault="00B84CE1" w:rsidP="00814920">
            <w:pPr>
              <w:pStyle w:val="Header"/>
              <w:tabs>
                <w:tab w:val="clear" w:pos="4153"/>
                <w:tab w:val="clear" w:pos="8306"/>
                <w:tab w:val="right" w:pos="3732"/>
                <w:tab w:val="right" w:pos="4769"/>
                <w:tab w:val="right" w:pos="6220"/>
                <w:tab w:val="right" w:pos="7257"/>
              </w:tabs>
              <w:rPr>
                <w:rFonts w:ascii="Arial" w:hAnsi="Arial"/>
                <w:sz w:val="24"/>
                <w:szCs w:val="24"/>
              </w:rPr>
            </w:pPr>
          </w:p>
          <w:p w14:paraId="7BAE48F8" w14:textId="77777777" w:rsidR="00B84CE1" w:rsidRDefault="00B84CE1" w:rsidP="00814920">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Early Access</w:t>
            </w:r>
          </w:p>
          <w:p w14:paraId="683258BD" w14:textId="77777777" w:rsidR="00B84CE1" w:rsidRPr="00814920" w:rsidRDefault="00B84CE1" w:rsidP="00814920">
            <w:pPr>
              <w:pStyle w:val="Header"/>
              <w:tabs>
                <w:tab w:val="clear" w:pos="4153"/>
                <w:tab w:val="clear" w:pos="8306"/>
                <w:tab w:val="right" w:pos="3732"/>
                <w:tab w:val="right" w:pos="4769"/>
                <w:tab w:val="right" w:pos="6220"/>
                <w:tab w:val="right" w:pos="7257"/>
              </w:tabs>
              <w:rPr>
                <w:rFonts w:ascii="Arial" w:hAnsi="Arial"/>
                <w:sz w:val="24"/>
                <w:szCs w:val="24"/>
              </w:rPr>
            </w:pPr>
            <w:r w:rsidRPr="00814920">
              <w:rPr>
                <w:rFonts w:ascii="Arial" w:hAnsi="Arial"/>
                <w:sz w:val="24"/>
                <w:szCs w:val="24"/>
              </w:rPr>
              <w:t>Principal Debtor</w:t>
            </w:r>
          </w:p>
        </w:tc>
        <w:tc>
          <w:tcPr>
            <w:tcW w:w="1540" w:type="dxa"/>
            <w:shd w:val="clear" w:color="auto" w:fill="auto"/>
          </w:tcPr>
          <w:p w14:paraId="6E83343B" w14:textId="77777777" w:rsidR="00B84CE1" w:rsidRDefault="00B84CE1" w:rsidP="007D7077">
            <w:pPr>
              <w:pStyle w:val="Header"/>
              <w:tabs>
                <w:tab w:val="clear" w:pos="4153"/>
                <w:tab w:val="clear" w:pos="8306"/>
                <w:tab w:val="right" w:pos="3732"/>
                <w:tab w:val="right" w:pos="4769"/>
                <w:tab w:val="right" w:pos="6220"/>
                <w:tab w:val="right" w:pos="7257"/>
              </w:tabs>
              <w:jc w:val="right"/>
              <w:rPr>
                <w:rFonts w:ascii="Arial" w:hAnsi="Arial"/>
                <w:sz w:val="24"/>
                <w:szCs w:val="24"/>
              </w:rPr>
            </w:pPr>
          </w:p>
          <w:p w14:paraId="3A77B904" w14:textId="77777777" w:rsidR="00B84CE1" w:rsidRPr="00814920" w:rsidRDefault="00B84CE1" w:rsidP="007D7077">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656</w:t>
            </w:r>
          </w:p>
        </w:tc>
        <w:tc>
          <w:tcPr>
            <w:tcW w:w="1540" w:type="dxa"/>
            <w:shd w:val="clear" w:color="auto" w:fill="auto"/>
          </w:tcPr>
          <w:p w14:paraId="1E01926A" w14:textId="77777777" w:rsidR="00B84CE1" w:rsidRDefault="00B84CE1" w:rsidP="000C0984">
            <w:pPr>
              <w:pStyle w:val="Header"/>
              <w:tabs>
                <w:tab w:val="clear" w:pos="4153"/>
                <w:tab w:val="clear" w:pos="8306"/>
                <w:tab w:val="right" w:pos="3732"/>
                <w:tab w:val="right" w:pos="4769"/>
                <w:tab w:val="right" w:pos="6220"/>
                <w:tab w:val="right" w:pos="7257"/>
              </w:tabs>
              <w:jc w:val="right"/>
              <w:rPr>
                <w:rFonts w:ascii="Arial" w:hAnsi="Arial"/>
                <w:sz w:val="24"/>
                <w:szCs w:val="24"/>
              </w:rPr>
            </w:pPr>
          </w:p>
          <w:p w14:paraId="3D5ABCAE" w14:textId="77777777" w:rsidR="00B84CE1" w:rsidRPr="00814920" w:rsidRDefault="00B84CE1" w:rsidP="000C0984">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0</w:t>
            </w:r>
          </w:p>
        </w:tc>
        <w:tc>
          <w:tcPr>
            <w:tcW w:w="1590" w:type="dxa"/>
            <w:shd w:val="clear" w:color="auto" w:fill="auto"/>
          </w:tcPr>
          <w:p w14:paraId="5D0546AF" w14:textId="77777777" w:rsidR="00B84CE1" w:rsidRDefault="00B84CE1" w:rsidP="000C0984">
            <w:pPr>
              <w:pStyle w:val="Header"/>
              <w:tabs>
                <w:tab w:val="clear" w:pos="4153"/>
                <w:tab w:val="clear" w:pos="8306"/>
                <w:tab w:val="right" w:pos="3732"/>
                <w:tab w:val="right" w:pos="4769"/>
                <w:tab w:val="right" w:pos="6220"/>
                <w:tab w:val="right" w:pos="7257"/>
              </w:tabs>
              <w:jc w:val="right"/>
              <w:rPr>
                <w:rFonts w:ascii="Arial" w:hAnsi="Arial"/>
                <w:sz w:val="24"/>
                <w:szCs w:val="24"/>
              </w:rPr>
            </w:pPr>
          </w:p>
          <w:p w14:paraId="2E75A1DC" w14:textId="77777777" w:rsidR="00B84CE1" w:rsidRPr="00814920" w:rsidRDefault="00B84CE1" w:rsidP="000C0984">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0</w:t>
            </w:r>
          </w:p>
        </w:tc>
        <w:tc>
          <w:tcPr>
            <w:tcW w:w="1114" w:type="dxa"/>
            <w:shd w:val="clear" w:color="auto" w:fill="auto"/>
          </w:tcPr>
          <w:p w14:paraId="71CF392E" w14:textId="77777777" w:rsidR="00B84CE1" w:rsidRDefault="00B84CE1" w:rsidP="000B0C6F">
            <w:pPr>
              <w:pStyle w:val="Header"/>
              <w:tabs>
                <w:tab w:val="clear" w:pos="4153"/>
                <w:tab w:val="clear" w:pos="8306"/>
                <w:tab w:val="right" w:pos="3732"/>
                <w:tab w:val="right" w:pos="4769"/>
                <w:tab w:val="right" w:pos="6220"/>
                <w:tab w:val="right" w:pos="7257"/>
              </w:tabs>
              <w:jc w:val="right"/>
              <w:rPr>
                <w:rFonts w:ascii="Arial" w:hAnsi="Arial"/>
                <w:sz w:val="24"/>
                <w:szCs w:val="24"/>
              </w:rPr>
            </w:pPr>
          </w:p>
          <w:p w14:paraId="35D185C2" w14:textId="77777777" w:rsidR="00B84CE1" w:rsidRPr="00814920" w:rsidRDefault="00B84CE1" w:rsidP="000B0C6F">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656</w:t>
            </w:r>
          </w:p>
        </w:tc>
      </w:tr>
      <w:tr w:rsidR="00B84CE1" w:rsidRPr="00814920" w14:paraId="7595E2D1" w14:textId="77777777" w:rsidTr="006714B0">
        <w:tc>
          <w:tcPr>
            <w:tcW w:w="1993" w:type="dxa"/>
            <w:shd w:val="clear" w:color="auto" w:fill="auto"/>
          </w:tcPr>
          <w:p w14:paraId="5DA6A2C0" w14:textId="77777777" w:rsidR="00B84CE1" w:rsidRDefault="00B84CE1" w:rsidP="00814920">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hAnsi="Arial"/>
                <w:sz w:val="24"/>
                <w:szCs w:val="24"/>
              </w:rPr>
              <w:t>Early Access</w:t>
            </w:r>
          </w:p>
          <w:p w14:paraId="5CBE9A68" w14:textId="77777777" w:rsidR="00B84CE1" w:rsidRPr="00814920" w:rsidRDefault="00B84CE1" w:rsidP="00814920">
            <w:pPr>
              <w:pStyle w:val="Header"/>
              <w:tabs>
                <w:tab w:val="clear" w:pos="4153"/>
                <w:tab w:val="clear" w:pos="8306"/>
                <w:tab w:val="right" w:pos="3732"/>
                <w:tab w:val="right" w:pos="4769"/>
                <w:tab w:val="right" w:pos="6220"/>
                <w:tab w:val="right" w:pos="7257"/>
              </w:tabs>
              <w:rPr>
                <w:rFonts w:ascii="Arial" w:hAnsi="Arial"/>
                <w:sz w:val="24"/>
                <w:szCs w:val="24"/>
              </w:rPr>
            </w:pPr>
            <w:r w:rsidRPr="00814920">
              <w:rPr>
                <w:rFonts w:ascii="Arial" w:hAnsi="Arial"/>
                <w:sz w:val="24"/>
                <w:szCs w:val="24"/>
              </w:rPr>
              <w:t>Interest Debtor</w:t>
            </w:r>
          </w:p>
        </w:tc>
        <w:tc>
          <w:tcPr>
            <w:tcW w:w="1540" w:type="dxa"/>
            <w:shd w:val="clear" w:color="auto" w:fill="auto"/>
          </w:tcPr>
          <w:p w14:paraId="17366EE3" w14:textId="77777777" w:rsidR="00B84CE1" w:rsidRPr="00814920" w:rsidRDefault="00B84CE1" w:rsidP="000C0984">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5</w:t>
            </w:r>
          </w:p>
        </w:tc>
        <w:tc>
          <w:tcPr>
            <w:tcW w:w="1540" w:type="dxa"/>
            <w:shd w:val="clear" w:color="auto" w:fill="auto"/>
          </w:tcPr>
          <w:p w14:paraId="1E48AB8C" w14:textId="77777777" w:rsidR="00B84CE1" w:rsidRPr="00814920" w:rsidRDefault="00B84CE1" w:rsidP="000B0C6F">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0</w:t>
            </w:r>
          </w:p>
        </w:tc>
        <w:tc>
          <w:tcPr>
            <w:tcW w:w="1590" w:type="dxa"/>
            <w:shd w:val="clear" w:color="auto" w:fill="auto"/>
          </w:tcPr>
          <w:p w14:paraId="64E9CC5C" w14:textId="77777777" w:rsidR="00B84CE1" w:rsidRPr="00814920" w:rsidRDefault="00B84CE1" w:rsidP="000B0C6F">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0</w:t>
            </w:r>
          </w:p>
        </w:tc>
        <w:tc>
          <w:tcPr>
            <w:tcW w:w="1114" w:type="dxa"/>
            <w:shd w:val="clear" w:color="auto" w:fill="auto"/>
          </w:tcPr>
          <w:p w14:paraId="7851CF98" w14:textId="77777777" w:rsidR="00B84CE1" w:rsidRPr="00814920" w:rsidRDefault="00B84CE1" w:rsidP="000B0C6F">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hAnsi="Arial"/>
                <w:sz w:val="24"/>
                <w:szCs w:val="24"/>
              </w:rPr>
              <w:t>5</w:t>
            </w:r>
          </w:p>
        </w:tc>
      </w:tr>
      <w:tr w:rsidR="00B84CE1" w:rsidRPr="00814920" w14:paraId="4124A382" w14:textId="77777777" w:rsidTr="006714B0">
        <w:tc>
          <w:tcPr>
            <w:tcW w:w="1993" w:type="dxa"/>
            <w:tcBorders>
              <w:bottom w:val="single" w:sz="4" w:space="0" w:color="auto"/>
            </w:tcBorders>
            <w:shd w:val="clear" w:color="auto" w:fill="auto"/>
          </w:tcPr>
          <w:p w14:paraId="122B5BA6" w14:textId="77777777" w:rsidR="00B84CE1" w:rsidRPr="00814920" w:rsidRDefault="00B84CE1" w:rsidP="00814920">
            <w:pPr>
              <w:pStyle w:val="Header"/>
              <w:tabs>
                <w:tab w:val="clear" w:pos="4153"/>
                <w:tab w:val="clear" w:pos="8306"/>
                <w:tab w:val="right" w:pos="3732"/>
                <w:tab w:val="right" w:pos="4769"/>
                <w:tab w:val="right" w:pos="6220"/>
                <w:tab w:val="right" w:pos="7257"/>
              </w:tabs>
              <w:rPr>
                <w:rFonts w:ascii="Arial" w:hAnsi="Arial"/>
                <w:sz w:val="24"/>
                <w:szCs w:val="24"/>
              </w:rPr>
            </w:pPr>
          </w:p>
        </w:tc>
        <w:tc>
          <w:tcPr>
            <w:tcW w:w="1540" w:type="dxa"/>
            <w:tcBorders>
              <w:bottom w:val="single" w:sz="4" w:space="0" w:color="auto"/>
            </w:tcBorders>
            <w:shd w:val="clear" w:color="auto" w:fill="auto"/>
          </w:tcPr>
          <w:p w14:paraId="24679C30" w14:textId="77777777" w:rsidR="00B84CE1" w:rsidRPr="00814920" w:rsidRDefault="00B84CE1" w:rsidP="00814920">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1540" w:type="dxa"/>
            <w:tcBorders>
              <w:bottom w:val="single" w:sz="4" w:space="0" w:color="auto"/>
            </w:tcBorders>
            <w:shd w:val="clear" w:color="auto" w:fill="auto"/>
          </w:tcPr>
          <w:p w14:paraId="35DFAFB6" w14:textId="77777777" w:rsidR="00B84CE1" w:rsidRPr="00814920" w:rsidRDefault="00B84CE1" w:rsidP="00814920">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1590" w:type="dxa"/>
            <w:tcBorders>
              <w:bottom w:val="single" w:sz="4" w:space="0" w:color="auto"/>
            </w:tcBorders>
            <w:shd w:val="clear" w:color="auto" w:fill="auto"/>
          </w:tcPr>
          <w:p w14:paraId="61649D86" w14:textId="77777777" w:rsidR="00B84CE1" w:rsidRPr="00814920" w:rsidRDefault="00B84CE1" w:rsidP="00814920">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1114" w:type="dxa"/>
            <w:tcBorders>
              <w:bottom w:val="single" w:sz="4" w:space="0" w:color="auto"/>
            </w:tcBorders>
            <w:shd w:val="clear" w:color="auto" w:fill="auto"/>
          </w:tcPr>
          <w:p w14:paraId="6BFC17A9" w14:textId="77777777" w:rsidR="00B84CE1" w:rsidRPr="00814920" w:rsidRDefault="00B84CE1" w:rsidP="00814920">
            <w:pPr>
              <w:pStyle w:val="Header"/>
              <w:tabs>
                <w:tab w:val="clear" w:pos="4153"/>
                <w:tab w:val="clear" w:pos="8306"/>
                <w:tab w:val="right" w:pos="3732"/>
                <w:tab w:val="right" w:pos="4769"/>
                <w:tab w:val="right" w:pos="6220"/>
                <w:tab w:val="right" w:pos="7257"/>
              </w:tabs>
              <w:jc w:val="right"/>
              <w:rPr>
                <w:rFonts w:ascii="Arial" w:hAnsi="Arial"/>
                <w:sz w:val="24"/>
                <w:szCs w:val="24"/>
              </w:rPr>
            </w:pPr>
          </w:p>
        </w:tc>
      </w:tr>
      <w:tr w:rsidR="00B84CE1" w:rsidRPr="00814920" w14:paraId="1828913D" w14:textId="77777777" w:rsidTr="006714B0">
        <w:tc>
          <w:tcPr>
            <w:tcW w:w="1993" w:type="dxa"/>
            <w:tcBorders>
              <w:top w:val="single" w:sz="4" w:space="0" w:color="auto"/>
              <w:bottom w:val="single" w:sz="4" w:space="0" w:color="auto"/>
            </w:tcBorders>
            <w:shd w:val="clear" w:color="auto" w:fill="auto"/>
          </w:tcPr>
          <w:p w14:paraId="35A18878" w14:textId="77777777" w:rsidR="00B84CE1" w:rsidRPr="00814920" w:rsidRDefault="00B84CE1" w:rsidP="00814920">
            <w:pPr>
              <w:pStyle w:val="Header"/>
              <w:tabs>
                <w:tab w:val="clear" w:pos="4153"/>
                <w:tab w:val="clear" w:pos="8306"/>
                <w:tab w:val="right" w:pos="3732"/>
                <w:tab w:val="right" w:pos="4769"/>
                <w:tab w:val="right" w:pos="6220"/>
                <w:tab w:val="right" w:pos="7257"/>
              </w:tabs>
              <w:rPr>
                <w:rFonts w:ascii="Arial" w:hAnsi="Arial"/>
                <w:b/>
                <w:sz w:val="24"/>
                <w:szCs w:val="24"/>
              </w:rPr>
            </w:pPr>
            <w:r w:rsidRPr="00814920">
              <w:rPr>
                <w:rFonts w:ascii="Arial" w:hAnsi="Arial"/>
                <w:b/>
                <w:sz w:val="24"/>
                <w:szCs w:val="24"/>
              </w:rPr>
              <w:t xml:space="preserve">Total </w:t>
            </w:r>
            <w:r>
              <w:rPr>
                <w:rFonts w:ascii="Arial" w:hAnsi="Arial"/>
                <w:b/>
                <w:sz w:val="24"/>
                <w:szCs w:val="24"/>
              </w:rPr>
              <w:t xml:space="preserve"> </w:t>
            </w:r>
            <w:r w:rsidRPr="00814920">
              <w:rPr>
                <w:rFonts w:ascii="Arial" w:hAnsi="Arial"/>
                <w:b/>
                <w:sz w:val="24"/>
                <w:szCs w:val="24"/>
              </w:rPr>
              <w:t>(Gross)</w:t>
            </w:r>
          </w:p>
        </w:tc>
        <w:tc>
          <w:tcPr>
            <w:tcW w:w="1540" w:type="dxa"/>
            <w:tcBorders>
              <w:top w:val="single" w:sz="4" w:space="0" w:color="auto"/>
              <w:bottom w:val="single" w:sz="4" w:space="0" w:color="auto"/>
            </w:tcBorders>
            <w:shd w:val="clear" w:color="auto" w:fill="auto"/>
          </w:tcPr>
          <w:p w14:paraId="10FD400F" w14:textId="77777777" w:rsidR="00B84CE1" w:rsidRPr="00814920" w:rsidRDefault="00B84CE1" w:rsidP="007D7077">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hAnsi="Arial"/>
                <w:b/>
                <w:sz w:val="24"/>
                <w:szCs w:val="24"/>
              </w:rPr>
              <w:t>661</w:t>
            </w:r>
          </w:p>
        </w:tc>
        <w:tc>
          <w:tcPr>
            <w:tcW w:w="1540" w:type="dxa"/>
            <w:tcBorders>
              <w:top w:val="single" w:sz="4" w:space="0" w:color="auto"/>
              <w:bottom w:val="single" w:sz="4" w:space="0" w:color="auto"/>
            </w:tcBorders>
            <w:shd w:val="clear" w:color="auto" w:fill="auto"/>
          </w:tcPr>
          <w:p w14:paraId="5E8F3878" w14:textId="77777777" w:rsidR="00B84CE1" w:rsidRPr="00814920" w:rsidRDefault="00B84CE1" w:rsidP="000B0C6F">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hAnsi="Arial"/>
                <w:b/>
                <w:sz w:val="24"/>
                <w:szCs w:val="24"/>
              </w:rPr>
              <w:t>0</w:t>
            </w:r>
          </w:p>
        </w:tc>
        <w:tc>
          <w:tcPr>
            <w:tcW w:w="1590" w:type="dxa"/>
            <w:tcBorders>
              <w:top w:val="single" w:sz="4" w:space="0" w:color="auto"/>
              <w:bottom w:val="single" w:sz="4" w:space="0" w:color="auto"/>
            </w:tcBorders>
            <w:shd w:val="clear" w:color="auto" w:fill="auto"/>
          </w:tcPr>
          <w:p w14:paraId="37763633" w14:textId="77777777" w:rsidR="00B84CE1" w:rsidRPr="00814920" w:rsidRDefault="00B84CE1" w:rsidP="000B0C6F">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hAnsi="Arial"/>
                <w:b/>
                <w:sz w:val="24"/>
                <w:szCs w:val="24"/>
              </w:rPr>
              <w:t>0</w:t>
            </w:r>
          </w:p>
        </w:tc>
        <w:tc>
          <w:tcPr>
            <w:tcW w:w="1114" w:type="dxa"/>
            <w:tcBorders>
              <w:top w:val="single" w:sz="4" w:space="0" w:color="auto"/>
              <w:bottom w:val="single" w:sz="4" w:space="0" w:color="auto"/>
            </w:tcBorders>
            <w:shd w:val="clear" w:color="auto" w:fill="auto"/>
          </w:tcPr>
          <w:p w14:paraId="4D0A1DDD" w14:textId="77777777" w:rsidR="00B84CE1" w:rsidRPr="00814920" w:rsidRDefault="00B84CE1" w:rsidP="000B0C6F">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hAnsi="Arial"/>
                <w:b/>
                <w:sz w:val="24"/>
                <w:szCs w:val="24"/>
              </w:rPr>
              <w:t>661</w:t>
            </w:r>
          </w:p>
        </w:tc>
      </w:tr>
    </w:tbl>
    <w:p w14:paraId="67587E7D" w14:textId="77777777" w:rsidR="00351FDB" w:rsidRDefault="00351FDB" w:rsidP="005E4F16">
      <w:pPr>
        <w:pStyle w:val="Header"/>
        <w:tabs>
          <w:tab w:val="clear" w:pos="4153"/>
          <w:tab w:val="clear" w:pos="8306"/>
          <w:tab w:val="right" w:pos="5184"/>
          <w:tab w:val="right" w:pos="6624"/>
          <w:tab w:val="right" w:pos="8640"/>
          <w:tab w:val="right" w:pos="10080"/>
        </w:tabs>
        <w:rPr>
          <w:rFonts w:ascii="Arial" w:hAnsi="Arial"/>
          <w:sz w:val="24"/>
          <w:szCs w:val="24"/>
        </w:rPr>
      </w:pPr>
    </w:p>
    <w:p w14:paraId="48F97D7E" w14:textId="77777777" w:rsidR="00BC012F" w:rsidRDefault="00BC012F" w:rsidP="005E4F16">
      <w:pPr>
        <w:pStyle w:val="Header"/>
        <w:tabs>
          <w:tab w:val="clear" w:pos="4153"/>
          <w:tab w:val="clear" w:pos="8306"/>
          <w:tab w:val="right" w:pos="5184"/>
          <w:tab w:val="right" w:pos="6624"/>
          <w:tab w:val="right" w:pos="8640"/>
          <w:tab w:val="right" w:pos="10080"/>
        </w:tabs>
        <w:rPr>
          <w:rFonts w:ascii="Arial" w:hAnsi="Arial"/>
          <w:sz w:val="24"/>
          <w:szCs w:val="24"/>
        </w:rPr>
      </w:pPr>
    </w:p>
    <w:p w14:paraId="26501CD2" w14:textId="77777777" w:rsidR="001A47ED" w:rsidRDefault="001A47ED" w:rsidP="005E4F16">
      <w:pPr>
        <w:pStyle w:val="Header"/>
        <w:tabs>
          <w:tab w:val="clear" w:pos="4153"/>
          <w:tab w:val="clear" w:pos="8306"/>
          <w:tab w:val="right" w:pos="5184"/>
          <w:tab w:val="right" w:pos="6624"/>
          <w:tab w:val="right" w:pos="8640"/>
          <w:tab w:val="right" w:pos="10080"/>
        </w:tabs>
        <w:rPr>
          <w:rFonts w:ascii="Arial" w:hAnsi="Arial"/>
          <w:sz w:val="24"/>
          <w:szCs w:val="24"/>
        </w:rPr>
      </w:pPr>
    </w:p>
    <w:p w14:paraId="6A6E7A28" w14:textId="77777777" w:rsidR="001A47ED" w:rsidRDefault="001A47ED" w:rsidP="005E4F16">
      <w:pPr>
        <w:pStyle w:val="Header"/>
        <w:tabs>
          <w:tab w:val="clear" w:pos="4153"/>
          <w:tab w:val="clear" w:pos="8306"/>
          <w:tab w:val="right" w:pos="5184"/>
          <w:tab w:val="right" w:pos="6624"/>
          <w:tab w:val="right" w:pos="8640"/>
          <w:tab w:val="right" w:pos="10080"/>
        </w:tabs>
        <w:rPr>
          <w:rFonts w:ascii="Arial" w:hAnsi="Arial"/>
          <w:sz w:val="24"/>
          <w:szCs w:val="24"/>
        </w:rPr>
      </w:pPr>
    </w:p>
    <w:p w14:paraId="2B513084" w14:textId="77777777" w:rsidR="008804FD" w:rsidRDefault="008804FD" w:rsidP="00CC2929">
      <w:pPr>
        <w:pStyle w:val="Header"/>
        <w:tabs>
          <w:tab w:val="clear" w:pos="4153"/>
          <w:tab w:val="clear" w:pos="8306"/>
          <w:tab w:val="right" w:pos="720"/>
          <w:tab w:val="right" w:pos="8640"/>
          <w:tab w:val="right" w:pos="10080"/>
        </w:tabs>
        <w:ind w:right="1970"/>
        <w:rPr>
          <w:rFonts w:ascii="Arial" w:hAnsi="Arial"/>
          <w:b/>
          <w:sz w:val="24"/>
          <w:szCs w:val="24"/>
        </w:rPr>
      </w:pPr>
    </w:p>
    <w:p w14:paraId="64BF0594" w14:textId="77777777" w:rsidR="002E24C5" w:rsidRDefault="00CC2929" w:rsidP="00CC2929">
      <w:pPr>
        <w:pStyle w:val="Header"/>
        <w:tabs>
          <w:tab w:val="clear" w:pos="4153"/>
          <w:tab w:val="clear" w:pos="8306"/>
          <w:tab w:val="right" w:pos="720"/>
          <w:tab w:val="right" w:pos="8640"/>
          <w:tab w:val="right" w:pos="10080"/>
        </w:tabs>
        <w:ind w:right="1970"/>
        <w:rPr>
          <w:rFonts w:ascii="Arial" w:hAnsi="Arial"/>
          <w:b/>
          <w:sz w:val="24"/>
          <w:szCs w:val="24"/>
        </w:rPr>
      </w:pPr>
      <w:r>
        <w:rPr>
          <w:rFonts w:ascii="Arial" w:hAnsi="Arial"/>
          <w:b/>
          <w:sz w:val="24"/>
          <w:szCs w:val="24"/>
        </w:rPr>
        <w:t xml:space="preserve">17. </w:t>
      </w:r>
      <w:r w:rsidR="002E24C5" w:rsidRPr="005A2D11">
        <w:rPr>
          <w:rFonts w:ascii="Arial" w:hAnsi="Arial"/>
          <w:b/>
          <w:sz w:val="24"/>
          <w:szCs w:val="24"/>
        </w:rPr>
        <w:t>Capital and Contractual Commitments</w:t>
      </w:r>
    </w:p>
    <w:p w14:paraId="0F45DF80" w14:textId="77777777" w:rsidR="00212CCA" w:rsidRPr="005A2D11" w:rsidRDefault="00212CCA" w:rsidP="00CC2929">
      <w:pPr>
        <w:pStyle w:val="Header"/>
        <w:tabs>
          <w:tab w:val="clear" w:pos="4153"/>
          <w:tab w:val="clear" w:pos="8306"/>
          <w:tab w:val="right" w:pos="720"/>
          <w:tab w:val="right" w:pos="8640"/>
          <w:tab w:val="right" w:pos="10080"/>
        </w:tabs>
        <w:ind w:right="1970"/>
        <w:rPr>
          <w:rFonts w:ascii="Arial" w:hAnsi="Arial"/>
          <w:b/>
          <w:sz w:val="24"/>
          <w:szCs w:val="24"/>
        </w:rPr>
      </w:pPr>
    </w:p>
    <w:p w14:paraId="069BF816" w14:textId="77777777" w:rsidR="002E24C5" w:rsidRDefault="002E24C5" w:rsidP="005E4F16">
      <w:pPr>
        <w:pStyle w:val="Header"/>
        <w:tabs>
          <w:tab w:val="clear" w:pos="4153"/>
          <w:tab w:val="clear" w:pos="8306"/>
          <w:tab w:val="right" w:pos="5184"/>
          <w:tab w:val="right" w:pos="6624"/>
          <w:tab w:val="right" w:pos="8640"/>
          <w:tab w:val="right" w:pos="10080"/>
        </w:tabs>
        <w:ind w:right="27"/>
        <w:jc w:val="both"/>
        <w:rPr>
          <w:rFonts w:ascii="Arial" w:hAnsi="Arial"/>
          <w:sz w:val="24"/>
          <w:szCs w:val="24"/>
        </w:rPr>
      </w:pPr>
      <w:r w:rsidRPr="00117F66">
        <w:rPr>
          <w:rFonts w:ascii="Arial" w:hAnsi="Arial"/>
          <w:sz w:val="24"/>
          <w:szCs w:val="24"/>
        </w:rPr>
        <w:t>As at 31 March 20</w:t>
      </w:r>
      <w:r w:rsidR="000B0C6F">
        <w:rPr>
          <w:rFonts w:ascii="Arial" w:hAnsi="Arial"/>
          <w:sz w:val="24"/>
          <w:szCs w:val="24"/>
        </w:rPr>
        <w:t>2</w:t>
      </w:r>
      <w:r w:rsidR="008B55C3">
        <w:rPr>
          <w:rFonts w:ascii="Arial" w:hAnsi="Arial"/>
          <w:sz w:val="24"/>
          <w:szCs w:val="24"/>
        </w:rPr>
        <w:t>2</w:t>
      </w:r>
      <w:r w:rsidR="00F67CDA">
        <w:rPr>
          <w:rFonts w:ascii="Arial" w:hAnsi="Arial"/>
          <w:sz w:val="24"/>
          <w:szCs w:val="24"/>
        </w:rPr>
        <w:t xml:space="preserve"> t</w:t>
      </w:r>
      <w:r w:rsidRPr="00117F66">
        <w:rPr>
          <w:rFonts w:ascii="Arial" w:hAnsi="Arial"/>
          <w:sz w:val="24"/>
          <w:szCs w:val="24"/>
        </w:rPr>
        <w:t xml:space="preserve">he Scheme was committed to providing additional funding to certain managers investing in unquoted securities. </w:t>
      </w:r>
      <w:r w:rsidR="00A20EC5" w:rsidRPr="00117F66">
        <w:rPr>
          <w:rFonts w:ascii="Arial" w:hAnsi="Arial"/>
          <w:sz w:val="24"/>
          <w:szCs w:val="24"/>
        </w:rPr>
        <w:t xml:space="preserve"> </w:t>
      </w:r>
      <w:r w:rsidRPr="00117F66">
        <w:rPr>
          <w:rFonts w:ascii="Arial" w:hAnsi="Arial"/>
          <w:sz w:val="24"/>
          <w:szCs w:val="24"/>
        </w:rPr>
        <w:t xml:space="preserve">These commitments </w:t>
      </w:r>
      <w:r w:rsidRPr="00E53821">
        <w:rPr>
          <w:rFonts w:ascii="Arial" w:hAnsi="Arial"/>
          <w:sz w:val="24"/>
          <w:szCs w:val="24"/>
        </w:rPr>
        <w:t>amounted to £</w:t>
      </w:r>
      <w:r w:rsidR="00212CCA">
        <w:rPr>
          <w:rFonts w:ascii="Arial" w:hAnsi="Arial"/>
          <w:sz w:val="24"/>
          <w:szCs w:val="24"/>
        </w:rPr>
        <w:t>25</w:t>
      </w:r>
      <w:r w:rsidR="00D505C1">
        <w:rPr>
          <w:rFonts w:ascii="Arial" w:hAnsi="Arial"/>
          <w:sz w:val="24"/>
          <w:szCs w:val="24"/>
        </w:rPr>
        <w:t>8.7</w:t>
      </w:r>
      <w:r w:rsidR="007613B8" w:rsidRPr="00E53821">
        <w:rPr>
          <w:rFonts w:ascii="Arial" w:hAnsi="Arial"/>
          <w:sz w:val="24"/>
          <w:szCs w:val="24"/>
        </w:rPr>
        <w:t>m</w:t>
      </w:r>
      <w:r w:rsidRPr="00117F66">
        <w:rPr>
          <w:rFonts w:ascii="Arial" w:hAnsi="Arial"/>
          <w:sz w:val="24"/>
          <w:szCs w:val="24"/>
        </w:rPr>
        <w:t xml:space="preserve"> (20</w:t>
      </w:r>
      <w:r w:rsidR="00212CCA">
        <w:rPr>
          <w:rFonts w:ascii="Arial" w:hAnsi="Arial"/>
          <w:sz w:val="24"/>
          <w:szCs w:val="24"/>
        </w:rPr>
        <w:t>20/21</w:t>
      </w:r>
      <w:r w:rsidRPr="00117F66">
        <w:rPr>
          <w:rFonts w:ascii="Arial" w:hAnsi="Arial"/>
          <w:sz w:val="24"/>
          <w:szCs w:val="24"/>
        </w:rPr>
        <w:t>: £</w:t>
      </w:r>
      <w:r w:rsidR="002A3370">
        <w:rPr>
          <w:rFonts w:ascii="Arial" w:hAnsi="Arial"/>
          <w:sz w:val="24"/>
          <w:szCs w:val="24"/>
        </w:rPr>
        <w:t>17</w:t>
      </w:r>
      <w:r w:rsidR="00212CCA">
        <w:rPr>
          <w:rFonts w:ascii="Arial" w:hAnsi="Arial"/>
          <w:sz w:val="24"/>
          <w:szCs w:val="24"/>
        </w:rPr>
        <w:t>5.8</w:t>
      </w:r>
      <w:r w:rsidR="009D3D48" w:rsidRPr="00117F66">
        <w:rPr>
          <w:rFonts w:ascii="Arial" w:hAnsi="Arial"/>
          <w:sz w:val="24"/>
          <w:szCs w:val="24"/>
        </w:rPr>
        <w:t>m)</w:t>
      </w:r>
      <w:r w:rsidR="00BC012F">
        <w:rPr>
          <w:rFonts w:ascii="Arial" w:hAnsi="Arial"/>
          <w:sz w:val="24"/>
          <w:szCs w:val="24"/>
        </w:rPr>
        <w:t>.</w:t>
      </w:r>
    </w:p>
    <w:tbl>
      <w:tblPr>
        <w:tblW w:w="9780" w:type="dxa"/>
        <w:tblInd w:w="108" w:type="dxa"/>
        <w:tblLook w:val="04A0" w:firstRow="1" w:lastRow="0" w:firstColumn="1" w:lastColumn="0" w:noHBand="0" w:noVBand="1"/>
      </w:tblPr>
      <w:tblGrid>
        <w:gridCol w:w="9780"/>
      </w:tblGrid>
      <w:tr w:rsidR="00212CCA" w:rsidRPr="00FF6A28" w14:paraId="1308BE10" w14:textId="77777777" w:rsidTr="0092210E">
        <w:trPr>
          <w:trHeight w:val="2256"/>
        </w:trPr>
        <w:tc>
          <w:tcPr>
            <w:tcW w:w="9780" w:type="dxa"/>
            <w:tcBorders>
              <w:top w:val="nil"/>
              <w:left w:val="nil"/>
              <w:bottom w:val="nil"/>
              <w:right w:val="nil"/>
            </w:tcBorders>
            <w:shd w:val="clear" w:color="000000" w:fill="FFFFFF"/>
          </w:tcPr>
          <w:p w14:paraId="28891B84" w14:textId="77777777" w:rsidR="00212CCA" w:rsidRPr="00696A21" w:rsidRDefault="00212CCA" w:rsidP="0092210E">
            <w:pPr>
              <w:jc w:val="both"/>
              <w:rPr>
                <w:rFonts w:ascii="Arial" w:hAnsi="Arial" w:cs="Arial"/>
                <w:sz w:val="24"/>
                <w:szCs w:val="24"/>
              </w:rPr>
            </w:pPr>
          </w:p>
          <w:p w14:paraId="2EF16149" w14:textId="77777777" w:rsidR="00212CCA" w:rsidRPr="00FF6A28" w:rsidRDefault="00212CCA" w:rsidP="0092210E">
            <w:pPr>
              <w:jc w:val="both"/>
              <w:rPr>
                <w:rFonts w:ascii="Arial" w:hAnsi="Arial" w:cs="Arial"/>
                <w:sz w:val="24"/>
                <w:szCs w:val="24"/>
                <w:lang w:eastAsia="en-GB"/>
              </w:rPr>
            </w:pPr>
            <w:r w:rsidRPr="00FF6A28">
              <w:rPr>
                <w:rFonts w:ascii="Arial" w:hAnsi="Arial" w:cs="Arial"/>
                <w:sz w:val="24"/>
                <w:szCs w:val="24"/>
                <w:lang w:eastAsia="en-GB"/>
              </w:rPr>
              <w:t>During the year,</w:t>
            </w:r>
            <w:r>
              <w:rPr>
                <w:rFonts w:ascii="Arial" w:hAnsi="Arial" w:cs="Arial"/>
                <w:sz w:val="24"/>
                <w:szCs w:val="24"/>
                <w:lang w:eastAsia="en-GB"/>
              </w:rPr>
              <w:t xml:space="preserve"> in accordance with approval from Pensions Committee, th</w:t>
            </w:r>
            <w:r w:rsidRPr="00FF6A28">
              <w:rPr>
                <w:rFonts w:ascii="Arial" w:hAnsi="Arial" w:cs="Arial"/>
                <w:sz w:val="24"/>
                <w:szCs w:val="24"/>
                <w:lang w:eastAsia="en-GB"/>
              </w:rPr>
              <w:t xml:space="preserve">e fund made the following </w:t>
            </w:r>
            <w:r w:rsidR="00D94AB9">
              <w:rPr>
                <w:rFonts w:ascii="Arial" w:hAnsi="Arial" w:cs="Arial"/>
                <w:sz w:val="24"/>
                <w:szCs w:val="24"/>
                <w:lang w:eastAsia="en-GB"/>
              </w:rPr>
              <w:t xml:space="preserve">further </w:t>
            </w:r>
            <w:r w:rsidRPr="00FF6A28">
              <w:rPr>
                <w:rFonts w:ascii="Arial" w:hAnsi="Arial" w:cs="Arial"/>
                <w:sz w:val="24"/>
                <w:szCs w:val="24"/>
                <w:lang w:eastAsia="en-GB"/>
              </w:rPr>
              <w:t xml:space="preserve">commitments </w:t>
            </w:r>
            <w:r>
              <w:rPr>
                <w:rFonts w:ascii="Arial" w:hAnsi="Arial" w:cs="Arial"/>
                <w:sz w:val="24"/>
                <w:szCs w:val="24"/>
                <w:lang w:eastAsia="en-GB"/>
              </w:rPr>
              <w:t>to existing</w:t>
            </w:r>
            <w:r w:rsidR="00D94AB9">
              <w:rPr>
                <w:rFonts w:ascii="Arial" w:hAnsi="Arial" w:cs="Arial"/>
                <w:sz w:val="24"/>
                <w:szCs w:val="24"/>
                <w:lang w:eastAsia="en-GB"/>
              </w:rPr>
              <w:t xml:space="preserve"> and new</w:t>
            </w:r>
            <w:r>
              <w:rPr>
                <w:rFonts w:ascii="Arial" w:hAnsi="Arial" w:cs="Arial"/>
                <w:sz w:val="24"/>
                <w:szCs w:val="24"/>
                <w:lang w:eastAsia="en-GB"/>
              </w:rPr>
              <w:t xml:space="preserve"> funds </w:t>
            </w:r>
            <w:r w:rsidRPr="00FF6A28">
              <w:rPr>
                <w:rFonts w:ascii="Arial" w:hAnsi="Arial" w:cs="Arial"/>
                <w:sz w:val="24"/>
                <w:szCs w:val="24"/>
                <w:lang w:eastAsia="en-GB"/>
              </w:rPr>
              <w:t>:</w:t>
            </w:r>
          </w:p>
          <w:p w14:paraId="7D2DE82F" w14:textId="77777777" w:rsidR="00212CCA" w:rsidRPr="00FF6A28" w:rsidRDefault="00212CCA" w:rsidP="0092210E">
            <w:pPr>
              <w:jc w:val="both"/>
              <w:rPr>
                <w:rFonts w:ascii="Arial"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737"/>
              <w:gridCol w:w="3827"/>
              <w:gridCol w:w="2296"/>
            </w:tblGrid>
            <w:tr w:rsidR="00212CCA" w:rsidRPr="00DD3276" w14:paraId="79A1EEB6" w14:textId="77777777" w:rsidTr="0092210E">
              <w:tc>
                <w:tcPr>
                  <w:tcW w:w="1694" w:type="dxa"/>
                  <w:shd w:val="clear" w:color="auto" w:fill="auto"/>
                </w:tcPr>
                <w:p w14:paraId="65315BE4" w14:textId="77777777" w:rsidR="00212CCA" w:rsidRPr="00DD3276" w:rsidRDefault="00212CCA" w:rsidP="0092210E">
                  <w:pPr>
                    <w:jc w:val="center"/>
                    <w:rPr>
                      <w:rFonts w:ascii="Arial" w:hAnsi="Arial" w:cs="Arial"/>
                      <w:b/>
                      <w:bCs/>
                      <w:sz w:val="24"/>
                      <w:szCs w:val="24"/>
                      <w:lang w:eastAsia="en-GB"/>
                    </w:rPr>
                  </w:pPr>
                  <w:r w:rsidRPr="00DD3276">
                    <w:rPr>
                      <w:rFonts w:ascii="Arial" w:hAnsi="Arial" w:cs="Arial"/>
                      <w:b/>
                      <w:bCs/>
                      <w:sz w:val="24"/>
                      <w:szCs w:val="24"/>
                      <w:lang w:eastAsia="en-GB"/>
                    </w:rPr>
                    <w:t>Fund Manager</w:t>
                  </w:r>
                </w:p>
              </w:tc>
              <w:tc>
                <w:tcPr>
                  <w:tcW w:w="1737" w:type="dxa"/>
                  <w:shd w:val="clear" w:color="auto" w:fill="auto"/>
                </w:tcPr>
                <w:p w14:paraId="319F2DBE" w14:textId="77777777" w:rsidR="00212CCA" w:rsidRPr="00DD3276" w:rsidRDefault="00212CCA" w:rsidP="0092210E">
                  <w:pPr>
                    <w:jc w:val="center"/>
                    <w:rPr>
                      <w:rFonts w:ascii="Arial" w:hAnsi="Arial" w:cs="Arial"/>
                      <w:b/>
                      <w:bCs/>
                      <w:sz w:val="24"/>
                      <w:szCs w:val="24"/>
                      <w:lang w:eastAsia="en-GB"/>
                    </w:rPr>
                  </w:pPr>
                  <w:r w:rsidRPr="00DD3276">
                    <w:rPr>
                      <w:rFonts w:ascii="Arial" w:hAnsi="Arial" w:cs="Arial"/>
                      <w:b/>
                      <w:bCs/>
                      <w:sz w:val="24"/>
                      <w:szCs w:val="24"/>
                      <w:lang w:eastAsia="en-GB"/>
                    </w:rPr>
                    <w:t>Asset Class</w:t>
                  </w:r>
                </w:p>
              </w:tc>
              <w:tc>
                <w:tcPr>
                  <w:tcW w:w="3827" w:type="dxa"/>
                  <w:shd w:val="clear" w:color="auto" w:fill="auto"/>
                </w:tcPr>
                <w:p w14:paraId="42AAABCA" w14:textId="77777777" w:rsidR="00212CCA" w:rsidRPr="00DD3276" w:rsidRDefault="00212CCA" w:rsidP="0092210E">
                  <w:pPr>
                    <w:jc w:val="center"/>
                    <w:rPr>
                      <w:rFonts w:ascii="Arial" w:hAnsi="Arial" w:cs="Arial"/>
                      <w:b/>
                      <w:bCs/>
                      <w:sz w:val="24"/>
                      <w:szCs w:val="24"/>
                      <w:lang w:eastAsia="en-GB"/>
                    </w:rPr>
                  </w:pPr>
                  <w:r w:rsidRPr="00DD3276">
                    <w:rPr>
                      <w:rFonts w:ascii="Arial" w:hAnsi="Arial" w:cs="Arial"/>
                      <w:b/>
                      <w:bCs/>
                      <w:sz w:val="24"/>
                      <w:szCs w:val="24"/>
                      <w:lang w:eastAsia="en-GB"/>
                    </w:rPr>
                    <w:t>Fund Name</w:t>
                  </w:r>
                </w:p>
              </w:tc>
              <w:tc>
                <w:tcPr>
                  <w:tcW w:w="2296" w:type="dxa"/>
                  <w:shd w:val="clear" w:color="auto" w:fill="auto"/>
                </w:tcPr>
                <w:p w14:paraId="288D2F17" w14:textId="77777777" w:rsidR="00212CCA" w:rsidRPr="00DD3276" w:rsidRDefault="00212CCA" w:rsidP="0092210E">
                  <w:pPr>
                    <w:jc w:val="center"/>
                    <w:rPr>
                      <w:rFonts w:ascii="Arial" w:hAnsi="Arial" w:cs="Arial"/>
                      <w:b/>
                      <w:bCs/>
                      <w:sz w:val="24"/>
                      <w:szCs w:val="24"/>
                      <w:lang w:eastAsia="en-GB"/>
                    </w:rPr>
                  </w:pPr>
                  <w:r w:rsidRPr="00DD3276">
                    <w:rPr>
                      <w:rFonts w:ascii="Arial" w:hAnsi="Arial" w:cs="Arial"/>
                      <w:b/>
                      <w:bCs/>
                      <w:sz w:val="24"/>
                      <w:szCs w:val="24"/>
                      <w:lang w:eastAsia="en-GB"/>
                    </w:rPr>
                    <w:t>New Commitment</w:t>
                  </w:r>
                </w:p>
                <w:p w14:paraId="4B543C81" w14:textId="77777777" w:rsidR="00212CCA" w:rsidRPr="00DD3276" w:rsidRDefault="00212CCA" w:rsidP="0092210E">
                  <w:pPr>
                    <w:jc w:val="center"/>
                    <w:rPr>
                      <w:rFonts w:ascii="Arial" w:hAnsi="Arial" w:cs="Arial"/>
                      <w:b/>
                      <w:bCs/>
                      <w:sz w:val="24"/>
                      <w:szCs w:val="24"/>
                      <w:lang w:eastAsia="en-GB"/>
                    </w:rPr>
                  </w:pPr>
                  <w:r w:rsidRPr="00DD3276">
                    <w:rPr>
                      <w:rFonts w:ascii="Arial" w:hAnsi="Arial" w:cs="Arial"/>
                      <w:b/>
                      <w:bCs/>
                      <w:sz w:val="24"/>
                      <w:szCs w:val="24"/>
                      <w:lang w:eastAsia="en-GB"/>
                    </w:rPr>
                    <w:t>£M</w:t>
                  </w:r>
                </w:p>
              </w:tc>
            </w:tr>
            <w:tr w:rsidR="00212CCA" w:rsidRPr="00DD3276" w14:paraId="4D740D05" w14:textId="77777777" w:rsidTr="0092210E">
              <w:tc>
                <w:tcPr>
                  <w:tcW w:w="1694" w:type="dxa"/>
                  <w:shd w:val="clear" w:color="auto" w:fill="auto"/>
                </w:tcPr>
                <w:p w14:paraId="544FB1C1" w14:textId="77777777" w:rsidR="00212CCA" w:rsidRPr="00DD3276" w:rsidRDefault="00212CCA" w:rsidP="0092210E">
                  <w:pPr>
                    <w:jc w:val="both"/>
                    <w:rPr>
                      <w:rFonts w:ascii="Arial" w:hAnsi="Arial" w:cs="Arial"/>
                      <w:sz w:val="24"/>
                      <w:szCs w:val="24"/>
                      <w:lang w:eastAsia="en-GB"/>
                    </w:rPr>
                  </w:pPr>
                  <w:r w:rsidRPr="00DD3276">
                    <w:rPr>
                      <w:rFonts w:ascii="Arial" w:hAnsi="Arial" w:cs="Arial"/>
                      <w:sz w:val="24"/>
                      <w:szCs w:val="24"/>
                      <w:lang w:eastAsia="en-GB"/>
                    </w:rPr>
                    <w:t>CVC</w:t>
                  </w:r>
                </w:p>
              </w:tc>
              <w:tc>
                <w:tcPr>
                  <w:tcW w:w="1737" w:type="dxa"/>
                  <w:shd w:val="clear" w:color="auto" w:fill="auto"/>
                </w:tcPr>
                <w:p w14:paraId="106319D9" w14:textId="77777777" w:rsidR="00212CCA" w:rsidRPr="00DD3276" w:rsidRDefault="00212CCA" w:rsidP="0092210E">
                  <w:pPr>
                    <w:jc w:val="both"/>
                    <w:rPr>
                      <w:rFonts w:ascii="Arial" w:hAnsi="Arial" w:cs="Arial"/>
                      <w:sz w:val="24"/>
                      <w:szCs w:val="24"/>
                      <w:lang w:eastAsia="en-GB"/>
                    </w:rPr>
                  </w:pPr>
                  <w:r w:rsidRPr="00DD3276">
                    <w:rPr>
                      <w:rFonts w:ascii="Arial" w:hAnsi="Arial" w:cs="Arial"/>
                      <w:sz w:val="24"/>
                      <w:szCs w:val="24"/>
                      <w:lang w:eastAsia="en-GB"/>
                    </w:rPr>
                    <w:t>Private Debt</w:t>
                  </w:r>
                </w:p>
              </w:tc>
              <w:tc>
                <w:tcPr>
                  <w:tcW w:w="3827" w:type="dxa"/>
                  <w:shd w:val="clear" w:color="auto" w:fill="auto"/>
                </w:tcPr>
                <w:p w14:paraId="44E3606A" w14:textId="77777777" w:rsidR="00212CCA" w:rsidRPr="00DD3276" w:rsidRDefault="00212CCA" w:rsidP="0092210E">
                  <w:pPr>
                    <w:jc w:val="both"/>
                    <w:rPr>
                      <w:rFonts w:ascii="Arial" w:hAnsi="Arial" w:cs="Arial"/>
                      <w:sz w:val="24"/>
                      <w:szCs w:val="24"/>
                      <w:lang w:eastAsia="en-GB"/>
                    </w:rPr>
                  </w:pPr>
                  <w:r w:rsidRPr="00DD3276">
                    <w:rPr>
                      <w:rFonts w:ascii="Arial" w:hAnsi="Arial" w:cs="Arial"/>
                      <w:sz w:val="24"/>
                      <w:szCs w:val="24"/>
                      <w:lang w:eastAsia="en-GB"/>
                    </w:rPr>
                    <w:t>CVC 111</w:t>
                  </w:r>
                </w:p>
              </w:tc>
              <w:tc>
                <w:tcPr>
                  <w:tcW w:w="2296" w:type="dxa"/>
                  <w:shd w:val="clear" w:color="auto" w:fill="auto"/>
                </w:tcPr>
                <w:p w14:paraId="61F6A064" w14:textId="77777777" w:rsidR="00212CCA" w:rsidRPr="00DD3276" w:rsidRDefault="00212CCA" w:rsidP="0092210E">
                  <w:pPr>
                    <w:jc w:val="center"/>
                    <w:rPr>
                      <w:rFonts w:ascii="Arial" w:hAnsi="Arial" w:cs="Arial"/>
                      <w:sz w:val="24"/>
                      <w:szCs w:val="24"/>
                      <w:lang w:eastAsia="en-GB"/>
                    </w:rPr>
                  </w:pPr>
                  <w:r w:rsidRPr="00DD3276">
                    <w:rPr>
                      <w:rFonts w:ascii="Arial" w:hAnsi="Arial" w:cs="Arial"/>
                      <w:sz w:val="24"/>
                      <w:szCs w:val="24"/>
                      <w:lang w:eastAsia="en-GB"/>
                    </w:rPr>
                    <w:t>25</w:t>
                  </w:r>
                </w:p>
              </w:tc>
            </w:tr>
            <w:tr w:rsidR="00212CCA" w:rsidRPr="00DD3276" w14:paraId="151AF910" w14:textId="77777777" w:rsidTr="0092210E">
              <w:tc>
                <w:tcPr>
                  <w:tcW w:w="1694" w:type="dxa"/>
                  <w:shd w:val="clear" w:color="auto" w:fill="auto"/>
                </w:tcPr>
                <w:p w14:paraId="782459D8" w14:textId="77777777" w:rsidR="00212CCA" w:rsidRPr="00DD3276" w:rsidRDefault="00212CCA" w:rsidP="0092210E">
                  <w:pPr>
                    <w:jc w:val="both"/>
                    <w:rPr>
                      <w:rFonts w:ascii="Arial" w:hAnsi="Arial" w:cs="Arial"/>
                      <w:sz w:val="24"/>
                      <w:szCs w:val="24"/>
                      <w:lang w:eastAsia="en-GB"/>
                    </w:rPr>
                  </w:pPr>
                  <w:r w:rsidRPr="00DD3276">
                    <w:rPr>
                      <w:rFonts w:ascii="Arial" w:hAnsi="Arial" w:cs="Arial"/>
                      <w:sz w:val="24"/>
                      <w:szCs w:val="24"/>
                      <w:lang w:eastAsia="en-GB"/>
                    </w:rPr>
                    <w:t>Blackstone</w:t>
                  </w:r>
                </w:p>
              </w:tc>
              <w:tc>
                <w:tcPr>
                  <w:tcW w:w="1737" w:type="dxa"/>
                  <w:shd w:val="clear" w:color="auto" w:fill="auto"/>
                </w:tcPr>
                <w:p w14:paraId="2597BC4A" w14:textId="77777777" w:rsidR="00212CCA" w:rsidRPr="00DD3276" w:rsidRDefault="00212CCA" w:rsidP="0092210E">
                  <w:pPr>
                    <w:jc w:val="both"/>
                    <w:rPr>
                      <w:rFonts w:ascii="Arial" w:hAnsi="Arial" w:cs="Arial"/>
                      <w:sz w:val="24"/>
                      <w:szCs w:val="24"/>
                      <w:lang w:eastAsia="en-GB"/>
                    </w:rPr>
                  </w:pPr>
                  <w:r w:rsidRPr="00DD3276">
                    <w:rPr>
                      <w:rFonts w:ascii="Arial" w:hAnsi="Arial" w:cs="Arial"/>
                      <w:sz w:val="24"/>
                      <w:szCs w:val="24"/>
                      <w:lang w:eastAsia="en-GB"/>
                    </w:rPr>
                    <w:t>Private Equity</w:t>
                  </w:r>
                </w:p>
              </w:tc>
              <w:tc>
                <w:tcPr>
                  <w:tcW w:w="3827" w:type="dxa"/>
                  <w:shd w:val="clear" w:color="auto" w:fill="auto"/>
                </w:tcPr>
                <w:p w14:paraId="491F306F" w14:textId="77777777" w:rsidR="00212CCA" w:rsidRPr="00DD3276" w:rsidRDefault="00212CCA" w:rsidP="0092210E">
                  <w:pPr>
                    <w:jc w:val="both"/>
                    <w:rPr>
                      <w:rFonts w:ascii="Arial" w:hAnsi="Arial" w:cs="Arial"/>
                      <w:sz w:val="24"/>
                      <w:szCs w:val="24"/>
                      <w:lang w:eastAsia="en-GB"/>
                    </w:rPr>
                  </w:pPr>
                  <w:r w:rsidRPr="00DD3276">
                    <w:rPr>
                      <w:rFonts w:ascii="Arial" w:hAnsi="Arial" w:cs="Arial"/>
                      <w:sz w:val="24"/>
                      <w:szCs w:val="24"/>
                      <w:lang w:eastAsia="en-GB"/>
                    </w:rPr>
                    <w:t>Strategic Capital Holdings 11</w:t>
                  </w:r>
                </w:p>
              </w:tc>
              <w:tc>
                <w:tcPr>
                  <w:tcW w:w="2296" w:type="dxa"/>
                  <w:shd w:val="clear" w:color="auto" w:fill="auto"/>
                </w:tcPr>
                <w:p w14:paraId="4C91EC16" w14:textId="77777777" w:rsidR="00212CCA" w:rsidRPr="00DD3276" w:rsidRDefault="00212CCA" w:rsidP="0092210E">
                  <w:pPr>
                    <w:jc w:val="center"/>
                    <w:rPr>
                      <w:rFonts w:ascii="Arial" w:hAnsi="Arial" w:cs="Arial"/>
                      <w:sz w:val="24"/>
                      <w:szCs w:val="24"/>
                      <w:lang w:eastAsia="en-GB"/>
                    </w:rPr>
                  </w:pPr>
                  <w:r w:rsidRPr="00DD3276">
                    <w:rPr>
                      <w:rFonts w:ascii="Arial" w:hAnsi="Arial" w:cs="Arial"/>
                      <w:sz w:val="24"/>
                      <w:szCs w:val="24"/>
                      <w:lang w:eastAsia="en-GB"/>
                    </w:rPr>
                    <w:t>59</w:t>
                  </w:r>
                </w:p>
              </w:tc>
            </w:tr>
            <w:tr w:rsidR="00212CCA" w:rsidRPr="00DD3276" w14:paraId="64B837EF" w14:textId="77777777" w:rsidTr="0092210E">
              <w:tc>
                <w:tcPr>
                  <w:tcW w:w="1694" w:type="dxa"/>
                  <w:shd w:val="clear" w:color="auto" w:fill="auto"/>
                </w:tcPr>
                <w:p w14:paraId="46D191F6" w14:textId="77777777" w:rsidR="00212CCA" w:rsidRPr="00DD3276" w:rsidRDefault="00212CCA" w:rsidP="0092210E">
                  <w:pPr>
                    <w:jc w:val="both"/>
                    <w:rPr>
                      <w:rFonts w:ascii="Arial" w:hAnsi="Arial" w:cs="Arial"/>
                      <w:sz w:val="24"/>
                      <w:szCs w:val="24"/>
                      <w:lang w:eastAsia="en-GB"/>
                    </w:rPr>
                  </w:pPr>
                  <w:r w:rsidRPr="00DD3276">
                    <w:rPr>
                      <w:rFonts w:ascii="Arial" w:hAnsi="Arial" w:cs="Arial"/>
                      <w:sz w:val="24"/>
                      <w:szCs w:val="24"/>
                      <w:lang w:eastAsia="en-GB"/>
                    </w:rPr>
                    <w:t>Man Group</w:t>
                  </w:r>
                </w:p>
              </w:tc>
              <w:tc>
                <w:tcPr>
                  <w:tcW w:w="1737" w:type="dxa"/>
                  <w:shd w:val="clear" w:color="auto" w:fill="auto"/>
                </w:tcPr>
                <w:p w14:paraId="70D95837" w14:textId="77777777" w:rsidR="00212CCA" w:rsidRPr="00DD3276" w:rsidRDefault="00212CCA" w:rsidP="0092210E">
                  <w:pPr>
                    <w:jc w:val="both"/>
                    <w:rPr>
                      <w:rFonts w:ascii="Arial" w:hAnsi="Arial" w:cs="Arial"/>
                      <w:sz w:val="24"/>
                      <w:szCs w:val="24"/>
                      <w:lang w:eastAsia="en-GB"/>
                    </w:rPr>
                  </w:pPr>
                  <w:r w:rsidRPr="00DD3276">
                    <w:rPr>
                      <w:rFonts w:ascii="Arial" w:hAnsi="Arial" w:cs="Arial"/>
                      <w:sz w:val="24"/>
                      <w:szCs w:val="24"/>
                      <w:lang w:eastAsia="en-GB"/>
                    </w:rPr>
                    <w:t>Residential Housing</w:t>
                  </w:r>
                </w:p>
              </w:tc>
              <w:tc>
                <w:tcPr>
                  <w:tcW w:w="3827" w:type="dxa"/>
                  <w:shd w:val="clear" w:color="auto" w:fill="auto"/>
                </w:tcPr>
                <w:p w14:paraId="5D1A2B9E" w14:textId="77777777" w:rsidR="00212CCA" w:rsidRPr="00DD3276" w:rsidRDefault="00212CCA" w:rsidP="0092210E">
                  <w:pPr>
                    <w:jc w:val="both"/>
                    <w:rPr>
                      <w:rFonts w:ascii="Arial" w:hAnsi="Arial" w:cs="Arial"/>
                      <w:sz w:val="24"/>
                      <w:szCs w:val="24"/>
                      <w:lang w:eastAsia="en-GB"/>
                    </w:rPr>
                  </w:pPr>
                  <w:r w:rsidRPr="00DD3276">
                    <w:rPr>
                      <w:rFonts w:ascii="Arial" w:hAnsi="Arial" w:cs="Arial"/>
                      <w:sz w:val="24"/>
                      <w:szCs w:val="24"/>
                      <w:lang w:eastAsia="en-GB"/>
                    </w:rPr>
                    <w:t>Community Housing Fund</w:t>
                  </w:r>
                </w:p>
              </w:tc>
              <w:tc>
                <w:tcPr>
                  <w:tcW w:w="2296" w:type="dxa"/>
                  <w:shd w:val="clear" w:color="auto" w:fill="auto"/>
                </w:tcPr>
                <w:p w14:paraId="50082D21" w14:textId="77777777" w:rsidR="00212CCA" w:rsidRPr="00DD3276" w:rsidRDefault="00212CCA" w:rsidP="0092210E">
                  <w:pPr>
                    <w:jc w:val="center"/>
                    <w:rPr>
                      <w:rFonts w:ascii="Arial" w:hAnsi="Arial" w:cs="Arial"/>
                      <w:sz w:val="24"/>
                      <w:szCs w:val="24"/>
                      <w:lang w:eastAsia="en-GB"/>
                    </w:rPr>
                  </w:pPr>
                  <w:r w:rsidRPr="00DD3276">
                    <w:rPr>
                      <w:rFonts w:ascii="Arial" w:hAnsi="Arial" w:cs="Arial"/>
                      <w:sz w:val="24"/>
                      <w:szCs w:val="24"/>
                      <w:lang w:eastAsia="en-GB"/>
                    </w:rPr>
                    <w:t>30</w:t>
                  </w:r>
                </w:p>
              </w:tc>
            </w:tr>
            <w:tr w:rsidR="00212CCA" w:rsidRPr="00DD3276" w14:paraId="50D66269" w14:textId="77777777" w:rsidTr="0092210E">
              <w:tc>
                <w:tcPr>
                  <w:tcW w:w="1694" w:type="dxa"/>
                  <w:shd w:val="clear" w:color="auto" w:fill="auto"/>
                </w:tcPr>
                <w:p w14:paraId="0A46A9B7" w14:textId="77777777" w:rsidR="00212CCA" w:rsidRPr="00DD3276" w:rsidRDefault="00212CCA" w:rsidP="0092210E">
                  <w:pPr>
                    <w:jc w:val="both"/>
                    <w:rPr>
                      <w:rFonts w:ascii="Arial" w:hAnsi="Arial" w:cs="Arial"/>
                      <w:sz w:val="24"/>
                      <w:szCs w:val="24"/>
                      <w:lang w:eastAsia="en-GB"/>
                    </w:rPr>
                  </w:pPr>
                  <w:r w:rsidRPr="00DD3276">
                    <w:rPr>
                      <w:rFonts w:ascii="Arial" w:hAnsi="Arial" w:cs="Arial"/>
                      <w:sz w:val="24"/>
                      <w:szCs w:val="24"/>
                      <w:lang w:eastAsia="en-GB"/>
                    </w:rPr>
                    <w:t>Manulife</w:t>
                  </w:r>
                </w:p>
              </w:tc>
              <w:tc>
                <w:tcPr>
                  <w:tcW w:w="1737" w:type="dxa"/>
                  <w:shd w:val="clear" w:color="auto" w:fill="auto"/>
                </w:tcPr>
                <w:p w14:paraId="53E97572" w14:textId="77777777" w:rsidR="00212CCA" w:rsidRPr="00DD3276" w:rsidRDefault="00212CCA" w:rsidP="0092210E">
                  <w:pPr>
                    <w:jc w:val="both"/>
                    <w:rPr>
                      <w:rFonts w:ascii="Arial" w:hAnsi="Arial" w:cs="Arial"/>
                      <w:sz w:val="24"/>
                      <w:szCs w:val="24"/>
                      <w:lang w:eastAsia="en-GB"/>
                    </w:rPr>
                  </w:pPr>
                  <w:r w:rsidRPr="00DD3276">
                    <w:rPr>
                      <w:rFonts w:ascii="Arial" w:hAnsi="Arial" w:cs="Arial"/>
                      <w:sz w:val="24"/>
                      <w:szCs w:val="24"/>
                      <w:lang w:eastAsia="en-GB"/>
                    </w:rPr>
                    <w:t>Timberland &amp; Farmland</w:t>
                  </w:r>
                </w:p>
              </w:tc>
              <w:tc>
                <w:tcPr>
                  <w:tcW w:w="3827" w:type="dxa"/>
                  <w:shd w:val="clear" w:color="auto" w:fill="auto"/>
                </w:tcPr>
                <w:p w14:paraId="3E4B7772" w14:textId="77777777" w:rsidR="00212CCA" w:rsidRPr="00DD3276" w:rsidRDefault="00212CCA" w:rsidP="0092210E">
                  <w:pPr>
                    <w:jc w:val="both"/>
                    <w:rPr>
                      <w:rFonts w:ascii="Arial" w:hAnsi="Arial" w:cs="Arial"/>
                      <w:sz w:val="24"/>
                      <w:szCs w:val="24"/>
                      <w:lang w:eastAsia="en-GB"/>
                    </w:rPr>
                  </w:pPr>
                  <w:r w:rsidRPr="00DD3276">
                    <w:rPr>
                      <w:rFonts w:ascii="Arial" w:hAnsi="Arial" w:cs="Arial"/>
                      <w:sz w:val="24"/>
                      <w:szCs w:val="24"/>
                      <w:lang w:eastAsia="en-GB"/>
                    </w:rPr>
                    <w:t>Hancock Timberland &amp; Farmland Fund</w:t>
                  </w:r>
                </w:p>
              </w:tc>
              <w:tc>
                <w:tcPr>
                  <w:tcW w:w="2296" w:type="dxa"/>
                  <w:shd w:val="clear" w:color="auto" w:fill="auto"/>
                </w:tcPr>
                <w:p w14:paraId="703232DE" w14:textId="77777777" w:rsidR="00212CCA" w:rsidRPr="00DD3276" w:rsidRDefault="00212CCA" w:rsidP="0092210E">
                  <w:pPr>
                    <w:jc w:val="center"/>
                    <w:rPr>
                      <w:rFonts w:ascii="Arial" w:hAnsi="Arial" w:cs="Arial"/>
                      <w:sz w:val="24"/>
                      <w:szCs w:val="24"/>
                      <w:lang w:eastAsia="en-GB"/>
                    </w:rPr>
                  </w:pPr>
                  <w:r w:rsidRPr="00DD3276">
                    <w:rPr>
                      <w:rFonts w:ascii="Arial" w:hAnsi="Arial" w:cs="Arial"/>
                      <w:sz w:val="24"/>
                      <w:szCs w:val="24"/>
                      <w:lang w:eastAsia="en-GB"/>
                    </w:rPr>
                    <w:t>50</w:t>
                  </w:r>
                </w:p>
              </w:tc>
            </w:tr>
          </w:tbl>
          <w:p w14:paraId="4B8A4869" w14:textId="77777777" w:rsidR="00212CCA" w:rsidRPr="00FF6A28" w:rsidRDefault="00212CCA" w:rsidP="0092210E">
            <w:pPr>
              <w:jc w:val="both"/>
              <w:rPr>
                <w:rFonts w:ascii="Arial" w:hAnsi="Arial" w:cs="Arial"/>
                <w:sz w:val="24"/>
                <w:szCs w:val="24"/>
                <w:lang w:eastAsia="en-GB"/>
              </w:rPr>
            </w:pPr>
          </w:p>
        </w:tc>
      </w:tr>
    </w:tbl>
    <w:p w14:paraId="51701E17" w14:textId="77777777" w:rsidR="00212CCA" w:rsidRDefault="00212CCA" w:rsidP="00212CCA">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b/>
          <w:color w:val="000000"/>
          <w:sz w:val="24"/>
          <w:szCs w:val="24"/>
        </w:rPr>
      </w:pPr>
    </w:p>
    <w:p w14:paraId="553F2D9F" w14:textId="77777777" w:rsidR="00FE12E2" w:rsidRDefault="00212CCA" w:rsidP="00AD5A0B">
      <w:pPr>
        <w:rPr>
          <w:rFonts w:ascii="Arial" w:hAnsi="Arial" w:cs="Arial"/>
          <w:bCs/>
          <w:color w:val="000000"/>
          <w:sz w:val="24"/>
          <w:szCs w:val="24"/>
        </w:rPr>
      </w:pPr>
      <w:r w:rsidRPr="00141A85">
        <w:rPr>
          <w:rFonts w:ascii="Arial" w:hAnsi="Arial" w:cs="Arial"/>
          <w:bCs/>
          <w:color w:val="000000"/>
          <w:sz w:val="24"/>
          <w:szCs w:val="24"/>
        </w:rPr>
        <w:t xml:space="preserve">In </w:t>
      </w:r>
      <w:r w:rsidR="00EF7AFF">
        <w:rPr>
          <w:rFonts w:ascii="Arial" w:hAnsi="Arial" w:cs="Arial"/>
          <w:bCs/>
          <w:color w:val="000000"/>
          <w:sz w:val="24"/>
          <w:szCs w:val="24"/>
        </w:rPr>
        <w:t xml:space="preserve">addition, in </w:t>
      </w:r>
      <w:r w:rsidRPr="00141A85">
        <w:rPr>
          <w:rFonts w:ascii="Arial" w:hAnsi="Arial" w:cs="Arial"/>
          <w:bCs/>
          <w:color w:val="000000"/>
          <w:sz w:val="24"/>
          <w:szCs w:val="24"/>
        </w:rPr>
        <w:t xml:space="preserve">September 2021, </w:t>
      </w:r>
      <w:r w:rsidR="006D789A">
        <w:rPr>
          <w:rFonts w:ascii="Arial" w:hAnsi="Arial" w:cs="Arial"/>
          <w:bCs/>
          <w:color w:val="000000"/>
          <w:sz w:val="24"/>
          <w:szCs w:val="24"/>
        </w:rPr>
        <w:t>t</w:t>
      </w:r>
      <w:r w:rsidR="00D94AB9">
        <w:rPr>
          <w:rFonts w:ascii="Arial" w:hAnsi="Arial" w:cs="Arial"/>
          <w:bCs/>
          <w:color w:val="000000"/>
          <w:sz w:val="24"/>
          <w:szCs w:val="24"/>
        </w:rPr>
        <w:t>he P</w:t>
      </w:r>
      <w:r w:rsidR="00AD5A0B">
        <w:rPr>
          <w:rFonts w:ascii="Arial" w:hAnsi="Arial" w:cs="Arial"/>
          <w:bCs/>
          <w:color w:val="000000"/>
          <w:sz w:val="24"/>
          <w:szCs w:val="24"/>
        </w:rPr>
        <w:t xml:space="preserve">ension Fund Committee approved the more efficient management of pension fund balances </w:t>
      </w:r>
      <w:r w:rsidR="00FE12E2">
        <w:rPr>
          <w:rFonts w:ascii="Arial" w:hAnsi="Arial" w:cs="Arial"/>
          <w:bCs/>
          <w:color w:val="000000"/>
          <w:sz w:val="24"/>
          <w:szCs w:val="24"/>
        </w:rPr>
        <w:t>in line</w:t>
      </w:r>
      <w:r w:rsidR="00AD5A0B">
        <w:rPr>
          <w:rFonts w:ascii="Arial" w:hAnsi="Arial" w:cs="Arial"/>
          <w:bCs/>
          <w:color w:val="000000"/>
          <w:sz w:val="24"/>
          <w:szCs w:val="24"/>
        </w:rPr>
        <w:t xml:space="preserve"> the Council’s treasury management Policy, </w:t>
      </w:r>
    </w:p>
    <w:p w14:paraId="73C621B9" w14:textId="77777777" w:rsidR="006D789A" w:rsidRDefault="00AD5A0B" w:rsidP="00AD5A0B">
      <w:pPr>
        <w:rPr>
          <w:rFonts w:ascii="Arial" w:hAnsi="Arial" w:cs="Arial"/>
          <w:bCs/>
          <w:color w:val="000000"/>
          <w:sz w:val="24"/>
          <w:szCs w:val="24"/>
        </w:rPr>
      </w:pPr>
      <w:r>
        <w:rPr>
          <w:rFonts w:ascii="Arial" w:hAnsi="Arial" w:cs="Arial"/>
          <w:bCs/>
          <w:color w:val="000000"/>
          <w:sz w:val="24"/>
          <w:szCs w:val="24"/>
        </w:rPr>
        <w:t xml:space="preserve">with a view to enhancing the yield on pension fund cashflow balances (required both for </w:t>
      </w:r>
    </w:p>
    <w:p w14:paraId="1308A4CE" w14:textId="77777777" w:rsidR="00212CCA" w:rsidRDefault="00AD5A0B" w:rsidP="00AD5A0B">
      <w:pPr>
        <w:rPr>
          <w:rFonts w:ascii="Arial" w:hAnsi="Arial" w:cs="Arial"/>
          <w:bCs/>
          <w:color w:val="000000"/>
          <w:sz w:val="24"/>
          <w:szCs w:val="24"/>
        </w:rPr>
      </w:pPr>
      <w:r>
        <w:rPr>
          <w:rFonts w:ascii="Arial" w:hAnsi="Arial" w:cs="Arial"/>
          <w:bCs/>
          <w:color w:val="000000"/>
          <w:sz w:val="24"/>
          <w:szCs w:val="24"/>
        </w:rPr>
        <w:t>working capital but also to fund ever increasing capital calls).</w:t>
      </w:r>
    </w:p>
    <w:p w14:paraId="4DA72A35" w14:textId="77777777" w:rsidR="00AD5A0B" w:rsidRDefault="00AD5A0B" w:rsidP="00AD5A0B">
      <w:pPr>
        <w:rPr>
          <w:rFonts w:ascii="Arial" w:hAnsi="Arial" w:cs="Arial"/>
          <w:sz w:val="24"/>
          <w:szCs w:val="24"/>
          <w:shd w:val="clear" w:color="auto" w:fill="FFFFFF"/>
        </w:rPr>
      </w:pPr>
    </w:p>
    <w:p w14:paraId="210B1603" w14:textId="77777777" w:rsidR="00212CCA" w:rsidRDefault="00212CCA" w:rsidP="00212CCA">
      <w:pPr>
        <w:rPr>
          <w:rFonts w:ascii="Arial" w:hAnsi="Arial" w:cs="Arial"/>
          <w:sz w:val="24"/>
          <w:szCs w:val="24"/>
          <w:shd w:val="clear" w:color="auto" w:fill="FFFFFF"/>
        </w:rPr>
      </w:pPr>
      <w:r>
        <w:rPr>
          <w:rFonts w:ascii="Arial" w:hAnsi="Arial" w:cs="Arial"/>
          <w:sz w:val="24"/>
          <w:szCs w:val="24"/>
          <w:shd w:val="clear" w:color="auto" w:fill="FFFFFF"/>
        </w:rPr>
        <w:t>As a result, the following two accounts were opened</w:t>
      </w:r>
      <w:r w:rsidR="00EF7AFF">
        <w:rPr>
          <w:rFonts w:ascii="Arial" w:hAnsi="Arial" w:cs="Arial"/>
          <w:sz w:val="24"/>
          <w:szCs w:val="24"/>
          <w:shd w:val="clear" w:color="auto" w:fill="FFFFFF"/>
        </w:rPr>
        <w:t>, however they were not funded until April 2022.</w:t>
      </w:r>
    </w:p>
    <w:p w14:paraId="41583400" w14:textId="77777777" w:rsidR="00212CCA" w:rsidRPr="00141A85" w:rsidRDefault="00212CCA" w:rsidP="00212CCA">
      <w:pPr>
        <w:jc w:val="both"/>
        <w:rPr>
          <w:rFonts w:ascii="Arial" w:hAnsi="Arial" w:cs="Arial"/>
          <w:sz w:val="24"/>
          <w:szCs w:val="24"/>
          <w:shd w:val="clear"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126"/>
        <w:gridCol w:w="4819"/>
      </w:tblGrid>
      <w:tr w:rsidR="00212CCA" w:rsidRPr="00DD3276" w14:paraId="3810ADF6" w14:textId="77777777" w:rsidTr="0092210E">
        <w:tc>
          <w:tcPr>
            <w:tcW w:w="2552" w:type="dxa"/>
            <w:shd w:val="clear" w:color="auto" w:fill="auto"/>
          </w:tcPr>
          <w:p w14:paraId="6FCFC5B4" w14:textId="77777777" w:rsidR="00212CCA" w:rsidRPr="00DD3276" w:rsidRDefault="00212CCA" w:rsidP="0092210E">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s="Arial"/>
                <w:bCs/>
                <w:color w:val="000000"/>
                <w:sz w:val="24"/>
                <w:szCs w:val="24"/>
              </w:rPr>
            </w:pPr>
            <w:r w:rsidRPr="00DD3276">
              <w:rPr>
                <w:rFonts w:ascii="Arial" w:hAnsi="Arial" w:cs="Arial"/>
                <w:bCs/>
                <w:color w:val="000000"/>
                <w:sz w:val="24"/>
                <w:szCs w:val="24"/>
              </w:rPr>
              <w:t>Fidante</w:t>
            </w:r>
          </w:p>
        </w:tc>
        <w:tc>
          <w:tcPr>
            <w:tcW w:w="2126" w:type="dxa"/>
            <w:shd w:val="clear" w:color="auto" w:fill="auto"/>
          </w:tcPr>
          <w:p w14:paraId="10E08534" w14:textId="77777777" w:rsidR="00212CCA" w:rsidRPr="00DD3276" w:rsidRDefault="00212CCA" w:rsidP="00AD5A0B">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s="Arial"/>
                <w:bCs/>
                <w:color w:val="000000"/>
                <w:sz w:val="24"/>
                <w:szCs w:val="24"/>
              </w:rPr>
            </w:pPr>
            <w:r w:rsidRPr="00DD3276">
              <w:rPr>
                <w:rFonts w:ascii="Arial" w:hAnsi="Arial" w:cs="Arial"/>
                <w:bCs/>
                <w:color w:val="000000"/>
                <w:sz w:val="24"/>
                <w:szCs w:val="24"/>
              </w:rPr>
              <w:t xml:space="preserve">Liquidity </w:t>
            </w:r>
            <w:r w:rsidR="00AD5A0B">
              <w:rPr>
                <w:rFonts w:ascii="Arial" w:hAnsi="Arial" w:cs="Arial"/>
                <w:bCs/>
                <w:color w:val="000000"/>
                <w:sz w:val="24"/>
                <w:szCs w:val="24"/>
              </w:rPr>
              <w:t>management</w:t>
            </w:r>
          </w:p>
        </w:tc>
        <w:tc>
          <w:tcPr>
            <w:tcW w:w="4819" w:type="dxa"/>
            <w:shd w:val="clear" w:color="auto" w:fill="auto"/>
          </w:tcPr>
          <w:p w14:paraId="1062C448" w14:textId="77777777" w:rsidR="00212CCA" w:rsidRPr="00DD3276" w:rsidRDefault="00212CCA" w:rsidP="0092210E">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s="Arial"/>
                <w:bCs/>
                <w:color w:val="000000"/>
                <w:sz w:val="24"/>
                <w:szCs w:val="24"/>
              </w:rPr>
            </w:pPr>
            <w:r w:rsidRPr="00DD3276">
              <w:rPr>
                <w:rFonts w:ascii="Arial" w:hAnsi="Arial" w:cs="Arial"/>
                <w:bCs/>
                <w:color w:val="000000"/>
                <w:sz w:val="24"/>
                <w:szCs w:val="24"/>
              </w:rPr>
              <w:t xml:space="preserve">Ardea Global </w:t>
            </w:r>
            <w:r w:rsidR="00AD5A0B">
              <w:rPr>
                <w:rFonts w:ascii="Arial" w:hAnsi="Arial" w:cs="Arial"/>
                <w:bCs/>
                <w:color w:val="000000"/>
                <w:sz w:val="24"/>
                <w:szCs w:val="24"/>
              </w:rPr>
              <w:t xml:space="preserve">Bond </w:t>
            </w:r>
            <w:r w:rsidRPr="00DD3276">
              <w:rPr>
                <w:rFonts w:ascii="Arial" w:hAnsi="Arial" w:cs="Arial"/>
                <w:bCs/>
                <w:color w:val="000000"/>
                <w:sz w:val="24"/>
                <w:szCs w:val="24"/>
              </w:rPr>
              <w:t>Strategy Fund</w:t>
            </w:r>
          </w:p>
        </w:tc>
      </w:tr>
      <w:tr w:rsidR="00212CCA" w:rsidRPr="00DD3276" w14:paraId="0DE448E1" w14:textId="77777777" w:rsidTr="0092210E">
        <w:tc>
          <w:tcPr>
            <w:tcW w:w="2552" w:type="dxa"/>
            <w:shd w:val="clear" w:color="auto" w:fill="auto"/>
          </w:tcPr>
          <w:p w14:paraId="72EE8BDC" w14:textId="77777777" w:rsidR="00212CCA" w:rsidRPr="00DD3276" w:rsidRDefault="00212CCA" w:rsidP="0092210E">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s="Arial"/>
                <w:bCs/>
                <w:color w:val="000000"/>
                <w:sz w:val="24"/>
                <w:szCs w:val="24"/>
              </w:rPr>
            </w:pPr>
            <w:r w:rsidRPr="00DD3276">
              <w:rPr>
                <w:rFonts w:ascii="Arial" w:hAnsi="Arial" w:cs="Arial"/>
                <w:bCs/>
                <w:color w:val="000000"/>
                <w:sz w:val="24"/>
                <w:szCs w:val="24"/>
              </w:rPr>
              <w:t>T Rowe Price</w:t>
            </w:r>
          </w:p>
        </w:tc>
        <w:tc>
          <w:tcPr>
            <w:tcW w:w="2126" w:type="dxa"/>
            <w:shd w:val="clear" w:color="auto" w:fill="auto"/>
          </w:tcPr>
          <w:p w14:paraId="44785A6D" w14:textId="77777777" w:rsidR="00212CCA" w:rsidRPr="00DD3276" w:rsidRDefault="00212CCA" w:rsidP="0092210E">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s="Arial"/>
                <w:bCs/>
                <w:color w:val="000000"/>
                <w:sz w:val="24"/>
                <w:szCs w:val="24"/>
              </w:rPr>
            </w:pPr>
            <w:r w:rsidRPr="00DD3276">
              <w:rPr>
                <w:rFonts w:ascii="Arial" w:hAnsi="Arial" w:cs="Arial"/>
                <w:bCs/>
                <w:color w:val="000000"/>
                <w:sz w:val="24"/>
                <w:szCs w:val="24"/>
              </w:rPr>
              <w:t>Liqui</w:t>
            </w:r>
            <w:r w:rsidR="00AD5A0B">
              <w:rPr>
                <w:rFonts w:ascii="Arial" w:hAnsi="Arial" w:cs="Arial"/>
                <w:bCs/>
                <w:color w:val="000000"/>
                <w:sz w:val="24"/>
                <w:szCs w:val="24"/>
              </w:rPr>
              <w:t>dity management</w:t>
            </w:r>
          </w:p>
        </w:tc>
        <w:tc>
          <w:tcPr>
            <w:tcW w:w="4819" w:type="dxa"/>
            <w:shd w:val="clear" w:color="auto" w:fill="auto"/>
          </w:tcPr>
          <w:p w14:paraId="5831E9D4" w14:textId="77777777" w:rsidR="00212CCA" w:rsidRPr="00DD3276" w:rsidRDefault="00212CCA" w:rsidP="0092210E">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s="Arial"/>
                <w:bCs/>
                <w:color w:val="000000"/>
                <w:sz w:val="24"/>
                <w:szCs w:val="24"/>
              </w:rPr>
            </w:pPr>
            <w:r w:rsidRPr="00DD3276">
              <w:rPr>
                <w:rFonts w:ascii="Arial" w:hAnsi="Arial" w:cs="Arial"/>
                <w:bCs/>
                <w:color w:val="000000"/>
                <w:sz w:val="24"/>
                <w:szCs w:val="24"/>
              </w:rPr>
              <w:t>Dynamic Global Bond Fund</w:t>
            </w:r>
          </w:p>
        </w:tc>
      </w:tr>
    </w:tbl>
    <w:p w14:paraId="09CC9192" w14:textId="77777777" w:rsidR="008804FD" w:rsidRPr="00117F66" w:rsidRDefault="008804FD" w:rsidP="005E4F16">
      <w:pPr>
        <w:tabs>
          <w:tab w:val="left" w:pos="1728"/>
          <w:tab w:val="left" w:pos="2592"/>
          <w:tab w:val="left" w:pos="3456"/>
          <w:tab w:val="left" w:pos="4320"/>
          <w:tab w:val="left" w:pos="5184"/>
          <w:tab w:val="left" w:pos="6048"/>
          <w:tab w:val="left" w:pos="6912"/>
          <w:tab w:val="left" w:pos="7776"/>
          <w:tab w:val="right" w:pos="8640"/>
          <w:tab w:val="right" w:pos="10224"/>
        </w:tabs>
        <w:jc w:val="both"/>
        <w:outlineLvl w:val="0"/>
        <w:rPr>
          <w:rFonts w:ascii="Arial" w:hAnsi="Arial"/>
          <w:color w:val="000000"/>
          <w:sz w:val="24"/>
          <w:szCs w:val="24"/>
        </w:rPr>
      </w:pPr>
    </w:p>
    <w:p w14:paraId="07F93980" w14:textId="77777777" w:rsidR="002E24C5" w:rsidRDefault="00CC2929" w:rsidP="00CC2929">
      <w:pPr>
        <w:tabs>
          <w:tab w:val="left" w:pos="720"/>
        </w:tabs>
        <w:ind w:right="27"/>
        <w:rPr>
          <w:rFonts w:ascii="Arial" w:hAnsi="Arial"/>
          <w:b/>
          <w:color w:val="000000"/>
          <w:sz w:val="24"/>
          <w:szCs w:val="24"/>
        </w:rPr>
      </w:pPr>
      <w:r w:rsidRPr="00651633">
        <w:rPr>
          <w:rFonts w:ascii="Arial" w:hAnsi="Arial"/>
          <w:b/>
          <w:sz w:val="24"/>
          <w:szCs w:val="24"/>
        </w:rPr>
        <w:t xml:space="preserve">18. </w:t>
      </w:r>
      <w:r w:rsidR="00B87A78" w:rsidRPr="00651633">
        <w:rPr>
          <w:rFonts w:ascii="Arial" w:hAnsi="Arial"/>
          <w:b/>
          <w:sz w:val="24"/>
          <w:szCs w:val="24"/>
        </w:rPr>
        <w:t>R</w:t>
      </w:r>
      <w:r w:rsidR="002E24C5" w:rsidRPr="00651633">
        <w:rPr>
          <w:rFonts w:ascii="Arial" w:hAnsi="Arial"/>
          <w:b/>
          <w:sz w:val="24"/>
          <w:szCs w:val="24"/>
        </w:rPr>
        <w:t xml:space="preserve">elated </w:t>
      </w:r>
      <w:r w:rsidR="00B87A78" w:rsidRPr="00651633">
        <w:rPr>
          <w:rFonts w:ascii="Arial" w:hAnsi="Arial"/>
          <w:b/>
          <w:sz w:val="24"/>
          <w:szCs w:val="24"/>
        </w:rPr>
        <w:t>P</w:t>
      </w:r>
      <w:r w:rsidR="002E24C5" w:rsidRPr="00651633">
        <w:rPr>
          <w:rFonts w:ascii="Arial" w:hAnsi="Arial"/>
          <w:b/>
          <w:sz w:val="24"/>
          <w:szCs w:val="24"/>
        </w:rPr>
        <w:t>art</w:t>
      </w:r>
      <w:r w:rsidR="00B87A78" w:rsidRPr="00651633">
        <w:rPr>
          <w:rFonts w:ascii="Arial" w:hAnsi="Arial"/>
          <w:b/>
          <w:sz w:val="24"/>
          <w:szCs w:val="24"/>
        </w:rPr>
        <w:t>y Transactions</w:t>
      </w:r>
      <w:r w:rsidR="002E24C5" w:rsidRPr="00117F66">
        <w:rPr>
          <w:rFonts w:ascii="Arial" w:hAnsi="Arial"/>
          <w:b/>
          <w:color w:val="000000"/>
          <w:sz w:val="24"/>
          <w:szCs w:val="24"/>
        </w:rPr>
        <w:t xml:space="preserve"> </w:t>
      </w:r>
    </w:p>
    <w:p w14:paraId="7F1FA476" w14:textId="77777777" w:rsidR="006D789A" w:rsidRDefault="006D789A" w:rsidP="00CC2929">
      <w:pPr>
        <w:tabs>
          <w:tab w:val="left" w:pos="720"/>
        </w:tabs>
        <w:ind w:right="27"/>
        <w:rPr>
          <w:rFonts w:ascii="Arial" w:hAnsi="Arial"/>
          <w:b/>
          <w:color w:val="000000"/>
          <w:sz w:val="24"/>
          <w:szCs w:val="24"/>
        </w:rPr>
      </w:pPr>
    </w:p>
    <w:p w14:paraId="7BF52F36" w14:textId="77777777" w:rsidR="0026134A" w:rsidRDefault="00A30D09"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r w:rsidRPr="00D17AA2">
        <w:rPr>
          <w:rFonts w:ascii="Arial" w:hAnsi="Arial"/>
          <w:color w:val="000000"/>
          <w:sz w:val="24"/>
          <w:szCs w:val="24"/>
        </w:rPr>
        <w:t>£</w:t>
      </w:r>
      <w:r w:rsidR="00AF0006" w:rsidRPr="00D17AA2">
        <w:rPr>
          <w:rFonts w:ascii="Arial" w:hAnsi="Arial"/>
          <w:color w:val="000000"/>
          <w:sz w:val="24"/>
          <w:szCs w:val="24"/>
        </w:rPr>
        <w:t>7</w:t>
      </w:r>
      <w:r w:rsidR="00D17AA2" w:rsidRPr="00D17AA2">
        <w:rPr>
          <w:rFonts w:ascii="Arial" w:hAnsi="Arial"/>
          <w:color w:val="000000"/>
          <w:sz w:val="24"/>
          <w:szCs w:val="24"/>
        </w:rPr>
        <w:t>9</w:t>
      </w:r>
      <w:r w:rsidR="00EF7AFF">
        <w:rPr>
          <w:rFonts w:ascii="Arial" w:hAnsi="Arial"/>
          <w:color w:val="000000"/>
          <w:sz w:val="24"/>
          <w:szCs w:val="24"/>
        </w:rPr>
        <w:t>3</w:t>
      </w:r>
      <w:r w:rsidR="00AB4EA3" w:rsidRPr="00D17AA2">
        <w:rPr>
          <w:rFonts w:ascii="Arial" w:hAnsi="Arial"/>
          <w:color w:val="000000"/>
          <w:sz w:val="24"/>
          <w:szCs w:val="24"/>
        </w:rPr>
        <w:t>k</w:t>
      </w:r>
      <w:r>
        <w:rPr>
          <w:rFonts w:ascii="Arial" w:hAnsi="Arial"/>
          <w:color w:val="000000"/>
          <w:sz w:val="24"/>
          <w:szCs w:val="24"/>
        </w:rPr>
        <w:t xml:space="preserve"> (£</w:t>
      </w:r>
      <w:r w:rsidR="00A41A1D">
        <w:rPr>
          <w:rFonts w:ascii="Arial" w:hAnsi="Arial"/>
          <w:color w:val="000000"/>
          <w:sz w:val="24"/>
          <w:szCs w:val="24"/>
        </w:rPr>
        <w:t>7</w:t>
      </w:r>
      <w:r w:rsidR="00212CCA">
        <w:rPr>
          <w:rFonts w:ascii="Arial" w:hAnsi="Arial"/>
          <w:color w:val="000000"/>
          <w:sz w:val="24"/>
          <w:szCs w:val="24"/>
        </w:rPr>
        <w:t>90</w:t>
      </w:r>
      <w:r>
        <w:rPr>
          <w:rFonts w:ascii="Arial" w:hAnsi="Arial"/>
          <w:color w:val="000000"/>
          <w:sz w:val="24"/>
          <w:szCs w:val="24"/>
        </w:rPr>
        <w:t xml:space="preserve">k </w:t>
      </w:r>
      <w:r w:rsidR="00212CCA">
        <w:rPr>
          <w:rFonts w:ascii="Arial" w:hAnsi="Arial"/>
          <w:color w:val="000000"/>
          <w:sz w:val="24"/>
          <w:szCs w:val="24"/>
        </w:rPr>
        <w:t>20/21</w:t>
      </w:r>
      <w:r>
        <w:rPr>
          <w:rFonts w:ascii="Arial" w:hAnsi="Arial"/>
          <w:color w:val="000000"/>
          <w:sz w:val="24"/>
          <w:szCs w:val="24"/>
        </w:rPr>
        <w:t xml:space="preserve">) paid to the </w:t>
      </w:r>
      <w:r w:rsidRPr="00A30D09">
        <w:rPr>
          <w:rFonts w:ascii="Arial" w:hAnsi="Arial"/>
          <w:color w:val="000000"/>
          <w:sz w:val="24"/>
          <w:szCs w:val="24"/>
        </w:rPr>
        <w:t>City &amp; County of Swansea</w:t>
      </w:r>
      <w:r>
        <w:rPr>
          <w:rFonts w:ascii="Arial" w:hAnsi="Arial"/>
          <w:color w:val="000000"/>
          <w:sz w:val="24"/>
          <w:szCs w:val="24"/>
        </w:rPr>
        <w:t xml:space="preserve"> for the recharge of Administration, I</w:t>
      </w:r>
      <w:r w:rsidR="00F50032">
        <w:rPr>
          <w:rFonts w:ascii="Arial" w:hAnsi="Arial"/>
          <w:color w:val="000000"/>
          <w:sz w:val="24"/>
          <w:szCs w:val="24"/>
        </w:rPr>
        <w:t>.</w:t>
      </w:r>
      <w:r>
        <w:rPr>
          <w:rFonts w:ascii="Arial" w:hAnsi="Arial"/>
          <w:color w:val="000000"/>
          <w:sz w:val="24"/>
          <w:szCs w:val="24"/>
        </w:rPr>
        <w:t>T</w:t>
      </w:r>
      <w:r w:rsidR="00F50032">
        <w:rPr>
          <w:rFonts w:ascii="Arial" w:hAnsi="Arial"/>
          <w:color w:val="000000"/>
          <w:sz w:val="24"/>
          <w:szCs w:val="24"/>
        </w:rPr>
        <w:t xml:space="preserve">., </w:t>
      </w:r>
      <w:r>
        <w:rPr>
          <w:rFonts w:ascii="Arial" w:hAnsi="Arial"/>
          <w:color w:val="000000"/>
          <w:sz w:val="24"/>
          <w:szCs w:val="24"/>
        </w:rPr>
        <w:t>Finance and Legal Services during the year.</w:t>
      </w:r>
    </w:p>
    <w:p w14:paraId="08211DA3" w14:textId="77777777" w:rsidR="00A30D09" w:rsidRDefault="00A30D09"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797AA2CB" w14:textId="77777777" w:rsidR="001D427A" w:rsidRPr="001D427A" w:rsidRDefault="001D427A" w:rsidP="001D427A">
      <w:pPr>
        <w:rPr>
          <w:sz w:val="24"/>
          <w:szCs w:val="24"/>
          <w:lang w:eastAsia="en-GB"/>
        </w:rPr>
      </w:pPr>
      <w:r w:rsidRPr="00D66A79">
        <w:rPr>
          <w:rFonts w:ascii="Arial" w:hAnsi="Arial"/>
          <w:sz w:val="24"/>
          <w:szCs w:val="24"/>
        </w:rPr>
        <w:t xml:space="preserve">The Chief Finance Officer of City &amp; County of Swansea also undertakes the role of </w:t>
      </w:r>
      <w:r w:rsidRPr="00D66A79">
        <w:rPr>
          <w:rFonts w:ascii="Arial" w:hAnsi="Arial" w:cs="Arial"/>
          <w:sz w:val="24"/>
          <w:szCs w:val="24"/>
          <w:lang w:eastAsia="en-GB"/>
        </w:rPr>
        <w:t>Clerk and Treasurer of Swansea Bay Port Health Authority</w:t>
      </w:r>
    </w:p>
    <w:p w14:paraId="70C448DE" w14:textId="77777777" w:rsidR="001D427A" w:rsidRDefault="001D427A"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352C680E" w14:textId="77777777" w:rsidR="00A30D09" w:rsidRPr="00880E33" w:rsidRDefault="00A30D09"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sz w:val="24"/>
          <w:szCs w:val="24"/>
        </w:rPr>
      </w:pPr>
      <w:r>
        <w:rPr>
          <w:rFonts w:ascii="Arial" w:hAnsi="Arial"/>
          <w:color w:val="000000"/>
          <w:sz w:val="24"/>
          <w:szCs w:val="24"/>
        </w:rPr>
        <w:t xml:space="preserve">Contributions received from admitted and scheduled bodies are detailed </w:t>
      </w:r>
      <w:r w:rsidRPr="000C3C46">
        <w:rPr>
          <w:rFonts w:ascii="Arial" w:hAnsi="Arial"/>
          <w:color w:val="000000"/>
          <w:sz w:val="24"/>
          <w:szCs w:val="24"/>
        </w:rPr>
        <w:t xml:space="preserve">on page </w:t>
      </w:r>
      <w:r w:rsidR="000C3C46" w:rsidRPr="000C3C46">
        <w:rPr>
          <w:rFonts w:ascii="Arial" w:hAnsi="Arial"/>
          <w:color w:val="000000"/>
          <w:sz w:val="24"/>
          <w:szCs w:val="24"/>
        </w:rPr>
        <w:t>90</w:t>
      </w:r>
      <w:r w:rsidR="00284204" w:rsidRPr="000C3C46">
        <w:rPr>
          <w:rFonts w:ascii="Arial" w:hAnsi="Arial"/>
          <w:sz w:val="24"/>
          <w:szCs w:val="24"/>
        </w:rPr>
        <w:t>.</w:t>
      </w:r>
    </w:p>
    <w:p w14:paraId="03A0C139" w14:textId="77777777" w:rsidR="00A30D09" w:rsidRDefault="00A30D09"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49215CE8" w14:textId="77777777" w:rsidR="000F4A98" w:rsidRDefault="000F4A98"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r>
        <w:rPr>
          <w:rFonts w:ascii="Arial" w:hAnsi="Arial"/>
          <w:color w:val="000000"/>
          <w:sz w:val="24"/>
          <w:szCs w:val="24"/>
        </w:rPr>
        <w:t xml:space="preserve">The </w:t>
      </w:r>
      <w:r w:rsidRPr="000F4A98">
        <w:rPr>
          <w:rFonts w:ascii="Arial" w:hAnsi="Arial"/>
          <w:color w:val="000000"/>
          <w:sz w:val="24"/>
          <w:szCs w:val="24"/>
        </w:rPr>
        <w:t>City &amp; County of Swansea</w:t>
      </w:r>
      <w:r>
        <w:rPr>
          <w:rFonts w:ascii="Arial" w:hAnsi="Arial"/>
          <w:color w:val="000000"/>
          <w:sz w:val="24"/>
          <w:szCs w:val="24"/>
        </w:rPr>
        <w:t xml:space="preserve"> acts as administering Authority for the </w:t>
      </w:r>
      <w:r w:rsidRPr="000F4A98">
        <w:rPr>
          <w:rFonts w:ascii="Arial" w:hAnsi="Arial"/>
          <w:color w:val="000000"/>
          <w:sz w:val="24"/>
          <w:szCs w:val="24"/>
        </w:rPr>
        <w:t>City &amp; County of Swansea</w:t>
      </w:r>
      <w:r>
        <w:rPr>
          <w:rFonts w:ascii="Arial" w:hAnsi="Arial"/>
          <w:color w:val="000000"/>
          <w:sz w:val="24"/>
          <w:szCs w:val="24"/>
        </w:rPr>
        <w:t xml:space="preserve"> Pension Fund (formerly the West Glamorgan Pension Fund).</w:t>
      </w:r>
    </w:p>
    <w:p w14:paraId="1FF608C6" w14:textId="77777777" w:rsidR="000F4A98" w:rsidRDefault="000F4A98"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3CBB5B43" w14:textId="77777777" w:rsidR="000F4A98" w:rsidRDefault="000F4A98"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r>
        <w:rPr>
          <w:rFonts w:ascii="Arial" w:hAnsi="Arial"/>
          <w:color w:val="000000"/>
          <w:sz w:val="24"/>
          <w:szCs w:val="24"/>
        </w:rPr>
        <w:t>Transactions between the Authority and the Pension Fund mainly comprise the payment to the Pension Fund of employee and employer payroll superannuation deductions, together with payments in respect of enhanced pensions granted by Former Authorities.</w:t>
      </w:r>
    </w:p>
    <w:p w14:paraId="7AA8F02E" w14:textId="77777777" w:rsidR="00CE4668" w:rsidRDefault="00CE4668" w:rsidP="00CE4668">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p>
    <w:p w14:paraId="3E13028E" w14:textId="77777777" w:rsidR="00CE4668" w:rsidRPr="002704AA" w:rsidRDefault="00CE4668" w:rsidP="00CE4668">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r w:rsidRPr="002704AA">
        <w:rPr>
          <w:rFonts w:ascii="Arial" w:hAnsi="Arial"/>
          <w:b/>
          <w:color w:val="000000"/>
          <w:sz w:val="24"/>
          <w:szCs w:val="24"/>
        </w:rPr>
        <w:lastRenderedPageBreak/>
        <w:t>Related Party Transactions Cont’d</w:t>
      </w:r>
    </w:p>
    <w:p w14:paraId="7A55E683" w14:textId="77777777" w:rsidR="00CE4668" w:rsidRDefault="00CE4668" w:rsidP="00CE4668">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p>
    <w:p w14:paraId="4C792321" w14:textId="77777777" w:rsidR="007B7D32" w:rsidRDefault="007B7D32"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5E45866C" w14:textId="77777777" w:rsidR="007B7D32" w:rsidRDefault="007B7D32"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r>
        <w:rPr>
          <w:rFonts w:ascii="Arial" w:hAnsi="Arial"/>
          <w:color w:val="000000"/>
          <w:sz w:val="24"/>
          <w:szCs w:val="24"/>
        </w:rPr>
        <w:t xml:space="preserve">The Pension Fund currently has </w:t>
      </w:r>
      <w:r w:rsidR="000A6259">
        <w:rPr>
          <w:rFonts w:ascii="Arial" w:hAnsi="Arial"/>
          <w:color w:val="000000"/>
          <w:sz w:val="24"/>
          <w:szCs w:val="24"/>
        </w:rPr>
        <w:t>40</w:t>
      </w:r>
      <w:r>
        <w:rPr>
          <w:rFonts w:ascii="Arial" w:hAnsi="Arial"/>
          <w:color w:val="000000"/>
          <w:sz w:val="24"/>
          <w:szCs w:val="24"/>
        </w:rPr>
        <w:t xml:space="preserve"> scheduled and admitted bodies. Management of the Pension Scheme Investment Fund is undertaken by a panel. The panel is advised by </w:t>
      </w:r>
      <w:r w:rsidR="00A41A1D">
        <w:rPr>
          <w:rFonts w:ascii="Arial" w:hAnsi="Arial"/>
          <w:color w:val="000000"/>
          <w:sz w:val="24"/>
          <w:szCs w:val="24"/>
        </w:rPr>
        <w:t>an</w:t>
      </w:r>
      <w:r>
        <w:rPr>
          <w:rFonts w:ascii="Arial" w:hAnsi="Arial"/>
          <w:color w:val="000000"/>
          <w:sz w:val="24"/>
          <w:szCs w:val="24"/>
        </w:rPr>
        <w:t xml:space="preserve">  investment consultancy service.</w:t>
      </w:r>
    </w:p>
    <w:p w14:paraId="2C42CA7B" w14:textId="77777777" w:rsidR="000B1D61" w:rsidRDefault="000B1D61"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195EA415" w14:textId="77777777" w:rsidR="006A742B" w:rsidRDefault="006A742B"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p>
    <w:p w14:paraId="5EC97379" w14:textId="77777777" w:rsidR="000B1D61" w:rsidRDefault="000B1D61"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bookmarkStart w:id="1" w:name="_Hlk107510709"/>
      <w:r w:rsidRPr="000B1D61">
        <w:rPr>
          <w:rFonts w:ascii="Arial" w:hAnsi="Arial"/>
          <w:b/>
          <w:color w:val="000000"/>
          <w:sz w:val="24"/>
          <w:szCs w:val="24"/>
        </w:rPr>
        <w:t>Key Management Personnel</w:t>
      </w:r>
    </w:p>
    <w:p w14:paraId="715FCB7C" w14:textId="77777777" w:rsidR="004E45BC" w:rsidRDefault="004E45BC"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p>
    <w:p w14:paraId="030E4EC9" w14:textId="77777777" w:rsidR="00C02799" w:rsidRPr="00C02799" w:rsidRDefault="00C02799" w:rsidP="00C02799">
      <w:pPr>
        <w:rPr>
          <w:rFonts w:ascii="Arial" w:hAnsi="Arial" w:cs="Arial"/>
          <w:sz w:val="24"/>
          <w:szCs w:val="24"/>
        </w:rPr>
      </w:pPr>
      <w:r w:rsidRPr="00C02799">
        <w:rPr>
          <w:rFonts w:ascii="Arial" w:hAnsi="Arial" w:cs="Arial"/>
          <w:sz w:val="24"/>
          <w:szCs w:val="24"/>
        </w:rPr>
        <w:t xml:space="preserve">The key management personnel of the Fund are the Chief Executive and the </w:t>
      </w:r>
      <w:r w:rsidR="008E18CB">
        <w:rPr>
          <w:rFonts w:ascii="Arial" w:hAnsi="Arial" w:cs="Arial"/>
          <w:sz w:val="24"/>
          <w:szCs w:val="24"/>
        </w:rPr>
        <w:t>Director of Finance</w:t>
      </w:r>
      <w:r w:rsidRPr="00C02799">
        <w:rPr>
          <w:rFonts w:ascii="Arial" w:hAnsi="Arial" w:cs="Arial"/>
          <w:sz w:val="24"/>
          <w:szCs w:val="24"/>
        </w:rPr>
        <w:t xml:space="preserve">. The figures show the change in value of post-employment benefits provided to these individuals over the accounting year based on the percentage of time spent on matters relating to the Pension Fund. The value of these benefits has been calculated consistently with those of the whole </w:t>
      </w:r>
      <w:r w:rsidR="005401DD">
        <w:rPr>
          <w:rFonts w:ascii="Arial" w:hAnsi="Arial" w:cs="Arial"/>
          <w:sz w:val="24"/>
          <w:szCs w:val="24"/>
        </w:rPr>
        <w:t>Fund disclosure (provided in Part D of this report),</w:t>
      </w:r>
      <w:r w:rsidRPr="00C02799">
        <w:rPr>
          <w:rFonts w:ascii="Arial" w:hAnsi="Arial" w:cs="Arial"/>
          <w:b/>
          <w:bCs/>
          <w:sz w:val="24"/>
          <w:szCs w:val="24"/>
        </w:rPr>
        <w:t xml:space="preserve"> </w:t>
      </w:r>
      <w:r w:rsidRPr="00C02799">
        <w:rPr>
          <w:rFonts w:ascii="Arial" w:hAnsi="Arial" w:cs="Arial"/>
          <w:sz w:val="24"/>
          <w:szCs w:val="24"/>
        </w:rPr>
        <w:t>albeit that the figures have been calculated at different dates to those used for the whole of fund disclosure.</w:t>
      </w:r>
    </w:p>
    <w:p w14:paraId="56F11683" w14:textId="77777777" w:rsidR="004F26E6" w:rsidRDefault="004F26E6"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s="Arial"/>
          <w:color w:val="000000"/>
          <w:sz w:val="24"/>
          <w:szCs w:val="24"/>
        </w:rPr>
      </w:pPr>
    </w:p>
    <w:p w14:paraId="79F980D9" w14:textId="77777777" w:rsidR="00C70C0D" w:rsidRDefault="00C70C0D"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tbl>
      <w:tblPr>
        <w:tblW w:w="10280" w:type="dxa"/>
        <w:tblInd w:w="108" w:type="dxa"/>
        <w:tblLook w:val="04A0" w:firstRow="1" w:lastRow="0" w:firstColumn="1" w:lastColumn="0" w:noHBand="0" w:noVBand="1"/>
      </w:tblPr>
      <w:tblGrid>
        <w:gridCol w:w="3640"/>
        <w:gridCol w:w="1660"/>
        <w:gridCol w:w="1660"/>
        <w:gridCol w:w="1660"/>
        <w:gridCol w:w="1660"/>
      </w:tblGrid>
      <w:tr w:rsidR="0026401E" w:rsidRPr="0026401E" w14:paraId="74F41FC2" w14:textId="77777777" w:rsidTr="0026401E">
        <w:trPr>
          <w:trHeight w:val="300"/>
        </w:trPr>
        <w:tc>
          <w:tcPr>
            <w:tcW w:w="3640" w:type="dxa"/>
            <w:tcBorders>
              <w:top w:val="nil"/>
              <w:left w:val="nil"/>
              <w:bottom w:val="nil"/>
              <w:right w:val="nil"/>
            </w:tcBorders>
            <w:shd w:val="clear" w:color="auto" w:fill="auto"/>
            <w:noWrap/>
            <w:vAlign w:val="bottom"/>
            <w:hideMark/>
          </w:tcPr>
          <w:p w14:paraId="73D0ECD4" w14:textId="77777777" w:rsidR="0026401E" w:rsidRPr="0026401E" w:rsidRDefault="0026401E" w:rsidP="0026401E">
            <w:pPr>
              <w:rPr>
                <w:rFonts w:ascii="Calibri" w:hAnsi="Calibri" w:cs="Calibri"/>
                <w:b/>
                <w:bCs/>
                <w:color w:val="000000"/>
                <w:sz w:val="22"/>
                <w:szCs w:val="22"/>
                <w:lang w:eastAsia="en-GB"/>
              </w:rPr>
            </w:pPr>
          </w:p>
        </w:tc>
        <w:tc>
          <w:tcPr>
            <w:tcW w:w="1660" w:type="dxa"/>
            <w:tcBorders>
              <w:top w:val="nil"/>
              <w:left w:val="nil"/>
              <w:bottom w:val="nil"/>
              <w:right w:val="nil"/>
            </w:tcBorders>
            <w:shd w:val="clear" w:color="auto" w:fill="auto"/>
            <w:noWrap/>
            <w:vAlign w:val="bottom"/>
            <w:hideMark/>
          </w:tcPr>
          <w:p w14:paraId="311A85B7" w14:textId="77777777" w:rsidR="0026401E" w:rsidRPr="0026401E" w:rsidRDefault="0026401E" w:rsidP="0026401E">
            <w:pPr>
              <w:rPr>
                <w:rFonts w:ascii="Calibri" w:hAnsi="Calibri" w:cs="Calibri"/>
                <w:b/>
                <w:bCs/>
                <w:color w:val="000000"/>
                <w:sz w:val="22"/>
                <w:szCs w:val="22"/>
                <w:lang w:eastAsia="en-GB"/>
              </w:rPr>
            </w:pPr>
          </w:p>
        </w:tc>
        <w:tc>
          <w:tcPr>
            <w:tcW w:w="1660" w:type="dxa"/>
            <w:tcBorders>
              <w:top w:val="nil"/>
              <w:left w:val="nil"/>
              <w:bottom w:val="nil"/>
              <w:right w:val="nil"/>
            </w:tcBorders>
            <w:shd w:val="clear" w:color="auto" w:fill="auto"/>
            <w:noWrap/>
            <w:vAlign w:val="bottom"/>
            <w:hideMark/>
          </w:tcPr>
          <w:p w14:paraId="61888B54" w14:textId="77777777" w:rsidR="0026401E" w:rsidRPr="0026401E" w:rsidRDefault="0026401E" w:rsidP="0026401E">
            <w:pPr>
              <w:rPr>
                <w:sz w:val="20"/>
                <w:lang w:eastAsia="en-GB"/>
              </w:rPr>
            </w:pPr>
          </w:p>
        </w:tc>
        <w:tc>
          <w:tcPr>
            <w:tcW w:w="1660" w:type="dxa"/>
            <w:tcBorders>
              <w:top w:val="nil"/>
              <w:left w:val="nil"/>
              <w:bottom w:val="nil"/>
              <w:right w:val="nil"/>
            </w:tcBorders>
            <w:shd w:val="clear" w:color="auto" w:fill="auto"/>
            <w:noWrap/>
            <w:vAlign w:val="bottom"/>
            <w:hideMark/>
          </w:tcPr>
          <w:p w14:paraId="4E560B27" w14:textId="77777777" w:rsidR="0026401E" w:rsidRPr="0026401E" w:rsidRDefault="0026401E" w:rsidP="0026401E">
            <w:pPr>
              <w:rPr>
                <w:sz w:val="20"/>
                <w:lang w:eastAsia="en-GB"/>
              </w:rPr>
            </w:pPr>
          </w:p>
        </w:tc>
        <w:tc>
          <w:tcPr>
            <w:tcW w:w="1660" w:type="dxa"/>
            <w:tcBorders>
              <w:top w:val="nil"/>
              <w:left w:val="nil"/>
              <w:bottom w:val="nil"/>
              <w:right w:val="nil"/>
            </w:tcBorders>
            <w:shd w:val="clear" w:color="auto" w:fill="auto"/>
            <w:noWrap/>
            <w:vAlign w:val="bottom"/>
            <w:hideMark/>
          </w:tcPr>
          <w:p w14:paraId="55F6B7C0" w14:textId="77777777" w:rsidR="0026401E" w:rsidRPr="0026401E" w:rsidRDefault="0026401E" w:rsidP="0026401E">
            <w:pPr>
              <w:rPr>
                <w:sz w:val="20"/>
                <w:lang w:eastAsia="en-GB"/>
              </w:rPr>
            </w:pPr>
          </w:p>
        </w:tc>
      </w:tr>
      <w:tr w:rsidR="0026401E" w:rsidRPr="0026401E" w14:paraId="50513B53" w14:textId="77777777" w:rsidTr="0026401E">
        <w:trPr>
          <w:trHeight w:val="579"/>
        </w:trPr>
        <w:tc>
          <w:tcPr>
            <w:tcW w:w="3640" w:type="dxa"/>
            <w:tcBorders>
              <w:top w:val="nil"/>
              <w:left w:val="nil"/>
              <w:bottom w:val="nil"/>
              <w:right w:val="nil"/>
            </w:tcBorders>
            <w:shd w:val="clear" w:color="auto" w:fill="auto"/>
            <w:noWrap/>
            <w:vAlign w:val="bottom"/>
            <w:hideMark/>
          </w:tcPr>
          <w:p w14:paraId="54733B9A" w14:textId="77777777" w:rsidR="0026401E" w:rsidRPr="0026401E" w:rsidRDefault="0026401E" w:rsidP="0026401E">
            <w:pPr>
              <w:rPr>
                <w:sz w:val="20"/>
                <w:lang w:eastAsia="en-GB"/>
              </w:rPr>
            </w:pPr>
          </w:p>
        </w:tc>
        <w:tc>
          <w:tcPr>
            <w:tcW w:w="3320" w:type="dxa"/>
            <w:gridSpan w:val="2"/>
            <w:tcBorders>
              <w:top w:val="single" w:sz="8" w:space="0" w:color="auto"/>
              <w:left w:val="single" w:sz="8" w:space="0" w:color="auto"/>
              <w:bottom w:val="nil"/>
              <w:right w:val="single" w:sz="8" w:space="0" w:color="000000"/>
            </w:tcBorders>
            <w:shd w:val="clear" w:color="auto" w:fill="auto"/>
            <w:vAlign w:val="bottom"/>
            <w:hideMark/>
          </w:tcPr>
          <w:p w14:paraId="63C272F6" w14:textId="77777777" w:rsidR="0026401E" w:rsidRPr="0026401E" w:rsidRDefault="0026401E" w:rsidP="002A3370">
            <w:pPr>
              <w:jc w:val="center"/>
              <w:rPr>
                <w:rFonts w:ascii="Calibri" w:hAnsi="Calibri" w:cs="Calibri"/>
                <w:b/>
                <w:bCs/>
                <w:color w:val="000000"/>
                <w:sz w:val="22"/>
                <w:szCs w:val="22"/>
                <w:lang w:eastAsia="en-GB"/>
              </w:rPr>
            </w:pPr>
            <w:r w:rsidRPr="0026401E">
              <w:rPr>
                <w:rFonts w:ascii="Calibri" w:hAnsi="Calibri" w:cs="Calibri"/>
                <w:b/>
                <w:bCs/>
                <w:color w:val="000000"/>
                <w:sz w:val="22"/>
                <w:szCs w:val="22"/>
                <w:lang w:eastAsia="en-GB"/>
              </w:rPr>
              <w:t>Increase/(decrease) in IAS19 liability to 31 March 20</w:t>
            </w:r>
            <w:r w:rsidR="00620011">
              <w:rPr>
                <w:rFonts w:ascii="Calibri" w:hAnsi="Calibri" w:cs="Calibri"/>
                <w:b/>
                <w:bCs/>
                <w:color w:val="000000"/>
                <w:sz w:val="22"/>
                <w:szCs w:val="22"/>
                <w:lang w:eastAsia="en-GB"/>
              </w:rPr>
              <w:t>2</w:t>
            </w:r>
            <w:r w:rsidR="006164D8">
              <w:rPr>
                <w:rFonts w:ascii="Calibri" w:hAnsi="Calibri" w:cs="Calibri"/>
                <w:b/>
                <w:bCs/>
                <w:color w:val="000000"/>
                <w:sz w:val="22"/>
                <w:szCs w:val="22"/>
                <w:lang w:eastAsia="en-GB"/>
              </w:rPr>
              <w:t>2</w:t>
            </w:r>
          </w:p>
        </w:tc>
        <w:tc>
          <w:tcPr>
            <w:tcW w:w="3320" w:type="dxa"/>
            <w:gridSpan w:val="2"/>
            <w:tcBorders>
              <w:top w:val="single" w:sz="8" w:space="0" w:color="auto"/>
              <w:left w:val="nil"/>
              <w:bottom w:val="nil"/>
              <w:right w:val="single" w:sz="8" w:space="0" w:color="000000"/>
            </w:tcBorders>
            <w:shd w:val="clear" w:color="auto" w:fill="auto"/>
            <w:vAlign w:val="bottom"/>
            <w:hideMark/>
          </w:tcPr>
          <w:p w14:paraId="35C13669" w14:textId="77777777" w:rsidR="0026401E" w:rsidRPr="0026401E" w:rsidRDefault="0026401E" w:rsidP="002A3370">
            <w:pPr>
              <w:jc w:val="center"/>
              <w:rPr>
                <w:rFonts w:ascii="Calibri" w:hAnsi="Calibri" w:cs="Calibri"/>
                <w:b/>
                <w:bCs/>
                <w:color w:val="000000"/>
                <w:sz w:val="22"/>
                <w:szCs w:val="22"/>
                <w:lang w:eastAsia="en-GB"/>
              </w:rPr>
            </w:pPr>
            <w:r w:rsidRPr="0026401E">
              <w:rPr>
                <w:rFonts w:ascii="Calibri" w:hAnsi="Calibri" w:cs="Calibri"/>
                <w:b/>
                <w:bCs/>
                <w:color w:val="000000"/>
                <w:sz w:val="22"/>
                <w:szCs w:val="22"/>
                <w:lang w:eastAsia="en-GB"/>
              </w:rPr>
              <w:t>Increase/(decrease) in IAS19 liability to 31 March 20</w:t>
            </w:r>
            <w:r w:rsidR="002A3370">
              <w:rPr>
                <w:rFonts w:ascii="Calibri" w:hAnsi="Calibri" w:cs="Calibri"/>
                <w:b/>
                <w:bCs/>
                <w:color w:val="000000"/>
                <w:sz w:val="22"/>
                <w:szCs w:val="22"/>
                <w:lang w:eastAsia="en-GB"/>
              </w:rPr>
              <w:t>2</w:t>
            </w:r>
            <w:r w:rsidR="006164D8">
              <w:rPr>
                <w:rFonts w:ascii="Calibri" w:hAnsi="Calibri" w:cs="Calibri"/>
                <w:b/>
                <w:bCs/>
                <w:color w:val="000000"/>
                <w:sz w:val="22"/>
                <w:szCs w:val="22"/>
                <w:lang w:eastAsia="en-GB"/>
              </w:rPr>
              <w:t>1</w:t>
            </w:r>
          </w:p>
        </w:tc>
      </w:tr>
      <w:tr w:rsidR="0026401E" w:rsidRPr="0026401E" w14:paraId="6DDB6AFD" w14:textId="77777777" w:rsidTr="0026401E">
        <w:trPr>
          <w:trHeight w:val="864"/>
        </w:trPr>
        <w:tc>
          <w:tcPr>
            <w:tcW w:w="3640" w:type="dxa"/>
            <w:tcBorders>
              <w:top w:val="single" w:sz="8" w:space="0" w:color="auto"/>
              <w:left w:val="single" w:sz="8" w:space="0" w:color="auto"/>
              <w:bottom w:val="single" w:sz="4" w:space="0" w:color="auto"/>
              <w:right w:val="nil"/>
            </w:tcBorders>
            <w:shd w:val="clear" w:color="auto" w:fill="auto"/>
            <w:noWrap/>
            <w:vAlign w:val="bottom"/>
            <w:hideMark/>
          </w:tcPr>
          <w:p w14:paraId="575DCF8B" w14:textId="77777777" w:rsidR="0026401E" w:rsidRPr="0026401E" w:rsidRDefault="0026401E" w:rsidP="0026401E">
            <w:pPr>
              <w:rPr>
                <w:rFonts w:ascii="Calibri" w:hAnsi="Calibri" w:cs="Calibri"/>
                <w:color w:val="000000"/>
                <w:sz w:val="22"/>
                <w:szCs w:val="22"/>
                <w:lang w:eastAsia="en-GB"/>
              </w:rPr>
            </w:pPr>
            <w:r w:rsidRPr="0026401E">
              <w:rPr>
                <w:rFonts w:ascii="Calibri" w:hAnsi="Calibri" w:cs="Calibri"/>
                <w:color w:val="000000"/>
                <w:sz w:val="22"/>
                <w:szCs w:val="22"/>
                <w:lang w:eastAsia="en-GB"/>
              </w:rPr>
              <w:t> </w:t>
            </w:r>
          </w:p>
        </w:tc>
        <w:tc>
          <w:tcPr>
            <w:tcW w:w="16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44EFF305" w14:textId="77777777" w:rsidR="0026401E" w:rsidRPr="0026401E" w:rsidRDefault="0026401E" w:rsidP="0026401E">
            <w:pPr>
              <w:jc w:val="center"/>
              <w:rPr>
                <w:rFonts w:ascii="Calibri" w:hAnsi="Calibri" w:cs="Calibri"/>
                <w:b/>
                <w:bCs/>
                <w:color w:val="000000"/>
                <w:sz w:val="22"/>
                <w:szCs w:val="22"/>
                <w:lang w:eastAsia="en-GB"/>
              </w:rPr>
            </w:pPr>
            <w:r w:rsidRPr="0026401E">
              <w:rPr>
                <w:rFonts w:ascii="Calibri" w:hAnsi="Calibri" w:cs="Calibri"/>
                <w:b/>
                <w:bCs/>
                <w:color w:val="000000"/>
                <w:sz w:val="22"/>
                <w:szCs w:val="22"/>
                <w:lang w:eastAsia="en-GB"/>
              </w:rPr>
              <w:t>Amount (£)</w:t>
            </w:r>
          </w:p>
        </w:tc>
        <w:tc>
          <w:tcPr>
            <w:tcW w:w="1660" w:type="dxa"/>
            <w:tcBorders>
              <w:top w:val="single" w:sz="8" w:space="0" w:color="auto"/>
              <w:left w:val="nil"/>
              <w:bottom w:val="single" w:sz="4" w:space="0" w:color="auto"/>
              <w:right w:val="single" w:sz="8" w:space="0" w:color="auto"/>
            </w:tcBorders>
            <w:shd w:val="clear" w:color="auto" w:fill="auto"/>
            <w:vAlign w:val="bottom"/>
            <w:hideMark/>
          </w:tcPr>
          <w:p w14:paraId="444AD365" w14:textId="77777777" w:rsidR="0026401E" w:rsidRPr="0026401E" w:rsidRDefault="0026401E" w:rsidP="0026401E">
            <w:pPr>
              <w:jc w:val="center"/>
              <w:rPr>
                <w:rFonts w:ascii="Calibri" w:hAnsi="Calibri" w:cs="Calibri"/>
                <w:b/>
                <w:bCs/>
                <w:color w:val="000000"/>
                <w:sz w:val="22"/>
                <w:szCs w:val="22"/>
                <w:lang w:eastAsia="en-GB"/>
              </w:rPr>
            </w:pPr>
            <w:r w:rsidRPr="0026401E">
              <w:rPr>
                <w:rFonts w:ascii="Calibri" w:hAnsi="Calibri" w:cs="Calibri"/>
                <w:b/>
                <w:bCs/>
                <w:color w:val="000000"/>
                <w:sz w:val="22"/>
                <w:szCs w:val="22"/>
                <w:lang w:eastAsia="en-GB"/>
              </w:rPr>
              <w:t xml:space="preserve">Percentage (%) </w:t>
            </w:r>
            <w:r w:rsidRPr="0026401E">
              <w:rPr>
                <w:rFonts w:ascii="Calibri" w:hAnsi="Calibri" w:cs="Calibri"/>
                <w:b/>
                <w:bCs/>
                <w:color w:val="000000"/>
                <w:sz w:val="22"/>
                <w:szCs w:val="22"/>
                <w:lang w:eastAsia="en-GB"/>
              </w:rPr>
              <w:br/>
              <w:t>of year end liability</w:t>
            </w:r>
          </w:p>
        </w:tc>
        <w:tc>
          <w:tcPr>
            <w:tcW w:w="1660" w:type="dxa"/>
            <w:tcBorders>
              <w:top w:val="single" w:sz="8" w:space="0" w:color="auto"/>
              <w:left w:val="nil"/>
              <w:bottom w:val="single" w:sz="4" w:space="0" w:color="auto"/>
              <w:right w:val="single" w:sz="4" w:space="0" w:color="auto"/>
            </w:tcBorders>
            <w:shd w:val="clear" w:color="auto" w:fill="auto"/>
            <w:vAlign w:val="bottom"/>
            <w:hideMark/>
          </w:tcPr>
          <w:p w14:paraId="059C9599" w14:textId="77777777" w:rsidR="0026401E" w:rsidRPr="0026401E" w:rsidRDefault="0026401E" w:rsidP="0026401E">
            <w:pPr>
              <w:jc w:val="center"/>
              <w:rPr>
                <w:rFonts w:ascii="Calibri" w:hAnsi="Calibri" w:cs="Calibri"/>
                <w:b/>
                <w:bCs/>
                <w:color w:val="000000"/>
                <w:sz w:val="22"/>
                <w:szCs w:val="22"/>
                <w:lang w:eastAsia="en-GB"/>
              </w:rPr>
            </w:pPr>
            <w:r w:rsidRPr="0026401E">
              <w:rPr>
                <w:rFonts w:ascii="Calibri" w:hAnsi="Calibri" w:cs="Calibri"/>
                <w:b/>
                <w:bCs/>
                <w:color w:val="000000"/>
                <w:sz w:val="22"/>
                <w:szCs w:val="22"/>
                <w:lang w:eastAsia="en-GB"/>
              </w:rPr>
              <w:t>Amount (£)</w:t>
            </w:r>
          </w:p>
        </w:tc>
        <w:tc>
          <w:tcPr>
            <w:tcW w:w="1660" w:type="dxa"/>
            <w:tcBorders>
              <w:top w:val="single" w:sz="8" w:space="0" w:color="auto"/>
              <w:left w:val="nil"/>
              <w:bottom w:val="single" w:sz="4" w:space="0" w:color="auto"/>
              <w:right w:val="single" w:sz="8" w:space="0" w:color="auto"/>
            </w:tcBorders>
            <w:shd w:val="clear" w:color="auto" w:fill="auto"/>
            <w:vAlign w:val="bottom"/>
            <w:hideMark/>
          </w:tcPr>
          <w:p w14:paraId="6323C222" w14:textId="77777777" w:rsidR="0026401E" w:rsidRPr="0026401E" w:rsidRDefault="0026401E" w:rsidP="0026401E">
            <w:pPr>
              <w:jc w:val="center"/>
              <w:rPr>
                <w:rFonts w:ascii="Calibri" w:hAnsi="Calibri" w:cs="Calibri"/>
                <w:b/>
                <w:bCs/>
                <w:color w:val="000000"/>
                <w:sz w:val="22"/>
                <w:szCs w:val="22"/>
                <w:lang w:eastAsia="en-GB"/>
              </w:rPr>
            </w:pPr>
            <w:r w:rsidRPr="0026401E">
              <w:rPr>
                <w:rFonts w:ascii="Calibri" w:hAnsi="Calibri" w:cs="Calibri"/>
                <w:b/>
                <w:bCs/>
                <w:color w:val="000000"/>
                <w:sz w:val="22"/>
                <w:szCs w:val="22"/>
                <w:lang w:eastAsia="en-GB"/>
              </w:rPr>
              <w:t xml:space="preserve">Percentage (%) </w:t>
            </w:r>
            <w:r w:rsidRPr="0026401E">
              <w:rPr>
                <w:rFonts w:ascii="Calibri" w:hAnsi="Calibri" w:cs="Calibri"/>
                <w:b/>
                <w:bCs/>
                <w:color w:val="000000"/>
                <w:sz w:val="22"/>
                <w:szCs w:val="22"/>
                <w:lang w:eastAsia="en-GB"/>
              </w:rPr>
              <w:br/>
              <w:t>of year end liability</w:t>
            </w:r>
          </w:p>
        </w:tc>
      </w:tr>
      <w:tr w:rsidR="0026401E" w:rsidRPr="0026401E" w14:paraId="4B93154C" w14:textId="77777777" w:rsidTr="002A3370">
        <w:trPr>
          <w:trHeight w:val="288"/>
        </w:trPr>
        <w:tc>
          <w:tcPr>
            <w:tcW w:w="3640" w:type="dxa"/>
            <w:tcBorders>
              <w:top w:val="nil"/>
              <w:left w:val="single" w:sz="8" w:space="0" w:color="auto"/>
              <w:bottom w:val="single" w:sz="4" w:space="0" w:color="auto"/>
              <w:right w:val="nil"/>
            </w:tcBorders>
            <w:shd w:val="clear" w:color="auto" w:fill="auto"/>
            <w:noWrap/>
            <w:vAlign w:val="bottom"/>
            <w:hideMark/>
          </w:tcPr>
          <w:p w14:paraId="15A4678B" w14:textId="77777777" w:rsidR="0026401E" w:rsidRPr="0026401E" w:rsidRDefault="0026401E" w:rsidP="0026401E">
            <w:pPr>
              <w:rPr>
                <w:rFonts w:ascii="Arial" w:hAnsi="Arial" w:cs="Arial"/>
                <w:sz w:val="20"/>
                <w:lang w:eastAsia="en-GB"/>
              </w:rPr>
            </w:pPr>
            <w:r w:rsidRPr="0026401E">
              <w:rPr>
                <w:rFonts w:ascii="Arial" w:hAnsi="Arial" w:cs="Arial"/>
                <w:sz w:val="20"/>
                <w:lang w:eastAsia="en-GB"/>
              </w:rPr>
              <w:t xml:space="preserve">Chief Executive </w:t>
            </w:r>
          </w:p>
        </w:tc>
        <w:tc>
          <w:tcPr>
            <w:tcW w:w="1660" w:type="dxa"/>
            <w:tcBorders>
              <w:top w:val="nil"/>
              <w:left w:val="single" w:sz="8" w:space="0" w:color="auto"/>
              <w:bottom w:val="single" w:sz="4" w:space="0" w:color="auto"/>
              <w:right w:val="nil"/>
            </w:tcBorders>
            <w:shd w:val="clear" w:color="auto" w:fill="auto"/>
            <w:noWrap/>
            <w:vAlign w:val="bottom"/>
          </w:tcPr>
          <w:p w14:paraId="5F250E3F" w14:textId="77777777" w:rsidR="0026401E" w:rsidRPr="00D66A79" w:rsidRDefault="006164D8" w:rsidP="0085115B">
            <w:pPr>
              <w:jc w:val="right"/>
              <w:rPr>
                <w:rFonts w:ascii="Calibri" w:hAnsi="Calibri" w:cs="Calibri"/>
                <w:color w:val="000000"/>
                <w:sz w:val="22"/>
                <w:szCs w:val="22"/>
                <w:lang w:eastAsia="en-GB"/>
              </w:rPr>
            </w:pPr>
            <w:r>
              <w:rPr>
                <w:rFonts w:ascii="Calibri" w:hAnsi="Calibri" w:cs="Calibri"/>
                <w:color w:val="000000"/>
                <w:sz w:val="22"/>
                <w:szCs w:val="22"/>
                <w:lang w:eastAsia="en-GB"/>
              </w:rPr>
              <w:t>45,000</w:t>
            </w:r>
          </w:p>
        </w:tc>
        <w:tc>
          <w:tcPr>
            <w:tcW w:w="1660" w:type="dxa"/>
            <w:tcBorders>
              <w:top w:val="nil"/>
              <w:left w:val="single" w:sz="4" w:space="0" w:color="auto"/>
              <w:bottom w:val="single" w:sz="4" w:space="0" w:color="auto"/>
              <w:right w:val="single" w:sz="8" w:space="0" w:color="auto"/>
            </w:tcBorders>
            <w:shd w:val="clear" w:color="auto" w:fill="auto"/>
            <w:noWrap/>
            <w:vAlign w:val="bottom"/>
          </w:tcPr>
          <w:p w14:paraId="2BA05D0E" w14:textId="77777777" w:rsidR="0026401E" w:rsidRPr="00D66A79" w:rsidRDefault="006164D8" w:rsidP="0085115B">
            <w:pPr>
              <w:jc w:val="right"/>
              <w:rPr>
                <w:rFonts w:ascii="Calibri" w:hAnsi="Calibri" w:cs="Calibri"/>
                <w:color w:val="000000"/>
                <w:sz w:val="22"/>
                <w:szCs w:val="22"/>
                <w:lang w:eastAsia="en-GB"/>
              </w:rPr>
            </w:pPr>
            <w:r>
              <w:rPr>
                <w:rFonts w:ascii="Calibri" w:hAnsi="Calibri" w:cs="Calibri"/>
                <w:color w:val="000000"/>
                <w:sz w:val="22"/>
                <w:szCs w:val="22"/>
                <w:lang w:eastAsia="en-GB"/>
              </w:rPr>
              <w:t>2.6</w:t>
            </w:r>
          </w:p>
        </w:tc>
        <w:tc>
          <w:tcPr>
            <w:tcW w:w="1660" w:type="dxa"/>
            <w:tcBorders>
              <w:top w:val="nil"/>
              <w:left w:val="nil"/>
              <w:bottom w:val="single" w:sz="4" w:space="0" w:color="auto"/>
              <w:right w:val="nil"/>
            </w:tcBorders>
            <w:shd w:val="clear" w:color="auto" w:fill="auto"/>
            <w:noWrap/>
            <w:vAlign w:val="bottom"/>
            <w:hideMark/>
          </w:tcPr>
          <w:p w14:paraId="421EB794" w14:textId="77777777" w:rsidR="0026401E" w:rsidRPr="0026401E" w:rsidRDefault="0026401E" w:rsidP="002A3370">
            <w:pPr>
              <w:jc w:val="right"/>
              <w:rPr>
                <w:rFonts w:ascii="Calibri" w:hAnsi="Calibri" w:cs="Calibri"/>
                <w:color w:val="000000"/>
                <w:sz w:val="22"/>
                <w:szCs w:val="22"/>
                <w:lang w:eastAsia="en-GB"/>
              </w:rPr>
            </w:pPr>
            <w:r w:rsidRPr="0026401E">
              <w:rPr>
                <w:rFonts w:ascii="Calibri" w:hAnsi="Calibri" w:cs="Calibri"/>
                <w:color w:val="000000"/>
                <w:sz w:val="22"/>
                <w:szCs w:val="22"/>
                <w:lang w:eastAsia="en-GB"/>
              </w:rPr>
              <w:t xml:space="preserve">                 </w:t>
            </w:r>
            <w:r w:rsidR="006164D8">
              <w:rPr>
                <w:rFonts w:ascii="Calibri" w:hAnsi="Calibri" w:cs="Calibri"/>
                <w:color w:val="000000"/>
                <w:sz w:val="22"/>
                <w:szCs w:val="22"/>
                <w:lang w:eastAsia="en-GB"/>
              </w:rPr>
              <w:t>(6,000)</w:t>
            </w:r>
            <w:r w:rsidRPr="0026401E">
              <w:rPr>
                <w:rFonts w:ascii="Calibri" w:hAnsi="Calibri" w:cs="Calibri"/>
                <w:color w:val="000000"/>
                <w:sz w:val="22"/>
                <w:szCs w:val="22"/>
                <w:lang w:eastAsia="en-GB"/>
              </w:rPr>
              <w:t xml:space="preserve"> </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2F758C46" w14:textId="77777777" w:rsidR="0026401E" w:rsidRPr="0026401E" w:rsidRDefault="006164D8" w:rsidP="00A41A1D">
            <w:pPr>
              <w:jc w:val="right"/>
              <w:rPr>
                <w:rFonts w:ascii="Calibri" w:hAnsi="Calibri" w:cs="Calibri"/>
                <w:color w:val="000000"/>
                <w:sz w:val="22"/>
                <w:szCs w:val="22"/>
                <w:lang w:eastAsia="en-GB"/>
              </w:rPr>
            </w:pPr>
            <w:r>
              <w:rPr>
                <w:rFonts w:ascii="Calibri" w:hAnsi="Calibri" w:cs="Calibri"/>
                <w:color w:val="000000"/>
                <w:sz w:val="22"/>
                <w:szCs w:val="22"/>
                <w:lang w:eastAsia="en-GB"/>
              </w:rPr>
              <w:t>(0.3)</w:t>
            </w:r>
          </w:p>
        </w:tc>
      </w:tr>
      <w:tr w:rsidR="004625A6" w:rsidRPr="0026401E" w14:paraId="7547DC33" w14:textId="77777777" w:rsidTr="002A3370">
        <w:trPr>
          <w:trHeight w:val="288"/>
        </w:trPr>
        <w:tc>
          <w:tcPr>
            <w:tcW w:w="3640" w:type="dxa"/>
            <w:tcBorders>
              <w:top w:val="nil"/>
              <w:left w:val="single" w:sz="8" w:space="0" w:color="auto"/>
              <w:bottom w:val="single" w:sz="4" w:space="0" w:color="auto"/>
              <w:right w:val="nil"/>
            </w:tcBorders>
            <w:shd w:val="clear" w:color="auto" w:fill="auto"/>
            <w:noWrap/>
            <w:vAlign w:val="bottom"/>
            <w:hideMark/>
          </w:tcPr>
          <w:p w14:paraId="64A4E377" w14:textId="77777777" w:rsidR="004625A6" w:rsidRPr="0026401E" w:rsidRDefault="004625A6" w:rsidP="004625A6">
            <w:pPr>
              <w:rPr>
                <w:rFonts w:ascii="Arial" w:hAnsi="Arial" w:cs="Arial"/>
                <w:sz w:val="20"/>
                <w:lang w:eastAsia="en-GB"/>
              </w:rPr>
            </w:pPr>
            <w:r>
              <w:rPr>
                <w:rFonts w:ascii="Arial" w:hAnsi="Arial" w:cs="Arial"/>
                <w:sz w:val="20"/>
                <w:lang w:eastAsia="en-GB"/>
              </w:rPr>
              <w:t>Section 151 Officer &amp; Director of Finance</w:t>
            </w:r>
          </w:p>
        </w:tc>
        <w:tc>
          <w:tcPr>
            <w:tcW w:w="1660" w:type="dxa"/>
            <w:tcBorders>
              <w:top w:val="nil"/>
              <w:left w:val="single" w:sz="8" w:space="0" w:color="auto"/>
              <w:bottom w:val="single" w:sz="4" w:space="0" w:color="auto"/>
              <w:right w:val="nil"/>
            </w:tcBorders>
            <w:shd w:val="clear" w:color="auto" w:fill="auto"/>
            <w:noWrap/>
            <w:vAlign w:val="bottom"/>
          </w:tcPr>
          <w:p w14:paraId="24B74AC9" w14:textId="77777777" w:rsidR="004625A6" w:rsidRPr="0026401E" w:rsidRDefault="004625A6" w:rsidP="004625A6">
            <w:pPr>
              <w:jc w:val="right"/>
              <w:rPr>
                <w:rFonts w:ascii="Calibri" w:hAnsi="Calibri" w:cs="Calibri"/>
                <w:color w:val="000000"/>
                <w:sz w:val="22"/>
                <w:szCs w:val="22"/>
                <w:lang w:eastAsia="en-GB"/>
              </w:rPr>
            </w:pPr>
            <w:r>
              <w:rPr>
                <w:rFonts w:ascii="Calibri" w:hAnsi="Calibri" w:cs="Calibri"/>
                <w:color w:val="000000"/>
                <w:sz w:val="22"/>
                <w:szCs w:val="22"/>
                <w:lang w:eastAsia="en-GB"/>
              </w:rPr>
              <w:t>45,000</w:t>
            </w:r>
          </w:p>
        </w:tc>
        <w:tc>
          <w:tcPr>
            <w:tcW w:w="1660" w:type="dxa"/>
            <w:tcBorders>
              <w:top w:val="nil"/>
              <w:left w:val="single" w:sz="4" w:space="0" w:color="auto"/>
              <w:bottom w:val="single" w:sz="4" w:space="0" w:color="auto"/>
              <w:right w:val="single" w:sz="8" w:space="0" w:color="auto"/>
            </w:tcBorders>
            <w:shd w:val="clear" w:color="auto" w:fill="auto"/>
            <w:noWrap/>
            <w:vAlign w:val="bottom"/>
          </w:tcPr>
          <w:p w14:paraId="26BCD2D8" w14:textId="77777777" w:rsidR="004625A6" w:rsidRPr="0026401E" w:rsidRDefault="004625A6" w:rsidP="004625A6">
            <w:pPr>
              <w:jc w:val="right"/>
              <w:rPr>
                <w:rFonts w:ascii="Calibri" w:hAnsi="Calibri" w:cs="Calibri"/>
                <w:color w:val="000000"/>
                <w:sz w:val="22"/>
                <w:szCs w:val="22"/>
                <w:lang w:eastAsia="en-GB"/>
              </w:rPr>
            </w:pPr>
            <w:r>
              <w:rPr>
                <w:rFonts w:ascii="Calibri" w:hAnsi="Calibri" w:cs="Calibri"/>
                <w:color w:val="000000"/>
                <w:sz w:val="22"/>
                <w:szCs w:val="22"/>
                <w:lang w:eastAsia="en-GB"/>
              </w:rPr>
              <w:t>7.4</w:t>
            </w:r>
          </w:p>
        </w:tc>
        <w:tc>
          <w:tcPr>
            <w:tcW w:w="1660" w:type="dxa"/>
            <w:tcBorders>
              <w:top w:val="nil"/>
              <w:left w:val="nil"/>
              <w:bottom w:val="single" w:sz="4" w:space="0" w:color="auto"/>
              <w:right w:val="nil"/>
            </w:tcBorders>
            <w:shd w:val="clear" w:color="auto" w:fill="auto"/>
            <w:noWrap/>
            <w:vAlign w:val="bottom"/>
            <w:hideMark/>
          </w:tcPr>
          <w:p w14:paraId="34F1696F" w14:textId="77777777" w:rsidR="004625A6" w:rsidRPr="0026401E" w:rsidRDefault="004625A6" w:rsidP="004625A6">
            <w:pPr>
              <w:jc w:val="right"/>
              <w:rPr>
                <w:rFonts w:ascii="Calibri" w:hAnsi="Calibri" w:cs="Calibri"/>
                <w:color w:val="000000"/>
                <w:sz w:val="22"/>
                <w:szCs w:val="22"/>
                <w:lang w:eastAsia="en-GB"/>
              </w:rPr>
            </w:pPr>
            <w:r w:rsidRPr="0026401E">
              <w:rPr>
                <w:rFonts w:ascii="Calibri" w:hAnsi="Calibri" w:cs="Calibri"/>
                <w:color w:val="000000"/>
                <w:sz w:val="22"/>
                <w:szCs w:val="22"/>
                <w:lang w:eastAsia="en-GB"/>
              </w:rPr>
              <w:t xml:space="preserve">                   </w:t>
            </w:r>
            <w:r>
              <w:rPr>
                <w:rFonts w:ascii="Calibri" w:hAnsi="Calibri" w:cs="Calibri"/>
                <w:color w:val="000000"/>
                <w:sz w:val="22"/>
                <w:szCs w:val="22"/>
                <w:lang w:eastAsia="en-GB"/>
              </w:rPr>
              <w:t>69,000</w:t>
            </w:r>
            <w:r w:rsidRPr="0026401E">
              <w:rPr>
                <w:rFonts w:ascii="Calibri" w:hAnsi="Calibri" w:cs="Calibri"/>
                <w:color w:val="000000"/>
                <w:sz w:val="22"/>
                <w:szCs w:val="22"/>
                <w:lang w:eastAsia="en-GB"/>
              </w:rPr>
              <w:t xml:space="preserve"> </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2C668D4F" w14:textId="77777777" w:rsidR="004625A6" w:rsidRPr="0026401E" w:rsidRDefault="004625A6" w:rsidP="004625A6">
            <w:pPr>
              <w:jc w:val="right"/>
              <w:rPr>
                <w:rFonts w:ascii="Calibri" w:hAnsi="Calibri" w:cs="Calibri"/>
                <w:color w:val="000000"/>
                <w:sz w:val="22"/>
                <w:szCs w:val="22"/>
                <w:lang w:eastAsia="en-GB"/>
              </w:rPr>
            </w:pPr>
            <w:r>
              <w:rPr>
                <w:rFonts w:ascii="Calibri" w:hAnsi="Calibri" w:cs="Calibri"/>
                <w:color w:val="000000"/>
                <w:sz w:val="22"/>
                <w:szCs w:val="22"/>
                <w:lang w:eastAsia="en-GB"/>
              </w:rPr>
              <w:t>11.7</w:t>
            </w:r>
          </w:p>
        </w:tc>
      </w:tr>
    </w:tbl>
    <w:p w14:paraId="60D77BD3" w14:textId="77777777" w:rsidR="00233DE8" w:rsidRDefault="00233DE8"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p>
    <w:p w14:paraId="45B62BB0" w14:textId="77777777" w:rsidR="0026401E" w:rsidRDefault="0026401E"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78B6D733" w14:textId="77777777" w:rsidR="0026401E" w:rsidRDefault="0026401E"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tbl>
      <w:tblPr>
        <w:tblW w:w="10280" w:type="dxa"/>
        <w:tblInd w:w="108" w:type="dxa"/>
        <w:tblLook w:val="04A0" w:firstRow="1" w:lastRow="0" w:firstColumn="1" w:lastColumn="0" w:noHBand="0" w:noVBand="1"/>
      </w:tblPr>
      <w:tblGrid>
        <w:gridCol w:w="3640"/>
        <w:gridCol w:w="1660"/>
        <w:gridCol w:w="1660"/>
        <w:gridCol w:w="1660"/>
        <w:gridCol w:w="1660"/>
      </w:tblGrid>
      <w:tr w:rsidR="00172650" w:rsidRPr="0026401E" w14:paraId="4648194E" w14:textId="77777777" w:rsidTr="00013965">
        <w:trPr>
          <w:trHeight w:val="579"/>
        </w:trPr>
        <w:tc>
          <w:tcPr>
            <w:tcW w:w="3640" w:type="dxa"/>
            <w:tcBorders>
              <w:top w:val="nil"/>
              <w:left w:val="nil"/>
              <w:bottom w:val="nil"/>
              <w:right w:val="nil"/>
            </w:tcBorders>
            <w:shd w:val="clear" w:color="auto" w:fill="auto"/>
            <w:noWrap/>
            <w:vAlign w:val="bottom"/>
            <w:hideMark/>
          </w:tcPr>
          <w:p w14:paraId="196ABEAF" w14:textId="77777777" w:rsidR="00172650" w:rsidRPr="0026401E" w:rsidRDefault="00172650" w:rsidP="00013965">
            <w:pPr>
              <w:rPr>
                <w:sz w:val="20"/>
                <w:lang w:eastAsia="en-GB"/>
              </w:rPr>
            </w:pPr>
          </w:p>
        </w:tc>
        <w:tc>
          <w:tcPr>
            <w:tcW w:w="3320" w:type="dxa"/>
            <w:gridSpan w:val="2"/>
            <w:tcBorders>
              <w:top w:val="single" w:sz="8" w:space="0" w:color="auto"/>
              <w:left w:val="single" w:sz="8" w:space="0" w:color="auto"/>
              <w:bottom w:val="nil"/>
              <w:right w:val="single" w:sz="8" w:space="0" w:color="000000"/>
            </w:tcBorders>
            <w:shd w:val="clear" w:color="auto" w:fill="auto"/>
            <w:vAlign w:val="bottom"/>
            <w:hideMark/>
          </w:tcPr>
          <w:p w14:paraId="2F21FC7E" w14:textId="77777777" w:rsidR="00172650" w:rsidRPr="0026401E" w:rsidRDefault="00172650" w:rsidP="002A3370">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Short Term Benefits to 31 March 20</w:t>
            </w:r>
            <w:r w:rsidR="00505D46">
              <w:rPr>
                <w:rFonts w:ascii="Calibri" w:hAnsi="Calibri" w:cs="Calibri"/>
                <w:b/>
                <w:bCs/>
                <w:color w:val="000000"/>
                <w:sz w:val="22"/>
                <w:szCs w:val="22"/>
                <w:lang w:eastAsia="en-GB"/>
              </w:rPr>
              <w:t>2</w:t>
            </w:r>
            <w:r w:rsidR="006164D8">
              <w:rPr>
                <w:rFonts w:ascii="Calibri" w:hAnsi="Calibri" w:cs="Calibri"/>
                <w:b/>
                <w:bCs/>
                <w:color w:val="000000"/>
                <w:sz w:val="22"/>
                <w:szCs w:val="22"/>
                <w:lang w:eastAsia="en-GB"/>
              </w:rPr>
              <w:t>2</w:t>
            </w:r>
          </w:p>
        </w:tc>
        <w:tc>
          <w:tcPr>
            <w:tcW w:w="3320" w:type="dxa"/>
            <w:gridSpan w:val="2"/>
            <w:tcBorders>
              <w:top w:val="single" w:sz="8" w:space="0" w:color="auto"/>
              <w:left w:val="nil"/>
              <w:bottom w:val="nil"/>
              <w:right w:val="single" w:sz="8" w:space="0" w:color="000000"/>
            </w:tcBorders>
            <w:shd w:val="clear" w:color="auto" w:fill="auto"/>
            <w:vAlign w:val="bottom"/>
            <w:hideMark/>
          </w:tcPr>
          <w:p w14:paraId="45E03B19" w14:textId="77777777" w:rsidR="00172650" w:rsidRPr="0026401E" w:rsidRDefault="00172650" w:rsidP="002A3370">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Short Term Benefits to 31 March 20</w:t>
            </w:r>
            <w:r w:rsidR="002A3370">
              <w:rPr>
                <w:rFonts w:ascii="Calibri" w:hAnsi="Calibri" w:cs="Calibri"/>
                <w:b/>
                <w:bCs/>
                <w:color w:val="000000"/>
                <w:sz w:val="22"/>
                <w:szCs w:val="22"/>
                <w:lang w:eastAsia="en-GB"/>
              </w:rPr>
              <w:t>2</w:t>
            </w:r>
            <w:r w:rsidR="006164D8">
              <w:rPr>
                <w:rFonts w:ascii="Calibri" w:hAnsi="Calibri" w:cs="Calibri"/>
                <w:b/>
                <w:bCs/>
                <w:color w:val="000000"/>
                <w:sz w:val="22"/>
                <w:szCs w:val="22"/>
                <w:lang w:eastAsia="en-GB"/>
              </w:rPr>
              <w:t>1</w:t>
            </w:r>
          </w:p>
        </w:tc>
      </w:tr>
      <w:tr w:rsidR="00172650" w:rsidRPr="0026401E" w14:paraId="32DF6E11" w14:textId="77777777" w:rsidTr="00013965">
        <w:trPr>
          <w:trHeight w:val="864"/>
        </w:trPr>
        <w:tc>
          <w:tcPr>
            <w:tcW w:w="3640" w:type="dxa"/>
            <w:tcBorders>
              <w:top w:val="single" w:sz="8" w:space="0" w:color="auto"/>
              <w:left w:val="single" w:sz="8" w:space="0" w:color="auto"/>
              <w:bottom w:val="single" w:sz="4" w:space="0" w:color="auto"/>
              <w:right w:val="nil"/>
            </w:tcBorders>
            <w:shd w:val="clear" w:color="auto" w:fill="auto"/>
            <w:noWrap/>
            <w:vAlign w:val="bottom"/>
            <w:hideMark/>
          </w:tcPr>
          <w:p w14:paraId="56FF9C67" w14:textId="77777777" w:rsidR="00172650" w:rsidRPr="0026401E" w:rsidRDefault="00172650" w:rsidP="00013965">
            <w:pPr>
              <w:rPr>
                <w:rFonts w:ascii="Calibri" w:hAnsi="Calibri" w:cs="Calibri"/>
                <w:color w:val="000000"/>
                <w:sz w:val="22"/>
                <w:szCs w:val="22"/>
                <w:lang w:eastAsia="en-GB"/>
              </w:rPr>
            </w:pPr>
            <w:r w:rsidRPr="0026401E">
              <w:rPr>
                <w:rFonts w:ascii="Calibri" w:hAnsi="Calibri" w:cs="Calibri"/>
                <w:color w:val="000000"/>
                <w:sz w:val="22"/>
                <w:szCs w:val="22"/>
                <w:lang w:eastAsia="en-GB"/>
              </w:rPr>
              <w:t> </w:t>
            </w:r>
          </w:p>
        </w:tc>
        <w:tc>
          <w:tcPr>
            <w:tcW w:w="16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271FF7CE" w14:textId="77777777" w:rsidR="00172650" w:rsidRDefault="00172650" w:rsidP="00013965">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Remuneration (Including Fees &amp; Allowances)</w:t>
            </w:r>
          </w:p>
          <w:p w14:paraId="10727241" w14:textId="77777777" w:rsidR="00172650" w:rsidRPr="0026401E" w:rsidRDefault="00172650" w:rsidP="00013965">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w:t>
            </w:r>
          </w:p>
        </w:tc>
        <w:tc>
          <w:tcPr>
            <w:tcW w:w="1660" w:type="dxa"/>
            <w:tcBorders>
              <w:top w:val="single" w:sz="8" w:space="0" w:color="auto"/>
              <w:left w:val="nil"/>
              <w:bottom w:val="single" w:sz="4" w:space="0" w:color="auto"/>
              <w:right w:val="single" w:sz="8" w:space="0" w:color="auto"/>
            </w:tcBorders>
            <w:shd w:val="clear" w:color="auto" w:fill="auto"/>
            <w:vAlign w:val="bottom"/>
            <w:hideMark/>
          </w:tcPr>
          <w:p w14:paraId="1195E7FB" w14:textId="77777777" w:rsidR="00172650" w:rsidRDefault="00172650" w:rsidP="00013965">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Pension Contributions (2</w:t>
            </w:r>
            <w:r w:rsidR="001A38B5">
              <w:rPr>
                <w:rFonts w:ascii="Calibri" w:hAnsi="Calibri" w:cs="Calibri"/>
                <w:b/>
                <w:bCs/>
                <w:color w:val="000000"/>
                <w:sz w:val="22"/>
                <w:szCs w:val="22"/>
                <w:lang w:eastAsia="en-GB"/>
              </w:rPr>
              <w:t>4.7</w:t>
            </w:r>
            <w:r>
              <w:rPr>
                <w:rFonts w:ascii="Calibri" w:hAnsi="Calibri" w:cs="Calibri"/>
                <w:b/>
                <w:bCs/>
                <w:color w:val="000000"/>
                <w:sz w:val="22"/>
                <w:szCs w:val="22"/>
                <w:lang w:eastAsia="en-GB"/>
              </w:rPr>
              <w:t>%)</w:t>
            </w:r>
          </w:p>
          <w:p w14:paraId="3EF13CC9" w14:textId="77777777" w:rsidR="00172650" w:rsidRPr="0026401E" w:rsidRDefault="00172650" w:rsidP="00013965">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w:t>
            </w:r>
          </w:p>
        </w:tc>
        <w:tc>
          <w:tcPr>
            <w:tcW w:w="1660" w:type="dxa"/>
            <w:tcBorders>
              <w:top w:val="single" w:sz="8" w:space="0" w:color="auto"/>
              <w:left w:val="nil"/>
              <w:bottom w:val="single" w:sz="4" w:space="0" w:color="auto"/>
              <w:right w:val="single" w:sz="4" w:space="0" w:color="auto"/>
            </w:tcBorders>
            <w:shd w:val="clear" w:color="auto" w:fill="auto"/>
            <w:vAlign w:val="bottom"/>
            <w:hideMark/>
          </w:tcPr>
          <w:p w14:paraId="47B5B220" w14:textId="77777777" w:rsidR="00172650" w:rsidRDefault="00172650" w:rsidP="00013965">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Remuneration (Including Fees &amp; Allowances)</w:t>
            </w:r>
          </w:p>
          <w:p w14:paraId="207F5DED" w14:textId="77777777" w:rsidR="00172650" w:rsidRPr="0026401E" w:rsidRDefault="00172650" w:rsidP="00013965">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w:t>
            </w:r>
          </w:p>
        </w:tc>
        <w:tc>
          <w:tcPr>
            <w:tcW w:w="1660" w:type="dxa"/>
            <w:tcBorders>
              <w:top w:val="single" w:sz="8" w:space="0" w:color="auto"/>
              <w:left w:val="nil"/>
              <w:bottom w:val="single" w:sz="4" w:space="0" w:color="auto"/>
              <w:right w:val="single" w:sz="8" w:space="0" w:color="auto"/>
            </w:tcBorders>
            <w:shd w:val="clear" w:color="auto" w:fill="auto"/>
            <w:vAlign w:val="bottom"/>
            <w:hideMark/>
          </w:tcPr>
          <w:p w14:paraId="514320F1" w14:textId="77777777" w:rsidR="00172650" w:rsidRDefault="00172650" w:rsidP="00013965">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Pension Contributions</w:t>
            </w:r>
          </w:p>
          <w:p w14:paraId="1753A135" w14:textId="77777777" w:rsidR="00172650" w:rsidRDefault="00172650" w:rsidP="00013965">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(2</w:t>
            </w:r>
            <w:r w:rsidR="006164D8">
              <w:rPr>
                <w:rFonts w:ascii="Calibri" w:hAnsi="Calibri" w:cs="Calibri"/>
                <w:b/>
                <w:bCs/>
                <w:color w:val="000000"/>
                <w:sz w:val="22"/>
                <w:szCs w:val="22"/>
                <w:lang w:eastAsia="en-GB"/>
              </w:rPr>
              <w:t>4.7</w:t>
            </w:r>
            <w:r>
              <w:rPr>
                <w:rFonts w:ascii="Calibri" w:hAnsi="Calibri" w:cs="Calibri"/>
                <w:b/>
                <w:bCs/>
                <w:color w:val="000000"/>
                <w:sz w:val="22"/>
                <w:szCs w:val="22"/>
                <w:lang w:eastAsia="en-GB"/>
              </w:rPr>
              <w:t>%)</w:t>
            </w:r>
          </w:p>
          <w:p w14:paraId="7E5C380E" w14:textId="77777777" w:rsidR="00172650" w:rsidRPr="0026401E" w:rsidRDefault="00172650" w:rsidP="00013965">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w:t>
            </w:r>
          </w:p>
        </w:tc>
      </w:tr>
      <w:tr w:rsidR="00172650" w:rsidRPr="0026401E" w14:paraId="5D9842C8" w14:textId="77777777" w:rsidTr="002A3370">
        <w:trPr>
          <w:trHeight w:val="288"/>
        </w:trPr>
        <w:tc>
          <w:tcPr>
            <w:tcW w:w="3640" w:type="dxa"/>
            <w:tcBorders>
              <w:top w:val="nil"/>
              <w:left w:val="single" w:sz="8" w:space="0" w:color="auto"/>
              <w:bottom w:val="single" w:sz="4" w:space="0" w:color="auto"/>
              <w:right w:val="nil"/>
            </w:tcBorders>
            <w:shd w:val="clear" w:color="auto" w:fill="auto"/>
            <w:noWrap/>
            <w:vAlign w:val="bottom"/>
            <w:hideMark/>
          </w:tcPr>
          <w:p w14:paraId="408E5B1E" w14:textId="77777777" w:rsidR="00172650" w:rsidRPr="0026401E" w:rsidRDefault="00172650" w:rsidP="00013965">
            <w:pPr>
              <w:rPr>
                <w:rFonts w:ascii="Arial" w:hAnsi="Arial" w:cs="Arial"/>
                <w:sz w:val="20"/>
                <w:lang w:eastAsia="en-GB"/>
              </w:rPr>
            </w:pPr>
            <w:r w:rsidRPr="0026401E">
              <w:rPr>
                <w:rFonts w:ascii="Arial" w:hAnsi="Arial" w:cs="Arial"/>
                <w:sz w:val="20"/>
                <w:lang w:eastAsia="en-GB"/>
              </w:rPr>
              <w:t xml:space="preserve">Chief Executive </w:t>
            </w:r>
          </w:p>
        </w:tc>
        <w:tc>
          <w:tcPr>
            <w:tcW w:w="1660" w:type="dxa"/>
            <w:tcBorders>
              <w:top w:val="nil"/>
              <w:left w:val="single" w:sz="8" w:space="0" w:color="auto"/>
              <w:bottom w:val="single" w:sz="4" w:space="0" w:color="auto"/>
              <w:right w:val="nil"/>
            </w:tcBorders>
            <w:shd w:val="clear" w:color="auto" w:fill="auto"/>
            <w:noWrap/>
            <w:vAlign w:val="bottom"/>
          </w:tcPr>
          <w:p w14:paraId="304A58AE" w14:textId="77777777" w:rsidR="002A3370" w:rsidRPr="0026401E" w:rsidRDefault="006164D8" w:rsidP="00505D46">
            <w:pPr>
              <w:jc w:val="right"/>
              <w:rPr>
                <w:rFonts w:ascii="Calibri" w:hAnsi="Calibri" w:cs="Calibri"/>
                <w:color w:val="000000"/>
                <w:sz w:val="22"/>
                <w:szCs w:val="22"/>
                <w:lang w:eastAsia="en-GB"/>
              </w:rPr>
            </w:pPr>
            <w:r>
              <w:rPr>
                <w:rFonts w:ascii="Calibri" w:hAnsi="Calibri" w:cs="Calibri"/>
                <w:color w:val="000000"/>
                <w:sz w:val="22"/>
                <w:szCs w:val="22"/>
                <w:lang w:eastAsia="en-GB"/>
              </w:rPr>
              <w:t>154,962</w:t>
            </w:r>
          </w:p>
        </w:tc>
        <w:tc>
          <w:tcPr>
            <w:tcW w:w="1660" w:type="dxa"/>
            <w:tcBorders>
              <w:top w:val="nil"/>
              <w:left w:val="single" w:sz="4" w:space="0" w:color="auto"/>
              <w:bottom w:val="single" w:sz="4" w:space="0" w:color="auto"/>
              <w:right w:val="single" w:sz="8" w:space="0" w:color="auto"/>
            </w:tcBorders>
            <w:shd w:val="clear" w:color="auto" w:fill="auto"/>
            <w:noWrap/>
            <w:vAlign w:val="bottom"/>
          </w:tcPr>
          <w:p w14:paraId="2F38C954" w14:textId="77777777" w:rsidR="00172650" w:rsidRPr="0026401E" w:rsidRDefault="006164D8" w:rsidP="00FB6890">
            <w:pPr>
              <w:jc w:val="right"/>
              <w:rPr>
                <w:rFonts w:ascii="Calibri" w:hAnsi="Calibri" w:cs="Calibri"/>
                <w:color w:val="000000"/>
                <w:sz w:val="22"/>
                <w:szCs w:val="22"/>
                <w:lang w:eastAsia="en-GB"/>
              </w:rPr>
            </w:pPr>
            <w:r>
              <w:rPr>
                <w:rFonts w:ascii="Calibri" w:hAnsi="Calibri" w:cs="Calibri"/>
                <w:color w:val="000000"/>
                <w:sz w:val="22"/>
                <w:szCs w:val="22"/>
                <w:lang w:eastAsia="en-GB"/>
              </w:rPr>
              <w:t>-</w:t>
            </w:r>
          </w:p>
        </w:tc>
        <w:tc>
          <w:tcPr>
            <w:tcW w:w="1660" w:type="dxa"/>
            <w:tcBorders>
              <w:top w:val="nil"/>
              <w:left w:val="nil"/>
              <w:bottom w:val="single" w:sz="4" w:space="0" w:color="auto"/>
              <w:right w:val="nil"/>
            </w:tcBorders>
            <w:shd w:val="clear" w:color="auto" w:fill="auto"/>
            <w:noWrap/>
            <w:vAlign w:val="bottom"/>
          </w:tcPr>
          <w:p w14:paraId="3090653F" w14:textId="77777777" w:rsidR="00172650" w:rsidRPr="0026401E" w:rsidRDefault="006164D8" w:rsidP="00505D46">
            <w:pPr>
              <w:jc w:val="right"/>
              <w:rPr>
                <w:rFonts w:ascii="Calibri" w:hAnsi="Calibri" w:cs="Calibri"/>
                <w:color w:val="000000"/>
                <w:sz w:val="22"/>
                <w:szCs w:val="22"/>
                <w:lang w:eastAsia="en-GB"/>
              </w:rPr>
            </w:pPr>
            <w:r>
              <w:rPr>
                <w:rFonts w:ascii="Calibri" w:hAnsi="Calibri" w:cs="Calibri"/>
                <w:color w:val="000000"/>
                <w:sz w:val="22"/>
                <w:szCs w:val="22"/>
                <w:lang w:eastAsia="en-GB"/>
              </w:rPr>
              <w:t>152,671</w:t>
            </w:r>
          </w:p>
        </w:tc>
        <w:tc>
          <w:tcPr>
            <w:tcW w:w="1660" w:type="dxa"/>
            <w:tcBorders>
              <w:top w:val="nil"/>
              <w:left w:val="single" w:sz="4" w:space="0" w:color="auto"/>
              <w:bottom w:val="single" w:sz="4" w:space="0" w:color="auto"/>
              <w:right w:val="single" w:sz="8" w:space="0" w:color="auto"/>
            </w:tcBorders>
            <w:shd w:val="clear" w:color="auto" w:fill="auto"/>
            <w:noWrap/>
            <w:vAlign w:val="bottom"/>
          </w:tcPr>
          <w:p w14:paraId="2E88F189" w14:textId="77777777" w:rsidR="006164D8" w:rsidRDefault="006164D8" w:rsidP="00505D46">
            <w:pPr>
              <w:jc w:val="right"/>
              <w:rPr>
                <w:rFonts w:ascii="Calibri" w:hAnsi="Calibri" w:cs="Calibri"/>
                <w:color w:val="000000"/>
                <w:sz w:val="22"/>
                <w:szCs w:val="22"/>
                <w:lang w:eastAsia="en-GB"/>
              </w:rPr>
            </w:pPr>
          </w:p>
          <w:p w14:paraId="56A6F1D4" w14:textId="77777777" w:rsidR="006164D8" w:rsidRPr="0026401E" w:rsidRDefault="006164D8" w:rsidP="006164D8">
            <w:pPr>
              <w:jc w:val="right"/>
              <w:rPr>
                <w:rFonts w:ascii="Calibri" w:hAnsi="Calibri" w:cs="Calibri"/>
                <w:color w:val="000000"/>
                <w:sz w:val="22"/>
                <w:szCs w:val="22"/>
                <w:lang w:eastAsia="en-GB"/>
              </w:rPr>
            </w:pPr>
            <w:r>
              <w:rPr>
                <w:rFonts w:ascii="Calibri" w:hAnsi="Calibri" w:cs="Calibri"/>
                <w:color w:val="000000"/>
                <w:sz w:val="22"/>
                <w:szCs w:val="22"/>
                <w:lang w:eastAsia="en-GB"/>
              </w:rPr>
              <w:t>-</w:t>
            </w:r>
          </w:p>
        </w:tc>
      </w:tr>
      <w:tr w:rsidR="00FB6890" w:rsidRPr="0026401E" w14:paraId="3B72C3AE" w14:textId="77777777" w:rsidTr="00172650">
        <w:trPr>
          <w:trHeight w:val="288"/>
        </w:trPr>
        <w:tc>
          <w:tcPr>
            <w:tcW w:w="3640" w:type="dxa"/>
            <w:tcBorders>
              <w:top w:val="nil"/>
              <w:left w:val="single" w:sz="8" w:space="0" w:color="auto"/>
              <w:bottom w:val="single" w:sz="4" w:space="0" w:color="auto"/>
              <w:right w:val="nil"/>
            </w:tcBorders>
            <w:shd w:val="clear" w:color="auto" w:fill="auto"/>
            <w:noWrap/>
            <w:vAlign w:val="bottom"/>
          </w:tcPr>
          <w:p w14:paraId="3546DAA8" w14:textId="77777777" w:rsidR="00FB6890" w:rsidRPr="0026401E" w:rsidRDefault="00505D46" w:rsidP="00505D46">
            <w:pPr>
              <w:rPr>
                <w:rFonts w:ascii="Arial" w:hAnsi="Arial" w:cs="Arial"/>
                <w:sz w:val="20"/>
                <w:lang w:eastAsia="en-GB"/>
              </w:rPr>
            </w:pPr>
            <w:r>
              <w:rPr>
                <w:rFonts w:ascii="Arial" w:hAnsi="Arial" w:cs="Arial"/>
                <w:sz w:val="20"/>
                <w:lang w:eastAsia="en-GB"/>
              </w:rPr>
              <w:t xml:space="preserve">Section 151 Officer &amp; </w:t>
            </w:r>
            <w:r w:rsidR="004625A6">
              <w:rPr>
                <w:rFonts w:ascii="Arial" w:hAnsi="Arial" w:cs="Arial"/>
                <w:sz w:val="20"/>
                <w:lang w:eastAsia="en-GB"/>
              </w:rPr>
              <w:t>Director of Finance</w:t>
            </w:r>
          </w:p>
        </w:tc>
        <w:tc>
          <w:tcPr>
            <w:tcW w:w="1660" w:type="dxa"/>
            <w:tcBorders>
              <w:top w:val="nil"/>
              <w:left w:val="single" w:sz="8" w:space="0" w:color="auto"/>
              <w:bottom w:val="single" w:sz="4" w:space="0" w:color="auto"/>
              <w:right w:val="nil"/>
            </w:tcBorders>
            <w:shd w:val="clear" w:color="auto" w:fill="auto"/>
            <w:noWrap/>
            <w:vAlign w:val="bottom"/>
          </w:tcPr>
          <w:p w14:paraId="7A3F3D5D" w14:textId="77777777" w:rsidR="00FB6890" w:rsidRPr="0026401E" w:rsidRDefault="006164D8" w:rsidP="00505D46">
            <w:pPr>
              <w:jc w:val="right"/>
              <w:rPr>
                <w:rFonts w:ascii="Calibri" w:hAnsi="Calibri" w:cs="Calibri"/>
                <w:color w:val="000000"/>
                <w:sz w:val="22"/>
                <w:szCs w:val="22"/>
                <w:lang w:eastAsia="en-GB"/>
              </w:rPr>
            </w:pPr>
            <w:r>
              <w:rPr>
                <w:rFonts w:ascii="Calibri" w:hAnsi="Calibri" w:cs="Calibri"/>
                <w:color w:val="000000"/>
                <w:sz w:val="22"/>
                <w:szCs w:val="22"/>
                <w:lang w:eastAsia="en-GB"/>
              </w:rPr>
              <w:t>110,677</w:t>
            </w:r>
          </w:p>
        </w:tc>
        <w:tc>
          <w:tcPr>
            <w:tcW w:w="1660" w:type="dxa"/>
            <w:tcBorders>
              <w:top w:val="nil"/>
              <w:left w:val="single" w:sz="4" w:space="0" w:color="auto"/>
              <w:bottom w:val="single" w:sz="4" w:space="0" w:color="auto"/>
              <w:right w:val="single" w:sz="8" w:space="0" w:color="auto"/>
            </w:tcBorders>
            <w:shd w:val="clear" w:color="auto" w:fill="auto"/>
            <w:noWrap/>
            <w:vAlign w:val="bottom"/>
          </w:tcPr>
          <w:p w14:paraId="67220CEC" w14:textId="77777777" w:rsidR="00FB6890" w:rsidRPr="0026401E" w:rsidRDefault="00861520" w:rsidP="00FB6890">
            <w:pPr>
              <w:jc w:val="right"/>
              <w:rPr>
                <w:rFonts w:ascii="Calibri" w:hAnsi="Calibri" w:cs="Calibri"/>
                <w:color w:val="000000"/>
                <w:sz w:val="22"/>
                <w:szCs w:val="22"/>
                <w:lang w:eastAsia="en-GB"/>
              </w:rPr>
            </w:pPr>
            <w:r>
              <w:rPr>
                <w:rFonts w:ascii="Calibri" w:hAnsi="Calibri" w:cs="Calibri"/>
                <w:color w:val="000000"/>
                <w:sz w:val="22"/>
                <w:szCs w:val="22"/>
                <w:lang w:eastAsia="en-GB"/>
              </w:rPr>
              <w:t>27,337</w:t>
            </w:r>
          </w:p>
        </w:tc>
        <w:tc>
          <w:tcPr>
            <w:tcW w:w="1660" w:type="dxa"/>
            <w:tcBorders>
              <w:top w:val="nil"/>
              <w:left w:val="nil"/>
              <w:bottom w:val="single" w:sz="4" w:space="0" w:color="auto"/>
              <w:right w:val="nil"/>
            </w:tcBorders>
            <w:shd w:val="clear" w:color="auto" w:fill="auto"/>
            <w:noWrap/>
            <w:vAlign w:val="bottom"/>
          </w:tcPr>
          <w:p w14:paraId="2056A88E" w14:textId="77777777" w:rsidR="00FB6890" w:rsidRPr="0026401E" w:rsidRDefault="006164D8" w:rsidP="00505D46">
            <w:pPr>
              <w:jc w:val="right"/>
              <w:rPr>
                <w:rFonts w:ascii="Calibri" w:hAnsi="Calibri" w:cs="Calibri"/>
                <w:color w:val="000000"/>
                <w:sz w:val="22"/>
                <w:szCs w:val="22"/>
                <w:lang w:eastAsia="en-GB"/>
              </w:rPr>
            </w:pPr>
            <w:r>
              <w:rPr>
                <w:rFonts w:ascii="Calibri" w:hAnsi="Calibri" w:cs="Calibri"/>
                <w:color w:val="000000"/>
                <w:sz w:val="22"/>
                <w:szCs w:val="22"/>
                <w:lang w:eastAsia="en-GB"/>
              </w:rPr>
              <w:t>105,671</w:t>
            </w:r>
          </w:p>
        </w:tc>
        <w:tc>
          <w:tcPr>
            <w:tcW w:w="1660" w:type="dxa"/>
            <w:tcBorders>
              <w:top w:val="nil"/>
              <w:left w:val="single" w:sz="4" w:space="0" w:color="auto"/>
              <w:bottom w:val="single" w:sz="4" w:space="0" w:color="auto"/>
              <w:right w:val="single" w:sz="8" w:space="0" w:color="auto"/>
            </w:tcBorders>
            <w:shd w:val="clear" w:color="auto" w:fill="auto"/>
            <w:noWrap/>
            <w:vAlign w:val="bottom"/>
          </w:tcPr>
          <w:p w14:paraId="378D1BDD" w14:textId="77777777" w:rsidR="00FB6890" w:rsidRPr="0026401E" w:rsidRDefault="006164D8" w:rsidP="00FB6890">
            <w:pPr>
              <w:jc w:val="right"/>
              <w:rPr>
                <w:rFonts w:ascii="Calibri" w:hAnsi="Calibri" w:cs="Calibri"/>
                <w:color w:val="000000"/>
                <w:sz w:val="22"/>
                <w:szCs w:val="22"/>
                <w:lang w:eastAsia="en-GB"/>
              </w:rPr>
            </w:pPr>
            <w:r>
              <w:rPr>
                <w:rFonts w:ascii="Calibri" w:hAnsi="Calibri" w:cs="Calibri"/>
                <w:color w:val="000000"/>
                <w:sz w:val="22"/>
                <w:szCs w:val="22"/>
                <w:lang w:eastAsia="en-GB"/>
              </w:rPr>
              <w:t>26,101</w:t>
            </w:r>
          </w:p>
        </w:tc>
      </w:tr>
    </w:tbl>
    <w:p w14:paraId="3CC9AE3F" w14:textId="77777777" w:rsidR="0026401E" w:rsidRDefault="0026401E"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202E7E08" w14:textId="77777777" w:rsidR="0026401E" w:rsidRDefault="0026401E"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32A5B5E6" w14:textId="77777777" w:rsidR="00823349" w:rsidRDefault="00E24B79" w:rsidP="0073304A">
      <w:pPr>
        <w:pStyle w:val="Header"/>
        <w:numPr>
          <w:ilvl w:val="0"/>
          <w:numId w:val="124"/>
        </w:numPr>
        <w:tabs>
          <w:tab w:val="clear" w:pos="4153"/>
          <w:tab w:val="clear" w:pos="8306"/>
          <w:tab w:val="left" w:pos="709"/>
          <w:tab w:val="right" w:pos="5184"/>
          <w:tab w:val="right" w:pos="6624"/>
          <w:tab w:val="left" w:pos="8640"/>
          <w:tab w:val="right" w:pos="10080"/>
        </w:tabs>
        <w:ind w:right="27"/>
        <w:jc w:val="both"/>
        <w:outlineLvl w:val="0"/>
        <w:rPr>
          <w:rFonts w:ascii="Arial" w:hAnsi="Arial"/>
          <w:sz w:val="24"/>
          <w:szCs w:val="24"/>
        </w:rPr>
      </w:pPr>
      <w:r>
        <w:rPr>
          <w:rFonts w:ascii="Arial" w:hAnsi="Arial"/>
          <w:sz w:val="24"/>
          <w:szCs w:val="24"/>
        </w:rPr>
        <w:t xml:space="preserve"> </w:t>
      </w:r>
      <w:r w:rsidR="00E40441">
        <w:rPr>
          <w:rFonts w:ascii="Arial" w:hAnsi="Arial"/>
          <w:sz w:val="24"/>
          <w:szCs w:val="24"/>
        </w:rPr>
        <w:t>T</w:t>
      </w:r>
      <w:r w:rsidR="00823349" w:rsidRPr="00D66A79">
        <w:rPr>
          <w:rFonts w:ascii="Arial" w:hAnsi="Arial"/>
          <w:sz w:val="24"/>
          <w:szCs w:val="24"/>
        </w:rPr>
        <w:t xml:space="preserve">he Chief Executive became a deferred member in </w:t>
      </w:r>
      <w:r w:rsidR="00BA04A9" w:rsidRPr="00D66A79">
        <w:rPr>
          <w:rFonts w:ascii="Arial" w:hAnsi="Arial"/>
          <w:sz w:val="24"/>
          <w:szCs w:val="24"/>
        </w:rPr>
        <w:t>2019.</w:t>
      </w:r>
    </w:p>
    <w:p w14:paraId="1A400CDA" w14:textId="77777777" w:rsidR="00E24B79" w:rsidRPr="00E24B79" w:rsidRDefault="00E24B79" w:rsidP="0073304A">
      <w:pPr>
        <w:pStyle w:val="Header"/>
        <w:numPr>
          <w:ilvl w:val="0"/>
          <w:numId w:val="124"/>
        </w:numPr>
        <w:tabs>
          <w:tab w:val="clear" w:pos="4153"/>
          <w:tab w:val="clear" w:pos="8306"/>
          <w:tab w:val="left" w:pos="709"/>
          <w:tab w:val="right" w:pos="5184"/>
          <w:tab w:val="right" w:pos="6624"/>
          <w:tab w:val="left" w:pos="8640"/>
          <w:tab w:val="right" w:pos="10080"/>
        </w:tabs>
        <w:ind w:right="27"/>
        <w:jc w:val="both"/>
        <w:outlineLvl w:val="0"/>
        <w:rPr>
          <w:rFonts w:ascii="Arial" w:hAnsi="Arial"/>
          <w:sz w:val="24"/>
          <w:szCs w:val="24"/>
        </w:rPr>
      </w:pPr>
      <w:r>
        <w:rPr>
          <w:rFonts w:ascii="Arial" w:hAnsi="Arial"/>
          <w:sz w:val="24"/>
          <w:szCs w:val="24"/>
        </w:rPr>
        <w:t xml:space="preserve"> T</w:t>
      </w:r>
      <w:r w:rsidR="00E40441" w:rsidRPr="00E24B79">
        <w:rPr>
          <w:rFonts w:ascii="Arial" w:hAnsi="Arial"/>
          <w:sz w:val="24"/>
          <w:szCs w:val="24"/>
        </w:rPr>
        <w:t>he figures for the Chief Executive relate to the Chief Executive who retired in May 2022</w:t>
      </w:r>
      <w:r w:rsidRPr="00E24B79">
        <w:rPr>
          <w:rFonts w:ascii="Arial" w:hAnsi="Arial"/>
          <w:sz w:val="24"/>
          <w:szCs w:val="24"/>
        </w:rPr>
        <w:t>.</w:t>
      </w:r>
    </w:p>
    <w:p w14:paraId="2639C7EF" w14:textId="77777777" w:rsidR="00E40441" w:rsidRPr="00E24B79" w:rsidRDefault="00E24B79" w:rsidP="0073304A">
      <w:pPr>
        <w:pStyle w:val="Header"/>
        <w:numPr>
          <w:ilvl w:val="0"/>
          <w:numId w:val="124"/>
        </w:numPr>
        <w:tabs>
          <w:tab w:val="clear" w:pos="4153"/>
          <w:tab w:val="clear" w:pos="8306"/>
          <w:tab w:val="left" w:pos="709"/>
          <w:tab w:val="right" w:pos="5184"/>
          <w:tab w:val="right" w:pos="6624"/>
          <w:tab w:val="left" w:pos="8640"/>
          <w:tab w:val="right" w:pos="10080"/>
        </w:tabs>
        <w:ind w:right="27"/>
        <w:jc w:val="both"/>
        <w:outlineLvl w:val="0"/>
        <w:rPr>
          <w:rFonts w:ascii="Arial" w:hAnsi="Arial"/>
          <w:sz w:val="24"/>
          <w:szCs w:val="24"/>
        </w:rPr>
      </w:pPr>
      <w:r>
        <w:rPr>
          <w:rFonts w:ascii="Arial" w:hAnsi="Arial"/>
          <w:sz w:val="24"/>
          <w:szCs w:val="24"/>
        </w:rPr>
        <w:t xml:space="preserve"> </w:t>
      </w:r>
      <w:r w:rsidRPr="00E24B79">
        <w:rPr>
          <w:rFonts w:ascii="Arial" w:hAnsi="Arial"/>
          <w:sz w:val="24"/>
          <w:szCs w:val="24"/>
        </w:rPr>
        <w:t>The Director of Finance was pr</w:t>
      </w:r>
      <w:r>
        <w:rPr>
          <w:rFonts w:ascii="Arial" w:hAnsi="Arial"/>
          <w:sz w:val="24"/>
          <w:szCs w:val="24"/>
        </w:rPr>
        <w:t>omoted from</w:t>
      </w:r>
      <w:r w:rsidRPr="00E24B79">
        <w:rPr>
          <w:rFonts w:ascii="Arial" w:hAnsi="Arial"/>
          <w:sz w:val="24"/>
          <w:szCs w:val="24"/>
        </w:rPr>
        <w:t xml:space="preserve"> Chief Finance Officer</w:t>
      </w:r>
      <w:r>
        <w:rPr>
          <w:rFonts w:ascii="Arial" w:hAnsi="Arial"/>
          <w:sz w:val="24"/>
          <w:szCs w:val="24"/>
        </w:rPr>
        <w:t xml:space="preserve"> in 2021/22.</w:t>
      </w:r>
      <w:r w:rsidRPr="00E24B79">
        <w:rPr>
          <w:rFonts w:ascii="Arial" w:hAnsi="Arial"/>
          <w:sz w:val="24"/>
          <w:szCs w:val="24"/>
        </w:rPr>
        <w:t xml:space="preserve"> </w:t>
      </w:r>
      <w:r w:rsidR="00E40441" w:rsidRPr="00E24B79">
        <w:rPr>
          <w:rFonts w:ascii="Arial" w:hAnsi="Arial"/>
          <w:sz w:val="24"/>
          <w:szCs w:val="24"/>
        </w:rPr>
        <w:t xml:space="preserve">The short term benefits for the Section 151 Officer, </w:t>
      </w:r>
      <w:r w:rsidR="00A8053A" w:rsidRPr="00E24B79">
        <w:rPr>
          <w:rFonts w:ascii="Arial" w:hAnsi="Arial"/>
          <w:sz w:val="24"/>
          <w:szCs w:val="24"/>
        </w:rPr>
        <w:t xml:space="preserve">are </w:t>
      </w:r>
      <w:r w:rsidR="00E40441" w:rsidRPr="00E24B79">
        <w:rPr>
          <w:rFonts w:ascii="Arial" w:hAnsi="Arial"/>
          <w:sz w:val="24"/>
          <w:szCs w:val="24"/>
        </w:rPr>
        <w:t>reduced</w:t>
      </w:r>
      <w:r w:rsidR="00A8053A" w:rsidRPr="00E24B79">
        <w:rPr>
          <w:rFonts w:ascii="Arial" w:hAnsi="Arial"/>
          <w:sz w:val="24"/>
          <w:szCs w:val="24"/>
        </w:rPr>
        <w:t xml:space="preserve"> </w:t>
      </w:r>
      <w:r w:rsidR="00E40441" w:rsidRPr="00E24B79">
        <w:rPr>
          <w:rFonts w:ascii="Arial" w:hAnsi="Arial"/>
          <w:sz w:val="24"/>
          <w:szCs w:val="24"/>
        </w:rPr>
        <w:t>due to the</w:t>
      </w:r>
      <w:r w:rsidRPr="00E24B79">
        <w:rPr>
          <w:rFonts w:ascii="Arial" w:hAnsi="Arial"/>
          <w:sz w:val="24"/>
          <w:szCs w:val="24"/>
        </w:rPr>
        <w:t xml:space="preserve"> </w:t>
      </w:r>
      <w:r w:rsidR="00E40441" w:rsidRPr="00E24B79">
        <w:rPr>
          <w:rFonts w:ascii="Arial" w:hAnsi="Arial"/>
          <w:sz w:val="24"/>
          <w:szCs w:val="24"/>
        </w:rPr>
        <w:t xml:space="preserve">Officer opting to take </w:t>
      </w:r>
      <w:r w:rsidR="00E40441" w:rsidRPr="00E24B79">
        <w:rPr>
          <w:rFonts w:ascii="Arial" w:hAnsi="Arial"/>
          <w:sz w:val="24"/>
          <w:szCs w:val="24"/>
        </w:rPr>
        <w:lastRenderedPageBreak/>
        <w:t>up the 50/50 scheme during 2020/21</w:t>
      </w:r>
      <w:r>
        <w:rPr>
          <w:rFonts w:ascii="Arial" w:hAnsi="Arial"/>
          <w:sz w:val="24"/>
          <w:szCs w:val="24"/>
        </w:rPr>
        <w:t xml:space="preserve">, however the Officer </w:t>
      </w:r>
      <w:r w:rsidRPr="00E24B79">
        <w:rPr>
          <w:rFonts w:ascii="Arial" w:hAnsi="Arial"/>
          <w:sz w:val="24"/>
          <w:szCs w:val="24"/>
        </w:rPr>
        <w:t>re</w:t>
      </w:r>
      <w:r>
        <w:rPr>
          <w:rFonts w:ascii="Arial" w:hAnsi="Arial"/>
          <w:sz w:val="24"/>
          <w:szCs w:val="24"/>
        </w:rPr>
        <w:t>-</w:t>
      </w:r>
      <w:r w:rsidRPr="00E24B79">
        <w:rPr>
          <w:rFonts w:ascii="Arial" w:hAnsi="Arial"/>
          <w:sz w:val="24"/>
          <w:szCs w:val="24"/>
        </w:rPr>
        <w:t>join</w:t>
      </w:r>
      <w:r>
        <w:rPr>
          <w:rFonts w:ascii="Arial" w:hAnsi="Arial"/>
          <w:sz w:val="24"/>
          <w:szCs w:val="24"/>
        </w:rPr>
        <w:t>ed</w:t>
      </w:r>
      <w:r w:rsidRPr="00E24B79">
        <w:rPr>
          <w:rFonts w:ascii="Arial" w:hAnsi="Arial"/>
          <w:sz w:val="24"/>
          <w:szCs w:val="24"/>
        </w:rPr>
        <w:t xml:space="preserve"> the main scheme</w:t>
      </w:r>
      <w:r>
        <w:rPr>
          <w:rFonts w:ascii="Arial" w:hAnsi="Arial"/>
          <w:sz w:val="24"/>
          <w:szCs w:val="24"/>
        </w:rPr>
        <w:t xml:space="preserve"> in</w:t>
      </w:r>
      <w:r w:rsidRPr="00E24B79">
        <w:rPr>
          <w:rFonts w:ascii="Arial" w:hAnsi="Arial"/>
          <w:sz w:val="24"/>
          <w:szCs w:val="24"/>
        </w:rPr>
        <w:t xml:space="preserve"> 2021/22</w:t>
      </w:r>
      <w:r w:rsidR="00E40441" w:rsidRPr="00E24B79">
        <w:rPr>
          <w:rFonts w:ascii="Arial" w:hAnsi="Arial"/>
          <w:sz w:val="24"/>
          <w:szCs w:val="24"/>
        </w:rPr>
        <w:t>.</w:t>
      </w:r>
    </w:p>
    <w:p w14:paraId="11B7F345" w14:textId="77777777" w:rsidR="006164D8" w:rsidRDefault="006164D8" w:rsidP="00E40441">
      <w:pPr>
        <w:pStyle w:val="Header"/>
        <w:tabs>
          <w:tab w:val="clear" w:pos="4153"/>
          <w:tab w:val="clear" w:pos="8306"/>
          <w:tab w:val="left" w:pos="709"/>
          <w:tab w:val="right" w:pos="5184"/>
          <w:tab w:val="right" w:pos="6624"/>
          <w:tab w:val="left" w:pos="8640"/>
          <w:tab w:val="right" w:pos="10080"/>
        </w:tabs>
        <w:ind w:right="27"/>
        <w:outlineLvl w:val="0"/>
        <w:rPr>
          <w:rFonts w:ascii="Arial" w:hAnsi="Arial"/>
          <w:sz w:val="24"/>
          <w:szCs w:val="24"/>
        </w:rPr>
      </w:pPr>
    </w:p>
    <w:p w14:paraId="58FC5091" w14:textId="77777777" w:rsidR="006164D8" w:rsidRPr="00D66A79" w:rsidRDefault="006164D8" w:rsidP="006164D8">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sz w:val="24"/>
          <w:szCs w:val="24"/>
        </w:rPr>
      </w:pPr>
    </w:p>
    <w:bookmarkEnd w:id="1"/>
    <w:p w14:paraId="62ABB4D9" w14:textId="77777777" w:rsidR="004E5FE7" w:rsidRDefault="0026134A"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r w:rsidRPr="006B6AD4">
        <w:rPr>
          <w:rFonts w:ascii="Arial" w:hAnsi="Arial"/>
          <w:b/>
          <w:color w:val="000000"/>
          <w:sz w:val="24"/>
          <w:szCs w:val="24"/>
        </w:rPr>
        <w:t>Governance</w:t>
      </w:r>
    </w:p>
    <w:p w14:paraId="7045D16E" w14:textId="77777777" w:rsidR="004D24DD" w:rsidRPr="006B6AD4" w:rsidRDefault="004D24DD"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p>
    <w:p w14:paraId="418058AE" w14:textId="77777777" w:rsidR="0026134A" w:rsidRDefault="0026134A"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r w:rsidRPr="004E5FE7">
        <w:rPr>
          <w:rFonts w:ascii="Arial" w:hAnsi="Arial"/>
          <w:color w:val="000000"/>
          <w:sz w:val="24"/>
          <w:szCs w:val="24"/>
        </w:rPr>
        <w:t xml:space="preserve">There </w:t>
      </w:r>
      <w:r w:rsidRPr="00CD115C">
        <w:rPr>
          <w:rFonts w:ascii="Arial" w:hAnsi="Arial"/>
          <w:sz w:val="24"/>
          <w:szCs w:val="24"/>
        </w:rPr>
        <w:t xml:space="preserve">are </w:t>
      </w:r>
      <w:r w:rsidR="00F50032">
        <w:rPr>
          <w:rFonts w:ascii="Arial" w:hAnsi="Arial"/>
          <w:sz w:val="24"/>
          <w:szCs w:val="24"/>
        </w:rPr>
        <w:t>7</w:t>
      </w:r>
      <w:r w:rsidRPr="00CD115C">
        <w:rPr>
          <w:rFonts w:ascii="Arial" w:hAnsi="Arial"/>
          <w:sz w:val="24"/>
          <w:szCs w:val="24"/>
        </w:rPr>
        <w:t xml:space="preserve"> Council members</w:t>
      </w:r>
      <w:r w:rsidR="00894841">
        <w:rPr>
          <w:rFonts w:ascii="Arial" w:hAnsi="Arial"/>
          <w:sz w:val="24"/>
          <w:szCs w:val="24"/>
        </w:rPr>
        <w:t xml:space="preserve"> </w:t>
      </w:r>
      <w:r w:rsidR="00F50032">
        <w:rPr>
          <w:rFonts w:ascii="Arial" w:hAnsi="Arial"/>
          <w:sz w:val="24"/>
          <w:szCs w:val="24"/>
        </w:rPr>
        <w:t>of the Pensions Committee wh</w:t>
      </w:r>
      <w:r w:rsidRPr="004E5FE7">
        <w:rPr>
          <w:rFonts w:ascii="Arial" w:hAnsi="Arial"/>
          <w:color w:val="000000"/>
          <w:sz w:val="24"/>
          <w:szCs w:val="24"/>
        </w:rPr>
        <w:t>o are active members in the City &amp; County of Swansea Pension Fund. The benefit entitlement for the Councillors is a</w:t>
      </w:r>
      <w:r w:rsidR="008A2917">
        <w:rPr>
          <w:rFonts w:ascii="Arial" w:hAnsi="Arial"/>
          <w:color w:val="000000"/>
          <w:sz w:val="24"/>
          <w:szCs w:val="24"/>
        </w:rPr>
        <w:t>ccrued under the same principles</w:t>
      </w:r>
      <w:r w:rsidRPr="004E5FE7">
        <w:rPr>
          <w:rFonts w:ascii="Arial" w:hAnsi="Arial"/>
          <w:color w:val="000000"/>
          <w:sz w:val="24"/>
          <w:szCs w:val="24"/>
        </w:rPr>
        <w:t xml:space="preserve"> that apply to all other members of the Fund.</w:t>
      </w:r>
    </w:p>
    <w:p w14:paraId="73D6DE74" w14:textId="77777777" w:rsidR="004D24DD" w:rsidRDefault="004D24DD"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152100C7" w14:textId="77777777" w:rsidR="004D24DD" w:rsidRPr="004D24DD" w:rsidRDefault="004D24DD" w:rsidP="004D24DD">
      <w:pPr>
        <w:pStyle w:val="ListParagraph"/>
        <w:spacing w:before="0" w:after="0" w:line="240" w:lineRule="auto"/>
        <w:ind w:left="0"/>
        <w:contextualSpacing w:val="0"/>
        <w:rPr>
          <w:sz w:val="24"/>
        </w:rPr>
      </w:pPr>
      <w:r w:rsidRPr="004D24DD">
        <w:rPr>
          <w:sz w:val="24"/>
        </w:rPr>
        <w:t>The following Councillors on the Pension Fund committee were also members of other bodies during 2021</w:t>
      </w:r>
      <w:r w:rsidR="005A6B77">
        <w:rPr>
          <w:sz w:val="24"/>
        </w:rPr>
        <w:t>/</w:t>
      </w:r>
      <w:r w:rsidRPr="004D24DD">
        <w:rPr>
          <w:sz w:val="24"/>
        </w:rPr>
        <w:t>22</w:t>
      </w:r>
      <w:r>
        <w:rPr>
          <w:sz w:val="24"/>
        </w:rPr>
        <w:t xml:space="preserve"> </w:t>
      </w:r>
      <w:r w:rsidRPr="004D24DD">
        <w:rPr>
          <w:sz w:val="24"/>
        </w:rPr>
        <w:t>:</w:t>
      </w:r>
    </w:p>
    <w:p w14:paraId="2E2796DB" w14:textId="77777777" w:rsidR="004D24DD" w:rsidRPr="004D24DD" w:rsidRDefault="004D24DD" w:rsidP="004D24DD">
      <w:pPr>
        <w:pStyle w:val="ListParagraph"/>
        <w:spacing w:before="0" w:after="0" w:line="240" w:lineRule="auto"/>
        <w:ind w:left="0"/>
        <w:contextualSpacing w:val="0"/>
        <w:rPr>
          <w:sz w:val="24"/>
          <w:lang w:eastAsia="en-US"/>
        </w:rPr>
      </w:pPr>
    </w:p>
    <w:p w14:paraId="3FD30AC1" w14:textId="77777777" w:rsidR="004D24DD" w:rsidRPr="004D24DD" w:rsidRDefault="004D24DD" w:rsidP="0073304A">
      <w:pPr>
        <w:pStyle w:val="ListParagraph"/>
        <w:numPr>
          <w:ilvl w:val="1"/>
          <w:numId w:val="125"/>
        </w:numPr>
        <w:spacing w:before="0" w:after="0" w:line="240" w:lineRule="auto"/>
        <w:contextualSpacing w:val="0"/>
        <w:rPr>
          <w:sz w:val="24"/>
        </w:rPr>
      </w:pPr>
      <w:r w:rsidRPr="004D24DD">
        <w:rPr>
          <w:sz w:val="24"/>
        </w:rPr>
        <w:t xml:space="preserve">Clive Lloyd – Member of Swansea </w:t>
      </w:r>
      <w:r w:rsidR="005A6B77">
        <w:rPr>
          <w:sz w:val="24"/>
        </w:rPr>
        <w:t xml:space="preserve">Bay </w:t>
      </w:r>
      <w:r w:rsidRPr="004D24DD">
        <w:rPr>
          <w:sz w:val="24"/>
        </w:rPr>
        <w:t>Port Health Authority and Chair of the WPP Joint Governance Committee</w:t>
      </w:r>
    </w:p>
    <w:p w14:paraId="1E5054A0" w14:textId="77777777" w:rsidR="004D24DD" w:rsidRPr="004D24DD" w:rsidRDefault="004D24DD" w:rsidP="0073304A">
      <w:pPr>
        <w:pStyle w:val="ListParagraph"/>
        <w:numPr>
          <w:ilvl w:val="1"/>
          <w:numId w:val="125"/>
        </w:numPr>
        <w:spacing w:before="0" w:after="0" w:line="240" w:lineRule="auto"/>
        <w:contextualSpacing w:val="0"/>
        <w:rPr>
          <w:sz w:val="24"/>
        </w:rPr>
      </w:pPr>
      <w:r w:rsidRPr="004D24DD">
        <w:rPr>
          <w:sz w:val="24"/>
        </w:rPr>
        <w:t>Gareth Sullivan – Member of Swansea</w:t>
      </w:r>
      <w:r w:rsidR="005A6B77">
        <w:rPr>
          <w:sz w:val="24"/>
        </w:rPr>
        <w:t xml:space="preserve"> Bay </w:t>
      </w:r>
      <w:r w:rsidRPr="004D24DD">
        <w:rPr>
          <w:sz w:val="24"/>
        </w:rPr>
        <w:t>Port Health Authority</w:t>
      </w:r>
    </w:p>
    <w:p w14:paraId="0ACB2EAF" w14:textId="77777777" w:rsidR="004D24DD" w:rsidRPr="004D24DD" w:rsidRDefault="004D24DD" w:rsidP="0073304A">
      <w:pPr>
        <w:pStyle w:val="ListParagraph"/>
        <w:numPr>
          <w:ilvl w:val="1"/>
          <w:numId w:val="125"/>
        </w:numPr>
        <w:spacing w:before="0" w:after="0" w:line="240" w:lineRule="auto"/>
        <w:contextualSpacing w:val="0"/>
        <w:rPr>
          <w:sz w:val="24"/>
        </w:rPr>
      </w:pPr>
      <w:r w:rsidRPr="004D24DD">
        <w:rPr>
          <w:sz w:val="24"/>
        </w:rPr>
        <w:t>Will Thomas – Member of Mumbles Community Council</w:t>
      </w:r>
    </w:p>
    <w:p w14:paraId="2FCA97AA" w14:textId="77777777" w:rsidR="00AB4EA3" w:rsidRDefault="00AB4EA3"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highlight w:val="yellow"/>
        </w:rPr>
      </w:pPr>
    </w:p>
    <w:p w14:paraId="0A290F0E" w14:textId="77777777" w:rsidR="004D24DD" w:rsidRDefault="004D24DD"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highlight w:val="yellow"/>
        </w:rPr>
      </w:pPr>
    </w:p>
    <w:p w14:paraId="64334BB3" w14:textId="77777777" w:rsidR="004D24DD" w:rsidRPr="004D24DD" w:rsidRDefault="004D24DD"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highlight w:val="yellow"/>
        </w:rPr>
      </w:pPr>
    </w:p>
    <w:p w14:paraId="1EEBF409" w14:textId="77777777" w:rsidR="00C805E7" w:rsidRDefault="00C805E7"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highlight w:val="yellow"/>
        </w:rPr>
      </w:pPr>
    </w:p>
    <w:p w14:paraId="5CFDC739" w14:textId="77777777" w:rsidR="002E24C5" w:rsidRPr="002E24C5" w:rsidRDefault="00914FE9" w:rsidP="005E4F16">
      <w:pPr>
        <w:tabs>
          <w:tab w:val="left" w:pos="709"/>
          <w:tab w:val="right" w:pos="5184"/>
          <w:tab w:val="right" w:pos="6624"/>
          <w:tab w:val="right" w:pos="8640"/>
          <w:tab w:val="right" w:pos="10080"/>
        </w:tabs>
        <w:ind w:right="1970"/>
        <w:jc w:val="both"/>
        <w:rPr>
          <w:rFonts w:ascii="Arial" w:hAnsi="Arial"/>
          <w:b/>
          <w:sz w:val="24"/>
          <w:szCs w:val="24"/>
        </w:rPr>
      </w:pPr>
      <w:r w:rsidRPr="00117F66">
        <w:rPr>
          <w:rFonts w:ascii="Arial" w:hAnsi="Arial"/>
          <w:b/>
          <w:color w:val="000000"/>
          <w:sz w:val="24"/>
          <w:szCs w:val="24"/>
        </w:rPr>
        <w:t>19</w:t>
      </w:r>
      <w:r w:rsidR="002E24C5" w:rsidRPr="00117F66">
        <w:rPr>
          <w:rFonts w:ascii="Arial" w:hAnsi="Arial"/>
          <w:b/>
          <w:color w:val="000000"/>
          <w:sz w:val="24"/>
          <w:szCs w:val="24"/>
        </w:rPr>
        <w:t>.</w:t>
      </w:r>
      <w:r w:rsidR="002E24C5" w:rsidRPr="00117F66">
        <w:rPr>
          <w:rFonts w:ascii="Arial" w:hAnsi="Arial"/>
          <w:b/>
          <w:i/>
          <w:color w:val="000000"/>
          <w:sz w:val="24"/>
          <w:szCs w:val="24"/>
        </w:rPr>
        <w:tab/>
      </w:r>
      <w:r w:rsidR="002E24C5" w:rsidRPr="00117F66">
        <w:rPr>
          <w:rFonts w:ascii="Arial" w:hAnsi="Arial"/>
          <w:b/>
          <w:sz w:val="24"/>
          <w:szCs w:val="24"/>
        </w:rPr>
        <w:t>Other Fund Documents</w:t>
      </w:r>
    </w:p>
    <w:p w14:paraId="0ED0BA44" w14:textId="77777777" w:rsidR="00AB0389" w:rsidRDefault="002E24C5" w:rsidP="005E4F16">
      <w:pPr>
        <w:pStyle w:val="BodyText"/>
        <w:ind w:right="27"/>
        <w:rPr>
          <w:szCs w:val="24"/>
        </w:rPr>
      </w:pPr>
      <w:r w:rsidRPr="002E24C5">
        <w:rPr>
          <w:szCs w:val="24"/>
        </w:rPr>
        <w:t xml:space="preserve">The City &amp; County of Swansea Pension Fund is required by regulation to formulate a number of regulatory documents outlining its policy. </w:t>
      </w:r>
      <w:r w:rsidR="00F67CDA">
        <w:rPr>
          <w:szCs w:val="24"/>
        </w:rPr>
        <w:t>Attached at the Appendices are :</w:t>
      </w:r>
    </w:p>
    <w:p w14:paraId="78866D09" w14:textId="77777777" w:rsidR="00F50032" w:rsidRPr="002E24C5" w:rsidRDefault="00F50032" w:rsidP="005E4F16">
      <w:pPr>
        <w:pStyle w:val="BodyText"/>
        <w:ind w:right="27"/>
        <w:rPr>
          <w:szCs w:val="24"/>
        </w:rPr>
      </w:pPr>
    </w:p>
    <w:p w14:paraId="5811E429" w14:textId="77777777" w:rsidR="002E24C5" w:rsidRPr="002E24C5" w:rsidRDefault="002E24C5" w:rsidP="009E72D7">
      <w:pPr>
        <w:pStyle w:val="BodyText"/>
        <w:numPr>
          <w:ilvl w:val="0"/>
          <w:numId w:val="3"/>
        </w:numPr>
        <w:ind w:right="27"/>
        <w:rPr>
          <w:szCs w:val="24"/>
        </w:rPr>
      </w:pPr>
      <w:r w:rsidRPr="002E24C5">
        <w:rPr>
          <w:szCs w:val="24"/>
        </w:rPr>
        <w:t>Statement of Investment Principles</w:t>
      </w:r>
    </w:p>
    <w:p w14:paraId="416AD655" w14:textId="77777777" w:rsidR="002E24C5" w:rsidRDefault="002E24C5" w:rsidP="009E72D7">
      <w:pPr>
        <w:pStyle w:val="BodyText"/>
        <w:numPr>
          <w:ilvl w:val="0"/>
          <w:numId w:val="3"/>
        </w:numPr>
        <w:ind w:right="27"/>
        <w:rPr>
          <w:szCs w:val="24"/>
        </w:rPr>
      </w:pPr>
      <w:r w:rsidRPr="002E24C5">
        <w:rPr>
          <w:szCs w:val="24"/>
        </w:rPr>
        <w:t xml:space="preserve">Funding Strategy Statement </w:t>
      </w:r>
    </w:p>
    <w:p w14:paraId="3AAD41C3" w14:textId="77777777" w:rsidR="00043914" w:rsidRPr="002E24C5" w:rsidRDefault="00043914" w:rsidP="009E72D7">
      <w:pPr>
        <w:pStyle w:val="BodyText"/>
        <w:numPr>
          <w:ilvl w:val="0"/>
          <w:numId w:val="3"/>
        </w:numPr>
        <w:ind w:right="27"/>
        <w:rPr>
          <w:szCs w:val="24"/>
        </w:rPr>
      </w:pPr>
      <w:r w:rsidRPr="002E24C5">
        <w:rPr>
          <w:szCs w:val="24"/>
        </w:rPr>
        <w:t>Governance Statement</w:t>
      </w:r>
    </w:p>
    <w:p w14:paraId="23C0A93D" w14:textId="77777777" w:rsidR="002E24C5" w:rsidRDefault="002E24C5" w:rsidP="009E72D7">
      <w:pPr>
        <w:pStyle w:val="BodyText"/>
        <w:numPr>
          <w:ilvl w:val="0"/>
          <w:numId w:val="3"/>
        </w:numPr>
        <w:ind w:right="27"/>
        <w:rPr>
          <w:szCs w:val="24"/>
        </w:rPr>
      </w:pPr>
      <w:r w:rsidRPr="002E24C5">
        <w:rPr>
          <w:szCs w:val="24"/>
        </w:rPr>
        <w:t>Communication Policy</w:t>
      </w:r>
    </w:p>
    <w:p w14:paraId="31294302" w14:textId="77777777" w:rsidR="00236395" w:rsidRDefault="00236395" w:rsidP="009E72D7">
      <w:pPr>
        <w:pStyle w:val="BodyText"/>
        <w:numPr>
          <w:ilvl w:val="0"/>
          <w:numId w:val="3"/>
        </w:numPr>
        <w:ind w:right="27"/>
        <w:rPr>
          <w:szCs w:val="24"/>
        </w:rPr>
      </w:pPr>
      <w:r>
        <w:rPr>
          <w:szCs w:val="24"/>
        </w:rPr>
        <w:t>ESG Policy</w:t>
      </w:r>
    </w:p>
    <w:p w14:paraId="16FC5FE6" w14:textId="77777777" w:rsidR="009836A4" w:rsidRDefault="009836A4" w:rsidP="005E4F16">
      <w:pPr>
        <w:tabs>
          <w:tab w:val="right" w:pos="5184"/>
          <w:tab w:val="right" w:pos="6624"/>
          <w:tab w:val="right" w:pos="8640"/>
          <w:tab w:val="right" w:pos="10080"/>
        </w:tabs>
        <w:ind w:right="27"/>
        <w:jc w:val="both"/>
        <w:rPr>
          <w:rFonts w:ascii="Arial" w:hAnsi="Arial"/>
          <w:i/>
          <w:sz w:val="24"/>
          <w:szCs w:val="24"/>
        </w:rPr>
      </w:pPr>
    </w:p>
    <w:p w14:paraId="6AF7A88F" w14:textId="77777777" w:rsidR="00A23EBD" w:rsidRDefault="00A23EBD" w:rsidP="005E4F16">
      <w:pPr>
        <w:tabs>
          <w:tab w:val="left" w:pos="720"/>
          <w:tab w:val="right" w:pos="5184"/>
          <w:tab w:val="right" w:pos="6624"/>
          <w:tab w:val="right" w:pos="8640"/>
          <w:tab w:val="right" w:pos="10080"/>
        </w:tabs>
        <w:ind w:right="27"/>
        <w:jc w:val="both"/>
        <w:rPr>
          <w:rFonts w:ascii="Arial" w:hAnsi="Arial"/>
          <w:b/>
          <w:sz w:val="24"/>
          <w:szCs w:val="24"/>
        </w:rPr>
      </w:pPr>
    </w:p>
    <w:p w14:paraId="3A0A6405" w14:textId="77777777" w:rsidR="004D24DD" w:rsidRDefault="004D24DD" w:rsidP="005E4F16">
      <w:pPr>
        <w:tabs>
          <w:tab w:val="left" w:pos="720"/>
          <w:tab w:val="right" w:pos="5184"/>
          <w:tab w:val="right" w:pos="6624"/>
          <w:tab w:val="right" w:pos="8640"/>
          <w:tab w:val="right" w:pos="10080"/>
        </w:tabs>
        <w:ind w:right="27"/>
        <w:jc w:val="both"/>
        <w:rPr>
          <w:rFonts w:ascii="Arial" w:hAnsi="Arial"/>
          <w:b/>
          <w:sz w:val="24"/>
          <w:szCs w:val="24"/>
        </w:rPr>
      </w:pPr>
    </w:p>
    <w:p w14:paraId="3BABE736" w14:textId="77777777" w:rsidR="002E24C5" w:rsidRDefault="002E24C5" w:rsidP="005E4F16">
      <w:pPr>
        <w:tabs>
          <w:tab w:val="left" w:pos="720"/>
          <w:tab w:val="right" w:pos="5184"/>
          <w:tab w:val="right" w:pos="6624"/>
          <w:tab w:val="right" w:pos="8640"/>
          <w:tab w:val="right" w:pos="10080"/>
        </w:tabs>
        <w:ind w:right="27"/>
        <w:jc w:val="both"/>
        <w:rPr>
          <w:rFonts w:ascii="Arial" w:hAnsi="Arial"/>
          <w:b/>
          <w:sz w:val="24"/>
          <w:szCs w:val="24"/>
        </w:rPr>
      </w:pPr>
      <w:r w:rsidRPr="00117F66">
        <w:rPr>
          <w:rFonts w:ascii="Arial" w:hAnsi="Arial"/>
          <w:b/>
          <w:sz w:val="24"/>
          <w:szCs w:val="24"/>
        </w:rPr>
        <w:t>2</w:t>
      </w:r>
      <w:r w:rsidR="00914FE9" w:rsidRPr="00117F66">
        <w:rPr>
          <w:rFonts w:ascii="Arial" w:hAnsi="Arial"/>
          <w:b/>
          <w:sz w:val="24"/>
          <w:szCs w:val="24"/>
        </w:rPr>
        <w:t>0</w:t>
      </w:r>
      <w:r w:rsidRPr="00117F66">
        <w:rPr>
          <w:rFonts w:ascii="Arial" w:hAnsi="Arial"/>
          <w:b/>
          <w:sz w:val="24"/>
          <w:szCs w:val="24"/>
        </w:rPr>
        <w:t>.</w:t>
      </w:r>
      <w:r w:rsidR="00D96E47" w:rsidRPr="00117F66">
        <w:rPr>
          <w:rFonts w:ascii="Arial" w:hAnsi="Arial"/>
          <w:b/>
          <w:sz w:val="24"/>
          <w:szCs w:val="24"/>
        </w:rPr>
        <w:tab/>
      </w:r>
      <w:r w:rsidRPr="00117F66">
        <w:rPr>
          <w:rFonts w:ascii="Arial" w:hAnsi="Arial"/>
          <w:b/>
          <w:sz w:val="24"/>
          <w:szCs w:val="24"/>
        </w:rPr>
        <w:t>Additional Voluntary Contributions</w:t>
      </w:r>
    </w:p>
    <w:p w14:paraId="4CD1E2D3" w14:textId="77777777" w:rsidR="006D789A" w:rsidRPr="00117F66" w:rsidRDefault="006D789A" w:rsidP="005E4F16">
      <w:pPr>
        <w:tabs>
          <w:tab w:val="left" w:pos="720"/>
          <w:tab w:val="right" w:pos="5184"/>
          <w:tab w:val="right" w:pos="6624"/>
          <w:tab w:val="right" w:pos="8640"/>
          <w:tab w:val="right" w:pos="10080"/>
        </w:tabs>
        <w:ind w:right="27"/>
        <w:jc w:val="both"/>
        <w:rPr>
          <w:rFonts w:ascii="Arial" w:hAnsi="Arial"/>
          <w:b/>
          <w:sz w:val="24"/>
          <w:szCs w:val="24"/>
        </w:rPr>
      </w:pPr>
    </w:p>
    <w:p w14:paraId="2AF79B2F" w14:textId="77777777" w:rsidR="00007CE3" w:rsidRDefault="002E24C5" w:rsidP="005E4F16">
      <w:pPr>
        <w:tabs>
          <w:tab w:val="right" w:pos="5184"/>
          <w:tab w:val="right" w:pos="6624"/>
          <w:tab w:val="right" w:pos="8640"/>
          <w:tab w:val="right" w:pos="10080"/>
        </w:tabs>
        <w:ind w:right="27"/>
        <w:jc w:val="both"/>
        <w:rPr>
          <w:rFonts w:ascii="Arial" w:hAnsi="Arial"/>
          <w:sz w:val="24"/>
          <w:szCs w:val="24"/>
        </w:rPr>
      </w:pPr>
      <w:r w:rsidRPr="00117F66">
        <w:rPr>
          <w:rFonts w:ascii="Arial" w:hAnsi="Arial"/>
          <w:sz w:val="24"/>
          <w:szCs w:val="24"/>
        </w:rPr>
        <w:t>Some members of the Fund pa</w:t>
      </w:r>
      <w:r w:rsidR="003A0B8E">
        <w:rPr>
          <w:rFonts w:ascii="Arial" w:hAnsi="Arial"/>
          <w:sz w:val="24"/>
          <w:szCs w:val="24"/>
        </w:rPr>
        <w:t>y</w:t>
      </w:r>
      <w:r w:rsidRPr="00117F66">
        <w:rPr>
          <w:rFonts w:ascii="Arial" w:hAnsi="Arial"/>
          <w:sz w:val="24"/>
          <w:szCs w:val="24"/>
        </w:rPr>
        <w:t xml:space="preserve"> voluntary contributions to the </w:t>
      </w:r>
      <w:r w:rsidR="00DF0374">
        <w:rPr>
          <w:rFonts w:ascii="Arial" w:hAnsi="Arial"/>
          <w:sz w:val="24"/>
          <w:szCs w:val="24"/>
        </w:rPr>
        <w:t>F</w:t>
      </w:r>
      <w:r w:rsidRPr="00117F66">
        <w:rPr>
          <w:rFonts w:ascii="Arial" w:hAnsi="Arial"/>
          <w:sz w:val="24"/>
          <w:szCs w:val="24"/>
        </w:rPr>
        <w:t xml:space="preserve">und’s AVC providers, The Prudential, to buy extra pension benefits when they retire.  These contributions are invested in a wide range of assets to provide a return on the money invested. </w:t>
      </w:r>
      <w:r w:rsidR="00D96E47" w:rsidRPr="00117F66">
        <w:rPr>
          <w:rFonts w:ascii="Arial" w:hAnsi="Arial"/>
          <w:sz w:val="24"/>
          <w:szCs w:val="24"/>
        </w:rPr>
        <w:t xml:space="preserve"> </w:t>
      </w:r>
      <w:r w:rsidRPr="00117F66">
        <w:rPr>
          <w:rFonts w:ascii="Arial" w:hAnsi="Arial"/>
          <w:sz w:val="24"/>
          <w:szCs w:val="24"/>
        </w:rPr>
        <w:t xml:space="preserve">Some members also still invest and have funds invested with the legacy AVC providers, </w:t>
      </w:r>
      <w:r w:rsidR="0026134A">
        <w:rPr>
          <w:rFonts w:ascii="Arial" w:hAnsi="Arial"/>
          <w:sz w:val="24"/>
          <w:szCs w:val="24"/>
        </w:rPr>
        <w:t>Aegon</w:t>
      </w:r>
      <w:r w:rsidR="00CA4AAF">
        <w:rPr>
          <w:rFonts w:ascii="Arial" w:hAnsi="Arial"/>
          <w:sz w:val="24"/>
          <w:szCs w:val="24"/>
        </w:rPr>
        <w:t xml:space="preserve"> and Utmost.</w:t>
      </w:r>
    </w:p>
    <w:p w14:paraId="78092E71" w14:textId="77777777" w:rsidR="00C805E7" w:rsidRDefault="0026134A" w:rsidP="005E4F16">
      <w:pPr>
        <w:tabs>
          <w:tab w:val="right" w:pos="5184"/>
          <w:tab w:val="right" w:pos="6624"/>
          <w:tab w:val="right" w:pos="8640"/>
          <w:tab w:val="right" w:pos="10080"/>
        </w:tabs>
        <w:ind w:right="27"/>
        <w:jc w:val="both"/>
        <w:rPr>
          <w:rFonts w:ascii="Arial" w:hAnsi="Arial"/>
          <w:sz w:val="24"/>
          <w:szCs w:val="24"/>
        </w:rPr>
      </w:pPr>
      <w:r>
        <w:rPr>
          <w:rFonts w:ascii="Arial" w:hAnsi="Arial"/>
          <w:sz w:val="24"/>
          <w:szCs w:val="24"/>
        </w:rPr>
        <w:t xml:space="preserve"> </w:t>
      </w:r>
    </w:p>
    <w:p w14:paraId="13479320" w14:textId="77777777" w:rsidR="002E24C5" w:rsidRDefault="002E24C5" w:rsidP="005E4F16">
      <w:pPr>
        <w:tabs>
          <w:tab w:val="right" w:pos="5184"/>
          <w:tab w:val="right" w:pos="6624"/>
          <w:tab w:val="right" w:pos="8640"/>
          <w:tab w:val="right" w:pos="10080"/>
        </w:tabs>
        <w:ind w:right="27"/>
        <w:jc w:val="both"/>
        <w:rPr>
          <w:rFonts w:ascii="Arial" w:hAnsi="Arial"/>
          <w:sz w:val="24"/>
          <w:szCs w:val="24"/>
        </w:rPr>
      </w:pPr>
      <w:r w:rsidRPr="00117F66">
        <w:rPr>
          <w:rFonts w:ascii="Arial" w:hAnsi="Arial"/>
          <w:sz w:val="24"/>
          <w:szCs w:val="24"/>
        </w:rPr>
        <w:t xml:space="preserve">The </w:t>
      </w:r>
      <w:r w:rsidR="00CF3C34">
        <w:rPr>
          <w:rFonts w:ascii="Arial" w:hAnsi="Arial"/>
          <w:sz w:val="24"/>
          <w:szCs w:val="24"/>
        </w:rPr>
        <w:t>P</w:t>
      </w:r>
      <w:r w:rsidRPr="00117F66">
        <w:rPr>
          <w:rFonts w:ascii="Arial" w:hAnsi="Arial"/>
          <w:sz w:val="24"/>
          <w:szCs w:val="24"/>
        </w:rPr>
        <w:t xml:space="preserve">ension </w:t>
      </w:r>
      <w:r w:rsidR="00CF3C34">
        <w:rPr>
          <w:rFonts w:ascii="Arial" w:hAnsi="Arial"/>
          <w:sz w:val="24"/>
          <w:szCs w:val="24"/>
        </w:rPr>
        <w:t>F</w:t>
      </w:r>
      <w:r w:rsidRPr="00117F66">
        <w:rPr>
          <w:rFonts w:ascii="Arial" w:hAnsi="Arial"/>
          <w:sz w:val="24"/>
          <w:szCs w:val="24"/>
        </w:rPr>
        <w:t xml:space="preserve">und accounts do not include the assets held by The Prudential, </w:t>
      </w:r>
      <w:r w:rsidR="002109FF">
        <w:rPr>
          <w:rFonts w:ascii="Arial" w:hAnsi="Arial"/>
          <w:sz w:val="24"/>
          <w:szCs w:val="24"/>
        </w:rPr>
        <w:t>Utmost</w:t>
      </w:r>
      <w:r w:rsidRPr="00117F66">
        <w:rPr>
          <w:rFonts w:ascii="Arial" w:hAnsi="Arial"/>
          <w:sz w:val="24"/>
          <w:szCs w:val="24"/>
        </w:rPr>
        <w:t xml:space="preserve"> or </w:t>
      </w:r>
      <w:r w:rsidR="0026134A">
        <w:rPr>
          <w:rFonts w:ascii="Arial" w:hAnsi="Arial"/>
          <w:sz w:val="24"/>
          <w:szCs w:val="24"/>
        </w:rPr>
        <w:t>Aegon</w:t>
      </w:r>
      <w:r w:rsidR="00007CE3">
        <w:rPr>
          <w:rFonts w:ascii="Arial" w:hAnsi="Arial"/>
          <w:sz w:val="24"/>
          <w:szCs w:val="24"/>
        </w:rPr>
        <w:t>.</w:t>
      </w:r>
      <w:r w:rsidR="0026134A">
        <w:rPr>
          <w:rFonts w:ascii="Arial" w:hAnsi="Arial"/>
          <w:sz w:val="24"/>
          <w:szCs w:val="24"/>
        </w:rPr>
        <w:t xml:space="preserve"> </w:t>
      </w:r>
      <w:r w:rsidR="00007CE3">
        <w:rPr>
          <w:rFonts w:ascii="Arial" w:hAnsi="Arial"/>
          <w:sz w:val="24"/>
          <w:szCs w:val="24"/>
        </w:rPr>
        <w:t xml:space="preserve"> </w:t>
      </w:r>
      <w:r w:rsidR="0026134A">
        <w:rPr>
          <w:rFonts w:ascii="Arial" w:hAnsi="Arial"/>
          <w:sz w:val="24"/>
          <w:szCs w:val="24"/>
        </w:rPr>
        <w:t xml:space="preserve">AVC’s are not included in the accounts in accordance </w:t>
      </w:r>
      <w:r w:rsidR="00503588">
        <w:rPr>
          <w:rFonts w:ascii="Arial" w:hAnsi="Arial"/>
          <w:sz w:val="24"/>
          <w:szCs w:val="24"/>
        </w:rPr>
        <w:t>t</w:t>
      </w:r>
      <w:r w:rsidR="001775E5">
        <w:rPr>
          <w:rFonts w:ascii="Arial" w:hAnsi="Arial"/>
          <w:sz w:val="24"/>
          <w:szCs w:val="24"/>
        </w:rPr>
        <w:t>he Local Government Pension Scheme (Management and Investment of Funds) Regulations 20</w:t>
      </w:r>
      <w:r w:rsidR="00503588">
        <w:rPr>
          <w:rFonts w:ascii="Arial" w:hAnsi="Arial"/>
          <w:sz w:val="24"/>
          <w:szCs w:val="24"/>
        </w:rPr>
        <w:t>16</w:t>
      </w:r>
      <w:r w:rsidR="001775E5">
        <w:rPr>
          <w:rFonts w:ascii="Arial" w:hAnsi="Arial"/>
          <w:sz w:val="24"/>
          <w:szCs w:val="24"/>
        </w:rPr>
        <w:t xml:space="preserve"> (SI 20</w:t>
      </w:r>
      <w:r w:rsidR="00503588">
        <w:rPr>
          <w:rFonts w:ascii="Arial" w:hAnsi="Arial"/>
          <w:sz w:val="24"/>
          <w:szCs w:val="24"/>
        </w:rPr>
        <w:t>16</w:t>
      </w:r>
      <w:r w:rsidR="001775E5">
        <w:rPr>
          <w:rFonts w:ascii="Arial" w:hAnsi="Arial"/>
          <w:sz w:val="24"/>
          <w:szCs w:val="24"/>
        </w:rPr>
        <w:t>/</w:t>
      </w:r>
      <w:r w:rsidR="00503588">
        <w:rPr>
          <w:rFonts w:ascii="Arial" w:hAnsi="Arial"/>
          <w:sz w:val="24"/>
          <w:szCs w:val="24"/>
        </w:rPr>
        <w:t>946</w:t>
      </w:r>
      <w:r w:rsidR="001775E5">
        <w:rPr>
          <w:rFonts w:ascii="Arial" w:hAnsi="Arial"/>
          <w:sz w:val="24"/>
          <w:szCs w:val="24"/>
        </w:rPr>
        <w:t>) but are disclosed as a note only.</w:t>
      </w:r>
    </w:p>
    <w:p w14:paraId="3BE3DFA8" w14:textId="77777777" w:rsidR="00CA4AAF" w:rsidRDefault="00CA4AAF" w:rsidP="005E4F16">
      <w:pPr>
        <w:tabs>
          <w:tab w:val="right" w:pos="5184"/>
          <w:tab w:val="right" w:pos="6624"/>
          <w:tab w:val="right" w:pos="8640"/>
          <w:tab w:val="right" w:pos="10080"/>
        </w:tabs>
        <w:ind w:right="27"/>
        <w:jc w:val="both"/>
        <w:rPr>
          <w:rFonts w:ascii="Arial" w:hAnsi="Arial"/>
          <w:sz w:val="24"/>
          <w:szCs w:val="24"/>
        </w:rPr>
      </w:pPr>
    </w:p>
    <w:p w14:paraId="3008103E" w14:textId="77777777" w:rsidR="002E24C5" w:rsidRPr="00215F8C" w:rsidRDefault="002E24C5"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highlight w:val="yellow"/>
        </w:rPr>
      </w:pPr>
    </w:p>
    <w:tbl>
      <w:tblPr>
        <w:tblW w:w="10236" w:type="dxa"/>
        <w:jc w:val="center"/>
        <w:tblLook w:val="0000" w:firstRow="0" w:lastRow="0" w:firstColumn="0" w:lastColumn="0" w:noHBand="0" w:noVBand="0"/>
      </w:tblPr>
      <w:tblGrid>
        <w:gridCol w:w="2457"/>
        <w:gridCol w:w="1539"/>
        <w:gridCol w:w="2284"/>
        <w:gridCol w:w="1297"/>
        <w:gridCol w:w="1278"/>
        <w:gridCol w:w="1418"/>
      </w:tblGrid>
      <w:tr w:rsidR="00007CE3" w:rsidRPr="00075627" w14:paraId="58593829" w14:textId="77777777" w:rsidTr="00007CE3">
        <w:trPr>
          <w:trHeight w:val="782"/>
          <w:jc w:val="center"/>
        </w:trPr>
        <w:tc>
          <w:tcPr>
            <w:tcW w:w="24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3D6B1" w14:textId="77777777" w:rsidR="00007CE3" w:rsidRPr="00075627" w:rsidRDefault="00007CE3" w:rsidP="00BB5481">
            <w:pPr>
              <w:rPr>
                <w:rFonts w:ascii="Arial" w:hAnsi="Arial"/>
                <w:b/>
                <w:bCs/>
                <w:sz w:val="24"/>
                <w:szCs w:val="24"/>
              </w:rPr>
            </w:pPr>
            <w:r w:rsidRPr="00075627">
              <w:rPr>
                <w:rFonts w:ascii="Arial" w:hAnsi="Arial"/>
                <w:b/>
                <w:bCs/>
                <w:sz w:val="24"/>
                <w:szCs w:val="24"/>
              </w:rPr>
              <w:lastRenderedPageBreak/>
              <w:t>AVC Provider</w:t>
            </w:r>
          </w:p>
        </w:tc>
        <w:tc>
          <w:tcPr>
            <w:tcW w:w="1539" w:type="dxa"/>
            <w:tcBorders>
              <w:top w:val="single" w:sz="4" w:space="0" w:color="auto"/>
              <w:left w:val="nil"/>
              <w:bottom w:val="single" w:sz="4" w:space="0" w:color="auto"/>
              <w:right w:val="single" w:sz="4" w:space="0" w:color="auto"/>
            </w:tcBorders>
            <w:shd w:val="clear" w:color="auto" w:fill="auto"/>
            <w:vAlign w:val="bottom"/>
          </w:tcPr>
          <w:p w14:paraId="513018AB" w14:textId="77777777" w:rsidR="00007CE3" w:rsidRPr="00075627" w:rsidRDefault="00007CE3" w:rsidP="00BB5481">
            <w:pPr>
              <w:jc w:val="center"/>
              <w:rPr>
                <w:rFonts w:ascii="Arial" w:hAnsi="Arial"/>
                <w:b/>
                <w:bCs/>
                <w:sz w:val="24"/>
                <w:szCs w:val="24"/>
              </w:rPr>
            </w:pPr>
            <w:r w:rsidRPr="00075627">
              <w:rPr>
                <w:rFonts w:ascii="Arial" w:hAnsi="Arial"/>
                <w:b/>
                <w:bCs/>
                <w:sz w:val="24"/>
                <w:szCs w:val="24"/>
              </w:rPr>
              <w:t>Value of Funds at 01/04/</w:t>
            </w:r>
            <w:r w:rsidR="002A3370" w:rsidRPr="00075627">
              <w:rPr>
                <w:rFonts w:ascii="Arial" w:hAnsi="Arial"/>
                <w:b/>
                <w:bCs/>
                <w:sz w:val="24"/>
                <w:szCs w:val="24"/>
              </w:rPr>
              <w:t>2</w:t>
            </w:r>
            <w:r w:rsidR="00BB5481" w:rsidRPr="00075627">
              <w:rPr>
                <w:rFonts w:ascii="Arial" w:hAnsi="Arial"/>
                <w:b/>
                <w:bCs/>
                <w:sz w:val="24"/>
                <w:szCs w:val="24"/>
              </w:rPr>
              <w:t>1</w:t>
            </w:r>
          </w:p>
        </w:tc>
        <w:tc>
          <w:tcPr>
            <w:tcW w:w="2284" w:type="dxa"/>
            <w:tcBorders>
              <w:top w:val="single" w:sz="4" w:space="0" w:color="auto"/>
              <w:left w:val="nil"/>
              <w:bottom w:val="single" w:sz="4" w:space="0" w:color="auto"/>
              <w:right w:val="single" w:sz="4" w:space="0" w:color="auto"/>
            </w:tcBorders>
            <w:shd w:val="clear" w:color="auto" w:fill="auto"/>
            <w:vAlign w:val="bottom"/>
          </w:tcPr>
          <w:p w14:paraId="3D2F4631" w14:textId="77777777" w:rsidR="00007CE3" w:rsidRPr="00075627" w:rsidRDefault="00007CE3" w:rsidP="00BB5481">
            <w:pPr>
              <w:jc w:val="center"/>
              <w:rPr>
                <w:rFonts w:ascii="Arial" w:hAnsi="Arial"/>
                <w:b/>
                <w:bCs/>
                <w:sz w:val="24"/>
                <w:szCs w:val="24"/>
              </w:rPr>
            </w:pPr>
            <w:r w:rsidRPr="00075627">
              <w:rPr>
                <w:rFonts w:ascii="Arial" w:hAnsi="Arial"/>
                <w:b/>
                <w:bCs/>
                <w:sz w:val="24"/>
                <w:szCs w:val="24"/>
              </w:rPr>
              <w:t>Purchases at Cost (Contributions In/Out)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9A4991F" w14:textId="77777777" w:rsidR="00007CE3" w:rsidRPr="00075627" w:rsidRDefault="00007CE3" w:rsidP="00BB5481">
            <w:pPr>
              <w:ind w:right="-69"/>
              <w:jc w:val="center"/>
              <w:rPr>
                <w:rFonts w:ascii="Arial" w:hAnsi="Arial"/>
                <w:b/>
                <w:bCs/>
                <w:sz w:val="24"/>
                <w:szCs w:val="24"/>
              </w:rPr>
            </w:pPr>
            <w:r w:rsidRPr="00075627">
              <w:rPr>
                <w:rFonts w:ascii="Arial" w:hAnsi="Arial"/>
                <w:b/>
                <w:bCs/>
                <w:sz w:val="24"/>
                <w:szCs w:val="24"/>
              </w:rPr>
              <w:t>Sale Proceeds</w:t>
            </w:r>
          </w:p>
        </w:tc>
        <w:tc>
          <w:tcPr>
            <w:tcW w:w="1278" w:type="dxa"/>
            <w:tcBorders>
              <w:top w:val="single" w:sz="4" w:space="0" w:color="auto"/>
              <w:left w:val="nil"/>
              <w:bottom w:val="single" w:sz="4" w:space="0" w:color="auto"/>
              <w:right w:val="single" w:sz="4" w:space="0" w:color="auto"/>
            </w:tcBorders>
            <w:shd w:val="clear" w:color="auto" w:fill="auto"/>
            <w:vAlign w:val="bottom"/>
          </w:tcPr>
          <w:p w14:paraId="1A931381" w14:textId="77777777" w:rsidR="00007CE3" w:rsidRPr="00075627" w:rsidRDefault="00007CE3" w:rsidP="00BB5481">
            <w:pPr>
              <w:jc w:val="center"/>
              <w:rPr>
                <w:rFonts w:ascii="Arial" w:hAnsi="Arial"/>
                <w:b/>
                <w:bCs/>
                <w:sz w:val="24"/>
                <w:szCs w:val="24"/>
              </w:rPr>
            </w:pPr>
            <w:r w:rsidRPr="00075627">
              <w:rPr>
                <w:rFonts w:ascii="Arial" w:hAnsi="Arial"/>
                <w:b/>
                <w:bCs/>
                <w:sz w:val="24"/>
                <w:szCs w:val="24"/>
              </w:rPr>
              <w:t>Change in Market Value</w:t>
            </w:r>
          </w:p>
        </w:tc>
        <w:tc>
          <w:tcPr>
            <w:tcW w:w="1418" w:type="dxa"/>
            <w:tcBorders>
              <w:top w:val="single" w:sz="4" w:space="0" w:color="auto"/>
              <w:left w:val="nil"/>
              <w:bottom w:val="single" w:sz="4" w:space="0" w:color="auto"/>
              <w:right w:val="single" w:sz="4" w:space="0" w:color="auto"/>
            </w:tcBorders>
            <w:shd w:val="clear" w:color="auto" w:fill="auto"/>
            <w:vAlign w:val="bottom"/>
          </w:tcPr>
          <w:p w14:paraId="175FFC28" w14:textId="77777777" w:rsidR="00007CE3" w:rsidRPr="00075627" w:rsidRDefault="00007CE3" w:rsidP="00BB5481">
            <w:pPr>
              <w:jc w:val="center"/>
              <w:rPr>
                <w:rFonts w:ascii="Arial" w:hAnsi="Arial"/>
                <w:b/>
                <w:bCs/>
                <w:sz w:val="24"/>
                <w:szCs w:val="24"/>
              </w:rPr>
            </w:pPr>
            <w:r w:rsidRPr="00075627">
              <w:rPr>
                <w:rFonts w:ascii="Arial" w:hAnsi="Arial"/>
                <w:b/>
                <w:bCs/>
                <w:sz w:val="24"/>
                <w:szCs w:val="24"/>
              </w:rPr>
              <w:t>Value of Funds at 31/03/</w:t>
            </w:r>
            <w:r w:rsidR="00505D46" w:rsidRPr="00075627">
              <w:rPr>
                <w:rFonts w:ascii="Arial" w:hAnsi="Arial"/>
                <w:b/>
                <w:bCs/>
                <w:sz w:val="24"/>
                <w:szCs w:val="24"/>
              </w:rPr>
              <w:t>2</w:t>
            </w:r>
            <w:r w:rsidR="00BB5481" w:rsidRPr="00075627">
              <w:rPr>
                <w:rFonts w:ascii="Arial" w:hAnsi="Arial"/>
                <w:b/>
                <w:bCs/>
                <w:sz w:val="24"/>
                <w:szCs w:val="24"/>
              </w:rPr>
              <w:t>2</w:t>
            </w:r>
          </w:p>
        </w:tc>
      </w:tr>
      <w:tr w:rsidR="00007CE3" w:rsidRPr="00075627" w14:paraId="7ACBDCB7" w14:textId="77777777" w:rsidTr="00007CE3">
        <w:trPr>
          <w:trHeight w:val="272"/>
          <w:jc w:val="center"/>
        </w:trPr>
        <w:tc>
          <w:tcPr>
            <w:tcW w:w="2457" w:type="dxa"/>
            <w:tcBorders>
              <w:top w:val="nil"/>
              <w:left w:val="single" w:sz="4" w:space="0" w:color="auto"/>
              <w:bottom w:val="single" w:sz="4" w:space="0" w:color="auto"/>
              <w:right w:val="single" w:sz="4" w:space="0" w:color="auto"/>
            </w:tcBorders>
            <w:shd w:val="clear" w:color="auto" w:fill="auto"/>
            <w:noWrap/>
            <w:vAlign w:val="bottom"/>
          </w:tcPr>
          <w:p w14:paraId="71CC6E7C" w14:textId="77777777" w:rsidR="00007CE3" w:rsidRPr="00075627" w:rsidRDefault="00007CE3" w:rsidP="00BB5481">
            <w:pPr>
              <w:rPr>
                <w:rFonts w:ascii="Arial" w:hAnsi="Arial"/>
                <w:i/>
                <w:sz w:val="24"/>
                <w:szCs w:val="24"/>
              </w:rPr>
            </w:pPr>
            <w:r w:rsidRPr="00075627">
              <w:rPr>
                <w:rFonts w:ascii="Arial" w:hAnsi="Arial"/>
                <w:i/>
                <w:sz w:val="24"/>
                <w:szCs w:val="24"/>
              </w:rPr>
              <w:t> </w:t>
            </w:r>
          </w:p>
        </w:tc>
        <w:tc>
          <w:tcPr>
            <w:tcW w:w="1539" w:type="dxa"/>
            <w:tcBorders>
              <w:top w:val="nil"/>
              <w:left w:val="nil"/>
              <w:bottom w:val="single" w:sz="4" w:space="0" w:color="auto"/>
              <w:right w:val="single" w:sz="4" w:space="0" w:color="auto"/>
            </w:tcBorders>
            <w:shd w:val="clear" w:color="auto" w:fill="auto"/>
            <w:noWrap/>
            <w:vAlign w:val="bottom"/>
          </w:tcPr>
          <w:p w14:paraId="4AB772F9" w14:textId="77777777" w:rsidR="00007CE3" w:rsidRPr="00075627" w:rsidRDefault="00007CE3" w:rsidP="00BB5481">
            <w:pPr>
              <w:jc w:val="center"/>
              <w:rPr>
                <w:rFonts w:ascii="Arial" w:hAnsi="Arial"/>
                <w:b/>
                <w:bCs/>
                <w:sz w:val="24"/>
                <w:szCs w:val="24"/>
              </w:rPr>
            </w:pPr>
            <w:r w:rsidRPr="00075627">
              <w:rPr>
                <w:rFonts w:ascii="Arial" w:hAnsi="Arial"/>
                <w:b/>
                <w:bCs/>
                <w:sz w:val="24"/>
                <w:szCs w:val="24"/>
              </w:rPr>
              <w:t>£’000</w:t>
            </w:r>
          </w:p>
        </w:tc>
        <w:tc>
          <w:tcPr>
            <w:tcW w:w="2284" w:type="dxa"/>
            <w:tcBorders>
              <w:top w:val="nil"/>
              <w:left w:val="nil"/>
              <w:bottom w:val="single" w:sz="4" w:space="0" w:color="auto"/>
              <w:right w:val="single" w:sz="4" w:space="0" w:color="auto"/>
            </w:tcBorders>
            <w:shd w:val="clear" w:color="auto" w:fill="auto"/>
            <w:noWrap/>
            <w:vAlign w:val="bottom"/>
          </w:tcPr>
          <w:p w14:paraId="7AC291E5" w14:textId="77777777" w:rsidR="00007CE3" w:rsidRPr="00075627" w:rsidRDefault="00007CE3" w:rsidP="00BB5481">
            <w:pPr>
              <w:jc w:val="center"/>
              <w:rPr>
                <w:rFonts w:ascii="Arial" w:hAnsi="Arial"/>
                <w:b/>
                <w:bCs/>
                <w:sz w:val="24"/>
                <w:szCs w:val="24"/>
              </w:rPr>
            </w:pPr>
            <w:r w:rsidRPr="00075627">
              <w:rPr>
                <w:rFonts w:ascii="Arial" w:hAnsi="Arial"/>
                <w:b/>
                <w:bCs/>
                <w:sz w:val="24"/>
                <w:szCs w:val="24"/>
              </w:rPr>
              <w:t>£’000</w:t>
            </w:r>
          </w:p>
        </w:tc>
        <w:tc>
          <w:tcPr>
            <w:tcW w:w="1260" w:type="dxa"/>
            <w:tcBorders>
              <w:top w:val="nil"/>
              <w:left w:val="nil"/>
              <w:bottom w:val="single" w:sz="4" w:space="0" w:color="auto"/>
              <w:right w:val="single" w:sz="4" w:space="0" w:color="auto"/>
            </w:tcBorders>
            <w:shd w:val="clear" w:color="auto" w:fill="auto"/>
            <w:noWrap/>
            <w:vAlign w:val="bottom"/>
          </w:tcPr>
          <w:p w14:paraId="1563FD6C" w14:textId="77777777" w:rsidR="00007CE3" w:rsidRPr="00075627" w:rsidRDefault="00007CE3" w:rsidP="00BB5481">
            <w:pPr>
              <w:jc w:val="center"/>
              <w:rPr>
                <w:rFonts w:ascii="Arial" w:hAnsi="Arial"/>
                <w:b/>
                <w:bCs/>
                <w:sz w:val="24"/>
                <w:szCs w:val="24"/>
              </w:rPr>
            </w:pPr>
            <w:r w:rsidRPr="00075627">
              <w:rPr>
                <w:rFonts w:ascii="Arial" w:hAnsi="Arial"/>
                <w:b/>
                <w:bCs/>
                <w:sz w:val="24"/>
                <w:szCs w:val="24"/>
              </w:rPr>
              <w:t>£’000</w:t>
            </w:r>
          </w:p>
        </w:tc>
        <w:tc>
          <w:tcPr>
            <w:tcW w:w="1278" w:type="dxa"/>
            <w:tcBorders>
              <w:top w:val="nil"/>
              <w:left w:val="nil"/>
              <w:bottom w:val="single" w:sz="4" w:space="0" w:color="auto"/>
              <w:right w:val="single" w:sz="4" w:space="0" w:color="auto"/>
            </w:tcBorders>
            <w:shd w:val="clear" w:color="auto" w:fill="auto"/>
            <w:noWrap/>
            <w:vAlign w:val="bottom"/>
          </w:tcPr>
          <w:p w14:paraId="37FDDC32" w14:textId="77777777" w:rsidR="00007CE3" w:rsidRPr="00075627" w:rsidRDefault="00007CE3" w:rsidP="00BB5481">
            <w:pPr>
              <w:jc w:val="center"/>
              <w:rPr>
                <w:rFonts w:ascii="Arial" w:hAnsi="Arial"/>
                <w:b/>
                <w:bCs/>
                <w:sz w:val="24"/>
                <w:szCs w:val="24"/>
              </w:rPr>
            </w:pPr>
            <w:r w:rsidRPr="00075627">
              <w:rPr>
                <w:rFonts w:ascii="Arial" w:hAnsi="Arial"/>
                <w:b/>
                <w:bCs/>
                <w:sz w:val="24"/>
                <w:szCs w:val="24"/>
              </w:rPr>
              <w:t>£’000</w:t>
            </w:r>
          </w:p>
        </w:tc>
        <w:tc>
          <w:tcPr>
            <w:tcW w:w="1418" w:type="dxa"/>
            <w:tcBorders>
              <w:top w:val="nil"/>
              <w:left w:val="nil"/>
              <w:bottom w:val="single" w:sz="4" w:space="0" w:color="auto"/>
              <w:right w:val="single" w:sz="4" w:space="0" w:color="auto"/>
            </w:tcBorders>
            <w:shd w:val="clear" w:color="auto" w:fill="auto"/>
            <w:noWrap/>
            <w:vAlign w:val="bottom"/>
          </w:tcPr>
          <w:p w14:paraId="20F53A57" w14:textId="77777777" w:rsidR="00007CE3" w:rsidRPr="00075627" w:rsidRDefault="00007CE3" w:rsidP="00BB5481">
            <w:pPr>
              <w:jc w:val="center"/>
              <w:rPr>
                <w:rFonts w:ascii="Arial" w:hAnsi="Arial"/>
                <w:b/>
                <w:bCs/>
                <w:sz w:val="24"/>
                <w:szCs w:val="24"/>
              </w:rPr>
            </w:pPr>
            <w:r w:rsidRPr="00075627">
              <w:rPr>
                <w:rFonts w:ascii="Arial" w:hAnsi="Arial"/>
                <w:b/>
                <w:bCs/>
                <w:sz w:val="24"/>
                <w:szCs w:val="24"/>
              </w:rPr>
              <w:t>£’000</w:t>
            </w:r>
          </w:p>
        </w:tc>
      </w:tr>
      <w:tr w:rsidR="00007CE3" w:rsidRPr="00075627" w14:paraId="79652027" w14:textId="77777777" w:rsidTr="00007CE3">
        <w:trPr>
          <w:trHeight w:val="258"/>
          <w:jc w:val="center"/>
        </w:trPr>
        <w:tc>
          <w:tcPr>
            <w:tcW w:w="2457" w:type="dxa"/>
            <w:tcBorders>
              <w:top w:val="nil"/>
              <w:left w:val="single" w:sz="4" w:space="0" w:color="auto"/>
              <w:bottom w:val="single" w:sz="4" w:space="0" w:color="auto"/>
              <w:right w:val="single" w:sz="4" w:space="0" w:color="auto"/>
            </w:tcBorders>
            <w:shd w:val="clear" w:color="auto" w:fill="auto"/>
            <w:noWrap/>
            <w:vAlign w:val="bottom"/>
          </w:tcPr>
          <w:p w14:paraId="79DF52C3" w14:textId="77777777" w:rsidR="00007CE3" w:rsidRPr="00075627" w:rsidRDefault="00075627" w:rsidP="00BB5481">
            <w:pPr>
              <w:rPr>
                <w:rFonts w:ascii="Arial" w:hAnsi="Arial"/>
                <w:sz w:val="24"/>
                <w:szCs w:val="24"/>
              </w:rPr>
            </w:pPr>
            <w:r>
              <w:rPr>
                <w:rFonts w:ascii="Arial" w:hAnsi="Arial"/>
                <w:sz w:val="24"/>
                <w:szCs w:val="24"/>
              </w:rPr>
              <w:t>Prudential</w:t>
            </w:r>
          </w:p>
        </w:tc>
        <w:tc>
          <w:tcPr>
            <w:tcW w:w="1539" w:type="dxa"/>
            <w:tcBorders>
              <w:top w:val="nil"/>
              <w:left w:val="nil"/>
              <w:bottom w:val="single" w:sz="4" w:space="0" w:color="auto"/>
              <w:right w:val="single" w:sz="4" w:space="0" w:color="auto"/>
            </w:tcBorders>
            <w:shd w:val="clear" w:color="auto" w:fill="auto"/>
            <w:noWrap/>
            <w:vAlign w:val="bottom"/>
          </w:tcPr>
          <w:p w14:paraId="0776ED77" w14:textId="77777777" w:rsidR="00007CE3" w:rsidRPr="00075627" w:rsidRDefault="00075627" w:rsidP="00075627">
            <w:pPr>
              <w:jc w:val="right"/>
              <w:rPr>
                <w:rFonts w:ascii="Arial" w:hAnsi="Arial"/>
                <w:sz w:val="24"/>
                <w:szCs w:val="24"/>
              </w:rPr>
            </w:pPr>
            <w:r>
              <w:rPr>
                <w:rFonts w:ascii="Arial" w:hAnsi="Arial"/>
                <w:sz w:val="24"/>
                <w:szCs w:val="24"/>
              </w:rPr>
              <w:t xml:space="preserve">          8,634</w:t>
            </w:r>
          </w:p>
        </w:tc>
        <w:tc>
          <w:tcPr>
            <w:tcW w:w="2284" w:type="dxa"/>
            <w:tcBorders>
              <w:top w:val="nil"/>
              <w:left w:val="nil"/>
              <w:bottom w:val="single" w:sz="4" w:space="0" w:color="auto"/>
              <w:right w:val="single" w:sz="4" w:space="0" w:color="auto"/>
            </w:tcBorders>
            <w:shd w:val="clear" w:color="auto" w:fill="auto"/>
            <w:noWrap/>
            <w:vAlign w:val="bottom"/>
          </w:tcPr>
          <w:p w14:paraId="7880B3FC" w14:textId="77777777" w:rsidR="00007CE3" w:rsidRPr="00075627" w:rsidRDefault="00007CE3" w:rsidP="00BB5481">
            <w:pPr>
              <w:rPr>
                <w:rFonts w:ascii="Arial" w:hAnsi="Arial"/>
                <w:sz w:val="24"/>
                <w:szCs w:val="24"/>
              </w:rPr>
            </w:pPr>
            <w:r w:rsidRPr="00075627">
              <w:rPr>
                <w:rFonts w:ascii="Arial" w:hAnsi="Arial"/>
                <w:sz w:val="24"/>
                <w:szCs w:val="24"/>
              </w:rPr>
              <w:t> </w:t>
            </w:r>
            <w:r w:rsidR="00075627">
              <w:rPr>
                <w:rFonts w:ascii="Arial" w:hAnsi="Arial"/>
                <w:sz w:val="24"/>
                <w:szCs w:val="24"/>
              </w:rPr>
              <w:t xml:space="preserve">                     1,761</w:t>
            </w:r>
          </w:p>
        </w:tc>
        <w:tc>
          <w:tcPr>
            <w:tcW w:w="1260" w:type="dxa"/>
            <w:tcBorders>
              <w:top w:val="nil"/>
              <w:left w:val="nil"/>
              <w:bottom w:val="single" w:sz="4" w:space="0" w:color="auto"/>
              <w:right w:val="single" w:sz="4" w:space="0" w:color="auto"/>
            </w:tcBorders>
            <w:shd w:val="clear" w:color="auto" w:fill="auto"/>
            <w:noWrap/>
            <w:vAlign w:val="bottom"/>
          </w:tcPr>
          <w:p w14:paraId="7C85CEDE" w14:textId="77777777" w:rsidR="00007CE3" w:rsidRPr="00075627" w:rsidRDefault="00007CE3" w:rsidP="00075627">
            <w:pPr>
              <w:jc w:val="right"/>
              <w:rPr>
                <w:rFonts w:ascii="Arial" w:hAnsi="Arial"/>
                <w:sz w:val="24"/>
                <w:szCs w:val="24"/>
              </w:rPr>
            </w:pPr>
            <w:r w:rsidRPr="00075627">
              <w:rPr>
                <w:rFonts w:ascii="Arial" w:hAnsi="Arial"/>
                <w:sz w:val="24"/>
                <w:szCs w:val="24"/>
              </w:rPr>
              <w:t> </w:t>
            </w:r>
            <w:r w:rsidR="00075627">
              <w:rPr>
                <w:rFonts w:ascii="Arial" w:hAnsi="Arial"/>
                <w:sz w:val="24"/>
                <w:szCs w:val="24"/>
              </w:rPr>
              <w:t xml:space="preserve">       -887</w:t>
            </w:r>
          </w:p>
        </w:tc>
        <w:tc>
          <w:tcPr>
            <w:tcW w:w="1278" w:type="dxa"/>
            <w:tcBorders>
              <w:top w:val="nil"/>
              <w:left w:val="nil"/>
              <w:bottom w:val="single" w:sz="4" w:space="0" w:color="auto"/>
              <w:right w:val="single" w:sz="4" w:space="0" w:color="auto"/>
            </w:tcBorders>
            <w:shd w:val="clear" w:color="auto" w:fill="auto"/>
            <w:noWrap/>
            <w:vAlign w:val="bottom"/>
          </w:tcPr>
          <w:p w14:paraId="345E1276" w14:textId="77777777" w:rsidR="00007CE3" w:rsidRPr="00075627" w:rsidRDefault="00007CE3" w:rsidP="00075627">
            <w:pPr>
              <w:jc w:val="right"/>
              <w:rPr>
                <w:rFonts w:ascii="Arial" w:hAnsi="Arial"/>
                <w:sz w:val="24"/>
                <w:szCs w:val="24"/>
              </w:rPr>
            </w:pPr>
            <w:r w:rsidRPr="00075627">
              <w:rPr>
                <w:rFonts w:ascii="Arial" w:hAnsi="Arial"/>
                <w:sz w:val="24"/>
                <w:szCs w:val="24"/>
              </w:rPr>
              <w:t> </w:t>
            </w:r>
            <w:r w:rsidR="00075627">
              <w:rPr>
                <w:rFonts w:ascii="Arial" w:hAnsi="Arial"/>
                <w:sz w:val="24"/>
                <w:szCs w:val="24"/>
              </w:rPr>
              <w:t xml:space="preserve">        43</w:t>
            </w:r>
            <w:r w:rsidR="003215B5">
              <w:rPr>
                <w:rFonts w:ascii="Arial" w:hAnsi="Arial"/>
                <w:sz w:val="24"/>
                <w:szCs w:val="24"/>
              </w:rPr>
              <w:t>7</w:t>
            </w:r>
          </w:p>
        </w:tc>
        <w:tc>
          <w:tcPr>
            <w:tcW w:w="1418" w:type="dxa"/>
            <w:tcBorders>
              <w:top w:val="nil"/>
              <w:left w:val="nil"/>
              <w:bottom w:val="single" w:sz="4" w:space="0" w:color="auto"/>
              <w:right w:val="single" w:sz="4" w:space="0" w:color="auto"/>
            </w:tcBorders>
            <w:shd w:val="clear" w:color="auto" w:fill="auto"/>
            <w:noWrap/>
            <w:vAlign w:val="bottom"/>
          </w:tcPr>
          <w:p w14:paraId="17F6FD6E" w14:textId="77777777" w:rsidR="00007CE3" w:rsidRPr="00075627" w:rsidRDefault="00007CE3" w:rsidP="00BB5481">
            <w:pPr>
              <w:rPr>
                <w:rFonts w:ascii="Arial" w:hAnsi="Arial"/>
                <w:sz w:val="24"/>
                <w:szCs w:val="24"/>
              </w:rPr>
            </w:pPr>
            <w:r w:rsidRPr="00075627">
              <w:rPr>
                <w:rFonts w:ascii="Arial" w:hAnsi="Arial"/>
                <w:sz w:val="24"/>
                <w:szCs w:val="24"/>
              </w:rPr>
              <w:t> </w:t>
            </w:r>
            <w:r w:rsidR="00075627">
              <w:rPr>
                <w:rFonts w:ascii="Arial" w:hAnsi="Arial"/>
                <w:sz w:val="24"/>
                <w:szCs w:val="24"/>
              </w:rPr>
              <w:t xml:space="preserve">        9,945</w:t>
            </w:r>
          </w:p>
        </w:tc>
      </w:tr>
      <w:tr w:rsidR="00007CE3" w:rsidRPr="00075627" w14:paraId="257A9495" w14:textId="77777777" w:rsidTr="00007CE3">
        <w:trPr>
          <w:trHeight w:val="258"/>
          <w:jc w:val="center"/>
        </w:trPr>
        <w:tc>
          <w:tcPr>
            <w:tcW w:w="2457" w:type="dxa"/>
            <w:tcBorders>
              <w:top w:val="nil"/>
              <w:left w:val="single" w:sz="4" w:space="0" w:color="auto"/>
              <w:bottom w:val="single" w:sz="4" w:space="0" w:color="auto"/>
              <w:right w:val="single" w:sz="4" w:space="0" w:color="auto"/>
            </w:tcBorders>
            <w:shd w:val="clear" w:color="auto" w:fill="auto"/>
            <w:noWrap/>
            <w:vAlign w:val="bottom"/>
          </w:tcPr>
          <w:p w14:paraId="378F650A" w14:textId="77777777" w:rsidR="00007CE3" w:rsidRPr="00075627" w:rsidRDefault="00007CE3" w:rsidP="00BB5481">
            <w:pPr>
              <w:rPr>
                <w:rFonts w:ascii="Arial" w:hAnsi="Arial"/>
                <w:sz w:val="24"/>
                <w:szCs w:val="24"/>
              </w:rPr>
            </w:pPr>
            <w:r w:rsidRPr="00075627">
              <w:rPr>
                <w:rFonts w:ascii="Arial" w:hAnsi="Arial"/>
                <w:sz w:val="24"/>
                <w:szCs w:val="24"/>
              </w:rPr>
              <w:t xml:space="preserve">Aegon </w:t>
            </w:r>
          </w:p>
        </w:tc>
        <w:tc>
          <w:tcPr>
            <w:tcW w:w="1539" w:type="dxa"/>
            <w:tcBorders>
              <w:top w:val="nil"/>
              <w:left w:val="nil"/>
              <w:bottom w:val="single" w:sz="4" w:space="0" w:color="auto"/>
              <w:right w:val="single" w:sz="4" w:space="0" w:color="auto"/>
            </w:tcBorders>
            <w:shd w:val="clear" w:color="auto" w:fill="auto"/>
            <w:noWrap/>
            <w:vAlign w:val="bottom"/>
          </w:tcPr>
          <w:p w14:paraId="132407A1" w14:textId="77777777" w:rsidR="00007CE3" w:rsidRPr="00075627" w:rsidRDefault="00BB5481" w:rsidP="00BB5481">
            <w:pPr>
              <w:tabs>
                <w:tab w:val="left" w:pos="622"/>
                <w:tab w:val="right" w:pos="3732"/>
                <w:tab w:val="right" w:pos="4769"/>
                <w:tab w:val="right" w:pos="6220"/>
                <w:tab w:val="right" w:pos="7257"/>
              </w:tabs>
              <w:jc w:val="right"/>
              <w:rPr>
                <w:rFonts w:ascii="Arial" w:hAnsi="Arial"/>
                <w:sz w:val="24"/>
                <w:szCs w:val="24"/>
              </w:rPr>
            </w:pPr>
            <w:r w:rsidRPr="00075627">
              <w:rPr>
                <w:rFonts w:ascii="Arial" w:hAnsi="Arial"/>
                <w:sz w:val="24"/>
                <w:szCs w:val="24"/>
              </w:rPr>
              <w:t>1,124</w:t>
            </w:r>
          </w:p>
        </w:tc>
        <w:tc>
          <w:tcPr>
            <w:tcW w:w="2284" w:type="dxa"/>
            <w:tcBorders>
              <w:top w:val="nil"/>
              <w:left w:val="nil"/>
              <w:bottom w:val="single" w:sz="4" w:space="0" w:color="auto"/>
              <w:right w:val="single" w:sz="4" w:space="0" w:color="auto"/>
            </w:tcBorders>
            <w:shd w:val="clear" w:color="auto" w:fill="auto"/>
            <w:noWrap/>
            <w:vAlign w:val="bottom"/>
          </w:tcPr>
          <w:p w14:paraId="68455A8B" w14:textId="77777777" w:rsidR="00007CE3" w:rsidRPr="00075627" w:rsidRDefault="00BB5481" w:rsidP="00BB5481">
            <w:pPr>
              <w:tabs>
                <w:tab w:val="left" w:pos="622"/>
                <w:tab w:val="right" w:pos="3732"/>
                <w:tab w:val="right" w:pos="4769"/>
                <w:tab w:val="right" w:pos="6220"/>
                <w:tab w:val="right" w:pos="7257"/>
              </w:tabs>
              <w:jc w:val="right"/>
              <w:rPr>
                <w:rFonts w:ascii="Arial" w:hAnsi="Arial"/>
                <w:sz w:val="24"/>
                <w:szCs w:val="24"/>
              </w:rPr>
            </w:pPr>
            <w:r w:rsidRPr="00075627">
              <w:rPr>
                <w:rFonts w:ascii="Arial" w:hAnsi="Arial"/>
                <w:sz w:val="24"/>
                <w:szCs w:val="24"/>
              </w:rPr>
              <w:t>0</w:t>
            </w:r>
          </w:p>
        </w:tc>
        <w:tc>
          <w:tcPr>
            <w:tcW w:w="1260" w:type="dxa"/>
            <w:tcBorders>
              <w:top w:val="nil"/>
              <w:left w:val="nil"/>
              <w:bottom w:val="single" w:sz="4" w:space="0" w:color="auto"/>
              <w:right w:val="single" w:sz="4" w:space="0" w:color="auto"/>
            </w:tcBorders>
            <w:shd w:val="clear" w:color="auto" w:fill="auto"/>
            <w:noWrap/>
            <w:vAlign w:val="bottom"/>
          </w:tcPr>
          <w:p w14:paraId="47AF6308" w14:textId="77777777" w:rsidR="00007CE3" w:rsidRPr="00075627" w:rsidRDefault="003215B5" w:rsidP="00BB5481">
            <w:pPr>
              <w:tabs>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-93</w:t>
            </w:r>
          </w:p>
        </w:tc>
        <w:tc>
          <w:tcPr>
            <w:tcW w:w="1278" w:type="dxa"/>
            <w:tcBorders>
              <w:top w:val="nil"/>
              <w:left w:val="nil"/>
              <w:bottom w:val="single" w:sz="4" w:space="0" w:color="auto"/>
              <w:right w:val="single" w:sz="4" w:space="0" w:color="auto"/>
            </w:tcBorders>
            <w:shd w:val="clear" w:color="auto" w:fill="auto"/>
            <w:noWrap/>
            <w:vAlign w:val="bottom"/>
          </w:tcPr>
          <w:p w14:paraId="2E771042" w14:textId="77777777" w:rsidR="00B53249" w:rsidRPr="00075627" w:rsidRDefault="003215B5" w:rsidP="00BB5481">
            <w:pPr>
              <w:tabs>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31</w:t>
            </w:r>
          </w:p>
        </w:tc>
        <w:tc>
          <w:tcPr>
            <w:tcW w:w="1418" w:type="dxa"/>
            <w:tcBorders>
              <w:top w:val="nil"/>
              <w:left w:val="nil"/>
              <w:bottom w:val="single" w:sz="4" w:space="0" w:color="auto"/>
              <w:right w:val="single" w:sz="4" w:space="0" w:color="auto"/>
            </w:tcBorders>
            <w:shd w:val="clear" w:color="auto" w:fill="auto"/>
            <w:noWrap/>
            <w:vAlign w:val="bottom"/>
          </w:tcPr>
          <w:p w14:paraId="28B79276" w14:textId="77777777" w:rsidR="00007CE3" w:rsidRPr="00075627" w:rsidRDefault="00B53249" w:rsidP="00BB5481">
            <w:pPr>
              <w:tabs>
                <w:tab w:val="left" w:pos="622"/>
                <w:tab w:val="right" w:pos="3732"/>
                <w:tab w:val="right" w:pos="4769"/>
                <w:tab w:val="right" w:pos="6220"/>
                <w:tab w:val="right" w:pos="7257"/>
              </w:tabs>
              <w:jc w:val="right"/>
              <w:rPr>
                <w:rFonts w:ascii="Arial" w:hAnsi="Arial"/>
                <w:sz w:val="24"/>
                <w:szCs w:val="24"/>
              </w:rPr>
            </w:pPr>
            <w:r w:rsidRPr="00075627">
              <w:rPr>
                <w:rFonts w:ascii="Arial" w:hAnsi="Arial"/>
                <w:sz w:val="24"/>
                <w:szCs w:val="24"/>
              </w:rPr>
              <w:t>1,</w:t>
            </w:r>
            <w:r w:rsidR="00BB5481" w:rsidRPr="00075627">
              <w:rPr>
                <w:rFonts w:ascii="Arial" w:hAnsi="Arial"/>
                <w:sz w:val="24"/>
                <w:szCs w:val="24"/>
              </w:rPr>
              <w:t>0</w:t>
            </w:r>
            <w:r w:rsidR="003215B5">
              <w:rPr>
                <w:rFonts w:ascii="Arial" w:hAnsi="Arial"/>
                <w:sz w:val="24"/>
                <w:szCs w:val="24"/>
              </w:rPr>
              <w:t>62</w:t>
            </w:r>
          </w:p>
        </w:tc>
      </w:tr>
      <w:tr w:rsidR="00007CE3" w:rsidRPr="00075627" w14:paraId="6C4BF454" w14:textId="77777777" w:rsidTr="00007CE3">
        <w:trPr>
          <w:trHeight w:val="258"/>
          <w:jc w:val="center"/>
        </w:trPr>
        <w:tc>
          <w:tcPr>
            <w:tcW w:w="2457" w:type="dxa"/>
            <w:tcBorders>
              <w:top w:val="nil"/>
              <w:left w:val="single" w:sz="4" w:space="0" w:color="auto"/>
              <w:bottom w:val="single" w:sz="4" w:space="0" w:color="auto"/>
              <w:right w:val="single" w:sz="4" w:space="0" w:color="auto"/>
            </w:tcBorders>
            <w:shd w:val="clear" w:color="auto" w:fill="auto"/>
            <w:noWrap/>
            <w:vAlign w:val="bottom"/>
          </w:tcPr>
          <w:p w14:paraId="6AA2D831" w14:textId="77777777" w:rsidR="00007CE3" w:rsidRPr="00075627" w:rsidRDefault="002A3370" w:rsidP="00BB5481">
            <w:pPr>
              <w:rPr>
                <w:rFonts w:ascii="Arial" w:hAnsi="Arial"/>
                <w:sz w:val="24"/>
                <w:szCs w:val="24"/>
              </w:rPr>
            </w:pPr>
            <w:r w:rsidRPr="00075627">
              <w:rPr>
                <w:rFonts w:ascii="Arial" w:hAnsi="Arial"/>
                <w:sz w:val="24"/>
                <w:szCs w:val="24"/>
              </w:rPr>
              <w:t>Utmost</w:t>
            </w:r>
          </w:p>
        </w:tc>
        <w:tc>
          <w:tcPr>
            <w:tcW w:w="1539" w:type="dxa"/>
            <w:tcBorders>
              <w:top w:val="nil"/>
              <w:left w:val="nil"/>
              <w:bottom w:val="single" w:sz="4" w:space="0" w:color="auto"/>
              <w:right w:val="single" w:sz="4" w:space="0" w:color="auto"/>
            </w:tcBorders>
            <w:shd w:val="clear" w:color="auto" w:fill="auto"/>
            <w:noWrap/>
            <w:vAlign w:val="bottom"/>
          </w:tcPr>
          <w:p w14:paraId="044CB542" w14:textId="77777777" w:rsidR="00007CE3" w:rsidRPr="00075627" w:rsidRDefault="00505D46" w:rsidP="00BB5481">
            <w:pPr>
              <w:tabs>
                <w:tab w:val="left" w:pos="622"/>
                <w:tab w:val="right" w:pos="3732"/>
                <w:tab w:val="right" w:pos="4769"/>
                <w:tab w:val="right" w:pos="6220"/>
                <w:tab w:val="right" w:pos="7257"/>
              </w:tabs>
              <w:jc w:val="right"/>
              <w:rPr>
                <w:rFonts w:ascii="Arial" w:hAnsi="Arial"/>
                <w:sz w:val="24"/>
                <w:szCs w:val="24"/>
              </w:rPr>
            </w:pPr>
            <w:r w:rsidRPr="00075627">
              <w:rPr>
                <w:rFonts w:ascii="Arial" w:hAnsi="Arial"/>
                <w:sz w:val="24"/>
                <w:szCs w:val="24"/>
              </w:rPr>
              <w:t>2</w:t>
            </w:r>
            <w:r w:rsidR="00BB5481" w:rsidRPr="00075627">
              <w:rPr>
                <w:rFonts w:ascii="Arial" w:hAnsi="Arial"/>
                <w:sz w:val="24"/>
                <w:szCs w:val="24"/>
              </w:rPr>
              <w:t>51</w:t>
            </w:r>
          </w:p>
        </w:tc>
        <w:tc>
          <w:tcPr>
            <w:tcW w:w="2284" w:type="dxa"/>
            <w:tcBorders>
              <w:top w:val="nil"/>
              <w:left w:val="nil"/>
              <w:bottom w:val="single" w:sz="4" w:space="0" w:color="auto"/>
              <w:right w:val="single" w:sz="4" w:space="0" w:color="auto"/>
            </w:tcBorders>
            <w:shd w:val="clear" w:color="auto" w:fill="auto"/>
            <w:noWrap/>
            <w:vAlign w:val="bottom"/>
          </w:tcPr>
          <w:p w14:paraId="0DD25635" w14:textId="77777777" w:rsidR="00007CE3" w:rsidRPr="00075627" w:rsidRDefault="00BB5481" w:rsidP="00BB5481">
            <w:pPr>
              <w:tabs>
                <w:tab w:val="left" w:pos="622"/>
                <w:tab w:val="right" w:pos="3732"/>
                <w:tab w:val="right" w:pos="4769"/>
                <w:tab w:val="right" w:pos="6220"/>
                <w:tab w:val="right" w:pos="7257"/>
              </w:tabs>
              <w:jc w:val="right"/>
              <w:rPr>
                <w:rFonts w:ascii="Arial" w:hAnsi="Arial"/>
                <w:sz w:val="24"/>
                <w:szCs w:val="24"/>
              </w:rPr>
            </w:pPr>
            <w:r w:rsidRPr="00075627">
              <w:rPr>
                <w:rFonts w:ascii="Arial" w:hAnsi="Arial"/>
                <w:sz w:val="24"/>
                <w:szCs w:val="24"/>
              </w:rPr>
              <w:t>0</w:t>
            </w:r>
          </w:p>
        </w:tc>
        <w:tc>
          <w:tcPr>
            <w:tcW w:w="1260" w:type="dxa"/>
            <w:tcBorders>
              <w:top w:val="nil"/>
              <w:left w:val="nil"/>
              <w:bottom w:val="single" w:sz="4" w:space="0" w:color="auto"/>
              <w:right w:val="single" w:sz="4" w:space="0" w:color="auto"/>
            </w:tcBorders>
            <w:shd w:val="clear" w:color="auto" w:fill="auto"/>
            <w:noWrap/>
            <w:vAlign w:val="bottom"/>
          </w:tcPr>
          <w:p w14:paraId="5941EFB1" w14:textId="77777777" w:rsidR="00007CE3" w:rsidRPr="00075627" w:rsidRDefault="00B53249" w:rsidP="00BB5481">
            <w:pPr>
              <w:tabs>
                <w:tab w:val="left" w:pos="622"/>
                <w:tab w:val="right" w:pos="3732"/>
                <w:tab w:val="right" w:pos="4769"/>
                <w:tab w:val="right" w:pos="6220"/>
                <w:tab w:val="right" w:pos="7257"/>
              </w:tabs>
              <w:jc w:val="right"/>
              <w:rPr>
                <w:rFonts w:ascii="Arial" w:hAnsi="Arial"/>
                <w:sz w:val="24"/>
                <w:szCs w:val="24"/>
              </w:rPr>
            </w:pPr>
            <w:r w:rsidRPr="00075627">
              <w:rPr>
                <w:rFonts w:ascii="Arial" w:hAnsi="Arial"/>
                <w:sz w:val="24"/>
                <w:szCs w:val="24"/>
              </w:rPr>
              <w:t>-</w:t>
            </w:r>
            <w:r w:rsidR="00BB5481" w:rsidRPr="00075627">
              <w:rPr>
                <w:rFonts w:ascii="Arial" w:hAnsi="Arial"/>
                <w:sz w:val="24"/>
                <w:szCs w:val="24"/>
              </w:rPr>
              <w:t>15</w:t>
            </w:r>
          </w:p>
        </w:tc>
        <w:tc>
          <w:tcPr>
            <w:tcW w:w="1278" w:type="dxa"/>
            <w:tcBorders>
              <w:top w:val="nil"/>
              <w:left w:val="nil"/>
              <w:bottom w:val="single" w:sz="4" w:space="0" w:color="auto"/>
              <w:right w:val="single" w:sz="4" w:space="0" w:color="auto"/>
            </w:tcBorders>
            <w:shd w:val="clear" w:color="auto" w:fill="auto"/>
            <w:noWrap/>
            <w:vAlign w:val="bottom"/>
          </w:tcPr>
          <w:p w14:paraId="51953B3B" w14:textId="77777777" w:rsidR="00007CE3" w:rsidRPr="00075627" w:rsidRDefault="00BB5481" w:rsidP="00BB5481">
            <w:pPr>
              <w:tabs>
                <w:tab w:val="left" w:pos="622"/>
                <w:tab w:val="right" w:pos="3732"/>
                <w:tab w:val="right" w:pos="4769"/>
                <w:tab w:val="right" w:pos="6220"/>
                <w:tab w:val="right" w:pos="7257"/>
              </w:tabs>
              <w:jc w:val="right"/>
              <w:rPr>
                <w:rFonts w:ascii="Arial" w:hAnsi="Arial"/>
                <w:sz w:val="24"/>
                <w:szCs w:val="24"/>
              </w:rPr>
            </w:pPr>
            <w:r w:rsidRPr="00075627">
              <w:rPr>
                <w:rFonts w:ascii="Arial" w:hAnsi="Arial"/>
                <w:sz w:val="24"/>
                <w:szCs w:val="24"/>
              </w:rPr>
              <w:t>14</w:t>
            </w:r>
          </w:p>
        </w:tc>
        <w:tc>
          <w:tcPr>
            <w:tcW w:w="1418" w:type="dxa"/>
            <w:tcBorders>
              <w:top w:val="nil"/>
              <w:left w:val="nil"/>
              <w:bottom w:val="single" w:sz="4" w:space="0" w:color="auto"/>
              <w:right w:val="single" w:sz="4" w:space="0" w:color="auto"/>
            </w:tcBorders>
            <w:shd w:val="clear" w:color="auto" w:fill="auto"/>
            <w:noWrap/>
            <w:vAlign w:val="bottom"/>
          </w:tcPr>
          <w:p w14:paraId="650E2FC8" w14:textId="77777777" w:rsidR="00007CE3" w:rsidRPr="00075627" w:rsidRDefault="001E3C25" w:rsidP="00BB5481">
            <w:pPr>
              <w:tabs>
                <w:tab w:val="left" w:pos="622"/>
                <w:tab w:val="right" w:pos="3732"/>
                <w:tab w:val="right" w:pos="4769"/>
                <w:tab w:val="right" w:pos="6220"/>
                <w:tab w:val="right" w:pos="7257"/>
              </w:tabs>
              <w:jc w:val="right"/>
              <w:rPr>
                <w:rFonts w:ascii="Arial" w:hAnsi="Arial"/>
                <w:sz w:val="24"/>
                <w:szCs w:val="24"/>
              </w:rPr>
            </w:pPr>
            <w:r w:rsidRPr="00075627">
              <w:rPr>
                <w:rFonts w:ascii="Arial" w:hAnsi="Arial"/>
                <w:sz w:val="24"/>
                <w:szCs w:val="24"/>
              </w:rPr>
              <w:t>25</w:t>
            </w:r>
            <w:r w:rsidR="00BB5481" w:rsidRPr="00075627">
              <w:rPr>
                <w:rFonts w:ascii="Arial" w:hAnsi="Arial"/>
                <w:sz w:val="24"/>
                <w:szCs w:val="24"/>
              </w:rPr>
              <w:t>0</w:t>
            </w:r>
          </w:p>
        </w:tc>
      </w:tr>
      <w:tr w:rsidR="00007CE3" w:rsidRPr="00075627" w14:paraId="1569FD45" w14:textId="77777777" w:rsidTr="00007CE3">
        <w:trPr>
          <w:trHeight w:val="272"/>
          <w:jc w:val="center"/>
        </w:trPr>
        <w:tc>
          <w:tcPr>
            <w:tcW w:w="2457" w:type="dxa"/>
            <w:tcBorders>
              <w:top w:val="nil"/>
              <w:left w:val="single" w:sz="4" w:space="0" w:color="auto"/>
              <w:bottom w:val="single" w:sz="4" w:space="0" w:color="auto"/>
              <w:right w:val="single" w:sz="4" w:space="0" w:color="auto"/>
            </w:tcBorders>
            <w:shd w:val="clear" w:color="auto" w:fill="auto"/>
            <w:noWrap/>
            <w:vAlign w:val="bottom"/>
          </w:tcPr>
          <w:p w14:paraId="38E93134" w14:textId="77777777" w:rsidR="00A23EBD" w:rsidRPr="00075627" w:rsidRDefault="00007CE3" w:rsidP="00BB5481">
            <w:pPr>
              <w:rPr>
                <w:rFonts w:ascii="Arial" w:hAnsi="Arial"/>
                <w:b/>
                <w:bCs/>
                <w:i/>
                <w:sz w:val="24"/>
                <w:szCs w:val="24"/>
              </w:rPr>
            </w:pPr>
            <w:r w:rsidRPr="00075627">
              <w:rPr>
                <w:rFonts w:ascii="Arial" w:hAnsi="Arial"/>
                <w:b/>
                <w:bCs/>
                <w:i/>
                <w:sz w:val="24"/>
                <w:szCs w:val="24"/>
              </w:rPr>
              <w:t> </w:t>
            </w:r>
          </w:p>
          <w:p w14:paraId="651166F0" w14:textId="77777777" w:rsidR="00007CE3" w:rsidRPr="00075627" w:rsidRDefault="00007CE3" w:rsidP="00BB5481">
            <w:pPr>
              <w:rPr>
                <w:rFonts w:ascii="Arial" w:hAnsi="Arial"/>
                <w:b/>
                <w:bCs/>
                <w:sz w:val="24"/>
                <w:szCs w:val="24"/>
              </w:rPr>
            </w:pPr>
            <w:r w:rsidRPr="00075627">
              <w:rPr>
                <w:rFonts w:ascii="Arial" w:hAnsi="Arial"/>
                <w:b/>
                <w:bCs/>
                <w:sz w:val="24"/>
                <w:szCs w:val="24"/>
              </w:rPr>
              <w:t>Totals</w:t>
            </w:r>
          </w:p>
        </w:tc>
        <w:tc>
          <w:tcPr>
            <w:tcW w:w="1539" w:type="dxa"/>
            <w:tcBorders>
              <w:top w:val="nil"/>
              <w:left w:val="nil"/>
              <w:bottom w:val="single" w:sz="4" w:space="0" w:color="auto"/>
              <w:right w:val="single" w:sz="4" w:space="0" w:color="auto"/>
            </w:tcBorders>
            <w:shd w:val="clear" w:color="auto" w:fill="auto"/>
            <w:noWrap/>
            <w:vAlign w:val="bottom"/>
          </w:tcPr>
          <w:p w14:paraId="67A6F73A" w14:textId="77777777" w:rsidR="00007CE3" w:rsidRPr="00075627" w:rsidRDefault="00CA4AAF" w:rsidP="00BB5481">
            <w:pPr>
              <w:tabs>
                <w:tab w:val="left" w:pos="622"/>
                <w:tab w:val="right" w:pos="3732"/>
                <w:tab w:val="right" w:pos="4769"/>
                <w:tab w:val="right" w:pos="6220"/>
                <w:tab w:val="right" w:pos="7257"/>
              </w:tabs>
              <w:jc w:val="right"/>
              <w:rPr>
                <w:rFonts w:ascii="Arial" w:hAnsi="Arial"/>
                <w:b/>
                <w:sz w:val="24"/>
                <w:szCs w:val="24"/>
              </w:rPr>
            </w:pPr>
            <w:r w:rsidRPr="00075627">
              <w:rPr>
                <w:rFonts w:ascii="Arial" w:hAnsi="Arial"/>
                <w:b/>
                <w:sz w:val="24"/>
                <w:szCs w:val="24"/>
              </w:rPr>
              <w:t>1</w:t>
            </w:r>
            <w:r w:rsidR="003215B5">
              <w:rPr>
                <w:rFonts w:ascii="Arial" w:hAnsi="Arial"/>
                <w:b/>
                <w:sz w:val="24"/>
                <w:szCs w:val="24"/>
              </w:rPr>
              <w:t>0</w:t>
            </w:r>
            <w:r w:rsidRPr="00075627">
              <w:rPr>
                <w:rFonts w:ascii="Arial" w:hAnsi="Arial"/>
                <w:b/>
                <w:sz w:val="24"/>
                <w:szCs w:val="24"/>
              </w:rPr>
              <w:t>,</w:t>
            </w:r>
            <w:r w:rsidR="003215B5">
              <w:rPr>
                <w:rFonts w:ascii="Arial" w:hAnsi="Arial"/>
                <w:b/>
                <w:sz w:val="24"/>
                <w:szCs w:val="24"/>
              </w:rPr>
              <w:t>009</w:t>
            </w:r>
          </w:p>
        </w:tc>
        <w:tc>
          <w:tcPr>
            <w:tcW w:w="2284" w:type="dxa"/>
            <w:tcBorders>
              <w:top w:val="nil"/>
              <w:left w:val="nil"/>
              <w:bottom w:val="single" w:sz="4" w:space="0" w:color="auto"/>
              <w:right w:val="single" w:sz="4" w:space="0" w:color="auto"/>
            </w:tcBorders>
            <w:shd w:val="clear" w:color="auto" w:fill="auto"/>
            <w:noWrap/>
            <w:vAlign w:val="bottom"/>
          </w:tcPr>
          <w:p w14:paraId="0B675772" w14:textId="77777777" w:rsidR="00007CE3" w:rsidRPr="00075627" w:rsidRDefault="003215B5" w:rsidP="00BB5481">
            <w:pPr>
              <w:tabs>
                <w:tab w:val="left" w:pos="622"/>
                <w:tab w:val="right" w:pos="3732"/>
                <w:tab w:val="right" w:pos="4769"/>
                <w:tab w:val="right" w:pos="6220"/>
                <w:tab w:val="right" w:pos="7257"/>
              </w:tabs>
              <w:jc w:val="right"/>
              <w:rPr>
                <w:rFonts w:ascii="Arial" w:hAnsi="Arial"/>
                <w:b/>
                <w:sz w:val="24"/>
                <w:szCs w:val="24"/>
              </w:rPr>
            </w:pPr>
            <w:r>
              <w:rPr>
                <w:rFonts w:ascii="Arial" w:hAnsi="Arial"/>
                <w:b/>
                <w:sz w:val="24"/>
                <w:szCs w:val="24"/>
              </w:rPr>
              <w:t>1,761</w:t>
            </w:r>
          </w:p>
        </w:tc>
        <w:tc>
          <w:tcPr>
            <w:tcW w:w="1260" w:type="dxa"/>
            <w:tcBorders>
              <w:top w:val="nil"/>
              <w:left w:val="nil"/>
              <w:bottom w:val="single" w:sz="4" w:space="0" w:color="auto"/>
              <w:right w:val="single" w:sz="4" w:space="0" w:color="auto"/>
            </w:tcBorders>
            <w:shd w:val="clear" w:color="auto" w:fill="auto"/>
            <w:noWrap/>
            <w:vAlign w:val="bottom"/>
          </w:tcPr>
          <w:p w14:paraId="16926F0F" w14:textId="77777777" w:rsidR="00007CE3" w:rsidRPr="00075627" w:rsidRDefault="00B53249" w:rsidP="00BB5481">
            <w:pPr>
              <w:tabs>
                <w:tab w:val="left" w:pos="622"/>
                <w:tab w:val="right" w:pos="3732"/>
                <w:tab w:val="right" w:pos="4769"/>
                <w:tab w:val="right" w:pos="6220"/>
                <w:tab w:val="right" w:pos="7257"/>
              </w:tabs>
              <w:jc w:val="right"/>
              <w:rPr>
                <w:rFonts w:ascii="Arial" w:hAnsi="Arial"/>
                <w:b/>
                <w:sz w:val="24"/>
                <w:szCs w:val="24"/>
              </w:rPr>
            </w:pPr>
            <w:r w:rsidRPr="00075627">
              <w:rPr>
                <w:rFonts w:ascii="Arial" w:hAnsi="Arial"/>
                <w:b/>
                <w:sz w:val="24"/>
                <w:szCs w:val="24"/>
              </w:rPr>
              <w:t>-</w:t>
            </w:r>
            <w:r w:rsidR="003215B5">
              <w:rPr>
                <w:rFonts w:ascii="Arial" w:hAnsi="Arial"/>
                <w:b/>
                <w:sz w:val="24"/>
                <w:szCs w:val="24"/>
              </w:rPr>
              <w:t>995</w:t>
            </w:r>
          </w:p>
        </w:tc>
        <w:tc>
          <w:tcPr>
            <w:tcW w:w="1278" w:type="dxa"/>
            <w:tcBorders>
              <w:top w:val="nil"/>
              <w:left w:val="nil"/>
              <w:bottom w:val="single" w:sz="4" w:space="0" w:color="auto"/>
              <w:right w:val="single" w:sz="4" w:space="0" w:color="auto"/>
            </w:tcBorders>
            <w:shd w:val="clear" w:color="auto" w:fill="auto"/>
            <w:noWrap/>
            <w:vAlign w:val="bottom"/>
          </w:tcPr>
          <w:p w14:paraId="0ABB403C" w14:textId="77777777" w:rsidR="00007CE3" w:rsidRPr="00075627" w:rsidRDefault="003215B5" w:rsidP="00BB5481">
            <w:pPr>
              <w:tabs>
                <w:tab w:val="left" w:pos="622"/>
                <w:tab w:val="right" w:pos="3732"/>
                <w:tab w:val="right" w:pos="4769"/>
                <w:tab w:val="right" w:pos="6220"/>
                <w:tab w:val="right" w:pos="7257"/>
              </w:tabs>
              <w:jc w:val="right"/>
              <w:rPr>
                <w:rFonts w:ascii="Arial" w:hAnsi="Arial"/>
                <w:b/>
                <w:sz w:val="24"/>
                <w:szCs w:val="24"/>
              </w:rPr>
            </w:pPr>
            <w:r>
              <w:rPr>
                <w:rFonts w:ascii="Arial" w:hAnsi="Arial"/>
                <w:b/>
                <w:sz w:val="24"/>
                <w:szCs w:val="24"/>
              </w:rPr>
              <w:t>482</w:t>
            </w:r>
          </w:p>
        </w:tc>
        <w:tc>
          <w:tcPr>
            <w:tcW w:w="1418" w:type="dxa"/>
            <w:tcBorders>
              <w:top w:val="nil"/>
              <w:left w:val="nil"/>
              <w:bottom w:val="single" w:sz="4" w:space="0" w:color="auto"/>
              <w:right w:val="single" w:sz="4" w:space="0" w:color="auto"/>
            </w:tcBorders>
            <w:shd w:val="clear" w:color="auto" w:fill="auto"/>
            <w:noWrap/>
            <w:vAlign w:val="bottom"/>
          </w:tcPr>
          <w:p w14:paraId="4C9BF099" w14:textId="77777777" w:rsidR="00007CE3" w:rsidRPr="00075627" w:rsidRDefault="00CA4AAF" w:rsidP="00BB5481">
            <w:pPr>
              <w:tabs>
                <w:tab w:val="left" w:pos="622"/>
                <w:tab w:val="right" w:pos="3732"/>
                <w:tab w:val="right" w:pos="4769"/>
                <w:tab w:val="right" w:pos="6220"/>
                <w:tab w:val="right" w:pos="7257"/>
              </w:tabs>
              <w:jc w:val="right"/>
              <w:rPr>
                <w:rFonts w:ascii="Arial" w:hAnsi="Arial"/>
                <w:b/>
                <w:sz w:val="24"/>
                <w:szCs w:val="24"/>
              </w:rPr>
            </w:pPr>
            <w:r w:rsidRPr="00075627">
              <w:rPr>
                <w:rFonts w:ascii="Arial" w:hAnsi="Arial"/>
                <w:b/>
                <w:sz w:val="24"/>
                <w:szCs w:val="24"/>
              </w:rPr>
              <w:t>1</w:t>
            </w:r>
            <w:r w:rsidR="003215B5">
              <w:rPr>
                <w:rFonts w:ascii="Arial" w:hAnsi="Arial"/>
                <w:b/>
                <w:sz w:val="24"/>
                <w:szCs w:val="24"/>
              </w:rPr>
              <w:t>1</w:t>
            </w:r>
            <w:r w:rsidRPr="00075627">
              <w:rPr>
                <w:rFonts w:ascii="Arial" w:hAnsi="Arial"/>
                <w:b/>
                <w:sz w:val="24"/>
                <w:szCs w:val="24"/>
              </w:rPr>
              <w:t>,</w:t>
            </w:r>
            <w:r w:rsidR="003215B5">
              <w:rPr>
                <w:rFonts w:ascii="Arial" w:hAnsi="Arial"/>
                <w:b/>
                <w:sz w:val="24"/>
                <w:szCs w:val="24"/>
              </w:rPr>
              <w:t>257</w:t>
            </w:r>
          </w:p>
        </w:tc>
      </w:tr>
    </w:tbl>
    <w:p w14:paraId="1E25F1D2" w14:textId="77777777" w:rsidR="00C016CC" w:rsidRPr="00075627" w:rsidRDefault="00C016CC" w:rsidP="00BB5481">
      <w:pPr>
        <w:tabs>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30BAD025" w14:textId="77777777" w:rsidR="00611543" w:rsidRDefault="00611543" w:rsidP="005E4F16">
      <w:pPr>
        <w:tabs>
          <w:tab w:val="left" w:pos="864"/>
          <w:tab w:val="right" w:pos="5184"/>
          <w:tab w:val="right" w:pos="6624"/>
          <w:tab w:val="right" w:pos="8640"/>
          <w:tab w:val="right" w:pos="10080"/>
        </w:tabs>
        <w:ind w:left="664" w:hanging="664"/>
        <w:rPr>
          <w:rFonts w:ascii="Arial" w:hAnsi="Arial"/>
          <w:b/>
          <w:sz w:val="24"/>
          <w:szCs w:val="24"/>
        </w:rPr>
      </w:pPr>
    </w:p>
    <w:p w14:paraId="09CFE087" w14:textId="77777777" w:rsidR="00D96E47" w:rsidRPr="00117F66" w:rsidRDefault="00BE03A7" w:rsidP="005E4F16">
      <w:pPr>
        <w:tabs>
          <w:tab w:val="left" w:pos="864"/>
          <w:tab w:val="right" w:pos="5184"/>
          <w:tab w:val="right" w:pos="6624"/>
          <w:tab w:val="right" w:pos="8640"/>
          <w:tab w:val="right" w:pos="10080"/>
        </w:tabs>
        <w:ind w:left="664" w:hanging="664"/>
        <w:rPr>
          <w:rFonts w:ascii="Arial" w:hAnsi="Arial"/>
          <w:b/>
          <w:sz w:val="24"/>
          <w:szCs w:val="24"/>
        </w:rPr>
      </w:pPr>
      <w:r w:rsidRPr="00117F66">
        <w:rPr>
          <w:rFonts w:ascii="Arial" w:hAnsi="Arial"/>
          <w:b/>
          <w:sz w:val="24"/>
          <w:szCs w:val="24"/>
        </w:rPr>
        <w:t>21</w:t>
      </w:r>
      <w:r w:rsidRPr="00117F66">
        <w:rPr>
          <w:rFonts w:ascii="Arial" w:hAnsi="Arial"/>
          <w:sz w:val="24"/>
          <w:szCs w:val="24"/>
        </w:rPr>
        <w:t xml:space="preserve">. </w:t>
      </w:r>
      <w:r w:rsidRPr="00117F66">
        <w:rPr>
          <w:rFonts w:ascii="Arial" w:hAnsi="Arial"/>
          <w:b/>
          <w:sz w:val="24"/>
          <w:szCs w:val="24"/>
        </w:rPr>
        <w:t xml:space="preserve">Membership </w:t>
      </w:r>
    </w:p>
    <w:p w14:paraId="06E560A8" w14:textId="77777777" w:rsidR="007A4569" w:rsidRPr="00117F66" w:rsidRDefault="007A4569" w:rsidP="005E4F16">
      <w:pPr>
        <w:tabs>
          <w:tab w:val="left" w:pos="864"/>
          <w:tab w:val="right" w:pos="5184"/>
          <w:tab w:val="right" w:pos="6624"/>
          <w:tab w:val="right" w:pos="8640"/>
          <w:tab w:val="right" w:pos="10080"/>
        </w:tabs>
        <w:ind w:left="664" w:hanging="664"/>
        <w:rPr>
          <w:rFonts w:ascii="Arial" w:hAnsi="Arial"/>
          <w:b/>
          <w:sz w:val="24"/>
          <w:szCs w:val="24"/>
        </w:rPr>
      </w:pPr>
    </w:p>
    <w:p w14:paraId="28B9B6B1" w14:textId="77777777" w:rsidR="00BE03A7" w:rsidRPr="00117F66" w:rsidRDefault="00BE03A7" w:rsidP="005E4F16">
      <w:pPr>
        <w:tabs>
          <w:tab w:val="right" w:pos="5184"/>
          <w:tab w:val="right" w:pos="6624"/>
          <w:tab w:val="right" w:pos="8640"/>
          <w:tab w:val="right" w:pos="10080"/>
        </w:tabs>
        <w:jc w:val="both"/>
        <w:rPr>
          <w:rFonts w:ascii="Arial" w:hAnsi="Arial"/>
          <w:sz w:val="24"/>
          <w:szCs w:val="24"/>
        </w:rPr>
      </w:pPr>
      <w:r w:rsidRPr="00117F66">
        <w:rPr>
          <w:rFonts w:ascii="Arial" w:hAnsi="Arial"/>
          <w:sz w:val="24"/>
          <w:szCs w:val="24"/>
        </w:rPr>
        <w:t xml:space="preserve">The Pension Fund covers </w:t>
      </w:r>
      <w:r w:rsidR="003A0B8E">
        <w:rPr>
          <w:rFonts w:ascii="Arial" w:hAnsi="Arial"/>
          <w:sz w:val="24"/>
          <w:szCs w:val="24"/>
        </w:rPr>
        <w:t>City &amp; County of Swansea employees</w:t>
      </w:r>
      <w:r w:rsidRPr="00117F66">
        <w:rPr>
          <w:rFonts w:ascii="Arial" w:hAnsi="Arial"/>
          <w:sz w:val="24"/>
          <w:szCs w:val="24"/>
        </w:rPr>
        <w:t>, (except for teachers, for whom separate pension arrangements apply) and other bodies included in the schedule</w:t>
      </w:r>
      <w:r w:rsidR="002F5887">
        <w:rPr>
          <w:rFonts w:ascii="Arial" w:hAnsi="Arial"/>
          <w:sz w:val="24"/>
          <w:szCs w:val="24"/>
        </w:rPr>
        <w:t>.</w:t>
      </w:r>
      <w:r w:rsidRPr="00117F66">
        <w:rPr>
          <w:rFonts w:ascii="Arial" w:hAnsi="Arial"/>
          <w:sz w:val="24"/>
          <w:szCs w:val="24"/>
        </w:rPr>
        <w:t xml:space="preserve"> </w:t>
      </w:r>
    </w:p>
    <w:p w14:paraId="77A27DD6" w14:textId="77777777" w:rsidR="00BE03A7" w:rsidRPr="00117F66" w:rsidRDefault="00BE03A7" w:rsidP="005E4F16">
      <w:pPr>
        <w:tabs>
          <w:tab w:val="right" w:pos="5184"/>
          <w:tab w:val="right" w:pos="6624"/>
          <w:tab w:val="right" w:pos="8640"/>
          <w:tab w:val="right" w:pos="10080"/>
        </w:tabs>
        <w:jc w:val="both"/>
        <w:rPr>
          <w:rFonts w:ascii="Arial" w:hAnsi="Arial"/>
          <w:sz w:val="24"/>
          <w:szCs w:val="24"/>
        </w:rPr>
      </w:pPr>
    </w:p>
    <w:p w14:paraId="2FC27D45" w14:textId="77777777" w:rsidR="00BE03A7" w:rsidRPr="00117F66" w:rsidRDefault="00BE03A7" w:rsidP="00005EF9">
      <w:pPr>
        <w:tabs>
          <w:tab w:val="right" w:pos="5184"/>
          <w:tab w:val="right" w:pos="6624"/>
          <w:tab w:val="right" w:pos="8640"/>
          <w:tab w:val="right" w:pos="10080"/>
        </w:tabs>
        <w:jc w:val="both"/>
        <w:rPr>
          <w:rFonts w:ascii="Arial" w:hAnsi="Arial"/>
          <w:sz w:val="24"/>
          <w:szCs w:val="24"/>
        </w:rPr>
      </w:pPr>
      <w:r w:rsidRPr="00117F66">
        <w:rPr>
          <w:rFonts w:ascii="Arial" w:hAnsi="Arial"/>
          <w:sz w:val="24"/>
          <w:szCs w:val="24"/>
        </w:rPr>
        <w:t xml:space="preserve">Detailed </w:t>
      </w:r>
      <w:r w:rsidR="00F82613">
        <w:rPr>
          <w:rFonts w:ascii="Arial" w:hAnsi="Arial"/>
          <w:sz w:val="24"/>
          <w:szCs w:val="24"/>
        </w:rPr>
        <w:t xml:space="preserve">national </w:t>
      </w:r>
      <w:r w:rsidRPr="00117F66">
        <w:rPr>
          <w:rFonts w:ascii="Arial" w:hAnsi="Arial"/>
          <w:sz w:val="24"/>
          <w:szCs w:val="24"/>
        </w:rPr>
        <w:t xml:space="preserve">regulations govern the rates of contribution by employees and employers, as well as benefits payable.  </w:t>
      </w:r>
      <w:r w:rsidRPr="00B53249">
        <w:rPr>
          <w:rFonts w:ascii="Arial" w:hAnsi="Arial"/>
          <w:sz w:val="24"/>
          <w:szCs w:val="24"/>
        </w:rPr>
        <w:t>At 31st March 20</w:t>
      </w:r>
      <w:r w:rsidR="00505D46" w:rsidRPr="00B53249">
        <w:rPr>
          <w:rFonts w:ascii="Arial" w:hAnsi="Arial"/>
          <w:sz w:val="24"/>
          <w:szCs w:val="24"/>
        </w:rPr>
        <w:t>2</w:t>
      </w:r>
      <w:r w:rsidR="00EF7AFF">
        <w:rPr>
          <w:rFonts w:ascii="Arial" w:hAnsi="Arial"/>
          <w:sz w:val="24"/>
          <w:szCs w:val="24"/>
        </w:rPr>
        <w:t>2</w:t>
      </w:r>
      <w:r w:rsidR="00505D46" w:rsidRPr="00B53249">
        <w:rPr>
          <w:rFonts w:ascii="Arial" w:hAnsi="Arial"/>
          <w:sz w:val="24"/>
          <w:szCs w:val="24"/>
        </w:rPr>
        <w:t xml:space="preserve"> </w:t>
      </w:r>
      <w:r w:rsidR="001A1C57" w:rsidRPr="00B53249">
        <w:rPr>
          <w:rFonts w:ascii="Arial" w:hAnsi="Arial"/>
          <w:sz w:val="24"/>
          <w:szCs w:val="24"/>
        </w:rPr>
        <w:t>t</w:t>
      </w:r>
      <w:r w:rsidRPr="00B53249">
        <w:rPr>
          <w:rFonts w:ascii="Arial" w:hAnsi="Arial"/>
          <w:sz w:val="24"/>
          <w:szCs w:val="24"/>
        </w:rPr>
        <w:t>here were</w:t>
      </w:r>
      <w:r w:rsidR="002F5887" w:rsidRPr="00B53249">
        <w:rPr>
          <w:rFonts w:ascii="Arial" w:hAnsi="Arial"/>
          <w:sz w:val="24"/>
          <w:szCs w:val="24"/>
        </w:rPr>
        <w:t xml:space="preserve"> </w:t>
      </w:r>
      <w:r w:rsidR="00EF7AFF">
        <w:rPr>
          <w:rFonts w:ascii="Arial" w:hAnsi="Arial"/>
          <w:sz w:val="24"/>
          <w:szCs w:val="24"/>
        </w:rPr>
        <w:t>21,424</w:t>
      </w:r>
      <w:r w:rsidRPr="00B53249">
        <w:rPr>
          <w:rFonts w:ascii="Arial" w:hAnsi="Arial"/>
          <w:sz w:val="24"/>
          <w:szCs w:val="24"/>
        </w:rPr>
        <w:t xml:space="preserve"> contributors,</w:t>
      </w:r>
      <w:r w:rsidR="001775E5" w:rsidRPr="00B53249">
        <w:rPr>
          <w:rFonts w:ascii="Arial" w:hAnsi="Arial"/>
          <w:sz w:val="24"/>
          <w:szCs w:val="24"/>
        </w:rPr>
        <w:t xml:space="preserve"> </w:t>
      </w:r>
      <w:r w:rsidR="00505D46" w:rsidRPr="00B53249">
        <w:rPr>
          <w:rFonts w:ascii="Arial" w:hAnsi="Arial"/>
          <w:sz w:val="24"/>
          <w:szCs w:val="24"/>
        </w:rPr>
        <w:t>1</w:t>
      </w:r>
      <w:r w:rsidR="00EF7AFF">
        <w:rPr>
          <w:rFonts w:ascii="Arial" w:hAnsi="Arial"/>
          <w:sz w:val="24"/>
          <w:szCs w:val="24"/>
        </w:rPr>
        <w:t>4</w:t>
      </w:r>
      <w:r w:rsidR="00B64A58" w:rsidRPr="00B53249">
        <w:rPr>
          <w:rFonts w:ascii="Arial" w:hAnsi="Arial"/>
          <w:sz w:val="24"/>
          <w:szCs w:val="24"/>
        </w:rPr>
        <w:t>,</w:t>
      </w:r>
      <w:r w:rsidR="00EF7AFF">
        <w:rPr>
          <w:rFonts w:ascii="Arial" w:hAnsi="Arial"/>
          <w:sz w:val="24"/>
          <w:szCs w:val="24"/>
        </w:rPr>
        <w:t>294</w:t>
      </w:r>
      <w:r w:rsidR="00B53249" w:rsidRPr="00B53249">
        <w:rPr>
          <w:rFonts w:ascii="Arial" w:hAnsi="Arial"/>
          <w:sz w:val="24"/>
          <w:szCs w:val="24"/>
        </w:rPr>
        <w:t xml:space="preserve"> </w:t>
      </w:r>
      <w:r w:rsidRPr="00B53249">
        <w:rPr>
          <w:rFonts w:ascii="Arial" w:hAnsi="Arial"/>
          <w:sz w:val="24"/>
          <w:szCs w:val="24"/>
        </w:rPr>
        <w:t xml:space="preserve">pensioners and </w:t>
      </w:r>
      <w:r w:rsidR="002F6888" w:rsidRPr="00B53249">
        <w:rPr>
          <w:rFonts w:ascii="Arial" w:hAnsi="Arial"/>
          <w:sz w:val="24"/>
          <w:szCs w:val="24"/>
        </w:rPr>
        <w:t>1</w:t>
      </w:r>
      <w:r w:rsidR="00EF7AFF">
        <w:rPr>
          <w:rFonts w:ascii="Arial" w:hAnsi="Arial"/>
          <w:sz w:val="24"/>
          <w:szCs w:val="24"/>
        </w:rPr>
        <w:t>2,263</w:t>
      </w:r>
      <w:r w:rsidR="00005EF9" w:rsidRPr="00B53249">
        <w:rPr>
          <w:rFonts w:ascii="Arial" w:hAnsi="Arial"/>
          <w:sz w:val="24"/>
          <w:szCs w:val="24"/>
        </w:rPr>
        <w:t xml:space="preserve"> </w:t>
      </w:r>
      <w:r w:rsidRPr="00B53249">
        <w:rPr>
          <w:rFonts w:ascii="Arial" w:hAnsi="Arial"/>
          <w:sz w:val="24"/>
          <w:szCs w:val="24"/>
        </w:rPr>
        <w:t>deferred pensioners.</w:t>
      </w:r>
    </w:p>
    <w:p w14:paraId="534C83BA" w14:textId="77777777" w:rsidR="002F6888" w:rsidRDefault="002F6888" w:rsidP="005E4F16">
      <w:pPr>
        <w:tabs>
          <w:tab w:val="left" w:pos="864"/>
          <w:tab w:val="right" w:pos="5184"/>
          <w:tab w:val="right" w:pos="6624"/>
          <w:tab w:val="right" w:pos="8640"/>
          <w:tab w:val="right" w:pos="10080"/>
        </w:tabs>
        <w:ind w:left="664" w:hanging="664"/>
        <w:rPr>
          <w:rFonts w:ascii="Arial" w:hAnsi="Arial"/>
          <w:sz w:val="24"/>
          <w:szCs w:val="24"/>
        </w:rPr>
      </w:pPr>
    </w:p>
    <w:p w14:paraId="3966513C" w14:textId="77777777" w:rsidR="00DF0BD9" w:rsidRDefault="00DF0BD9" w:rsidP="00DF0BD9">
      <w:pPr>
        <w:rPr>
          <w:rFonts w:ascii="Arial" w:hAnsi="Arial" w:cs="Arial"/>
          <w:sz w:val="24"/>
          <w:szCs w:val="24"/>
        </w:rPr>
      </w:pPr>
      <w:bookmarkStart w:id="2" w:name="_Hlk107243896"/>
      <w:r w:rsidRPr="00DF0BD9">
        <w:rPr>
          <w:rFonts w:ascii="Arial" w:hAnsi="Arial" w:cs="Arial"/>
          <w:sz w:val="24"/>
          <w:szCs w:val="24"/>
        </w:rPr>
        <w:t xml:space="preserve">Of the 21,424 Contributors to the fund, it has been established that 1,874 of those have not made contributions during 2021/22. This is as a result of </w:t>
      </w:r>
      <w:r>
        <w:rPr>
          <w:rFonts w:ascii="Arial" w:hAnsi="Arial" w:cs="Arial"/>
          <w:sz w:val="24"/>
          <w:szCs w:val="24"/>
        </w:rPr>
        <w:t xml:space="preserve">instances such </w:t>
      </w:r>
      <w:r w:rsidRPr="00DF0BD9">
        <w:rPr>
          <w:rFonts w:ascii="Arial" w:hAnsi="Arial" w:cs="Arial"/>
          <w:sz w:val="24"/>
          <w:szCs w:val="24"/>
        </w:rPr>
        <w:t xml:space="preserve">as employers setting up records for auto enrolled casual employees, whose records have not been extinguished and employees on long term sick on nil pay. Covid continues to impact on these numbers (940 2019/20, </w:t>
      </w:r>
      <w:r w:rsidRPr="004D24DD">
        <w:rPr>
          <w:rFonts w:ascii="Arial" w:hAnsi="Arial" w:cs="Arial"/>
          <w:sz w:val="24"/>
          <w:szCs w:val="24"/>
        </w:rPr>
        <w:t>increasing to 1,585 in 202</w:t>
      </w:r>
      <w:r w:rsidR="00215F8C" w:rsidRPr="004D24DD">
        <w:rPr>
          <w:rFonts w:ascii="Arial" w:hAnsi="Arial" w:cs="Arial"/>
          <w:sz w:val="24"/>
          <w:szCs w:val="24"/>
        </w:rPr>
        <w:t>0/2</w:t>
      </w:r>
      <w:r w:rsidRPr="004D24DD">
        <w:rPr>
          <w:rFonts w:ascii="Arial" w:hAnsi="Arial" w:cs="Arial"/>
          <w:sz w:val="24"/>
          <w:szCs w:val="24"/>
        </w:rPr>
        <w:t>02</w:t>
      </w:r>
      <w:r w:rsidR="00215F8C" w:rsidRPr="004D24DD">
        <w:rPr>
          <w:rFonts w:ascii="Arial" w:hAnsi="Arial" w:cs="Arial"/>
          <w:sz w:val="24"/>
          <w:szCs w:val="24"/>
        </w:rPr>
        <w:t>1</w:t>
      </w:r>
      <w:r w:rsidRPr="004D24DD">
        <w:rPr>
          <w:rFonts w:ascii="Arial" w:hAnsi="Arial" w:cs="Arial"/>
          <w:sz w:val="24"/>
          <w:szCs w:val="24"/>
        </w:rPr>
        <w:t>), as some</w:t>
      </w:r>
      <w:r w:rsidRPr="00DF0BD9">
        <w:rPr>
          <w:rFonts w:ascii="Arial" w:hAnsi="Arial" w:cs="Arial"/>
          <w:sz w:val="24"/>
          <w:szCs w:val="24"/>
        </w:rPr>
        <w:t xml:space="preserve"> establishments were closed during the pandemic and some services are still to resume. There is an ongoing exercise to investigate each case, in the hope of reducing this number.</w:t>
      </w:r>
    </w:p>
    <w:p w14:paraId="25473C65" w14:textId="77777777" w:rsidR="00DF0BD9" w:rsidRPr="00DF0BD9" w:rsidRDefault="00DF0BD9" w:rsidP="00DF0BD9">
      <w:pPr>
        <w:rPr>
          <w:rFonts w:ascii="Arial" w:hAnsi="Arial" w:cs="Arial"/>
          <w:sz w:val="24"/>
          <w:szCs w:val="24"/>
        </w:rPr>
      </w:pPr>
    </w:p>
    <w:p w14:paraId="38E4C11D" w14:textId="77777777" w:rsidR="00DF0BD9" w:rsidRPr="00DF0BD9" w:rsidRDefault="00DF0BD9" w:rsidP="00DF0BD9">
      <w:pPr>
        <w:rPr>
          <w:rFonts w:ascii="Arial" w:hAnsi="Arial" w:cs="Arial"/>
          <w:sz w:val="24"/>
          <w:szCs w:val="24"/>
        </w:rPr>
      </w:pPr>
    </w:p>
    <w:tbl>
      <w:tblPr>
        <w:tblW w:w="9783" w:type="dxa"/>
        <w:jc w:val="center"/>
        <w:tblLayout w:type="fixed"/>
        <w:tblLook w:val="0000" w:firstRow="0" w:lastRow="0" w:firstColumn="0" w:lastColumn="0" w:noHBand="0" w:noVBand="0"/>
      </w:tblPr>
      <w:tblGrid>
        <w:gridCol w:w="2835"/>
        <w:gridCol w:w="1418"/>
        <w:gridCol w:w="1418"/>
        <w:gridCol w:w="1418"/>
        <w:gridCol w:w="1418"/>
        <w:gridCol w:w="1276"/>
      </w:tblGrid>
      <w:tr w:rsidR="00745FB0" w:rsidRPr="00117F66" w14:paraId="2386B92D" w14:textId="77777777" w:rsidTr="001A1C57">
        <w:trPr>
          <w:jc w:val="center"/>
        </w:trPr>
        <w:tc>
          <w:tcPr>
            <w:tcW w:w="2835" w:type="dxa"/>
          </w:tcPr>
          <w:bookmarkEnd w:id="2"/>
          <w:p w14:paraId="3AD147E2" w14:textId="77777777" w:rsidR="00745FB0" w:rsidRPr="00117F66" w:rsidRDefault="00745FB0" w:rsidP="00745FB0">
            <w:pPr>
              <w:tabs>
                <w:tab w:val="left" w:pos="622"/>
                <w:tab w:val="right" w:pos="3732"/>
                <w:tab w:val="right" w:pos="4769"/>
                <w:tab w:val="right" w:pos="6220"/>
                <w:tab w:val="right" w:pos="7257"/>
              </w:tabs>
              <w:rPr>
                <w:rFonts w:ascii="Arial" w:hAnsi="Arial"/>
                <w:b/>
                <w:sz w:val="24"/>
                <w:szCs w:val="24"/>
              </w:rPr>
            </w:pPr>
            <w:r w:rsidRPr="00117F66">
              <w:rPr>
                <w:rFonts w:ascii="Arial" w:hAnsi="Arial"/>
                <w:b/>
                <w:sz w:val="24"/>
                <w:szCs w:val="24"/>
              </w:rPr>
              <w:t>Membership statistics</w:t>
            </w:r>
          </w:p>
        </w:tc>
        <w:tc>
          <w:tcPr>
            <w:tcW w:w="1418" w:type="dxa"/>
          </w:tcPr>
          <w:p w14:paraId="09BF747C" w14:textId="77777777" w:rsidR="00745FB0" w:rsidRPr="00117F66" w:rsidRDefault="00745FB0" w:rsidP="00745FB0">
            <w:pPr>
              <w:tabs>
                <w:tab w:val="left" w:pos="622"/>
                <w:tab w:val="right" w:pos="3732"/>
                <w:tab w:val="right" w:pos="4769"/>
                <w:tab w:val="right" w:pos="6220"/>
                <w:tab w:val="right" w:pos="7257"/>
              </w:tabs>
              <w:jc w:val="right"/>
              <w:rPr>
                <w:rFonts w:ascii="Arial" w:hAnsi="Arial"/>
                <w:b/>
                <w:sz w:val="24"/>
                <w:szCs w:val="24"/>
              </w:rPr>
            </w:pPr>
            <w:r w:rsidRPr="00117F66">
              <w:rPr>
                <w:rFonts w:ascii="Arial" w:hAnsi="Arial"/>
                <w:b/>
                <w:sz w:val="24"/>
                <w:szCs w:val="24"/>
              </w:rPr>
              <w:t>31/03/</w:t>
            </w:r>
            <w:r>
              <w:rPr>
                <w:rFonts w:ascii="Arial" w:hAnsi="Arial"/>
                <w:b/>
                <w:sz w:val="24"/>
                <w:szCs w:val="24"/>
              </w:rPr>
              <w:t>18</w:t>
            </w:r>
          </w:p>
        </w:tc>
        <w:tc>
          <w:tcPr>
            <w:tcW w:w="1418" w:type="dxa"/>
          </w:tcPr>
          <w:p w14:paraId="10E46230" w14:textId="77777777" w:rsidR="00745FB0" w:rsidRPr="00117F66" w:rsidRDefault="00745FB0" w:rsidP="00745FB0">
            <w:pPr>
              <w:tabs>
                <w:tab w:val="left" w:pos="622"/>
                <w:tab w:val="right" w:pos="3732"/>
                <w:tab w:val="right" w:pos="4769"/>
                <w:tab w:val="right" w:pos="6220"/>
                <w:tab w:val="right" w:pos="7257"/>
              </w:tabs>
              <w:jc w:val="right"/>
              <w:rPr>
                <w:rFonts w:ascii="Arial" w:hAnsi="Arial"/>
                <w:b/>
                <w:sz w:val="24"/>
                <w:szCs w:val="24"/>
              </w:rPr>
            </w:pPr>
            <w:r w:rsidRPr="00117F66">
              <w:rPr>
                <w:rFonts w:ascii="Arial" w:hAnsi="Arial"/>
                <w:b/>
                <w:sz w:val="24"/>
                <w:szCs w:val="24"/>
              </w:rPr>
              <w:t>31/03/1</w:t>
            </w:r>
            <w:r>
              <w:rPr>
                <w:rFonts w:ascii="Arial" w:hAnsi="Arial"/>
                <w:b/>
                <w:sz w:val="24"/>
                <w:szCs w:val="24"/>
              </w:rPr>
              <w:t>9</w:t>
            </w:r>
          </w:p>
        </w:tc>
        <w:tc>
          <w:tcPr>
            <w:tcW w:w="1418" w:type="dxa"/>
          </w:tcPr>
          <w:p w14:paraId="24977433" w14:textId="77777777" w:rsidR="00745FB0" w:rsidRPr="00117F66" w:rsidRDefault="00745FB0" w:rsidP="00745FB0">
            <w:pPr>
              <w:tabs>
                <w:tab w:val="left" w:pos="622"/>
                <w:tab w:val="right" w:pos="3732"/>
                <w:tab w:val="right" w:pos="4769"/>
                <w:tab w:val="right" w:pos="6220"/>
                <w:tab w:val="right" w:pos="7257"/>
              </w:tabs>
              <w:jc w:val="right"/>
              <w:rPr>
                <w:rFonts w:ascii="Arial" w:hAnsi="Arial"/>
                <w:b/>
                <w:sz w:val="24"/>
                <w:szCs w:val="24"/>
              </w:rPr>
            </w:pPr>
            <w:r w:rsidRPr="00117F66">
              <w:rPr>
                <w:rFonts w:ascii="Arial" w:hAnsi="Arial"/>
                <w:b/>
                <w:sz w:val="24"/>
                <w:szCs w:val="24"/>
              </w:rPr>
              <w:t>31/03/</w:t>
            </w:r>
            <w:r>
              <w:rPr>
                <w:rFonts w:ascii="Arial" w:hAnsi="Arial"/>
                <w:b/>
                <w:sz w:val="24"/>
                <w:szCs w:val="24"/>
              </w:rPr>
              <w:t>20</w:t>
            </w:r>
          </w:p>
        </w:tc>
        <w:tc>
          <w:tcPr>
            <w:tcW w:w="1418" w:type="dxa"/>
          </w:tcPr>
          <w:p w14:paraId="61519B2C" w14:textId="77777777" w:rsidR="00745FB0" w:rsidRPr="00B53249" w:rsidRDefault="00745FB0" w:rsidP="00745FB0">
            <w:pPr>
              <w:tabs>
                <w:tab w:val="left" w:pos="622"/>
                <w:tab w:val="right" w:pos="3732"/>
                <w:tab w:val="right" w:pos="4769"/>
                <w:tab w:val="right" w:pos="6220"/>
                <w:tab w:val="right" w:pos="7257"/>
              </w:tabs>
              <w:jc w:val="right"/>
              <w:rPr>
                <w:rFonts w:ascii="Arial" w:hAnsi="Arial"/>
                <w:b/>
                <w:sz w:val="24"/>
                <w:szCs w:val="24"/>
              </w:rPr>
            </w:pPr>
            <w:r w:rsidRPr="00B53249">
              <w:rPr>
                <w:rFonts w:ascii="Arial" w:hAnsi="Arial"/>
                <w:b/>
                <w:sz w:val="24"/>
                <w:szCs w:val="24"/>
              </w:rPr>
              <w:t>31/03/21</w:t>
            </w:r>
          </w:p>
        </w:tc>
        <w:tc>
          <w:tcPr>
            <w:tcW w:w="1276" w:type="dxa"/>
          </w:tcPr>
          <w:p w14:paraId="12BACE3D" w14:textId="77777777" w:rsidR="00745FB0" w:rsidRPr="00B53249" w:rsidRDefault="00745FB0" w:rsidP="00745FB0">
            <w:pPr>
              <w:tabs>
                <w:tab w:val="left" w:pos="622"/>
                <w:tab w:val="right" w:pos="3732"/>
                <w:tab w:val="right" w:pos="4769"/>
                <w:tab w:val="right" w:pos="6220"/>
                <w:tab w:val="right" w:pos="7257"/>
              </w:tabs>
              <w:jc w:val="right"/>
              <w:rPr>
                <w:rFonts w:ascii="Arial" w:hAnsi="Arial"/>
                <w:b/>
                <w:sz w:val="24"/>
                <w:szCs w:val="24"/>
              </w:rPr>
            </w:pPr>
            <w:r w:rsidRPr="00B53249">
              <w:rPr>
                <w:rFonts w:ascii="Arial" w:hAnsi="Arial"/>
                <w:b/>
                <w:sz w:val="24"/>
                <w:szCs w:val="24"/>
              </w:rPr>
              <w:t>31/03/2</w:t>
            </w:r>
            <w:r>
              <w:rPr>
                <w:rFonts w:ascii="Arial" w:hAnsi="Arial"/>
                <w:b/>
                <w:sz w:val="24"/>
                <w:szCs w:val="24"/>
              </w:rPr>
              <w:t>2</w:t>
            </w:r>
          </w:p>
        </w:tc>
      </w:tr>
      <w:tr w:rsidR="00745FB0" w:rsidRPr="00117F66" w14:paraId="5C03ED2F" w14:textId="77777777" w:rsidTr="000D7CF5">
        <w:trPr>
          <w:trHeight w:val="352"/>
          <w:jc w:val="center"/>
        </w:trPr>
        <w:tc>
          <w:tcPr>
            <w:tcW w:w="2835" w:type="dxa"/>
          </w:tcPr>
          <w:p w14:paraId="027AC3F9" w14:textId="77777777" w:rsidR="00745FB0" w:rsidRPr="00117F66" w:rsidRDefault="00745FB0" w:rsidP="00745FB0">
            <w:pPr>
              <w:tabs>
                <w:tab w:val="left" w:pos="622"/>
                <w:tab w:val="right" w:pos="3732"/>
                <w:tab w:val="right" w:pos="4769"/>
                <w:tab w:val="right" w:pos="6220"/>
                <w:tab w:val="right" w:pos="7257"/>
              </w:tabs>
              <w:rPr>
                <w:rFonts w:ascii="Arial" w:hAnsi="Arial"/>
                <w:sz w:val="24"/>
                <w:szCs w:val="24"/>
              </w:rPr>
            </w:pPr>
          </w:p>
        </w:tc>
        <w:tc>
          <w:tcPr>
            <w:tcW w:w="1418" w:type="dxa"/>
          </w:tcPr>
          <w:p w14:paraId="3ABCEC04" w14:textId="77777777" w:rsidR="00745FB0" w:rsidRPr="00894841" w:rsidRDefault="00745FB0" w:rsidP="00745FB0">
            <w:pPr>
              <w:tabs>
                <w:tab w:val="left" w:pos="622"/>
                <w:tab w:val="right" w:pos="3732"/>
                <w:tab w:val="right" w:pos="4769"/>
                <w:tab w:val="right" w:pos="6220"/>
                <w:tab w:val="right" w:pos="7257"/>
              </w:tabs>
              <w:jc w:val="right"/>
              <w:rPr>
                <w:rFonts w:ascii="Arial" w:hAnsi="Arial"/>
                <w:b/>
                <w:sz w:val="24"/>
                <w:szCs w:val="24"/>
              </w:rPr>
            </w:pPr>
            <w:r w:rsidRPr="00894841">
              <w:rPr>
                <w:rFonts w:ascii="Arial" w:hAnsi="Arial"/>
                <w:b/>
                <w:sz w:val="24"/>
                <w:szCs w:val="24"/>
              </w:rPr>
              <w:t>Number</w:t>
            </w:r>
          </w:p>
        </w:tc>
        <w:tc>
          <w:tcPr>
            <w:tcW w:w="1418" w:type="dxa"/>
          </w:tcPr>
          <w:p w14:paraId="7CB73702" w14:textId="77777777" w:rsidR="00745FB0" w:rsidRPr="00894841" w:rsidRDefault="00745FB0" w:rsidP="00745FB0">
            <w:pPr>
              <w:tabs>
                <w:tab w:val="left" w:pos="622"/>
                <w:tab w:val="right" w:pos="3732"/>
                <w:tab w:val="right" w:pos="4769"/>
                <w:tab w:val="right" w:pos="6220"/>
                <w:tab w:val="right" w:pos="7257"/>
              </w:tabs>
              <w:jc w:val="right"/>
              <w:rPr>
                <w:rFonts w:ascii="Arial" w:hAnsi="Arial"/>
                <w:b/>
                <w:sz w:val="24"/>
                <w:szCs w:val="24"/>
              </w:rPr>
            </w:pPr>
            <w:r w:rsidRPr="00894841">
              <w:rPr>
                <w:rFonts w:ascii="Arial" w:hAnsi="Arial"/>
                <w:b/>
                <w:sz w:val="24"/>
                <w:szCs w:val="24"/>
              </w:rPr>
              <w:t>Number</w:t>
            </w:r>
          </w:p>
        </w:tc>
        <w:tc>
          <w:tcPr>
            <w:tcW w:w="1418" w:type="dxa"/>
          </w:tcPr>
          <w:p w14:paraId="1BC64B9A" w14:textId="77777777" w:rsidR="00745FB0" w:rsidRPr="00894841" w:rsidRDefault="00745FB0" w:rsidP="00745FB0">
            <w:pPr>
              <w:tabs>
                <w:tab w:val="left" w:pos="622"/>
                <w:tab w:val="right" w:pos="3732"/>
                <w:tab w:val="right" w:pos="4769"/>
                <w:tab w:val="right" w:pos="6220"/>
                <w:tab w:val="right" w:pos="7257"/>
              </w:tabs>
              <w:jc w:val="right"/>
              <w:rPr>
                <w:rFonts w:ascii="Arial" w:hAnsi="Arial"/>
                <w:b/>
                <w:sz w:val="24"/>
                <w:szCs w:val="24"/>
              </w:rPr>
            </w:pPr>
            <w:r w:rsidRPr="00894841">
              <w:rPr>
                <w:rFonts w:ascii="Arial" w:hAnsi="Arial"/>
                <w:b/>
                <w:sz w:val="24"/>
                <w:szCs w:val="24"/>
              </w:rPr>
              <w:t>Number</w:t>
            </w:r>
          </w:p>
        </w:tc>
        <w:tc>
          <w:tcPr>
            <w:tcW w:w="1418" w:type="dxa"/>
          </w:tcPr>
          <w:p w14:paraId="214F20CC" w14:textId="77777777" w:rsidR="00745FB0" w:rsidRPr="00B53249" w:rsidRDefault="00745FB0" w:rsidP="00745FB0">
            <w:pPr>
              <w:tabs>
                <w:tab w:val="left" w:pos="622"/>
                <w:tab w:val="right" w:pos="3732"/>
                <w:tab w:val="right" w:pos="4769"/>
                <w:tab w:val="right" w:pos="6220"/>
                <w:tab w:val="right" w:pos="7257"/>
              </w:tabs>
              <w:jc w:val="right"/>
              <w:rPr>
                <w:rFonts w:ascii="Arial" w:hAnsi="Arial"/>
                <w:b/>
                <w:sz w:val="24"/>
                <w:szCs w:val="24"/>
              </w:rPr>
            </w:pPr>
            <w:r w:rsidRPr="00B53249">
              <w:rPr>
                <w:rFonts w:ascii="Arial" w:hAnsi="Arial"/>
                <w:b/>
                <w:sz w:val="24"/>
                <w:szCs w:val="24"/>
              </w:rPr>
              <w:t>Number</w:t>
            </w:r>
          </w:p>
        </w:tc>
        <w:tc>
          <w:tcPr>
            <w:tcW w:w="1276" w:type="dxa"/>
          </w:tcPr>
          <w:p w14:paraId="73AA0161" w14:textId="77777777" w:rsidR="00745FB0" w:rsidRPr="00B53249" w:rsidRDefault="00745FB0" w:rsidP="00745FB0">
            <w:pPr>
              <w:tabs>
                <w:tab w:val="left" w:pos="622"/>
                <w:tab w:val="right" w:pos="3732"/>
                <w:tab w:val="right" w:pos="4769"/>
                <w:tab w:val="right" w:pos="6220"/>
                <w:tab w:val="right" w:pos="7257"/>
              </w:tabs>
              <w:jc w:val="right"/>
              <w:rPr>
                <w:rFonts w:ascii="Arial" w:hAnsi="Arial"/>
                <w:b/>
                <w:sz w:val="24"/>
                <w:szCs w:val="24"/>
              </w:rPr>
            </w:pPr>
            <w:r w:rsidRPr="00B53249">
              <w:rPr>
                <w:rFonts w:ascii="Arial" w:hAnsi="Arial"/>
                <w:b/>
                <w:sz w:val="24"/>
                <w:szCs w:val="24"/>
              </w:rPr>
              <w:t>Number</w:t>
            </w:r>
          </w:p>
        </w:tc>
      </w:tr>
      <w:tr w:rsidR="00745FB0" w:rsidRPr="00117F66" w14:paraId="4C2E4B1F" w14:textId="77777777" w:rsidTr="001A1C57">
        <w:trPr>
          <w:jc w:val="center"/>
        </w:trPr>
        <w:tc>
          <w:tcPr>
            <w:tcW w:w="2835" w:type="dxa"/>
          </w:tcPr>
          <w:p w14:paraId="1DAF0329" w14:textId="77777777" w:rsidR="00745FB0" w:rsidRPr="00117F66" w:rsidRDefault="00745FB0" w:rsidP="00745FB0">
            <w:pPr>
              <w:tabs>
                <w:tab w:val="left" w:pos="622"/>
                <w:tab w:val="right" w:pos="3732"/>
                <w:tab w:val="right" w:pos="4769"/>
                <w:tab w:val="right" w:pos="6220"/>
                <w:tab w:val="right" w:pos="7257"/>
              </w:tabs>
              <w:rPr>
                <w:rFonts w:ascii="Arial" w:hAnsi="Arial"/>
                <w:sz w:val="24"/>
                <w:szCs w:val="24"/>
              </w:rPr>
            </w:pPr>
            <w:r w:rsidRPr="00117F66">
              <w:rPr>
                <w:rFonts w:ascii="Arial" w:hAnsi="Arial"/>
                <w:sz w:val="24"/>
                <w:szCs w:val="24"/>
              </w:rPr>
              <w:t>Contributors</w:t>
            </w:r>
          </w:p>
        </w:tc>
        <w:tc>
          <w:tcPr>
            <w:tcW w:w="1418" w:type="dxa"/>
          </w:tcPr>
          <w:p w14:paraId="5E1902A0" w14:textId="77777777" w:rsidR="00745FB0" w:rsidRPr="00355FD4" w:rsidRDefault="00745FB0" w:rsidP="00745FB0">
            <w:pPr>
              <w:tabs>
                <w:tab w:val="left" w:pos="622"/>
                <w:tab w:val="right" w:pos="3732"/>
                <w:tab w:val="right" w:pos="4769"/>
                <w:tab w:val="right" w:pos="6220"/>
                <w:tab w:val="right" w:pos="7257"/>
              </w:tabs>
              <w:jc w:val="right"/>
              <w:rPr>
                <w:rFonts w:ascii="Arial" w:hAnsi="Arial"/>
                <w:sz w:val="24"/>
                <w:szCs w:val="24"/>
              </w:rPr>
            </w:pPr>
            <w:r w:rsidRPr="00355FD4">
              <w:rPr>
                <w:rFonts w:ascii="Arial" w:hAnsi="Arial"/>
                <w:sz w:val="24"/>
                <w:szCs w:val="24"/>
              </w:rPr>
              <w:t>19,671</w:t>
            </w:r>
          </w:p>
        </w:tc>
        <w:tc>
          <w:tcPr>
            <w:tcW w:w="1418" w:type="dxa"/>
          </w:tcPr>
          <w:p w14:paraId="00869FF3" w14:textId="77777777" w:rsidR="00745FB0" w:rsidRPr="00355FD4" w:rsidRDefault="00745FB0" w:rsidP="00745FB0">
            <w:pPr>
              <w:tabs>
                <w:tab w:val="left" w:pos="622"/>
                <w:tab w:val="right" w:pos="3732"/>
                <w:tab w:val="right" w:pos="4769"/>
                <w:tab w:val="right" w:pos="6220"/>
                <w:tab w:val="right" w:pos="7257"/>
              </w:tabs>
              <w:jc w:val="right"/>
              <w:rPr>
                <w:rFonts w:ascii="Arial" w:hAnsi="Arial"/>
                <w:sz w:val="24"/>
                <w:szCs w:val="24"/>
              </w:rPr>
            </w:pPr>
            <w:r w:rsidRPr="00355FD4">
              <w:rPr>
                <w:rFonts w:ascii="Arial" w:hAnsi="Arial"/>
                <w:sz w:val="24"/>
                <w:szCs w:val="24"/>
              </w:rPr>
              <w:t>19,888</w:t>
            </w:r>
          </w:p>
        </w:tc>
        <w:tc>
          <w:tcPr>
            <w:tcW w:w="1418" w:type="dxa"/>
          </w:tcPr>
          <w:p w14:paraId="47B2EF5D" w14:textId="77777777" w:rsidR="00745FB0" w:rsidRPr="00355FD4" w:rsidRDefault="00745FB0" w:rsidP="00745FB0">
            <w:pPr>
              <w:tabs>
                <w:tab w:val="left" w:pos="622"/>
                <w:tab w:val="right" w:pos="3732"/>
                <w:tab w:val="right" w:pos="4769"/>
                <w:tab w:val="right" w:pos="6220"/>
                <w:tab w:val="right" w:pos="7257"/>
              </w:tabs>
              <w:jc w:val="right"/>
              <w:rPr>
                <w:rFonts w:ascii="Arial" w:hAnsi="Arial"/>
                <w:sz w:val="24"/>
                <w:szCs w:val="24"/>
              </w:rPr>
            </w:pPr>
            <w:r w:rsidRPr="00355FD4">
              <w:rPr>
                <w:rFonts w:ascii="Arial" w:hAnsi="Arial"/>
                <w:sz w:val="24"/>
                <w:szCs w:val="24"/>
              </w:rPr>
              <w:t>20,050</w:t>
            </w:r>
          </w:p>
        </w:tc>
        <w:tc>
          <w:tcPr>
            <w:tcW w:w="1418" w:type="dxa"/>
          </w:tcPr>
          <w:p w14:paraId="3695A492" w14:textId="77777777" w:rsidR="00745FB0" w:rsidRPr="00B53249" w:rsidRDefault="00745FB0" w:rsidP="00745FB0">
            <w:pPr>
              <w:tabs>
                <w:tab w:val="left" w:pos="622"/>
                <w:tab w:val="right" w:pos="3732"/>
                <w:tab w:val="right" w:pos="4769"/>
                <w:tab w:val="right" w:pos="6220"/>
                <w:tab w:val="right" w:pos="7257"/>
              </w:tabs>
              <w:jc w:val="right"/>
              <w:rPr>
                <w:rFonts w:ascii="Arial" w:hAnsi="Arial"/>
                <w:sz w:val="24"/>
                <w:szCs w:val="24"/>
              </w:rPr>
            </w:pPr>
            <w:r w:rsidRPr="00B53249">
              <w:rPr>
                <w:rFonts w:ascii="Arial" w:hAnsi="Arial"/>
                <w:sz w:val="24"/>
                <w:szCs w:val="24"/>
              </w:rPr>
              <w:t>20,38</w:t>
            </w:r>
            <w:r>
              <w:rPr>
                <w:rFonts w:ascii="Arial" w:hAnsi="Arial"/>
                <w:sz w:val="24"/>
                <w:szCs w:val="24"/>
              </w:rPr>
              <w:t>8</w:t>
            </w:r>
          </w:p>
        </w:tc>
        <w:tc>
          <w:tcPr>
            <w:tcW w:w="1276" w:type="dxa"/>
          </w:tcPr>
          <w:p w14:paraId="25D7358E" w14:textId="77777777" w:rsidR="00745FB0" w:rsidRPr="00B53249" w:rsidRDefault="00611543" w:rsidP="00745FB0">
            <w:pPr>
              <w:tabs>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21,424</w:t>
            </w:r>
          </w:p>
        </w:tc>
      </w:tr>
      <w:tr w:rsidR="00745FB0" w:rsidRPr="00117F66" w14:paraId="68DF2076" w14:textId="77777777" w:rsidTr="001A1C57">
        <w:trPr>
          <w:jc w:val="center"/>
        </w:trPr>
        <w:tc>
          <w:tcPr>
            <w:tcW w:w="2835" w:type="dxa"/>
          </w:tcPr>
          <w:p w14:paraId="2704C97E" w14:textId="77777777" w:rsidR="00745FB0" w:rsidRPr="00117F66" w:rsidRDefault="00745FB0" w:rsidP="00745FB0">
            <w:pPr>
              <w:tabs>
                <w:tab w:val="left" w:pos="622"/>
                <w:tab w:val="right" w:pos="3732"/>
                <w:tab w:val="right" w:pos="4769"/>
                <w:tab w:val="right" w:pos="6220"/>
                <w:tab w:val="right" w:pos="7257"/>
              </w:tabs>
              <w:rPr>
                <w:rFonts w:ascii="Arial" w:hAnsi="Arial"/>
                <w:sz w:val="24"/>
                <w:szCs w:val="24"/>
              </w:rPr>
            </w:pPr>
            <w:r w:rsidRPr="00117F66">
              <w:rPr>
                <w:rFonts w:ascii="Arial" w:hAnsi="Arial"/>
                <w:sz w:val="24"/>
                <w:szCs w:val="24"/>
              </w:rPr>
              <w:t>Pensioners</w:t>
            </w:r>
          </w:p>
        </w:tc>
        <w:tc>
          <w:tcPr>
            <w:tcW w:w="1418" w:type="dxa"/>
          </w:tcPr>
          <w:p w14:paraId="7DB2A975" w14:textId="77777777" w:rsidR="00745FB0" w:rsidRPr="00355FD4" w:rsidRDefault="00745FB0" w:rsidP="00745FB0">
            <w:pPr>
              <w:tabs>
                <w:tab w:val="left" w:pos="622"/>
                <w:tab w:val="right" w:pos="3732"/>
                <w:tab w:val="right" w:pos="4769"/>
                <w:tab w:val="right" w:pos="6220"/>
                <w:tab w:val="right" w:pos="7257"/>
              </w:tabs>
              <w:jc w:val="right"/>
              <w:rPr>
                <w:rFonts w:ascii="Arial" w:hAnsi="Arial"/>
                <w:sz w:val="24"/>
                <w:szCs w:val="24"/>
              </w:rPr>
            </w:pPr>
            <w:r w:rsidRPr="00355FD4">
              <w:rPr>
                <w:rFonts w:ascii="Arial" w:hAnsi="Arial"/>
                <w:sz w:val="24"/>
                <w:szCs w:val="24"/>
              </w:rPr>
              <w:t>12,763</w:t>
            </w:r>
          </w:p>
        </w:tc>
        <w:tc>
          <w:tcPr>
            <w:tcW w:w="1418" w:type="dxa"/>
          </w:tcPr>
          <w:p w14:paraId="4A1BE0AB" w14:textId="77777777" w:rsidR="00745FB0" w:rsidRPr="00355FD4" w:rsidRDefault="00745FB0" w:rsidP="00745FB0">
            <w:pPr>
              <w:tabs>
                <w:tab w:val="left" w:pos="622"/>
                <w:tab w:val="right" w:pos="3732"/>
                <w:tab w:val="right" w:pos="4769"/>
                <w:tab w:val="right" w:pos="6220"/>
                <w:tab w:val="right" w:pos="7257"/>
              </w:tabs>
              <w:jc w:val="right"/>
              <w:rPr>
                <w:rFonts w:ascii="Arial" w:hAnsi="Arial"/>
                <w:sz w:val="24"/>
                <w:szCs w:val="24"/>
              </w:rPr>
            </w:pPr>
            <w:r w:rsidRPr="00355FD4">
              <w:rPr>
                <w:rFonts w:ascii="Arial" w:hAnsi="Arial"/>
                <w:sz w:val="24"/>
                <w:szCs w:val="24"/>
              </w:rPr>
              <w:t>13,229</w:t>
            </w:r>
          </w:p>
        </w:tc>
        <w:tc>
          <w:tcPr>
            <w:tcW w:w="1418" w:type="dxa"/>
          </w:tcPr>
          <w:p w14:paraId="2A86E101" w14:textId="77777777" w:rsidR="00745FB0" w:rsidRPr="00355FD4" w:rsidRDefault="00745FB0" w:rsidP="00745FB0">
            <w:pPr>
              <w:tabs>
                <w:tab w:val="left" w:pos="622"/>
                <w:tab w:val="right" w:pos="3732"/>
                <w:tab w:val="right" w:pos="4769"/>
                <w:tab w:val="right" w:pos="6220"/>
                <w:tab w:val="right" w:pos="7257"/>
              </w:tabs>
              <w:jc w:val="right"/>
              <w:rPr>
                <w:rFonts w:ascii="Arial" w:hAnsi="Arial"/>
                <w:sz w:val="24"/>
                <w:szCs w:val="24"/>
              </w:rPr>
            </w:pPr>
            <w:r w:rsidRPr="00355FD4">
              <w:rPr>
                <w:rFonts w:ascii="Arial" w:hAnsi="Arial"/>
                <w:sz w:val="24"/>
                <w:szCs w:val="24"/>
              </w:rPr>
              <w:t>13,610</w:t>
            </w:r>
          </w:p>
        </w:tc>
        <w:tc>
          <w:tcPr>
            <w:tcW w:w="1418" w:type="dxa"/>
          </w:tcPr>
          <w:p w14:paraId="1372B7E3" w14:textId="77777777" w:rsidR="00745FB0" w:rsidRPr="00B53249" w:rsidRDefault="00745FB0" w:rsidP="00745FB0">
            <w:pPr>
              <w:tabs>
                <w:tab w:val="left" w:pos="622"/>
                <w:tab w:val="right" w:pos="3732"/>
                <w:tab w:val="right" w:pos="4769"/>
                <w:tab w:val="right" w:pos="6220"/>
                <w:tab w:val="right" w:pos="7257"/>
              </w:tabs>
              <w:jc w:val="right"/>
              <w:rPr>
                <w:rFonts w:ascii="Arial" w:hAnsi="Arial"/>
                <w:sz w:val="24"/>
                <w:szCs w:val="24"/>
              </w:rPr>
            </w:pPr>
            <w:r w:rsidRPr="00B53249">
              <w:rPr>
                <w:rFonts w:ascii="Arial" w:hAnsi="Arial"/>
                <w:sz w:val="24"/>
                <w:szCs w:val="24"/>
              </w:rPr>
              <w:t>13,86</w:t>
            </w:r>
            <w:r>
              <w:rPr>
                <w:rFonts w:ascii="Arial" w:hAnsi="Arial"/>
                <w:sz w:val="24"/>
                <w:szCs w:val="24"/>
              </w:rPr>
              <w:t>4</w:t>
            </w:r>
          </w:p>
        </w:tc>
        <w:tc>
          <w:tcPr>
            <w:tcW w:w="1276" w:type="dxa"/>
          </w:tcPr>
          <w:p w14:paraId="33052EBF" w14:textId="77777777" w:rsidR="00745FB0" w:rsidRPr="00B53249" w:rsidRDefault="00611543" w:rsidP="00745FB0">
            <w:pPr>
              <w:tabs>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14,294</w:t>
            </w:r>
          </w:p>
        </w:tc>
      </w:tr>
      <w:tr w:rsidR="00745FB0" w:rsidRPr="00117F66" w14:paraId="7B0E3196" w14:textId="77777777" w:rsidTr="001A1C57">
        <w:trPr>
          <w:jc w:val="center"/>
        </w:trPr>
        <w:tc>
          <w:tcPr>
            <w:tcW w:w="2835" w:type="dxa"/>
          </w:tcPr>
          <w:p w14:paraId="52ED4F38" w14:textId="77777777" w:rsidR="00745FB0" w:rsidRPr="00117F66" w:rsidRDefault="00745FB0" w:rsidP="00745FB0">
            <w:pPr>
              <w:tabs>
                <w:tab w:val="left" w:pos="622"/>
                <w:tab w:val="right" w:pos="3732"/>
                <w:tab w:val="right" w:pos="4769"/>
                <w:tab w:val="right" w:pos="6220"/>
                <w:tab w:val="right" w:pos="7257"/>
              </w:tabs>
              <w:rPr>
                <w:rFonts w:ascii="Arial" w:hAnsi="Arial"/>
                <w:sz w:val="24"/>
                <w:szCs w:val="24"/>
              </w:rPr>
            </w:pPr>
            <w:r w:rsidRPr="00117F66">
              <w:rPr>
                <w:rFonts w:ascii="Arial" w:hAnsi="Arial"/>
                <w:sz w:val="24"/>
                <w:szCs w:val="24"/>
              </w:rPr>
              <w:t>Deferred Pensioners</w:t>
            </w:r>
          </w:p>
        </w:tc>
        <w:tc>
          <w:tcPr>
            <w:tcW w:w="1418" w:type="dxa"/>
          </w:tcPr>
          <w:p w14:paraId="7504F6F3" w14:textId="77777777" w:rsidR="00745FB0" w:rsidRPr="00355FD4" w:rsidRDefault="00745FB0" w:rsidP="00745FB0">
            <w:pPr>
              <w:tabs>
                <w:tab w:val="left" w:pos="622"/>
                <w:tab w:val="right" w:pos="3732"/>
                <w:tab w:val="right" w:pos="4769"/>
                <w:tab w:val="right" w:pos="6220"/>
                <w:tab w:val="right" w:pos="7257"/>
              </w:tabs>
              <w:jc w:val="right"/>
              <w:rPr>
                <w:rFonts w:ascii="Arial" w:hAnsi="Arial"/>
                <w:sz w:val="24"/>
                <w:szCs w:val="24"/>
              </w:rPr>
            </w:pPr>
            <w:r w:rsidRPr="00355FD4">
              <w:rPr>
                <w:rFonts w:ascii="Arial" w:hAnsi="Arial"/>
                <w:sz w:val="24"/>
                <w:szCs w:val="24"/>
              </w:rPr>
              <w:t>11,394</w:t>
            </w:r>
          </w:p>
        </w:tc>
        <w:tc>
          <w:tcPr>
            <w:tcW w:w="1418" w:type="dxa"/>
          </w:tcPr>
          <w:p w14:paraId="5A82BFC9" w14:textId="77777777" w:rsidR="00745FB0" w:rsidRPr="00355FD4" w:rsidRDefault="00745FB0" w:rsidP="00745FB0">
            <w:pPr>
              <w:tabs>
                <w:tab w:val="left" w:pos="622"/>
                <w:tab w:val="right" w:pos="3732"/>
                <w:tab w:val="right" w:pos="4769"/>
                <w:tab w:val="right" w:pos="6220"/>
                <w:tab w:val="right" w:pos="7257"/>
              </w:tabs>
              <w:jc w:val="right"/>
              <w:rPr>
                <w:rFonts w:ascii="Arial" w:hAnsi="Arial"/>
                <w:sz w:val="24"/>
                <w:szCs w:val="24"/>
              </w:rPr>
            </w:pPr>
            <w:r w:rsidRPr="00355FD4">
              <w:rPr>
                <w:rFonts w:ascii="Arial" w:hAnsi="Arial"/>
                <w:sz w:val="24"/>
                <w:szCs w:val="24"/>
              </w:rPr>
              <w:t>11,874</w:t>
            </w:r>
          </w:p>
        </w:tc>
        <w:tc>
          <w:tcPr>
            <w:tcW w:w="1418" w:type="dxa"/>
          </w:tcPr>
          <w:p w14:paraId="6504776E" w14:textId="77777777" w:rsidR="00745FB0" w:rsidRPr="00355FD4" w:rsidRDefault="00745FB0" w:rsidP="00745FB0">
            <w:pPr>
              <w:tabs>
                <w:tab w:val="left" w:pos="622"/>
                <w:tab w:val="right" w:pos="3732"/>
                <w:tab w:val="right" w:pos="4769"/>
                <w:tab w:val="right" w:pos="6220"/>
                <w:tab w:val="right" w:pos="7257"/>
              </w:tabs>
              <w:jc w:val="right"/>
              <w:rPr>
                <w:rFonts w:ascii="Arial" w:hAnsi="Arial"/>
                <w:sz w:val="24"/>
                <w:szCs w:val="24"/>
              </w:rPr>
            </w:pPr>
            <w:r w:rsidRPr="00355FD4">
              <w:rPr>
                <w:rFonts w:ascii="Arial" w:hAnsi="Arial"/>
                <w:sz w:val="24"/>
                <w:szCs w:val="24"/>
              </w:rPr>
              <w:t>11,838</w:t>
            </w:r>
          </w:p>
        </w:tc>
        <w:tc>
          <w:tcPr>
            <w:tcW w:w="1418" w:type="dxa"/>
          </w:tcPr>
          <w:p w14:paraId="7766A900" w14:textId="77777777" w:rsidR="00745FB0" w:rsidRPr="00B53249" w:rsidRDefault="00745FB0" w:rsidP="00745FB0">
            <w:pPr>
              <w:tabs>
                <w:tab w:val="left" w:pos="622"/>
                <w:tab w:val="right" w:pos="3732"/>
                <w:tab w:val="right" w:pos="4769"/>
                <w:tab w:val="right" w:pos="6220"/>
                <w:tab w:val="right" w:pos="7257"/>
              </w:tabs>
              <w:jc w:val="right"/>
              <w:rPr>
                <w:rFonts w:ascii="Arial" w:hAnsi="Arial"/>
                <w:sz w:val="24"/>
                <w:szCs w:val="24"/>
              </w:rPr>
            </w:pPr>
            <w:r w:rsidRPr="00B53249">
              <w:rPr>
                <w:rFonts w:ascii="Arial" w:hAnsi="Arial"/>
                <w:sz w:val="24"/>
                <w:szCs w:val="24"/>
              </w:rPr>
              <w:t>11,829</w:t>
            </w:r>
          </w:p>
        </w:tc>
        <w:tc>
          <w:tcPr>
            <w:tcW w:w="1276" w:type="dxa"/>
          </w:tcPr>
          <w:p w14:paraId="386E505F" w14:textId="77777777" w:rsidR="00745FB0" w:rsidRPr="00B53249" w:rsidRDefault="00611543" w:rsidP="00745FB0">
            <w:pPr>
              <w:tabs>
                <w:tab w:val="left" w:pos="622"/>
                <w:tab w:val="right" w:pos="3732"/>
                <w:tab w:val="right" w:pos="4769"/>
                <w:tab w:val="right" w:pos="6220"/>
                <w:tab w:val="right" w:pos="7257"/>
              </w:tabs>
              <w:jc w:val="right"/>
              <w:rPr>
                <w:rFonts w:ascii="Arial" w:hAnsi="Arial"/>
                <w:sz w:val="24"/>
                <w:szCs w:val="24"/>
              </w:rPr>
            </w:pPr>
            <w:r>
              <w:rPr>
                <w:rFonts w:ascii="Arial" w:hAnsi="Arial"/>
                <w:sz w:val="24"/>
                <w:szCs w:val="24"/>
              </w:rPr>
              <w:t>12,263</w:t>
            </w:r>
          </w:p>
        </w:tc>
      </w:tr>
      <w:tr w:rsidR="00745FB0" w:rsidRPr="002E24C5" w14:paraId="621E6B41" w14:textId="77777777" w:rsidTr="001A1C57">
        <w:trPr>
          <w:jc w:val="center"/>
        </w:trPr>
        <w:tc>
          <w:tcPr>
            <w:tcW w:w="2835" w:type="dxa"/>
            <w:tcBorders>
              <w:top w:val="single" w:sz="4" w:space="0" w:color="auto"/>
              <w:bottom w:val="single" w:sz="4" w:space="0" w:color="auto"/>
            </w:tcBorders>
          </w:tcPr>
          <w:p w14:paraId="6A9148F7" w14:textId="77777777" w:rsidR="00745FB0" w:rsidRPr="00117F66" w:rsidRDefault="00745FB0" w:rsidP="00745FB0">
            <w:pPr>
              <w:tabs>
                <w:tab w:val="left" w:pos="622"/>
                <w:tab w:val="right" w:pos="3732"/>
                <w:tab w:val="right" w:pos="4769"/>
                <w:tab w:val="right" w:pos="6220"/>
                <w:tab w:val="right" w:pos="7257"/>
              </w:tabs>
              <w:rPr>
                <w:rFonts w:ascii="Arial" w:hAnsi="Arial"/>
                <w:b/>
                <w:sz w:val="24"/>
                <w:szCs w:val="24"/>
              </w:rPr>
            </w:pPr>
            <w:r w:rsidRPr="00117F66">
              <w:rPr>
                <w:rFonts w:ascii="Arial" w:hAnsi="Arial"/>
                <w:b/>
                <w:sz w:val="24"/>
                <w:szCs w:val="24"/>
              </w:rPr>
              <w:t>Total</w:t>
            </w:r>
          </w:p>
        </w:tc>
        <w:tc>
          <w:tcPr>
            <w:tcW w:w="1418" w:type="dxa"/>
            <w:tcBorders>
              <w:top w:val="single" w:sz="4" w:space="0" w:color="auto"/>
              <w:bottom w:val="single" w:sz="4" w:space="0" w:color="auto"/>
            </w:tcBorders>
          </w:tcPr>
          <w:p w14:paraId="62A92723" w14:textId="77777777" w:rsidR="00745FB0" w:rsidRPr="00355FD4" w:rsidRDefault="00745FB0" w:rsidP="00745FB0">
            <w:pPr>
              <w:tabs>
                <w:tab w:val="left" w:pos="622"/>
                <w:tab w:val="right" w:pos="3732"/>
                <w:tab w:val="right" w:pos="4769"/>
                <w:tab w:val="right" w:pos="6220"/>
                <w:tab w:val="right" w:pos="7257"/>
              </w:tabs>
              <w:jc w:val="right"/>
              <w:rPr>
                <w:rFonts w:ascii="Arial" w:hAnsi="Arial"/>
                <w:b/>
                <w:sz w:val="24"/>
                <w:szCs w:val="24"/>
              </w:rPr>
            </w:pPr>
            <w:r w:rsidRPr="00355FD4">
              <w:rPr>
                <w:rFonts w:ascii="Arial" w:hAnsi="Arial"/>
                <w:b/>
                <w:sz w:val="24"/>
                <w:szCs w:val="24"/>
              </w:rPr>
              <w:t>43,828</w:t>
            </w:r>
          </w:p>
        </w:tc>
        <w:tc>
          <w:tcPr>
            <w:tcW w:w="1418" w:type="dxa"/>
            <w:tcBorders>
              <w:top w:val="single" w:sz="4" w:space="0" w:color="auto"/>
              <w:bottom w:val="single" w:sz="4" w:space="0" w:color="auto"/>
            </w:tcBorders>
          </w:tcPr>
          <w:p w14:paraId="0E4F49C7" w14:textId="77777777" w:rsidR="00745FB0" w:rsidRPr="00355FD4" w:rsidRDefault="00745FB0" w:rsidP="00745FB0">
            <w:pPr>
              <w:tabs>
                <w:tab w:val="left" w:pos="622"/>
                <w:tab w:val="right" w:pos="3732"/>
                <w:tab w:val="right" w:pos="4769"/>
                <w:tab w:val="right" w:pos="6220"/>
                <w:tab w:val="right" w:pos="7257"/>
              </w:tabs>
              <w:jc w:val="right"/>
              <w:rPr>
                <w:rFonts w:ascii="Arial" w:hAnsi="Arial"/>
                <w:b/>
                <w:sz w:val="24"/>
                <w:szCs w:val="24"/>
              </w:rPr>
            </w:pPr>
            <w:r w:rsidRPr="00355FD4">
              <w:rPr>
                <w:rFonts w:ascii="Arial" w:hAnsi="Arial"/>
                <w:b/>
                <w:sz w:val="24"/>
                <w:szCs w:val="24"/>
              </w:rPr>
              <w:t>44,991</w:t>
            </w:r>
          </w:p>
        </w:tc>
        <w:tc>
          <w:tcPr>
            <w:tcW w:w="1418" w:type="dxa"/>
            <w:tcBorders>
              <w:top w:val="single" w:sz="4" w:space="0" w:color="auto"/>
              <w:bottom w:val="single" w:sz="4" w:space="0" w:color="auto"/>
            </w:tcBorders>
          </w:tcPr>
          <w:p w14:paraId="12CE0587" w14:textId="77777777" w:rsidR="00745FB0" w:rsidRPr="00355FD4" w:rsidRDefault="00745FB0" w:rsidP="00745FB0">
            <w:pPr>
              <w:tabs>
                <w:tab w:val="left" w:pos="622"/>
                <w:tab w:val="right" w:pos="3732"/>
                <w:tab w:val="right" w:pos="4769"/>
                <w:tab w:val="right" w:pos="6220"/>
                <w:tab w:val="right" w:pos="7257"/>
              </w:tabs>
              <w:jc w:val="right"/>
              <w:rPr>
                <w:rFonts w:ascii="Arial" w:hAnsi="Arial"/>
                <w:b/>
                <w:sz w:val="24"/>
                <w:szCs w:val="24"/>
              </w:rPr>
            </w:pPr>
            <w:r w:rsidRPr="00355FD4">
              <w:rPr>
                <w:rFonts w:ascii="Arial" w:hAnsi="Arial"/>
                <w:b/>
                <w:sz w:val="24"/>
                <w:szCs w:val="24"/>
              </w:rPr>
              <w:t>45,498</w:t>
            </w:r>
          </w:p>
        </w:tc>
        <w:tc>
          <w:tcPr>
            <w:tcW w:w="1418" w:type="dxa"/>
            <w:tcBorders>
              <w:top w:val="single" w:sz="4" w:space="0" w:color="auto"/>
              <w:bottom w:val="single" w:sz="4" w:space="0" w:color="auto"/>
            </w:tcBorders>
          </w:tcPr>
          <w:p w14:paraId="04B6C24C" w14:textId="77777777" w:rsidR="00745FB0" w:rsidRPr="00B53249" w:rsidRDefault="00745FB0" w:rsidP="00745FB0">
            <w:pPr>
              <w:tabs>
                <w:tab w:val="left" w:pos="622"/>
                <w:tab w:val="right" w:pos="3732"/>
                <w:tab w:val="right" w:pos="4769"/>
                <w:tab w:val="right" w:pos="6220"/>
                <w:tab w:val="right" w:pos="7257"/>
              </w:tabs>
              <w:jc w:val="right"/>
              <w:rPr>
                <w:rFonts w:ascii="Arial" w:hAnsi="Arial"/>
                <w:b/>
                <w:sz w:val="24"/>
                <w:szCs w:val="24"/>
              </w:rPr>
            </w:pPr>
            <w:r w:rsidRPr="00B53249">
              <w:rPr>
                <w:rFonts w:ascii="Arial" w:hAnsi="Arial"/>
                <w:b/>
                <w:sz w:val="24"/>
                <w:szCs w:val="24"/>
              </w:rPr>
              <w:t>46,0</w:t>
            </w:r>
            <w:r>
              <w:rPr>
                <w:rFonts w:ascii="Arial" w:hAnsi="Arial"/>
                <w:b/>
                <w:sz w:val="24"/>
                <w:szCs w:val="24"/>
              </w:rPr>
              <w:t>81</w:t>
            </w:r>
          </w:p>
        </w:tc>
        <w:tc>
          <w:tcPr>
            <w:tcW w:w="1276" w:type="dxa"/>
            <w:tcBorders>
              <w:top w:val="single" w:sz="4" w:space="0" w:color="auto"/>
              <w:bottom w:val="single" w:sz="4" w:space="0" w:color="auto"/>
            </w:tcBorders>
          </w:tcPr>
          <w:p w14:paraId="72487E33" w14:textId="77777777" w:rsidR="00745FB0" w:rsidRPr="00B53249" w:rsidRDefault="00611543" w:rsidP="00745FB0">
            <w:pPr>
              <w:tabs>
                <w:tab w:val="left" w:pos="622"/>
                <w:tab w:val="right" w:pos="3732"/>
                <w:tab w:val="right" w:pos="4769"/>
                <w:tab w:val="right" w:pos="6220"/>
                <w:tab w:val="right" w:pos="7257"/>
              </w:tabs>
              <w:jc w:val="right"/>
              <w:rPr>
                <w:rFonts w:ascii="Arial" w:hAnsi="Arial"/>
                <w:b/>
                <w:sz w:val="24"/>
                <w:szCs w:val="24"/>
              </w:rPr>
            </w:pPr>
            <w:r>
              <w:rPr>
                <w:rFonts w:ascii="Arial" w:hAnsi="Arial"/>
                <w:b/>
                <w:sz w:val="24"/>
                <w:szCs w:val="24"/>
              </w:rPr>
              <w:t>47,981</w:t>
            </w:r>
          </w:p>
        </w:tc>
      </w:tr>
    </w:tbl>
    <w:p w14:paraId="440578DA" w14:textId="77777777" w:rsidR="00631194" w:rsidRDefault="00631194" w:rsidP="005E4F16">
      <w:pPr>
        <w:tabs>
          <w:tab w:val="left" w:pos="864"/>
          <w:tab w:val="right" w:pos="5184"/>
          <w:tab w:val="right" w:pos="6624"/>
          <w:tab w:val="right" w:pos="8640"/>
          <w:tab w:val="right" w:pos="10080"/>
        </w:tabs>
        <w:ind w:left="664" w:hanging="664"/>
        <w:rPr>
          <w:rFonts w:ascii="Arial" w:hAnsi="Arial"/>
          <w:i/>
          <w:color w:val="000000"/>
          <w:sz w:val="24"/>
          <w:szCs w:val="24"/>
        </w:rPr>
      </w:pPr>
    </w:p>
    <w:p w14:paraId="20FA0DAD" w14:textId="77777777" w:rsidR="008B437E" w:rsidRPr="008B437E" w:rsidRDefault="008B437E" w:rsidP="005E4F16">
      <w:pPr>
        <w:tabs>
          <w:tab w:val="left" w:pos="864"/>
          <w:tab w:val="right" w:pos="5184"/>
          <w:tab w:val="right" w:pos="6624"/>
          <w:tab w:val="right" w:pos="8640"/>
          <w:tab w:val="right" w:pos="10080"/>
        </w:tabs>
        <w:ind w:left="664" w:hanging="664"/>
        <w:rPr>
          <w:rFonts w:ascii="Arial" w:hAnsi="Arial"/>
          <w:color w:val="000000"/>
          <w:sz w:val="24"/>
          <w:szCs w:val="24"/>
        </w:rPr>
      </w:pPr>
      <w:r w:rsidRPr="008B437E">
        <w:rPr>
          <w:rFonts w:ascii="Arial" w:hAnsi="Arial"/>
          <w:color w:val="000000"/>
          <w:sz w:val="24"/>
          <w:szCs w:val="24"/>
        </w:rPr>
        <w:t>See Appendix 1 for current year analysis.</w:t>
      </w:r>
    </w:p>
    <w:p w14:paraId="33EB6E74" w14:textId="77777777" w:rsidR="0078724F" w:rsidRDefault="0078724F" w:rsidP="005E4F16">
      <w:pPr>
        <w:tabs>
          <w:tab w:val="left" w:pos="864"/>
          <w:tab w:val="right" w:pos="5184"/>
          <w:tab w:val="right" w:pos="6624"/>
          <w:tab w:val="right" w:pos="8640"/>
          <w:tab w:val="right" w:pos="10080"/>
        </w:tabs>
        <w:ind w:left="664" w:hanging="664"/>
        <w:rPr>
          <w:rFonts w:ascii="Arial" w:hAnsi="Arial"/>
          <w:i/>
          <w:color w:val="000000"/>
          <w:sz w:val="24"/>
          <w:szCs w:val="24"/>
        </w:rPr>
      </w:pPr>
    </w:p>
    <w:p w14:paraId="69F9325A" w14:textId="77777777" w:rsidR="00046009" w:rsidRDefault="00046009" w:rsidP="005E4F16">
      <w:pPr>
        <w:tabs>
          <w:tab w:val="left" w:pos="864"/>
          <w:tab w:val="right" w:pos="5184"/>
          <w:tab w:val="right" w:pos="6624"/>
          <w:tab w:val="right" w:pos="8640"/>
          <w:tab w:val="right" w:pos="10080"/>
        </w:tabs>
        <w:ind w:left="664" w:hanging="664"/>
        <w:rPr>
          <w:rFonts w:ascii="Arial" w:hAnsi="Arial"/>
          <w:b/>
          <w:color w:val="000000"/>
          <w:sz w:val="24"/>
          <w:szCs w:val="24"/>
        </w:rPr>
      </w:pPr>
    </w:p>
    <w:p w14:paraId="180D9B36" w14:textId="77777777" w:rsidR="00631194" w:rsidRDefault="00E96832" w:rsidP="005E4F16">
      <w:pPr>
        <w:tabs>
          <w:tab w:val="left" w:pos="864"/>
          <w:tab w:val="right" w:pos="5184"/>
          <w:tab w:val="right" w:pos="6624"/>
          <w:tab w:val="right" w:pos="8640"/>
          <w:tab w:val="right" w:pos="10080"/>
        </w:tabs>
        <w:ind w:left="664" w:hanging="664"/>
        <w:rPr>
          <w:rFonts w:ascii="Arial" w:hAnsi="Arial"/>
          <w:color w:val="000000"/>
          <w:sz w:val="24"/>
          <w:szCs w:val="24"/>
        </w:rPr>
      </w:pPr>
      <w:r>
        <w:rPr>
          <w:rFonts w:ascii="Arial" w:hAnsi="Arial"/>
          <w:b/>
          <w:color w:val="000000"/>
          <w:sz w:val="24"/>
          <w:szCs w:val="24"/>
        </w:rPr>
        <w:t>2</w:t>
      </w:r>
      <w:r w:rsidR="00542E92">
        <w:rPr>
          <w:rFonts w:ascii="Arial" w:hAnsi="Arial"/>
          <w:b/>
          <w:color w:val="000000"/>
          <w:sz w:val="24"/>
          <w:szCs w:val="24"/>
        </w:rPr>
        <w:t>2</w:t>
      </w:r>
      <w:r w:rsidR="0078724F" w:rsidRPr="0078724F">
        <w:rPr>
          <w:rFonts w:ascii="Arial" w:hAnsi="Arial"/>
          <w:b/>
          <w:color w:val="000000"/>
          <w:sz w:val="24"/>
          <w:szCs w:val="24"/>
        </w:rPr>
        <w:t>. Fair Value of Investments</w:t>
      </w:r>
    </w:p>
    <w:p w14:paraId="5D082B66" w14:textId="77777777" w:rsidR="00631194" w:rsidRDefault="00631194" w:rsidP="005E4F16">
      <w:pPr>
        <w:tabs>
          <w:tab w:val="left" w:pos="864"/>
          <w:tab w:val="right" w:pos="5184"/>
          <w:tab w:val="right" w:pos="6624"/>
          <w:tab w:val="right" w:pos="8640"/>
          <w:tab w:val="right" w:pos="10080"/>
        </w:tabs>
        <w:ind w:left="720" w:hanging="720"/>
        <w:jc w:val="both"/>
        <w:rPr>
          <w:rFonts w:ascii="Arial" w:hAnsi="Arial"/>
          <w:color w:val="000000"/>
          <w:sz w:val="24"/>
          <w:szCs w:val="24"/>
        </w:rPr>
      </w:pPr>
    </w:p>
    <w:p w14:paraId="1D75DE85" w14:textId="77777777" w:rsidR="0078724F" w:rsidRPr="005E4E65" w:rsidRDefault="0078724F" w:rsidP="0078724F">
      <w:pPr>
        <w:pStyle w:val="DefaultText"/>
        <w:tabs>
          <w:tab w:val="left" w:pos="720"/>
          <w:tab w:val="left" w:pos="1440"/>
          <w:tab w:val="left" w:pos="1925"/>
          <w:tab w:val="left" w:pos="3607"/>
          <w:tab w:val="left" w:pos="5058"/>
          <w:tab w:val="left" w:pos="6971"/>
        </w:tabs>
        <w:jc w:val="both"/>
        <w:rPr>
          <w:rFonts w:ascii="Arial" w:hAnsi="Arial" w:cs="Arial"/>
          <w:b/>
          <w:szCs w:val="24"/>
        </w:rPr>
      </w:pPr>
      <w:r w:rsidRPr="005E4E65">
        <w:rPr>
          <w:rFonts w:ascii="Arial" w:hAnsi="Arial" w:cs="Arial"/>
          <w:b/>
          <w:szCs w:val="24"/>
        </w:rPr>
        <w:t>Financial Instruments</w:t>
      </w:r>
    </w:p>
    <w:p w14:paraId="4DE64E76" w14:textId="77777777" w:rsidR="0078724F" w:rsidRPr="005E4E65" w:rsidRDefault="0078724F" w:rsidP="0078724F">
      <w:pPr>
        <w:pStyle w:val="DefaultText"/>
        <w:tabs>
          <w:tab w:val="left" w:pos="720"/>
          <w:tab w:val="left" w:pos="1440"/>
          <w:tab w:val="left" w:pos="1925"/>
          <w:tab w:val="left" w:pos="3607"/>
          <w:tab w:val="left" w:pos="5058"/>
          <w:tab w:val="left" w:pos="6971"/>
        </w:tabs>
        <w:jc w:val="both"/>
        <w:rPr>
          <w:rFonts w:ascii="Arial" w:hAnsi="Arial" w:cs="Arial"/>
          <w:szCs w:val="24"/>
        </w:rPr>
      </w:pPr>
      <w:r w:rsidRPr="005E4E65">
        <w:rPr>
          <w:rFonts w:ascii="Arial" w:hAnsi="Arial" w:cs="Arial"/>
          <w:szCs w:val="24"/>
        </w:rPr>
        <w:t>The Fund invests through pooled vehicles</w:t>
      </w:r>
      <w:r w:rsidR="00165C42">
        <w:rPr>
          <w:rFonts w:ascii="Arial" w:hAnsi="Arial" w:cs="Arial"/>
          <w:szCs w:val="24"/>
        </w:rPr>
        <w:t>. The managers of these pooled vehicles invest in a variety of financial instruments including</w:t>
      </w:r>
      <w:r w:rsidRPr="005E4E65">
        <w:rPr>
          <w:rFonts w:ascii="Arial" w:hAnsi="Arial" w:cs="Arial"/>
          <w:szCs w:val="24"/>
        </w:rPr>
        <w:t xml:space="preserve"> bank deposits, quoted equity instruments, fixed interest securities, direct property holdings</w:t>
      </w:r>
      <w:r w:rsidR="00275AE6">
        <w:rPr>
          <w:rFonts w:ascii="Arial" w:hAnsi="Arial" w:cs="Arial"/>
          <w:szCs w:val="24"/>
        </w:rPr>
        <w:t xml:space="preserve"> and </w:t>
      </w:r>
      <w:r w:rsidRPr="005E4E65">
        <w:rPr>
          <w:rFonts w:ascii="Arial" w:hAnsi="Arial" w:cs="Arial"/>
          <w:szCs w:val="24"/>
        </w:rPr>
        <w:t>unlisted equity</w:t>
      </w:r>
      <w:r>
        <w:rPr>
          <w:rFonts w:ascii="Arial" w:hAnsi="Arial" w:cs="Arial"/>
          <w:szCs w:val="24"/>
        </w:rPr>
        <w:t xml:space="preserve"> </w:t>
      </w:r>
      <w:r w:rsidR="00D87A9F">
        <w:rPr>
          <w:rFonts w:ascii="Arial" w:hAnsi="Arial" w:cs="Arial"/>
          <w:szCs w:val="24"/>
        </w:rPr>
        <w:t xml:space="preserve">and also monitor </w:t>
      </w:r>
      <w:r>
        <w:rPr>
          <w:rFonts w:ascii="Arial" w:hAnsi="Arial" w:cs="Arial"/>
          <w:szCs w:val="24"/>
        </w:rPr>
        <w:t>credit and counterparty risk, liqu</w:t>
      </w:r>
      <w:r w:rsidRPr="005E4E65">
        <w:rPr>
          <w:rFonts w:ascii="Arial" w:hAnsi="Arial" w:cs="Arial"/>
          <w:szCs w:val="24"/>
        </w:rPr>
        <w:t xml:space="preserve">idity risk, </w:t>
      </w:r>
      <w:r>
        <w:rPr>
          <w:rFonts w:ascii="Arial" w:hAnsi="Arial" w:cs="Arial"/>
          <w:szCs w:val="24"/>
        </w:rPr>
        <w:t>and market risk.</w:t>
      </w:r>
    </w:p>
    <w:p w14:paraId="175CDCE9" w14:textId="77777777" w:rsidR="0078724F" w:rsidRDefault="0078724F" w:rsidP="0078724F">
      <w:pPr>
        <w:pStyle w:val="BodyText"/>
        <w:tabs>
          <w:tab w:val="left" w:pos="6971"/>
        </w:tabs>
        <w:rPr>
          <w:rFonts w:cs="Arial"/>
          <w:b/>
          <w:bCs/>
        </w:rPr>
      </w:pPr>
    </w:p>
    <w:p w14:paraId="60939A87" w14:textId="77777777" w:rsidR="004D24DD" w:rsidRDefault="004D24DD" w:rsidP="0078724F">
      <w:pPr>
        <w:pStyle w:val="BodyText"/>
        <w:tabs>
          <w:tab w:val="left" w:pos="6971"/>
        </w:tabs>
        <w:rPr>
          <w:rFonts w:cs="Arial"/>
          <w:b/>
          <w:bCs/>
        </w:rPr>
      </w:pPr>
    </w:p>
    <w:p w14:paraId="199C1C9D" w14:textId="77777777" w:rsidR="0078724F" w:rsidRPr="00D66A79" w:rsidRDefault="0078724F" w:rsidP="0078724F">
      <w:pPr>
        <w:pStyle w:val="BodyText"/>
        <w:tabs>
          <w:tab w:val="left" w:pos="6971"/>
        </w:tabs>
        <w:rPr>
          <w:rFonts w:cs="Arial"/>
          <w:b/>
          <w:bCs/>
        </w:rPr>
      </w:pPr>
      <w:r w:rsidRPr="00D66A79">
        <w:rPr>
          <w:rFonts w:cs="Arial"/>
          <w:b/>
          <w:bCs/>
        </w:rPr>
        <w:lastRenderedPageBreak/>
        <w:t>Financial Instruments – Gains and Losses</w:t>
      </w:r>
    </w:p>
    <w:p w14:paraId="15027846" w14:textId="77777777" w:rsidR="0078724F" w:rsidRDefault="0078724F" w:rsidP="0078724F">
      <w:pPr>
        <w:pStyle w:val="BodyText"/>
        <w:tabs>
          <w:tab w:val="left" w:pos="6971"/>
        </w:tabs>
        <w:rPr>
          <w:rFonts w:cs="Arial"/>
          <w:bCs/>
        </w:rPr>
      </w:pPr>
      <w:r w:rsidRPr="00D66A79">
        <w:rPr>
          <w:rFonts w:cs="Arial"/>
          <w:bCs/>
        </w:rPr>
        <w:t>Gains and losses on Financial Instruments have been disclosed within note</w:t>
      </w:r>
      <w:r w:rsidR="007979F2" w:rsidRPr="00D66A79">
        <w:rPr>
          <w:rFonts w:cs="Arial"/>
          <w:bCs/>
        </w:rPr>
        <w:t xml:space="preserve"> 12</w:t>
      </w:r>
      <w:r w:rsidRPr="00D66A79">
        <w:rPr>
          <w:rFonts w:cs="Arial"/>
          <w:bCs/>
        </w:rPr>
        <w:t xml:space="preserve"> of the </w:t>
      </w:r>
      <w:r w:rsidR="00D87A9F" w:rsidRPr="00D66A79">
        <w:rPr>
          <w:rFonts w:cs="Arial"/>
          <w:bCs/>
        </w:rPr>
        <w:t>P</w:t>
      </w:r>
      <w:r w:rsidRPr="00D66A79">
        <w:rPr>
          <w:rFonts w:cs="Arial"/>
          <w:bCs/>
        </w:rPr>
        <w:t xml:space="preserve">ension </w:t>
      </w:r>
      <w:r w:rsidR="00D87A9F" w:rsidRPr="00D66A79">
        <w:rPr>
          <w:rFonts w:cs="Arial"/>
          <w:bCs/>
        </w:rPr>
        <w:t>F</w:t>
      </w:r>
      <w:r w:rsidRPr="00D66A79">
        <w:rPr>
          <w:rFonts w:cs="Arial"/>
          <w:bCs/>
        </w:rPr>
        <w:t>und accounts.</w:t>
      </w:r>
    </w:p>
    <w:p w14:paraId="1ACCC29D" w14:textId="77777777" w:rsidR="000C42D8" w:rsidRDefault="000C42D8" w:rsidP="0078724F">
      <w:pPr>
        <w:pStyle w:val="BodyText"/>
        <w:tabs>
          <w:tab w:val="left" w:pos="6971"/>
        </w:tabs>
        <w:rPr>
          <w:rFonts w:cs="Arial"/>
          <w:bCs/>
        </w:rPr>
      </w:pPr>
    </w:p>
    <w:p w14:paraId="3C52C8D1" w14:textId="77777777" w:rsidR="000C42D8" w:rsidRDefault="000C42D8" w:rsidP="0078724F">
      <w:pPr>
        <w:pStyle w:val="BodyText"/>
        <w:tabs>
          <w:tab w:val="left" w:pos="6971"/>
        </w:tabs>
        <w:rPr>
          <w:rFonts w:cs="Arial"/>
          <w:bCs/>
        </w:rPr>
      </w:pPr>
      <w:r>
        <w:rPr>
          <w:rFonts w:cs="Arial"/>
          <w:bCs/>
        </w:rPr>
        <w:t>IFRS9 introduced a new classification under the code :</w:t>
      </w:r>
    </w:p>
    <w:p w14:paraId="4EEED437" w14:textId="77777777" w:rsidR="000C42D8" w:rsidRDefault="000C42D8" w:rsidP="0078724F">
      <w:pPr>
        <w:pStyle w:val="BodyText"/>
        <w:tabs>
          <w:tab w:val="left" w:pos="6971"/>
        </w:tabs>
        <w:rPr>
          <w:rFonts w:cs="Arial"/>
          <w:bCs/>
        </w:rPr>
      </w:pPr>
    </w:p>
    <w:p w14:paraId="3B50171A" w14:textId="77777777" w:rsidR="000C42D8" w:rsidRDefault="000C42D8" w:rsidP="000C42D8">
      <w:pPr>
        <w:pStyle w:val="BodyText"/>
        <w:numPr>
          <w:ilvl w:val="0"/>
          <w:numId w:val="8"/>
        </w:numPr>
        <w:tabs>
          <w:tab w:val="left" w:pos="6971"/>
        </w:tabs>
        <w:rPr>
          <w:rFonts w:cs="Arial"/>
          <w:bCs/>
        </w:rPr>
      </w:pPr>
      <w:r>
        <w:rPr>
          <w:rFonts w:cs="Arial"/>
          <w:bCs/>
        </w:rPr>
        <w:t>recognition of expected loss allowances for financial assets at amortised cost, fair value through comprehensive income (FVOCI) assets, lease receivables, contract assets, loan commitments and financial guarantees.</w:t>
      </w:r>
    </w:p>
    <w:p w14:paraId="0A93011D" w14:textId="77777777" w:rsidR="002303CA" w:rsidRDefault="002303CA" w:rsidP="000C42D8">
      <w:pPr>
        <w:pStyle w:val="BodyText"/>
        <w:numPr>
          <w:ilvl w:val="0"/>
          <w:numId w:val="8"/>
        </w:numPr>
        <w:tabs>
          <w:tab w:val="left" w:pos="6971"/>
        </w:tabs>
        <w:rPr>
          <w:rFonts w:cs="Arial"/>
          <w:bCs/>
        </w:rPr>
      </w:pPr>
      <w:r>
        <w:rPr>
          <w:rFonts w:cs="Arial"/>
          <w:bCs/>
        </w:rPr>
        <w:t>the option of additional disclosures for hedge accounting.</w:t>
      </w:r>
    </w:p>
    <w:p w14:paraId="449E5FA5" w14:textId="77777777" w:rsidR="002303CA" w:rsidRDefault="002303CA" w:rsidP="002303CA">
      <w:pPr>
        <w:pStyle w:val="BodyText"/>
        <w:tabs>
          <w:tab w:val="left" w:pos="6971"/>
        </w:tabs>
        <w:rPr>
          <w:rFonts w:cs="Arial"/>
          <w:bCs/>
        </w:rPr>
      </w:pPr>
    </w:p>
    <w:p w14:paraId="0AC819EE" w14:textId="77777777" w:rsidR="002303CA" w:rsidRDefault="002303CA" w:rsidP="002303CA">
      <w:pPr>
        <w:pStyle w:val="BodyText"/>
        <w:tabs>
          <w:tab w:val="left" w:pos="6971"/>
        </w:tabs>
        <w:rPr>
          <w:rFonts w:cs="Arial"/>
          <w:bCs/>
        </w:rPr>
      </w:pPr>
      <w:r>
        <w:rPr>
          <w:rFonts w:cs="Arial"/>
          <w:bCs/>
        </w:rPr>
        <w:t>As the assets and liabilities held by the Pension Fund are already classed as fair value through profit and loss (FVTPL) and this is expected to continue, consequently there are no changes to the measurement or classification of investment assets and liabilities.</w:t>
      </w:r>
    </w:p>
    <w:p w14:paraId="399782E6" w14:textId="77777777" w:rsidR="0078724F" w:rsidRPr="005E4E65" w:rsidRDefault="0078724F" w:rsidP="0078724F">
      <w:pPr>
        <w:pStyle w:val="DefaultText"/>
        <w:tabs>
          <w:tab w:val="left" w:pos="720"/>
          <w:tab w:val="left" w:pos="1440"/>
          <w:tab w:val="left" w:pos="1925"/>
          <w:tab w:val="left" w:pos="3607"/>
          <w:tab w:val="left" w:pos="5058"/>
          <w:tab w:val="left" w:pos="6971"/>
        </w:tabs>
        <w:jc w:val="both"/>
        <w:rPr>
          <w:rFonts w:ascii="Arial" w:hAnsi="Arial" w:cs="Arial"/>
          <w:b/>
          <w:szCs w:val="24"/>
        </w:rPr>
      </w:pPr>
      <w:r w:rsidRPr="005E4E65">
        <w:rPr>
          <w:rFonts w:ascii="Arial" w:hAnsi="Arial" w:cs="Arial"/>
          <w:b/>
          <w:szCs w:val="24"/>
        </w:rPr>
        <w:t xml:space="preserve">Fair Value – Hierarchy </w:t>
      </w:r>
    </w:p>
    <w:p w14:paraId="04857751" w14:textId="77777777" w:rsidR="0078724F" w:rsidRPr="005E4E65" w:rsidRDefault="0078724F" w:rsidP="0078724F">
      <w:pPr>
        <w:pStyle w:val="NormalWeb"/>
        <w:tabs>
          <w:tab w:val="left" w:pos="6971"/>
        </w:tabs>
        <w:spacing w:before="0" w:after="0"/>
        <w:jc w:val="both"/>
        <w:rPr>
          <w:rFonts w:ascii="Arial" w:hAnsi="Arial" w:cs="Arial"/>
        </w:rPr>
      </w:pPr>
      <w:r w:rsidRPr="005E4E65">
        <w:rPr>
          <w:rFonts w:ascii="Arial" w:hAnsi="Arial" w:cs="Arial"/>
        </w:rPr>
        <w:t xml:space="preserve">The fair value hierarchy introduced as part of the new accounting Code under IFRS7 requires categorisation of assets based upon 3 levels of asset valuation inputs </w:t>
      </w:r>
      <w:r w:rsidR="00BC00F4">
        <w:rPr>
          <w:rFonts w:ascii="Arial" w:hAnsi="Arial" w:cs="Arial"/>
        </w:rPr>
        <w:t>:</w:t>
      </w:r>
      <w:r w:rsidRPr="005E4E65">
        <w:rPr>
          <w:rFonts w:ascii="Arial" w:hAnsi="Arial" w:cs="Arial"/>
        </w:rPr>
        <w:t xml:space="preserve"> </w:t>
      </w:r>
    </w:p>
    <w:p w14:paraId="0F3F1607" w14:textId="77777777" w:rsidR="0078724F" w:rsidRPr="005E4E65" w:rsidRDefault="0078724F" w:rsidP="0078724F">
      <w:pPr>
        <w:pStyle w:val="NormalWeb"/>
        <w:tabs>
          <w:tab w:val="left" w:pos="6971"/>
        </w:tabs>
        <w:spacing w:before="0" w:after="0"/>
        <w:jc w:val="both"/>
        <w:rPr>
          <w:rFonts w:ascii="Arial" w:hAnsi="Arial" w:cs="Arial"/>
        </w:rPr>
      </w:pPr>
      <w:r w:rsidRPr="005E4E65">
        <w:rPr>
          <w:rFonts w:ascii="Arial" w:hAnsi="Arial" w:cs="Arial"/>
        </w:rPr>
        <w:t xml:space="preserve"> </w:t>
      </w:r>
    </w:p>
    <w:p w14:paraId="023CB57B" w14:textId="77777777" w:rsidR="0078724F" w:rsidRPr="0020171D" w:rsidRDefault="0078724F" w:rsidP="009E72D7">
      <w:pPr>
        <w:numPr>
          <w:ilvl w:val="0"/>
          <w:numId w:val="10"/>
        </w:numPr>
        <w:tabs>
          <w:tab w:val="clear" w:pos="360"/>
          <w:tab w:val="num" w:pos="1080"/>
          <w:tab w:val="left" w:pos="6971"/>
        </w:tabs>
        <w:ind w:left="1080"/>
        <w:jc w:val="both"/>
        <w:rPr>
          <w:rFonts w:ascii="Arial" w:hAnsi="Arial" w:cs="Arial"/>
          <w:sz w:val="24"/>
          <w:szCs w:val="24"/>
        </w:rPr>
      </w:pPr>
      <w:r w:rsidRPr="0020171D">
        <w:rPr>
          <w:rFonts w:ascii="Arial" w:hAnsi="Arial" w:cs="Arial"/>
          <w:sz w:val="24"/>
          <w:szCs w:val="24"/>
        </w:rPr>
        <w:t xml:space="preserve">Level 1 </w:t>
      </w:r>
      <w:r w:rsidR="001E4F93">
        <w:rPr>
          <w:rFonts w:ascii="Arial" w:hAnsi="Arial" w:cs="Arial"/>
          <w:sz w:val="24"/>
          <w:szCs w:val="24"/>
        </w:rPr>
        <w:t>–</w:t>
      </w:r>
      <w:r w:rsidRPr="0020171D">
        <w:rPr>
          <w:rFonts w:ascii="Arial" w:hAnsi="Arial" w:cs="Arial"/>
          <w:sz w:val="24"/>
          <w:szCs w:val="24"/>
        </w:rPr>
        <w:t xml:space="preserve"> </w:t>
      </w:r>
      <w:r w:rsidR="001E4F93">
        <w:rPr>
          <w:rFonts w:ascii="Arial" w:hAnsi="Arial" w:cs="Arial"/>
          <w:sz w:val="24"/>
          <w:szCs w:val="24"/>
        </w:rPr>
        <w:t xml:space="preserve">where the fair values are derived from unadjusted quoted </w:t>
      </w:r>
      <w:r w:rsidRPr="0020171D">
        <w:rPr>
          <w:rFonts w:ascii="Arial" w:hAnsi="Arial" w:cs="Arial"/>
          <w:sz w:val="24"/>
          <w:szCs w:val="24"/>
        </w:rPr>
        <w:t>prices</w:t>
      </w:r>
      <w:r w:rsidR="001E4F93">
        <w:rPr>
          <w:rFonts w:ascii="Arial" w:hAnsi="Arial" w:cs="Arial"/>
          <w:sz w:val="24"/>
          <w:szCs w:val="24"/>
        </w:rPr>
        <w:t xml:space="preserve"> in active markets for identical assets or liabilities. Comprise quoted equities, quoted bonds and unit trusts.</w:t>
      </w:r>
      <w:r w:rsidRPr="0020171D">
        <w:rPr>
          <w:rFonts w:ascii="Arial" w:hAnsi="Arial" w:cs="Arial"/>
          <w:sz w:val="24"/>
          <w:szCs w:val="24"/>
        </w:rPr>
        <w:t xml:space="preserve"> </w:t>
      </w:r>
    </w:p>
    <w:p w14:paraId="6E0AE63B" w14:textId="77777777" w:rsidR="0078724F" w:rsidRPr="0020171D" w:rsidRDefault="0078724F" w:rsidP="007214A3">
      <w:pPr>
        <w:tabs>
          <w:tab w:val="left" w:pos="6971"/>
        </w:tabs>
        <w:ind w:left="720"/>
        <w:jc w:val="both"/>
        <w:rPr>
          <w:rFonts w:ascii="Arial" w:hAnsi="Arial" w:cs="Arial"/>
          <w:sz w:val="24"/>
          <w:szCs w:val="24"/>
        </w:rPr>
      </w:pPr>
    </w:p>
    <w:p w14:paraId="332F4844" w14:textId="77777777" w:rsidR="0078724F" w:rsidRPr="0020171D" w:rsidRDefault="0078724F" w:rsidP="009E72D7">
      <w:pPr>
        <w:numPr>
          <w:ilvl w:val="0"/>
          <w:numId w:val="10"/>
        </w:numPr>
        <w:tabs>
          <w:tab w:val="clear" w:pos="360"/>
          <w:tab w:val="num" w:pos="1080"/>
          <w:tab w:val="left" w:pos="6971"/>
        </w:tabs>
        <w:ind w:left="1080"/>
        <w:jc w:val="both"/>
        <w:rPr>
          <w:rFonts w:ascii="Arial" w:hAnsi="Arial" w:cs="Arial"/>
          <w:sz w:val="24"/>
          <w:szCs w:val="24"/>
        </w:rPr>
      </w:pPr>
      <w:r w:rsidRPr="0020171D">
        <w:rPr>
          <w:rFonts w:ascii="Arial" w:hAnsi="Arial" w:cs="Arial"/>
          <w:sz w:val="24"/>
          <w:szCs w:val="24"/>
        </w:rPr>
        <w:t xml:space="preserve">Level 2 </w:t>
      </w:r>
      <w:r w:rsidR="001E4F93">
        <w:rPr>
          <w:rFonts w:ascii="Arial" w:hAnsi="Arial" w:cs="Arial"/>
          <w:sz w:val="24"/>
          <w:szCs w:val="24"/>
        </w:rPr>
        <w:t>–</w:t>
      </w:r>
      <w:r w:rsidRPr="0020171D">
        <w:rPr>
          <w:rFonts w:ascii="Arial" w:hAnsi="Arial" w:cs="Arial"/>
          <w:sz w:val="24"/>
          <w:szCs w:val="24"/>
        </w:rPr>
        <w:t xml:space="preserve"> </w:t>
      </w:r>
      <w:r w:rsidR="001E4F93">
        <w:rPr>
          <w:rFonts w:ascii="Arial" w:hAnsi="Arial" w:cs="Arial"/>
          <w:sz w:val="24"/>
          <w:szCs w:val="24"/>
        </w:rPr>
        <w:t>where quoted market prices are not available, or where valuation techniques are used to determine fair value based on observable data.</w:t>
      </w:r>
      <w:r w:rsidRPr="0020171D">
        <w:rPr>
          <w:rFonts w:ascii="Arial" w:hAnsi="Arial" w:cs="Arial"/>
          <w:sz w:val="24"/>
          <w:szCs w:val="24"/>
        </w:rPr>
        <w:t xml:space="preserve"> </w:t>
      </w:r>
    </w:p>
    <w:p w14:paraId="37F43996" w14:textId="77777777" w:rsidR="0078724F" w:rsidRPr="0020171D" w:rsidRDefault="0078724F" w:rsidP="007214A3">
      <w:pPr>
        <w:tabs>
          <w:tab w:val="left" w:pos="6971"/>
        </w:tabs>
        <w:ind w:left="720"/>
        <w:jc w:val="both"/>
        <w:rPr>
          <w:rFonts w:ascii="Arial" w:hAnsi="Arial" w:cs="Arial"/>
          <w:sz w:val="24"/>
          <w:szCs w:val="24"/>
        </w:rPr>
      </w:pPr>
    </w:p>
    <w:p w14:paraId="2F520403" w14:textId="77777777" w:rsidR="0078724F" w:rsidRPr="0020171D" w:rsidRDefault="0078724F" w:rsidP="009E72D7">
      <w:pPr>
        <w:numPr>
          <w:ilvl w:val="0"/>
          <w:numId w:val="10"/>
        </w:numPr>
        <w:tabs>
          <w:tab w:val="clear" w:pos="360"/>
          <w:tab w:val="num" w:pos="1080"/>
          <w:tab w:val="left" w:pos="6971"/>
        </w:tabs>
        <w:ind w:left="1080"/>
        <w:jc w:val="both"/>
        <w:rPr>
          <w:rFonts w:ascii="Arial" w:hAnsi="Arial" w:cs="Arial"/>
          <w:sz w:val="24"/>
          <w:szCs w:val="24"/>
        </w:rPr>
      </w:pPr>
      <w:r w:rsidRPr="0020171D">
        <w:rPr>
          <w:rFonts w:ascii="Arial" w:hAnsi="Arial" w:cs="Arial"/>
          <w:sz w:val="24"/>
          <w:szCs w:val="24"/>
        </w:rPr>
        <w:t xml:space="preserve">Level 3 </w:t>
      </w:r>
      <w:r w:rsidR="001E4F93">
        <w:rPr>
          <w:rFonts w:ascii="Arial" w:hAnsi="Arial" w:cs="Arial"/>
          <w:sz w:val="24"/>
          <w:szCs w:val="24"/>
        </w:rPr>
        <w:t>–</w:t>
      </w:r>
      <w:r w:rsidRPr="0020171D">
        <w:rPr>
          <w:rFonts w:ascii="Arial" w:hAnsi="Arial" w:cs="Arial"/>
          <w:sz w:val="24"/>
          <w:szCs w:val="24"/>
        </w:rPr>
        <w:t xml:space="preserve"> </w:t>
      </w:r>
      <w:r w:rsidR="001E4F93">
        <w:rPr>
          <w:rFonts w:ascii="Arial" w:hAnsi="Arial" w:cs="Arial"/>
          <w:sz w:val="24"/>
          <w:szCs w:val="24"/>
        </w:rPr>
        <w:t>where at least one input that could have a significant effect on the instrument’s valuation is not based on observable market data</w:t>
      </w:r>
      <w:r w:rsidR="00BC00F4" w:rsidRPr="0020171D">
        <w:rPr>
          <w:rFonts w:ascii="Arial" w:hAnsi="Arial" w:cs="Arial"/>
          <w:sz w:val="24"/>
          <w:szCs w:val="24"/>
        </w:rPr>
        <w:t>.</w:t>
      </w:r>
    </w:p>
    <w:p w14:paraId="7870BCBB" w14:textId="77777777" w:rsidR="009909B2" w:rsidRDefault="009909B2" w:rsidP="0078724F">
      <w:pPr>
        <w:pStyle w:val="DefaultText"/>
        <w:tabs>
          <w:tab w:val="left" w:pos="720"/>
          <w:tab w:val="left" w:pos="1440"/>
          <w:tab w:val="left" w:pos="1925"/>
          <w:tab w:val="left" w:pos="3607"/>
          <w:tab w:val="left" w:pos="5058"/>
          <w:tab w:val="left" w:pos="6971"/>
        </w:tabs>
        <w:jc w:val="both"/>
        <w:rPr>
          <w:rFonts w:ascii="Arial" w:hAnsi="Arial" w:cs="Arial"/>
          <w:szCs w:val="24"/>
        </w:rPr>
      </w:pPr>
    </w:p>
    <w:p w14:paraId="18054361" w14:textId="77777777" w:rsidR="0078724F" w:rsidRDefault="0078724F" w:rsidP="00646766">
      <w:pPr>
        <w:pStyle w:val="DefaultText"/>
        <w:tabs>
          <w:tab w:val="left" w:pos="720"/>
          <w:tab w:val="left" w:pos="1440"/>
          <w:tab w:val="left" w:pos="1925"/>
          <w:tab w:val="left" w:pos="3607"/>
          <w:tab w:val="left" w:pos="5058"/>
          <w:tab w:val="left" w:pos="6971"/>
        </w:tabs>
        <w:jc w:val="both"/>
        <w:rPr>
          <w:rFonts w:ascii="Arial" w:hAnsi="Arial" w:cs="Arial"/>
          <w:szCs w:val="24"/>
        </w:rPr>
      </w:pPr>
      <w:r w:rsidRPr="00E65AA9">
        <w:rPr>
          <w:rFonts w:ascii="Arial" w:hAnsi="Arial" w:cs="Arial"/>
          <w:szCs w:val="24"/>
        </w:rPr>
        <w:t xml:space="preserve">The </w:t>
      </w:r>
      <w:r w:rsidR="001E4F93">
        <w:rPr>
          <w:rFonts w:ascii="Arial" w:hAnsi="Arial" w:cs="Arial"/>
          <w:szCs w:val="24"/>
        </w:rPr>
        <w:t xml:space="preserve">table on the </w:t>
      </w:r>
      <w:r w:rsidRPr="00E65AA9">
        <w:rPr>
          <w:rFonts w:ascii="Arial" w:hAnsi="Arial" w:cs="Arial"/>
          <w:szCs w:val="24"/>
        </w:rPr>
        <w:t xml:space="preserve">following </w:t>
      </w:r>
      <w:r w:rsidR="001E4F93">
        <w:rPr>
          <w:rFonts w:ascii="Arial" w:hAnsi="Arial" w:cs="Arial"/>
          <w:szCs w:val="24"/>
        </w:rPr>
        <w:t>page</w:t>
      </w:r>
      <w:r w:rsidRPr="00E65AA9">
        <w:rPr>
          <w:rFonts w:ascii="Arial" w:hAnsi="Arial" w:cs="Arial"/>
          <w:szCs w:val="24"/>
        </w:rPr>
        <w:t xml:space="preserve"> shows the position of the Fund’s assets at 31st March 20</w:t>
      </w:r>
      <w:r w:rsidR="009A250D">
        <w:rPr>
          <w:rFonts w:ascii="Arial" w:hAnsi="Arial" w:cs="Arial"/>
          <w:szCs w:val="24"/>
        </w:rPr>
        <w:t>2</w:t>
      </w:r>
      <w:r w:rsidR="00C92AC3">
        <w:rPr>
          <w:rFonts w:ascii="Arial" w:hAnsi="Arial" w:cs="Arial"/>
          <w:szCs w:val="24"/>
        </w:rPr>
        <w:t>1</w:t>
      </w:r>
      <w:r w:rsidR="00165C42">
        <w:rPr>
          <w:rFonts w:ascii="Arial" w:hAnsi="Arial" w:cs="Arial"/>
          <w:szCs w:val="24"/>
        </w:rPr>
        <w:t xml:space="preserve"> </w:t>
      </w:r>
      <w:r w:rsidR="009909B2">
        <w:rPr>
          <w:rFonts w:ascii="Arial" w:hAnsi="Arial" w:cs="Arial"/>
          <w:szCs w:val="24"/>
        </w:rPr>
        <w:t>and 20</w:t>
      </w:r>
      <w:r w:rsidR="00165C42">
        <w:rPr>
          <w:rFonts w:ascii="Arial" w:hAnsi="Arial" w:cs="Arial"/>
          <w:szCs w:val="24"/>
        </w:rPr>
        <w:t>2</w:t>
      </w:r>
      <w:r w:rsidR="00C92AC3">
        <w:rPr>
          <w:rFonts w:ascii="Arial" w:hAnsi="Arial" w:cs="Arial"/>
          <w:szCs w:val="24"/>
        </w:rPr>
        <w:t>2</w:t>
      </w:r>
      <w:r w:rsidRPr="00E65AA9">
        <w:rPr>
          <w:rFonts w:ascii="Arial" w:hAnsi="Arial" w:cs="Arial"/>
          <w:szCs w:val="24"/>
        </w:rPr>
        <w:t xml:space="preserve"> based upon this hierarchy.</w:t>
      </w:r>
    </w:p>
    <w:p w14:paraId="1CF69404" w14:textId="77777777" w:rsidR="00BD6307" w:rsidRDefault="00BD6307" w:rsidP="00646766">
      <w:pPr>
        <w:pStyle w:val="DefaultText"/>
        <w:tabs>
          <w:tab w:val="left" w:pos="720"/>
          <w:tab w:val="left" w:pos="1440"/>
          <w:tab w:val="left" w:pos="1925"/>
          <w:tab w:val="left" w:pos="3607"/>
          <w:tab w:val="left" w:pos="5058"/>
          <w:tab w:val="left" w:pos="6971"/>
        </w:tabs>
        <w:jc w:val="both"/>
        <w:rPr>
          <w:rFonts w:ascii="Arial" w:hAnsi="Arial" w:cs="Arial"/>
          <w:szCs w:val="24"/>
        </w:rPr>
      </w:pPr>
    </w:p>
    <w:p w14:paraId="3A9924A3" w14:textId="77777777" w:rsidR="00BD6307" w:rsidRPr="007979F2" w:rsidRDefault="00BD6307" w:rsidP="00646766">
      <w:pPr>
        <w:pStyle w:val="DefaultText"/>
        <w:tabs>
          <w:tab w:val="left" w:pos="720"/>
          <w:tab w:val="left" w:pos="1440"/>
          <w:tab w:val="left" w:pos="1925"/>
          <w:tab w:val="left" w:pos="3607"/>
          <w:tab w:val="left" w:pos="5058"/>
          <w:tab w:val="left" w:pos="6971"/>
        </w:tabs>
        <w:jc w:val="both"/>
        <w:rPr>
          <w:rFonts w:cs="Arial"/>
          <w:b/>
          <w:bCs/>
          <w:color w:val="FF0000"/>
        </w:rPr>
      </w:pPr>
    </w:p>
    <w:p w14:paraId="201F4A1F" w14:textId="77777777" w:rsidR="00646766" w:rsidRDefault="00646766" w:rsidP="00986FE4">
      <w:pPr>
        <w:pStyle w:val="BodyText"/>
        <w:tabs>
          <w:tab w:val="left" w:pos="6971"/>
        </w:tabs>
        <w:ind w:left="-180"/>
        <w:jc w:val="center"/>
        <w:rPr>
          <w:noProof/>
          <w:lang w:eastAsia="en-GB"/>
        </w:rPr>
      </w:pPr>
    </w:p>
    <w:p w14:paraId="6B6B56FC" w14:textId="77777777" w:rsidR="008804FD" w:rsidRDefault="008804FD" w:rsidP="00986FE4">
      <w:pPr>
        <w:pStyle w:val="BodyText"/>
        <w:tabs>
          <w:tab w:val="left" w:pos="6971"/>
        </w:tabs>
        <w:ind w:left="-180"/>
        <w:jc w:val="center"/>
        <w:rPr>
          <w:noProof/>
          <w:lang w:eastAsia="en-GB"/>
        </w:rPr>
      </w:pPr>
    </w:p>
    <w:p w14:paraId="0FF4E594" w14:textId="77777777" w:rsidR="008804FD" w:rsidRDefault="008804FD" w:rsidP="00986FE4">
      <w:pPr>
        <w:pStyle w:val="BodyText"/>
        <w:tabs>
          <w:tab w:val="left" w:pos="6971"/>
        </w:tabs>
        <w:ind w:left="-180"/>
        <w:jc w:val="center"/>
        <w:rPr>
          <w:noProof/>
          <w:lang w:eastAsia="en-GB"/>
        </w:rPr>
      </w:pPr>
    </w:p>
    <w:p w14:paraId="41182520" w14:textId="77777777" w:rsidR="008804FD" w:rsidRDefault="008804FD" w:rsidP="00986FE4">
      <w:pPr>
        <w:pStyle w:val="BodyText"/>
        <w:tabs>
          <w:tab w:val="left" w:pos="6971"/>
        </w:tabs>
        <w:ind w:left="-180"/>
        <w:jc w:val="center"/>
        <w:rPr>
          <w:noProof/>
          <w:lang w:eastAsia="en-GB"/>
        </w:rPr>
      </w:pPr>
    </w:p>
    <w:p w14:paraId="5655059B" w14:textId="77777777" w:rsidR="008804FD" w:rsidRDefault="008804FD" w:rsidP="00986FE4">
      <w:pPr>
        <w:pStyle w:val="BodyText"/>
        <w:tabs>
          <w:tab w:val="left" w:pos="6971"/>
        </w:tabs>
        <w:ind w:left="-180"/>
        <w:jc w:val="center"/>
        <w:rPr>
          <w:noProof/>
          <w:lang w:eastAsia="en-GB"/>
        </w:rPr>
      </w:pPr>
    </w:p>
    <w:p w14:paraId="16C4E201" w14:textId="77777777" w:rsidR="008804FD" w:rsidRDefault="008804FD" w:rsidP="00986FE4">
      <w:pPr>
        <w:pStyle w:val="BodyText"/>
        <w:tabs>
          <w:tab w:val="left" w:pos="6971"/>
        </w:tabs>
        <w:ind w:left="-180"/>
        <w:jc w:val="center"/>
        <w:rPr>
          <w:noProof/>
          <w:lang w:eastAsia="en-GB"/>
        </w:rPr>
      </w:pPr>
    </w:p>
    <w:p w14:paraId="1A1EF9E9" w14:textId="77777777" w:rsidR="008804FD" w:rsidRDefault="008804FD" w:rsidP="00986FE4">
      <w:pPr>
        <w:pStyle w:val="BodyText"/>
        <w:tabs>
          <w:tab w:val="left" w:pos="6971"/>
        </w:tabs>
        <w:ind w:left="-180"/>
        <w:jc w:val="center"/>
        <w:rPr>
          <w:noProof/>
          <w:lang w:eastAsia="en-GB"/>
        </w:rPr>
      </w:pPr>
    </w:p>
    <w:p w14:paraId="3166264E" w14:textId="77777777" w:rsidR="008804FD" w:rsidRDefault="008804FD" w:rsidP="00986FE4">
      <w:pPr>
        <w:pStyle w:val="BodyText"/>
        <w:tabs>
          <w:tab w:val="left" w:pos="6971"/>
        </w:tabs>
        <w:ind w:left="-180"/>
        <w:jc w:val="center"/>
        <w:rPr>
          <w:noProof/>
          <w:lang w:eastAsia="en-GB"/>
        </w:rPr>
      </w:pPr>
    </w:p>
    <w:p w14:paraId="36D83CD4" w14:textId="77777777" w:rsidR="008804FD" w:rsidRDefault="008804FD" w:rsidP="00986FE4">
      <w:pPr>
        <w:pStyle w:val="BodyText"/>
        <w:tabs>
          <w:tab w:val="left" w:pos="6971"/>
        </w:tabs>
        <w:ind w:left="-180"/>
        <w:jc w:val="center"/>
        <w:rPr>
          <w:noProof/>
          <w:lang w:eastAsia="en-GB"/>
        </w:rPr>
      </w:pPr>
    </w:p>
    <w:p w14:paraId="20A2573A" w14:textId="77777777" w:rsidR="008804FD" w:rsidRDefault="008804FD" w:rsidP="00986FE4">
      <w:pPr>
        <w:pStyle w:val="BodyText"/>
        <w:tabs>
          <w:tab w:val="left" w:pos="6971"/>
        </w:tabs>
        <w:ind w:left="-180"/>
        <w:jc w:val="center"/>
        <w:rPr>
          <w:noProof/>
          <w:lang w:eastAsia="en-GB"/>
        </w:rPr>
      </w:pPr>
    </w:p>
    <w:p w14:paraId="0EF9071E" w14:textId="77777777" w:rsidR="008804FD" w:rsidRDefault="008804FD" w:rsidP="00986FE4">
      <w:pPr>
        <w:pStyle w:val="BodyText"/>
        <w:tabs>
          <w:tab w:val="left" w:pos="6971"/>
        </w:tabs>
        <w:ind w:left="-180"/>
        <w:jc w:val="center"/>
        <w:rPr>
          <w:noProof/>
          <w:lang w:eastAsia="en-GB"/>
        </w:rPr>
      </w:pPr>
    </w:p>
    <w:p w14:paraId="0292C279" w14:textId="77777777" w:rsidR="008804FD" w:rsidRDefault="008804FD" w:rsidP="00986FE4">
      <w:pPr>
        <w:pStyle w:val="BodyText"/>
        <w:tabs>
          <w:tab w:val="left" w:pos="6971"/>
        </w:tabs>
        <w:ind w:left="-180"/>
        <w:jc w:val="center"/>
        <w:rPr>
          <w:noProof/>
          <w:lang w:eastAsia="en-GB"/>
        </w:rPr>
      </w:pPr>
    </w:p>
    <w:p w14:paraId="533B54C0" w14:textId="77777777" w:rsidR="008804FD" w:rsidRDefault="008804FD" w:rsidP="00986FE4">
      <w:pPr>
        <w:pStyle w:val="BodyText"/>
        <w:tabs>
          <w:tab w:val="left" w:pos="6971"/>
        </w:tabs>
        <w:ind w:left="-180"/>
        <w:jc w:val="center"/>
        <w:rPr>
          <w:noProof/>
          <w:lang w:eastAsia="en-GB"/>
        </w:rPr>
      </w:pPr>
    </w:p>
    <w:p w14:paraId="262F3DD1" w14:textId="77777777" w:rsidR="008804FD" w:rsidRDefault="008804FD" w:rsidP="00986FE4">
      <w:pPr>
        <w:pStyle w:val="BodyText"/>
        <w:tabs>
          <w:tab w:val="left" w:pos="6971"/>
        </w:tabs>
        <w:ind w:left="-180"/>
        <w:jc w:val="center"/>
        <w:rPr>
          <w:noProof/>
          <w:lang w:eastAsia="en-GB"/>
        </w:rPr>
      </w:pPr>
    </w:p>
    <w:p w14:paraId="7D635343" w14:textId="77777777" w:rsidR="008804FD" w:rsidRDefault="008804FD" w:rsidP="00986FE4">
      <w:pPr>
        <w:pStyle w:val="BodyText"/>
        <w:tabs>
          <w:tab w:val="left" w:pos="6971"/>
        </w:tabs>
        <w:ind w:left="-180"/>
        <w:jc w:val="center"/>
        <w:rPr>
          <w:noProof/>
          <w:lang w:eastAsia="en-GB"/>
        </w:rPr>
      </w:pPr>
    </w:p>
    <w:p w14:paraId="667E3776" w14:textId="77777777" w:rsidR="001E4F93" w:rsidRDefault="001E4F93" w:rsidP="00986FE4">
      <w:pPr>
        <w:pStyle w:val="BodyText"/>
        <w:tabs>
          <w:tab w:val="left" w:pos="6971"/>
        </w:tabs>
        <w:ind w:left="-180"/>
        <w:jc w:val="center"/>
        <w:rPr>
          <w:noProof/>
          <w:lang w:eastAsia="en-GB"/>
        </w:rPr>
      </w:pPr>
    </w:p>
    <w:p w14:paraId="1322891B" w14:textId="77777777" w:rsidR="001E4F93" w:rsidRDefault="001E4F93" w:rsidP="00986FE4">
      <w:pPr>
        <w:pStyle w:val="BodyText"/>
        <w:tabs>
          <w:tab w:val="left" w:pos="6971"/>
        </w:tabs>
        <w:ind w:left="-180"/>
        <w:jc w:val="center"/>
        <w:rPr>
          <w:noProof/>
          <w:lang w:eastAsia="en-GB"/>
        </w:rPr>
      </w:pPr>
    </w:p>
    <w:p w14:paraId="2EF27F1E" w14:textId="77777777" w:rsidR="008F5CB7" w:rsidRDefault="008F5CB7" w:rsidP="00986FE4">
      <w:pPr>
        <w:pStyle w:val="BodyText"/>
        <w:tabs>
          <w:tab w:val="left" w:pos="6971"/>
        </w:tabs>
        <w:ind w:left="-180"/>
        <w:jc w:val="center"/>
        <w:rPr>
          <w:noProof/>
          <w:lang w:eastAsia="en-GB"/>
        </w:rPr>
      </w:pPr>
    </w:p>
    <w:p w14:paraId="28035F1E" w14:textId="1D97B308" w:rsidR="008F5CB7" w:rsidRDefault="00516E75" w:rsidP="00986FE4">
      <w:pPr>
        <w:pStyle w:val="BodyText"/>
        <w:tabs>
          <w:tab w:val="left" w:pos="6971"/>
        </w:tabs>
        <w:ind w:left="-180"/>
        <w:jc w:val="center"/>
        <w:rPr>
          <w:noProof/>
          <w:lang w:eastAsia="en-GB"/>
        </w:rPr>
      </w:pPr>
      <w:r>
        <w:rPr>
          <w:noProof/>
        </w:rPr>
        <w:drawing>
          <wp:inline distT="0" distB="0" distL="0" distR="0" wp14:anchorId="23D67E5A" wp14:editId="24B70DC3">
            <wp:extent cx="4254500" cy="743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4500" cy="7435850"/>
                    </a:xfrm>
                    <a:prstGeom prst="rect">
                      <a:avLst/>
                    </a:prstGeom>
                    <a:noFill/>
                    <a:ln>
                      <a:noFill/>
                    </a:ln>
                  </pic:spPr>
                </pic:pic>
              </a:graphicData>
            </a:graphic>
          </wp:inline>
        </w:drawing>
      </w:r>
    </w:p>
    <w:p w14:paraId="2464C4BD" w14:textId="77777777" w:rsidR="00BC3FBE" w:rsidRDefault="00BC3FBE" w:rsidP="00986FE4">
      <w:pPr>
        <w:pStyle w:val="BodyText"/>
        <w:tabs>
          <w:tab w:val="left" w:pos="6971"/>
        </w:tabs>
        <w:ind w:left="-180"/>
        <w:jc w:val="center"/>
        <w:rPr>
          <w:noProof/>
          <w:lang w:eastAsia="en-GB"/>
        </w:rPr>
      </w:pPr>
    </w:p>
    <w:p w14:paraId="48DC3B09" w14:textId="77777777" w:rsidR="00BC3FBE" w:rsidRDefault="00BC3FBE" w:rsidP="00986FE4">
      <w:pPr>
        <w:pStyle w:val="BodyText"/>
        <w:tabs>
          <w:tab w:val="left" w:pos="6971"/>
        </w:tabs>
        <w:ind w:left="-180"/>
        <w:jc w:val="center"/>
        <w:rPr>
          <w:noProof/>
          <w:lang w:eastAsia="en-GB"/>
        </w:rPr>
      </w:pPr>
    </w:p>
    <w:p w14:paraId="43D1A0D6" w14:textId="77777777" w:rsidR="00BC3FBE" w:rsidRDefault="00BC3FBE" w:rsidP="00986FE4">
      <w:pPr>
        <w:pStyle w:val="BodyText"/>
        <w:tabs>
          <w:tab w:val="left" w:pos="6971"/>
        </w:tabs>
        <w:ind w:left="-180"/>
        <w:jc w:val="center"/>
        <w:rPr>
          <w:noProof/>
          <w:lang w:eastAsia="en-GB"/>
        </w:rPr>
      </w:pPr>
    </w:p>
    <w:p w14:paraId="5C14000A" w14:textId="77777777" w:rsidR="004D24DD" w:rsidRDefault="004D24DD" w:rsidP="00986FE4">
      <w:pPr>
        <w:pStyle w:val="BodyText"/>
        <w:tabs>
          <w:tab w:val="left" w:pos="6971"/>
        </w:tabs>
        <w:ind w:left="-180"/>
        <w:jc w:val="center"/>
        <w:rPr>
          <w:noProof/>
          <w:lang w:eastAsia="en-GB"/>
        </w:rPr>
      </w:pPr>
    </w:p>
    <w:p w14:paraId="065278B9" w14:textId="77777777" w:rsidR="00BC3FBE" w:rsidRDefault="00BC3FBE" w:rsidP="00986FE4">
      <w:pPr>
        <w:pStyle w:val="BodyText"/>
        <w:tabs>
          <w:tab w:val="left" w:pos="6971"/>
        </w:tabs>
        <w:ind w:left="-180"/>
        <w:jc w:val="center"/>
        <w:rPr>
          <w:noProof/>
          <w:lang w:eastAsia="en-GB"/>
        </w:rPr>
      </w:pPr>
    </w:p>
    <w:p w14:paraId="24EDF2B4" w14:textId="77777777" w:rsidR="00165C42" w:rsidRDefault="00165C42" w:rsidP="00986FE4">
      <w:pPr>
        <w:pStyle w:val="BodyText"/>
        <w:tabs>
          <w:tab w:val="left" w:pos="6971"/>
        </w:tabs>
        <w:ind w:left="-180"/>
        <w:jc w:val="center"/>
        <w:rPr>
          <w:noProof/>
          <w:lang w:eastAsia="en-GB"/>
        </w:rPr>
      </w:pPr>
    </w:p>
    <w:tbl>
      <w:tblPr>
        <w:tblW w:w="9717" w:type="dxa"/>
        <w:tblInd w:w="108" w:type="dxa"/>
        <w:tblLook w:val="04A0" w:firstRow="1" w:lastRow="0" w:firstColumn="1" w:lastColumn="0" w:noHBand="0" w:noVBand="1"/>
      </w:tblPr>
      <w:tblGrid>
        <w:gridCol w:w="3066"/>
        <w:gridCol w:w="1368"/>
        <w:gridCol w:w="1969"/>
        <w:gridCol w:w="1569"/>
        <w:gridCol w:w="1745"/>
      </w:tblGrid>
      <w:tr w:rsidR="00166220" w:rsidRPr="00166220" w14:paraId="7B2DDA5A" w14:textId="77777777" w:rsidTr="00166220">
        <w:trPr>
          <w:trHeight w:val="312"/>
        </w:trPr>
        <w:tc>
          <w:tcPr>
            <w:tcW w:w="9717" w:type="dxa"/>
            <w:gridSpan w:val="5"/>
            <w:tcBorders>
              <w:top w:val="nil"/>
              <w:left w:val="nil"/>
              <w:bottom w:val="nil"/>
              <w:right w:val="nil"/>
            </w:tcBorders>
            <w:shd w:val="clear" w:color="000000" w:fill="FFFFFF"/>
            <w:noWrap/>
            <w:vAlign w:val="bottom"/>
            <w:hideMark/>
          </w:tcPr>
          <w:p w14:paraId="57849E48" w14:textId="77777777" w:rsidR="00166220" w:rsidRDefault="00166220" w:rsidP="00166220">
            <w:pPr>
              <w:jc w:val="both"/>
              <w:rPr>
                <w:rFonts w:ascii="Arial" w:hAnsi="Arial" w:cs="Arial"/>
                <w:b/>
                <w:bCs/>
                <w:sz w:val="24"/>
                <w:szCs w:val="24"/>
                <w:lang w:eastAsia="en-GB"/>
              </w:rPr>
            </w:pPr>
            <w:r w:rsidRPr="00166220">
              <w:rPr>
                <w:rFonts w:ascii="Arial" w:hAnsi="Arial" w:cs="Arial"/>
                <w:b/>
                <w:bCs/>
                <w:sz w:val="24"/>
                <w:szCs w:val="24"/>
                <w:lang w:eastAsia="en-GB"/>
              </w:rPr>
              <w:lastRenderedPageBreak/>
              <w:t>Fair Value of Investments cont'd - Fair Value Hierarchy - Basis of Valuation</w:t>
            </w:r>
          </w:p>
          <w:p w14:paraId="15B92785" w14:textId="77777777" w:rsidR="008F5CB7" w:rsidRPr="00166220" w:rsidRDefault="008F5CB7" w:rsidP="00166220">
            <w:pPr>
              <w:jc w:val="both"/>
              <w:rPr>
                <w:rFonts w:ascii="Arial" w:hAnsi="Arial" w:cs="Arial"/>
                <w:b/>
                <w:bCs/>
                <w:sz w:val="24"/>
                <w:szCs w:val="24"/>
                <w:lang w:eastAsia="en-GB"/>
              </w:rPr>
            </w:pPr>
          </w:p>
        </w:tc>
      </w:tr>
      <w:tr w:rsidR="00166220" w:rsidRPr="00166220" w14:paraId="1F74AB66" w14:textId="77777777" w:rsidTr="00166220">
        <w:trPr>
          <w:trHeight w:val="195"/>
        </w:trPr>
        <w:tc>
          <w:tcPr>
            <w:tcW w:w="3066" w:type="dxa"/>
            <w:tcBorders>
              <w:top w:val="nil"/>
              <w:left w:val="nil"/>
              <w:bottom w:val="nil"/>
              <w:right w:val="nil"/>
            </w:tcBorders>
            <w:shd w:val="clear" w:color="000000" w:fill="FFFFFF"/>
            <w:noWrap/>
            <w:vAlign w:val="bottom"/>
            <w:hideMark/>
          </w:tcPr>
          <w:p w14:paraId="291EA203" w14:textId="77777777" w:rsidR="00166220" w:rsidRPr="00166220" w:rsidRDefault="00166220" w:rsidP="00166220">
            <w:pPr>
              <w:jc w:val="both"/>
              <w:rPr>
                <w:rFonts w:ascii="Arial" w:hAnsi="Arial" w:cs="Arial"/>
                <w:b/>
                <w:bCs/>
                <w:sz w:val="16"/>
                <w:szCs w:val="16"/>
                <w:lang w:eastAsia="en-GB"/>
              </w:rPr>
            </w:pPr>
            <w:r w:rsidRPr="00166220">
              <w:rPr>
                <w:rFonts w:ascii="Arial" w:hAnsi="Arial" w:cs="Arial"/>
                <w:b/>
                <w:bCs/>
                <w:sz w:val="16"/>
                <w:szCs w:val="16"/>
                <w:lang w:eastAsia="en-GB"/>
              </w:rPr>
              <w:t> </w:t>
            </w:r>
          </w:p>
        </w:tc>
        <w:tc>
          <w:tcPr>
            <w:tcW w:w="1368" w:type="dxa"/>
            <w:tcBorders>
              <w:top w:val="nil"/>
              <w:left w:val="nil"/>
              <w:bottom w:val="nil"/>
              <w:right w:val="nil"/>
            </w:tcBorders>
            <w:shd w:val="clear" w:color="000000" w:fill="FFFFFF"/>
            <w:hideMark/>
          </w:tcPr>
          <w:p w14:paraId="173A158C" w14:textId="77777777" w:rsidR="00166220" w:rsidRPr="00166220" w:rsidRDefault="00166220" w:rsidP="00166220">
            <w:pPr>
              <w:rPr>
                <w:rFonts w:ascii="Arial (W1)" w:hAnsi="Arial (W1)" w:cs="Arial"/>
                <w:sz w:val="16"/>
                <w:szCs w:val="16"/>
                <w:lang w:eastAsia="en-GB"/>
              </w:rPr>
            </w:pPr>
            <w:r w:rsidRPr="00166220">
              <w:rPr>
                <w:rFonts w:ascii="Arial (W1)" w:hAnsi="Arial (W1)" w:cs="Arial"/>
                <w:sz w:val="16"/>
                <w:szCs w:val="16"/>
                <w:lang w:eastAsia="en-GB"/>
              </w:rPr>
              <w:t> </w:t>
            </w:r>
          </w:p>
        </w:tc>
        <w:tc>
          <w:tcPr>
            <w:tcW w:w="1969" w:type="dxa"/>
            <w:tcBorders>
              <w:top w:val="nil"/>
              <w:left w:val="nil"/>
              <w:bottom w:val="nil"/>
              <w:right w:val="nil"/>
            </w:tcBorders>
            <w:shd w:val="clear" w:color="000000" w:fill="FFFFFF"/>
            <w:hideMark/>
          </w:tcPr>
          <w:p w14:paraId="2A596823" w14:textId="77777777" w:rsidR="00166220" w:rsidRPr="00166220" w:rsidRDefault="00166220" w:rsidP="00166220">
            <w:pPr>
              <w:rPr>
                <w:rFonts w:ascii="Arial (W1)" w:hAnsi="Arial (W1)" w:cs="Arial"/>
                <w:sz w:val="16"/>
                <w:szCs w:val="16"/>
                <w:lang w:eastAsia="en-GB"/>
              </w:rPr>
            </w:pPr>
            <w:r w:rsidRPr="00166220">
              <w:rPr>
                <w:rFonts w:ascii="Arial (W1)" w:hAnsi="Arial (W1)" w:cs="Arial"/>
                <w:sz w:val="16"/>
                <w:szCs w:val="16"/>
                <w:lang w:eastAsia="en-GB"/>
              </w:rPr>
              <w:t> </w:t>
            </w:r>
          </w:p>
        </w:tc>
        <w:tc>
          <w:tcPr>
            <w:tcW w:w="1569" w:type="dxa"/>
            <w:tcBorders>
              <w:top w:val="nil"/>
              <w:left w:val="nil"/>
              <w:bottom w:val="nil"/>
              <w:right w:val="nil"/>
            </w:tcBorders>
            <w:shd w:val="clear" w:color="000000" w:fill="FFFFFF"/>
            <w:hideMark/>
          </w:tcPr>
          <w:p w14:paraId="42FCDD1B" w14:textId="77777777" w:rsidR="00166220" w:rsidRPr="00166220" w:rsidRDefault="00166220" w:rsidP="00166220">
            <w:pPr>
              <w:rPr>
                <w:rFonts w:ascii="Arial (W1)" w:hAnsi="Arial (W1)" w:cs="Arial"/>
                <w:sz w:val="16"/>
                <w:szCs w:val="16"/>
                <w:lang w:eastAsia="en-GB"/>
              </w:rPr>
            </w:pPr>
            <w:r w:rsidRPr="00166220">
              <w:rPr>
                <w:rFonts w:ascii="Arial (W1)" w:hAnsi="Arial (W1)" w:cs="Arial"/>
                <w:sz w:val="16"/>
                <w:szCs w:val="16"/>
                <w:lang w:eastAsia="en-GB"/>
              </w:rPr>
              <w:t> </w:t>
            </w:r>
          </w:p>
        </w:tc>
        <w:tc>
          <w:tcPr>
            <w:tcW w:w="1745" w:type="dxa"/>
            <w:tcBorders>
              <w:top w:val="nil"/>
              <w:left w:val="nil"/>
              <w:bottom w:val="nil"/>
              <w:right w:val="nil"/>
            </w:tcBorders>
            <w:shd w:val="clear" w:color="000000" w:fill="FFFFFF"/>
            <w:hideMark/>
          </w:tcPr>
          <w:p w14:paraId="79BB3F34" w14:textId="77777777" w:rsidR="00166220" w:rsidRPr="00166220" w:rsidRDefault="00166220" w:rsidP="00166220">
            <w:pPr>
              <w:rPr>
                <w:rFonts w:ascii="Arial (W1)" w:hAnsi="Arial (W1)" w:cs="Arial"/>
                <w:sz w:val="16"/>
                <w:szCs w:val="16"/>
                <w:lang w:eastAsia="en-GB"/>
              </w:rPr>
            </w:pPr>
            <w:r w:rsidRPr="00166220">
              <w:rPr>
                <w:rFonts w:ascii="Arial (W1)" w:hAnsi="Arial (W1)" w:cs="Arial"/>
                <w:sz w:val="16"/>
                <w:szCs w:val="16"/>
                <w:lang w:eastAsia="en-GB"/>
              </w:rPr>
              <w:t> </w:t>
            </w:r>
          </w:p>
        </w:tc>
      </w:tr>
      <w:tr w:rsidR="00166220" w:rsidRPr="00166220" w14:paraId="179EC5F0" w14:textId="77777777" w:rsidTr="00166220">
        <w:trPr>
          <w:trHeight w:val="1248"/>
        </w:trPr>
        <w:tc>
          <w:tcPr>
            <w:tcW w:w="3066" w:type="dxa"/>
            <w:tcBorders>
              <w:top w:val="single" w:sz="4" w:space="0" w:color="auto"/>
              <w:left w:val="single" w:sz="4" w:space="0" w:color="auto"/>
              <w:bottom w:val="single" w:sz="4" w:space="0" w:color="auto"/>
              <w:right w:val="single" w:sz="4" w:space="0" w:color="auto"/>
            </w:tcBorders>
            <w:shd w:val="clear" w:color="000000" w:fill="D9D9D9"/>
            <w:hideMark/>
          </w:tcPr>
          <w:p w14:paraId="59E0251F" w14:textId="77777777" w:rsidR="00166220" w:rsidRPr="00166220" w:rsidRDefault="00166220" w:rsidP="00166220">
            <w:pPr>
              <w:rPr>
                <w:rFonts w:ascii="Arial" w:hAnsi="Arial" w:cs="Arial"/>
                <w:b/>
                <w:bCs/>
                <w:sz w:val="16"/>
                <w:szCs w:val="16"/>
                <w:lang w:eastAsia="en-GB"/>
              </w:rPr>
            </w:pPr>
            <w:r w:rsidRPr="00166220">
              <w:rPr>
                <w:rFonts w:ascii="Arial" w:hAnsi="Arial" w:cs="Arial"/>
                <w:b/>
                <w:bCs/>
                <w:sz w:val="16"/>
                <w:szCs w:val="16"/>
                <w:lang w:eastAsia="en-GB"/>
              </w:rPr>
              <w:t>Description of Asset</w:t>
            </w:r>
          </w:p>
        </w:tc>
        <w:tc>
          <w:tcPr>
            <w:tcW w:w="1368" w:type="dxa"/>
            <w:tcBorders>
              <w:top w:val="single" w:sz="4" w:space="0" w:color="auto"/>
              <w:left w:val="nil"/>
              <w:bottom w:val="single" w:sz="4" w:space="0" w:color="auto"/>
              <w:right w:val="single" w:sz="4" w:space="0" w:color="auto"/>
            </w:tcBorders>
            <w:shd w:val="clear" w:color="000000" w:fill="D9D9D9"/>
            <w:hideMark/>
          </w:tcPr>
          <w:p w14:paraId="06FCF187" w14:textId="77777777" w:rsidR="00166220" w:rsidRPr="00166220" w:rsidRDefault="00166220" w:rsidP="00166220">
            <w:pPr>
              <w:jc w:val="center"/>
              <w:rPr>
                <w:rFonts w:ascii="Arial" w:hAnsi="Arial" w:cs="Arial"/>
                <w:b/>
                <w:bCs/>
                <w:sz w:val="16"/>
                <w:szCs w:val="16"/>
                <w:lang w:eastAsia="en-GB"/>
              </w:rPr>
            </w:pPr>
            <w:r w:rsidRPr="00166220">
              <w:rPr>
                <w:rFonts w:ascii="Arial" w:hAnsi="Arial" w:cs="Arial"/>
                <w:b/>
                <w:bCs/>
                <w:sz w:val="16"/>
                <w:szCs w:val="16"/>
                <w:lang w:eastAsia="en-GB"/>
              </w:rPr>
              <w:t>Valuation Hierarchy</w:t>
            </w:r>
          </w:p>
        </w:tc>
        <w:tc>
          <w:tcPr>
            <w:tcW w:w="1969" w:type="dxa"/>
            <w:tcBorders>
              <w:top w:val="single" w:sz="4" w:space="0" w:color="auto"/>
              <w:left w:val="nil"/>
              <w:bottom w:val="single" w:sz="4" w:space="0" w:color="auto"/>
              <w:right w:val="single" w:sz="4" w:space="0" w:color="auto"/>
            </w:tcBorders>
            <w:shd w:val="clear" w:color="000000" w:fill="D9D9D9"/>
            <w:hideMark/>
          </w:tcPr>
          <w:p w14:paraId="30CA84A9" w14:textId="77777777" w:rsidR="00166220" w:rsidRPr="00166220" w:rsidRDefault="00166220" w:rsidP="00166220">
            <w:pPr>
              <w:rPr>
                <w:rFonts w:ascii="Arial" w:hAnsi="Arial" w:cs="Arial"/>
                <w:b/>
                <w:bCs/>
                <w:sz w:val="16"/>
                <w:szCs w:val="16"/>
                <w:lang w:eastAsia="en-GB"/>
              </w:rPr>
            </w:pPr>
            <w:r w:rsidRPr="00166220">
              <w:rPr>
                <w:rFonts w:ascii="Arial" w:hAnsi="Arial" w:cs="Arial"/>
                <w:b/>
                <w:bCs/>
                <w:sz w:val="16"/>
                <w:szCs w:val="16"/>
                <w:lang w:eastAsia="en-GB"/>
              </w:rPr>
              <w:t>Basis of Valuation</w:t>
            </w:r>
          </w:p>
        </w:tc>
        <w:tc>
          <w:tcPr>
            <w:tcW w:w="1569" w:type="dxa"/>
            <w:tcBorders>
              <w:top w:val="single" w:sz="4" w:space="0" w:color="auto"/>
              <w:left w:val="nil"/>
              <w:bottom w:val="single" w:sz="4" w:space="0" w:color="auto"/>
              <w:right w:val="single" w:sz="4" w:space="0" w:color="auto"/>
            </w:tcBorders>
            <w:shd w:val="clear" w:color="000000" w:fill="D9D9D9"/>
            <w:hideMark/>
          </w:tcPr>
          <w:p w14:paraId="64501F35" w14:textId="77777777" w:rsidR="00166220" w:rsidRPr="00166220" w:rsidRDefault="00166220" w:rsidP="00166220">
            <w:pPr>
              <w:jc w:val="center"/>
              <w:rPr>
                <w:rFonts w:ascii="Arial" w:hAnsi="Arial" w:cs="Arial"/>
                <w:b/>
                <w:bCs/>
                <w:sz w:val="16"/>
                <w:szCs w:val="16"/>
                <w:lang w:eastAsia="en-GB"/>
              </w:rPr>
            </w:pPr>
            <w:r w:rsidRPr="00166220">
              <w:rPr>
                <w:rFonts w:ascii="Arial" w:hAnsi="Arial" w:cs="Arial"/>
                <w:b/>
                <w:bCs/>
                <w:sz w:val="16"/>
                <w:szCs w:val="16"/>
                <w:lang w:eastAsia="en-GB"/>
              </w:rPr>
              <w:t>Observable &amp; unobservable inputs</w:t>
            </w:r>
          </w:p>
        </w:tc>
        <w:tc>
          <w:tcPr>
            <w:tcW w:w="1745" w:type="dxa"/>
            <w:tcBorders>
              <w:top w:val="single" w:sz="4" w:space="0" w:color="auto"/>
              <w:left w:val="nil"/>
              <w:bottom w:val="single" w:sz="4" w:space="0" w:color="auto"/>
              <w:right w:val="single" w:sz="4" w:space="0" w:color="auto"/>
            </w:tcBorders>
            <w:shd w:val="clear" w:color="000000" w:fill="D9D9D9"/>
            <w:hideMark/>
          </w:tcPr>
          <w:p w14:paraId="70CA2FF5" w14:textId="77777777" w:rsidR="00166220" w:rsidRPr="00166220" w:rsidRDefault="00166220" w:rsidP="00166220">
            <w:pPr>
              <w:jc w:val="center"/>
              <w:rPr>
                <w:rFonts w:ascii="Arial" w:hAnsi="Arial" w:cs="Arial"/>
                <w:b/>
                <w:bCs/>
                <w:sz w:val="16"/>
                <w:szCs w:val="16"/>
                <w:lang w:eastAsia="en-GB"/>
              </w:rPr>
            </w:pPr>
            <w:r w:rsidRPr="00166220">
              <w:rPr>
                <w:rFonts w:ascii="Arial" w:hAnsi="Arial" w:cs="Arial"/>
                <w:b/>
                <w:bCs/>
                <w:sz w:val="16"/>
                <w:szCs w:val="16"/>
                <w:lang w:eastAsia="en-GB"/>
              </w:rPr>
              <w:t>Key Sensitivities affecting the valuations provided</w:t>
            </w:r>
          </w:p>
        </w:tc>
      </w:tr>
      <w:tr w:rsidR="00166220" w:rsidRPr="00166220" w14:paraId="5F9CFE52" w14:textId="77777777" w:rsidTr="00166220">
        <w:trPr>
          <w:trHeight w:val="372"/>
        </w:trPr>
        <w:tc>
          <w:tcPr>
            <w:tcW w:w="3066" w:type="dxa"/>
            <w:tcBorders>
              <w:top w:val="nil"/>
              <w:left w:val="single" w:sz="4" w:space="0" w:color="auto"/>
              <w:bottom w:val="single" w:sz="4" w:space="0" w:color="auto"/>
              <w:right w:val="single" w:sz="4" w:space="0" w:color="auto"/>
            </w:tcBorders>
            <w:shd w:val="clear" w:color="auto" w:fill="auto"/>
            <w:noWrap/>
            <w:hideMark/>
          </w:tcPr>
          <w:p w14:paraId="411C4C73" w14:textId="77777777" w:rsidR="00166220" w:rsidRPr="00166220" w:rsidRDefault="00166220" w:rsidP="00166220">
            <w:pPr>
              <w:rPr>
                <w:rFonts w:ascii="Arial" w:hAnsi="Arial" w:cs="Arial"/>
                <w:b/>
                <w:bCs/>
                <w:sz w:val="16"/>
                <w:szCs w:val="16"/>
                <w:lang w:eastAsia="en-GB"/>
              </w:rPr>
            </w:pPr>
            <w:r w:rsidRPr="00166220">
              <w:rPr>
                <w:rFonts w:ascii="Arial" w:hAnsi="Arial" w:cs="Arial"/>
                <w:b/>
                <w:bCs/>
                <w:sz w:val="16"/>
                <w:szCs w:val="16"/>
                <w:lang w:eastAsia="en-GB"/>
              </w:rPr>
              <w:t>Pooled Investment Vehicles</w:t>
            </w:r>
          </w:p>
        </w:tc>
        <w:tc>
          <w:tcPr>
            <w:tcW w:w="1368" w:type="dxa"/>
            <w:tcBorders>
              <w:top w:val="nil"/>
              <w:left w:val="nil"/>
              <w:bottom w:val="single" w:sz="4" w:space="0" w:color="auto"/>
              <w:right w:val="single" w:sz="4" w:space="0" w:color="auto"/>
            </w:tcBorders>
            <w:shd w:val="clear" w:color="auto" w:fill="auto"/>
            <w:noWrap/>
            <w:hideMark/>
          </w:tcPr>
          <w:p w14:paraId="75AD9D75" w14:textId="77777777" w:rsidR="00166220" w:rsidRPr="00166220" w:rsidRDefault="00166220" w:rsidP="00166220">
            <w:pPr>
              <w:jc w:val="center"/>
              <w:rPr>
                <w:rFonts w:ascii="Arial" w:hAnsi="Arial" w:cs="Arial"/>
                <w:sz w:val="16"/>
                <w:szCs w:val="16"/>
                <w:lang w:eastAsia="en-GB"/>
              </w:rPr>
            </w:pPr>
            <w:r w:rsidRPr="00166220">
              <w:rPr>
                <w:rFonts w:ascii="Arial" w:hAnsi="Arial" w:cs="Arial"/>
                <w:sz w:val="16"/>
                <w:szCs w:val="16"/>
                <w:lang w:eastAsia="en-GB"/>
              </w:rPr>
              <w:t> </w:t>
            </w:r>
          </w:p>
        </w:tc>
        <w:tc>
          <w:tcPr>
            <w:tcW w:w="1969" w:type="dxa"/>
            <w:tcBorders>
              <w:top w:val="nil"/>
              <w:left w:val="nil"/>
              <w:bottom w:val="single" w:sz="4" w:space="0" w:color="auto"/>
              <w:right w:val="single" w:sz="4" w:space="0" w:color="auto"/>
            </w:tcBorders>
            <w:shd w:val="clear" w:color="auto" w:fill="auto"/>
            <w:hideMark/>
          </w:tcPr>
          <w:p w14:paraId="207E8EDC"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 </w:t>
            </w:r>
          </w:p>
        </w:tc>
        <w:tc>
          <w:tcPr>
            <w:tcW w:w="1569" w:type="dxa"/>
            <w:tcBorders>
              <w:top w:val="nil"/>
              <w:left w:val="nil"/>
              <w:bottom w:val="single" w:sz="4" w:space="0" w:color="auto"/>
              <w:right w:val="single" w:sz="4" w:space="0" w:color="auto"/>
            </w:tcBorders>
            <w:shd w:val="clear" w:color="auto" w:fill="auto"/>
            <w:noWrap/>
            <w:hideMark/>
          </w:tcPr>
          <w:p w14:paraId="323B636B"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 </w:t>
            </w:r>
          </w:p>
        </w:tc>
        <w:tc>
          <w:tcPr>
            <w:tcW w:w="1745" w:type="dxa"/>
            <w:tcBorders>
              <w:top w:val="nil"/>
              <w:left w:val="nil"/>
              <w:bottom w:val="single" w:sz="4" w:space="0" w:color="auto"/>
              <w:right w:val="single" w:sz="4" w:space="0" w:color="auto"/>
            </w:tcBorders>
            <w:shd w:val="clear" w:color="auto" w:fill="auto"/>
            <w:noWrap/>
            <w:hideMark/>
          </w:tcPr>
          <w:p w14:paraId="2B61BD04"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 </w:t>
            </w:r>
          </w:p>
        </w:tc>
      </w:tr>
      <w:tr w:rsidR="00166220" w:rsidRPr="00166220" w14:paraId="4FB27DC9" w14:textId="77777777" w:rsidTr="00166220">
        <w:trPr>
          <w:trHeight w:val="984"/>
        </w:trPr>
        <w:tc>
          <w:tcPr>
            <w:tcW w:w="3066" w:type="dxa"/>
            <w:tcBorders>
              <w:top w:val="nil"/>
              <w:left w:val="single" w:sz="4" w:space="0" w:color="auto"/>
              <w:bottom w:val="single" w:sz="4" w:space="0" w:color="auto"/>
              <w:right w:val="single" w:sz="4" w:space="0" w:color="auto"/>
            </w:tcBorders>
            <w:shd w:val="clear" w:color="auto" w:fill="auto"/>
            <w:hideMark/>
          </w:tcPr>
          <w:p w14:paraId="24D56EA6"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Market Quoted Investments - Global Equity</w:t>
            </w:r>
          </w:p>
        </w:tc>
        <w:tc>
          <w:tcPr>
            <w:tcW w:w="1368" w:type="dxa"/>
            <w:tcBorders>
              <w:top w:val="nil"/>
              <w:left w:val="nil"/>
              <w:bottom w:val="single" w:sz="4" w:space="0" w:color="auto"/>
              <w:right w:val="single" w:sz="4" w:space="0" w:color="auto"/>
            </w:tcBorders>
            <w:shd w:val="clear" w:color="auto" w:fill="auto"/>
            <w:noWrap/>
            <w:hideMark/>
          </w:tcPr>
          <w:p w14:paraId="2B02AE7F" w14:textId="77777777" w:rsidR="00166220" w:rsidRPr="00166220" w:rsidRDefault="00166220" w:rsidP="00166220">
            <w:pPr>
              <w:jc w:val="center"/>
              <w:rPr>
                <w:rFonts w:ascii="Arial" w:hAnsi="Arial" w:cs="Arial"/>
                <w:sz w:val="16"/>
                <w:szCs w:val="16"/>
                <w:lang w:eastAsia="en-GB"/>
              </w:rPr>
            </w:pPr>
            <w:r w:rsidRPr="00166220">
              <w:rPr>
                <w:rFonts w:ascii="Arial" w:hAnsi="Arial" w:cs="Arial"/>
                <w:sz w:val="16"/>
                <w:szCs w:val="16"/>
                <w:lang w:eastAsia="en-GB"/>
              </w:rPr>
              <w:t>Level 2</w:t>
            </w:r>
          </w:p>
        </w:tc>
        <w:tc>
          <w:tcPr>
            <w:tcW w:w="1969" w:type="dxa"/>
            <w:tcBorders>
              <w:top w:val="nil"/>
              <w:left w:val="nil"/>
              <w:bottom w:val="single" w:sz="4" w:space="0" w:color="auto"/>
              <w:right w:val="single" w:sz="4" w:space="0" w:color="auto"/>
            </w:tcBorders>
            <w:shd w:val="clear" w:color="auto" w:fill="auto"/>
            <w:hideMark/>
          </w:tcPr>
          <w:p w14:paraId="20ED0FF6"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Closing bid price where bid and offer prices are published. Closing single price where single price published.</w:t>
            </w:r>
          </w:p>
        </w:tc>
        <w:tc>
          <w:tcPr>
            <w:tcW w:w="1569" w:type="dxa"/>
            <w:tcBorders>
              <w:top w:val="nil"/>
              <w:left w:val="nil"/>
              <w:bottom w:val="single" w:sz="4" w:space="0" w:color="auto"/>
              <w:right w:val="single" w:sz="4" w:space="0" w:color="auto"/>
            </w:tcBorders>
            <w:shd w:val="clear" w:color="auto" w:fill="auto"/>
            <w:hideMark/>
          </w:tcPr>
          <w:p w14:paraId="418A1155"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NAV based pricing set on a forward pricing policy</w:t>
            </w:r>
          </w:p>
        </w:tc>
        <w:tc>
          <w:tcPr>
            <w:tcW w:w="1745" w:type="dxa"/>
            <w:tcBorders>
              <w:top w:val="nil"/>
              <w:left w:val="nil"/>
              <w:bottom w:val="single" w:sz="4" w:space="0" w:color="auto"/>
              <w:right w:val="single" w:sz="4" w:space="0" w:color="auto"/>
            </w:tcBorders>
            <w:shd w:val="clear" w:color="auto" w:fill="auto"/>
            <w:noWrap/>
            <w:hideMark/>
          </w:tcPr>
          <w:p w14:paraId="68C7AFDC"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Not Required</w:t>
            </w:r>
          </w:p>
        </w:tc>
      </w:tr>
      <w:tr w:rsidR="00166220" w:rsidRPr="00166220" w14:paraId="150BD6A9" w14:textId="77777777" w:rsidTr="00166220">
        <w:trPr>
          <w:trHeight w:val="1188"/>
        </w:trPr>
        <w:tc>
          <w:tcPr>
            <w:tcW w:w="3066" w:type="dxa"/>
            <w:tcBorders>
              <w:top w:val="nil"/>
              <w:left w:val="single" w:sz="4" w:space="0" w:color="auto"/>
              <w:bottom w:val="single" w:sz="4" w:space="0" w:color="auto"/>
              <w:right w:val="single" w:sz="4" w:space="0" w:color="auto"/>
            </w:tcBorders>
            <w:shd w:val="clear" w:color="auto" w:fill="auto"/>
            <w:hideMark/>
          </w:tcPr>
          <w:p w14:paraId="0D907352"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Fixed Interest and Index Linked</w:t>
            </w:r>
          </w:p>
        </w:tc>
        <w:tc>
          <w:tcPr>
            <w:tcW w:w="1368" w:type="dxa"/>
            <w:tcBorders>
              <w:top w:val="nil"/>
              <w:left w:val="nil"/>
              <w:bottom w:val="single" w:sz="4" w:space="0" w:color="auto"/>
              <w:right w:val="single" w:sz="4" w:space="0" w:color="auto"/>
            </w:tcBorders>
            <w:shd w:val="clear" w:color="auto" w:fill="auto"/>
            <w:noWrap/>
            <w:hideMark/>
          </w:tcPr>
          <w:p w14:paraId="79A4C875" w14:textId="77777777" w:rsidR="00166220" w:rsidRPr="00166220" w:rsidRDefault="00166220" w:rsidP="00166220">
            <w:pPr>
              <w:jc w:val="center"/>
              <w:rPr>
                <w:rFonts w:ascii="Arial" w:hAnsi="Arial" w:cs="Arial"/>
                <w:sz w:val="16"/>
                <w:szCs w:val="16"/>
                <w:lang w:eastAsia="en-GB"/>
              </w:rPr>
            </w:pPr>
            <w:r w:rsidRPr="00166220">
              <w:rPr>
                <w:rFonts w:ascii="Arial" w:hAnsi="Arial" w:cs="Arial"/>
                <w:sz w:val="16"/>
                <w:szCs w:val="16"/>
                <w:lang w:eastAsia="en-GB"/>
              </w:rPr>
              <w:t>Level 2</w:t>
            </w:r>
          </w:p>
        </w:tc>
        <w:tc>
          <w:tcPr>
            <w:tcW w:w="1969" w:type="dxa"/>
            <w:tcBorders>
              <w:top w:val="nil"/>
              <w:left w:val="nil"/>
              <w:bottom w:val="single" w:sz="4" w:space="0" w:color="auto"/>
              <w:right w:val="single" w:sz="4" w:space="0" w:color="auto"/>
            </w:tcBorders>
            <w:shd w:val="clear" w:color="auto" w:fill="auto"/>
            <w:hideMark/>
          </w:tcPr>
          <w:p w14:paraId="41AB2F22"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Closing bid price where bid and offer prices are published. Closing single price where single price published.</w:t>
            </w:r>
          </w:p>
        </w:tc>
        <w:tc>
          <w:tcPr>
            <w:tcW w:w="1569" w:type="dxa"/>
            <w:tcBorders>
              <w:top w:val="nil"/>
              <w:left w:val="nil"/>
              <w:bottom w:val="single" w:sz="4" w:space="0" w:color="auto"/>
              <w:right w:val="single" w:sz="4" w:space="0" w:color="auto"/>
            </w:tcBorders>
            <w:shd w:val="clear" w:color="auto" w:fill="auto"/>
            <w:hideMark/>
          </w:tcPr>
          <w:p w14:paraId="5F3C044A"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NAV based pricing set on a forward pricing policy</w:t>
            </w:r>
          </w:p>
        </w:tc>
        <w:tc>
          <w:tcPr>
            <w:tcW w:w="1745" w:type="dxa"/>
            <w:tcBorders>
              <w:top w:val="nil"/>
              <w:left w:val="nil"/>
              <w:bottom w:val="single" w:sz="4" w:space="0" w:color="auto"/>
              <w:right w:val="single" w:sz="4" w:space="0" w:color="auto"/>
            </w:tcBorders>
            <w:shd w:val="clear" w:color="auto" w:fill="auto"/>
            <w:noWrap/>
            <w:hideMark/>
          </w:tcPr>
          <w:p w14:paraId="1C7D7C07"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Not Required</w:t>
            </w:r>
          </w:p>
        </w:tc>
      </w:tr>
      <w:tr w:rsidR="00166220" w:rsidRPr="00166220" w14:paraId="4E4A971A" w14:textId="77777777" w:rsidTr="00166220">
        <w:trPr>
          <w:trHeight w:val="2700"/>
        </w:trPr>
        <w:tc>
          <w:tcPr>
            <w:tcW w:w="3066" w:type="dxa"/>
            <w:tcBorders>
              <w:top w:val="nil"/>
              <w:left w:val="single" w:sz="4" w:space="0" w:color="auto"/>
              <w:bottom w:val="single" w:sz="4" w:space="0" w:color="auto"/>
              <w:right w:val="single" w:sz="4" w:space="0" w:color="auto"/>
            </w:tcBorders>
            <w:shd w:val="clear" w:color="auto" w:fill="auto"/>
            <w:hideMark/>
          </w:tcPr>
          <w:p w14:paraId="0236DB21"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Property Fund</w:t>
            </w:r>
          </w:p>
        </w:tc>
        <w:tc>
          <w:tcPr>
            <w:tcW w:w="1368" w:type="dxa"/>
            <w:tcBorders>
              <w:top w:val="nil"/>
              <w:left w:val="nil"/>
              <w:bottom w:val="single" w:sz="4" w:space="0" w:color="auto"/>
              <w:right w:val="single" w:sz="4" w:space="0" w:color="auto"/>
            </w:tcBorders>
            <w:shd w:val="clear" w:color="auto" w:fill="auto"/>
            <w:noWrap/>
            <w:hideMark/>
          </w:tcPr>
          <w:p w14:paraId="0D812A47" w14:textId="77777777" w:rsidR="00166220" w:rsidRPr="00166220" w:rsidRDefault="00166220" w:rsidP="00166220">
            <w:pPr>
              <w:jc w:val="center"/>
              <w:rPr>
                <w:rFonts w:ascii="Arial" w:hAnsi="Arial" w:cs="Arial"/>
                <w:sz w:val="16"/>
                <w:szCs w:val="16"/>
                <w:lang w:eastAsia="en-GB"/>
              </w:rPr>
            </w:pPr>
            <w:r w:rsidRPr="00166220">
              <w:rPr>
                <w:rFonts w:ascii="Arial" w:hAnsi="Arial" w:cs="Arial"/>
                <w:sz w:val="16"/>
                <w:szCs w:val="16"/>
                <w:lang w:eastAsia="en-GB"/>
              </w:rPr>
              <w:t>Level 3</w:t>
            </w:r>
          </w:p>
        </w:tc>
        <w:tc>
          <w:tcPr>
            <w:tcW w:w="1969" w:type="dxa"/>
            <w:tcBorders>
              <w:top w:val="nil"/>
              <w:left w:val="nil"/>
              <w:bottom w:val="single" w:sz="4" w:space="0" w:color="auto"/>
              <w:right w:val="single" w:sz="4" w:space="0" w:color="auto"/>
            </w:tcBorders>
            <w:shd w:val="clear" w:color="auto" w:fill="auto"/>
            <w:hideMark/>
          </w:tcPr>
          <w:p w14:paraId="2F3F9C7F"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Valued quarterly at NAV in accordance with International Private Equity and Venture Capital Association Guidelines</w:t>
            </w:r>
          </w:p>
        </w:tc>
        <w:tc>
          <w:tcPr>
            <w:tcW w:w="1569" w:type="dxa"/>
            <w:tcBorders>
              <w:top w:val="nil"/>
              <w:left w:val="nil"/>
              <w:bottom w:val="single" w:sz="4" w:space="0" w:color="auto"/>
              <w:right w:val="single" w:sz="4" w:space="0" w:color="auto"/>
            </w:tcBorders>
            <w:shd w:val="clear" w:color="auto" w:fill="auto"/>
            <w:hideMark/>
          </w:tcPr>
          <w:p w14:paraId="36636F2E"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EBITDA multiples, revenue multiples, discount for lack of market evidence, control premium</w:t>
            </w:r>
          </w:p>
        </w:tc>
        <w:tc>
          <w:tcPr>
            <w:tcW w:w="1745" w:type="dxa"/>
            <w:tcBorders>
              <w:top w:val="nil"/>
              <w:left w:val="nil"/>
              <w:bottom w:val="single" w:sz="4" w:space="0" w:color="auto"/>
              <w:right w:val="single" w:sz="4" w:space="0" w:color="auto"/>
            </w:tcBorders>
            <w:shd w:val="clear" w:color="auto" w:fill="auto"/>
            <w:hideMark/>
          </w:tcPr>
          <w:p w14:paraId="1FAD16A6"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Valuations could be affected by material events occurring between the date of the financial statements provided and the pension fund's own reporting date, by changes to expected cashflows and by differences between audited and unaudited accounts.</w:t>
            </w:r>
          </w:p>
        </w:tc>
      </w:tr>
      <w:tr w:rsidR="00166220" w:rsidRPr="00166220" w14:paraId="27370FBF" w14:textId="77777777" w:rsidTr="00166220">
        <w:trPr>
          <w:trHeight w:val="2712"/>
        </w:trPr>
        <w:tc>
          <w:tcPr>
            <w:tcW w:w="3066" w:type="dxa"/>
            <w:tcBorders>
              <w:top w:val="nil"/>
              <w:left w:val="single" w:sz="4" w:space="0" w:color="auto"/>
              <w:bottom w:val="single" w:sz="4" w:space="0" w:color="auto"/>
              <w:right w:val="single" w:sz="4" w:space="0" w:color="auto"/>
            </w:tcBorders>
            <w:shd w:val="clear" w:color="auto" w:fill="auto"/>
            <w:hideMark/>
          </w:tcPr>
          <w:p w14:paraId="1E938E26"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Infrastructure</w:t>
            </w:r>
          </w:p>
        </w:tc>
        <w:tc>
          <w:tcPr>
            <w:tcW w:w="1368" w:type="dxa"/>
            <w:tcBorders>
              <w:top w:val="nil"/>
              <w:left w:val="nil"/>
              <w:bottom w:val="single" w:sz="4" w:space="0" w:color="auto"/>
              <w:right w:val="single" w:sz="4" w:space="0" w:color="auto"/>
            </w:tcBorders>
            <w:shd w:val="clear" w:color="auto" w:fill="auto"/>
            <w:noWrap/>
            <w:hideMark/>
          </w:tcPr>
          <w:p w14:paraId="1DC10925" w14:textId="77777777" w:rsidR="00166220" w:rsidRPr="00166220" w:rsidRDefault="00166220" w:rsidP="00166220">
            <w:pPr>
              <w:jc w:val="center"/>
              <w:rPr>
                <w:rFonts w:ascii="Arial" w:hAnsi="Arial" w:cs="Arial"/>
                <w:sz w:val="16"/>
                <w:szCs w:val="16"/>
                <w:lang w:eastAsia="en-GB"/>
              </w:rPr>
            </w:pPr>
            <w:r w:rsidRPr="00166220">
              <w:rPr>
                <w:rFonts w:ascii="Arial" w:hAnsi="Arial" w:cs="Arial"/>
                <w:sz w:val="16"/>
                <w:szCs w:val="16"/>
                <w:lang w:eastAsia="en-GB"/>
              </w:rPr>
              <w:t>Level 3</w:t>
            </w:r>
          </w:p>
        </w:tc>
        <w:tc>
          <w:tcPr>
            <w:tcW w:w="1969" w:type="dxa"/>
            <w:tcBorders>
              <w:top w:val="nil"/>
              <w:left w:val="nil"/>
              <w:bottom w:val="single" w:sz="4" w:space="0" w:color="auto"/>
              <w:right w:val="single" w:sz="4" w:space="0" w:color="auto"/>
            </w:tcBorders>
            <w:shd w:val="clear" w:color="auto" w:fill="auto"/>
            <w:hideMark/>
          </w:tcPr>
          <w:p w14:paraId="118892E8"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Valued quarterly at NAV using independent valuations prepared by an external expert. Valuations are in accordance with International Private Equity and Venture Capital Association Guidelines and primarily utilise a DCF methodology. Fund financial statements are audited on an annual basis by an external auditor under Luxembourg GAAP.</w:t>
            </w:r>
          </w:p>
        </w:tc>
        <w:tc>
          <w:tcPr>
            <w:tcW w:w="1569" w:type="dxa"/>
            <w:tcBorders>
              <w:top w:val="nil"/>
              <w:left w:val="nil"/>
              <w:bottom w:val="single" w:sz="4" w:space="0" w:color="auto"/>
              <w:right w:val="single" w:sz="4" w:space="0" w:color="auto"/>
            </w:tcBorders>
            <w:shd w:val="clear" w:color="auto" w:fill="auto"/>
            <w:hideMark/>
          </w:tcPr>
          <w:p w14:paraId="3F78862E"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Valuations are based on company specific financial models. Cross-checks are made to comparable listed company valuations.</w:t>
            </w:r>
          </w:p>
        </w:tc>
        <w:tc>
          <w:tcPr>
            <w:tcW w:w="1745" w:type="dxa"/>
            <w:tcBorders>
              <w:top w:val="nil"/>
              <w:left w:val="nil"/>
              <w:bottom w:val="single" w:sz="4" w:space="0" w:color="auto"/>
              <w:right w:val="single" w:sz="4" w:space="0" w:color="auto"/>
            </w:tcBorders>
            <w:shd w:val="clear" w:color="auto" w:fill="auto"/>
            <w:hideMark/>
          </w:tcPr>
          <w:p w14:paraId="0DC05986"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Valuations could be affected by material events occurring between the date of the financial statements provided and the pension fund's own reporting date, by changes to expected cashflows and by differences between audited and unaudited accounts.</w:t>
            </w:r>
          </w:p>
        </w:tc>
      </w:tr>
      <w:tr w:rsidR="00166220" w:rsidRPr="00166220" w14:paraId="3E2B0581" w14:textId="77777777" w:rsidTr="00166220">
        <w:trPr>
          <w:trHeight w:val="2580"/>
        </w:trPr>
        <w:tc>
          <w:tcPr>
            <w:tcW w:w="3066" w:type="dxa"/>
            <w:tcBorders>
              <w:top w:val="single" w:sz="4" w:space="0" w:color="auto"/>
              <w:left w:val="single" w:sz="4" w:space="0" w:color="auto"/>
              <w:bottom w:val="single" w:sz="4" w:space="0" w:color="auto"/>
              <w:right w:val="single" w:sz="4" w:space="0" w:color="auto"/>
            </w:tcBorders>
            <w:shd w:val="clear" w:color="auto" w:fill="auto"/>
            <w:hideMark/>
          </w:tcPr>
          <w:p w14:paraId="0663D05B"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Hedge Fund</w:t>
            </w:r>
          </w:p>
        </w:tc>
        <w:tc>
          <w:tcPr>
            <w:tcW w:w="1368" w:type="dxa"/>
            <w:tcBorders>
              <w:top w:val="single" w:sz="4" w:space="0" w:color="auto"/>
              <w:left w:val="nil"/>
              <w:bottom w:val="single" w:sz="4" w:space="0" w:color="auto"/>
              <w:right w:val="single" w:sz="4" w:space="0" w:color="auto"/>
            </w:tcBorders>
            <w:shd w:val="clear" w:color="auto" w:fill="auto"/>
            <w:noWrap/>
            <w:hideMark/>
          </w:tcPr>
          <w:p w14:paraId="3E3CEEDA" w14:textId="77777777" w:rsidR="00166220" w:rsidRPr="00166220" w:rsidRDefault="00166220" w:rsidP="00166220">
            <w:pPr>
              <w:jc w:val="center"/>
              <w:rPr>
                <w:rFonts w:ascii="Arial" w:hAnsi="Arial" w:cs="Arial"/>
                <w:sz w:val="16"/>
                <w:szCs w:val="16"/>
                <w:lang w:eastAsia="en-GB"/>
              </w:rPr>
            </w:pPr>
            <w:r w:rsidRPr="00166220">
              <w:rPr>
                <w:rFonts w:ascii="Arial" w:hAnsi="Arial" w:cs="Arial"/>
                <w:sz w:val="16"/>
                <w:szCs w:val="16"/>
                <w:lang w:eastAsia="en-GB"/>
              </w:rPr>
              <w:t>Level 3</w:t>
            </w:r>
          </w:p>
        </w:tc>
        <w:tc>
          <w:tcPr>
            <w:tcW w:w="1969" w:type="dxa"/>
            <w:tcBorders>
              <w:top w:val="single" w:sz="4" w:space="0" w:color="auto"/>
              <w:left w:val="nil"/>
              <w:bottom w:val="single" w:sz="4" w:space="0" w:color="auto"/>
              <w:right w:val="single" w:sz="4" w:space="0" w:color="auto"/>
            </w:tcBorders>
            <w:shd w:val="clear" w:color="auto" w:fill="auto"/>
            <w:hideMark/>
          </w:tcPr>
          <w:p w14:paraId="42A3F916"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Closing bid price where bid and offer prices are published. Closing single price where single price published.</w:t>
            </w:r>
          </w:p>
        </w:tc>
        <w:tc>
          <w:tcPr>
            <w:tcW w:w="1569" w:type="dxa"/>
            <w:tcBorders>
              <w:top w:val="single" w:sz="4" w:space="0" w:color="auto"/>
              <w:left w:val="nil"/>
              <w:bottom w:val="single" w:sz="4" w:space="0" w:color="auto"/>
              <w:right w:val="single" w:sz="4" w:space="0" w:color="auto"/>
            </w:tcBorders>
            <w:shd w:val="clear" w:color="auto" w:fill="auto"/>
            <w:hideMark/>
          </w:tcPr>
          <w:p w14:paraId="27979D4E"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NAV based pricing set on a forward pricing policy</w:t>
            </w:r>
          </w:p>
        </w:tc>
        <w:tc>
          <w:tcPr>
            <w:tcW w:w="1745" w:type="dxa"/>
            <w:tcBorders>
              <w:top w:val="single" w:sz="4" w:space="0" w:color="auto"/>
              <w:left w:val="nil"/>
              <w:bottom w:val="single" w:sz="4" w:space="0" w:color="auto"/>
              <w:right w:val="single" w:sz="4" w:space="0" w:color="auto"/>
            </w:tcBorders>
            <w:shd w:val="clear" w:color="auto" w:fill="auto"/>
            <w:hideMark/>
          </w:tcPr>
          <w:p w14:paraId="7E7A8AC8"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Valuations could be affected by material events occurring between the date of the financial statements provided and the pension fund's own reporting date, by changes to expected cashflows and by differences between audited and unaudited accounts.</w:t>
            </w:r>
          </w:p>
        </w:tc>
      </w:tr>
      <w:tr w:rsidR="008F5CB7" w:rsidRPr="00166220" w14:paraId="56FFCE3F" w14:textId="77777777" w:rsidTr="00166220">
        <w:trPr>
          <w:trHeight w:val="2652"/>
        </w:trPr>
        <w:tc>
          <w:tcPr>
            <w:tcW w:w="3066" w:type="dxa"/>
            <w:tcBorders>
              <w:top w:val="single" w:sz="4" w:space="0" w:color="auto"/>
              <w:left w:val="single" w:sz="4" w:space="0" w:color="auto"/>
              <w:bottom w:val="single" w:sz="4" w:space="0" w:color="auto"/>
              <w:right w:val="single" w:sz="4" w:space="0" w:color="auto"/>
            </w:tcBorders>
            <w:shd w:val="clear" w:color="auto" w:fill="auto"/>
          </w:tcPr>
          <w:p w14:paraId="137F009B" w14:textId="77777777" w:rsidR="008F5CB7" w:rsidRPr="00166220" w:rsidRDefault="008F5CB7" w:rsidP="00166220">
            <w:pPr>
              <w:rPr>
                <w:rFonts w:ascii="Arial" w:hAnsi="Arial" w:cs="Arial"/>
                <w:sz w:val="16"/>
                <w:szCs w:val="16"/>
                <w:lang w:eastAsia="en-GB"/>
              </w:rPr>
            </w:pPr>
            <w:r>
              <w:rPr>
                <w:rFonts w:ascii="Arial" w:hAnsi="Arial" w:cs="Arial"/>
                <w:sz w:val="16"/>
                <w:szCs w:val="16"/>
                <w:lang w:eastAsia="en-GB"/>
              </w:rPr>
              <w:lastRenderedPageBreak/>
              <w:t>Timberland &amp; Farmland Fund</w:t>
            </w:r>
          </w:p>
        </w:tc>
        <w:tc>
          <w:tcPr>
            <w:tcW w:w="1368" w:type="dxa"/>
            <w:tcBorders>
              <w:top w:val="single" w:sz="4" w:space="0" w:color="auto"/>
              <w:left w:val="nil"/>
              <w:bottom w:val="single" w:sz="4" w:space="0" w:color="auto"/>
              <w:right w:val="single" w:sz="4" w:space="0" w:color="auto"/>
            </w:tcBorders>
            <w:shd w:val="clear" w:color="auto" w:fill="auto"/>
            <w:noWrap/>
          </w:tcPr>
          <w:p w14:paraId="0A46EC84" w14:textId="77777777" w:rsidR="008F5CB7" w:rsidRPr="00166220" w:rsidRDefault="008F5CB7" w:rsidP="00166220">
            <w:pPr>
              <w:jc w:val="center"/>
              <w:rPr>
                <w:rFonts w:ascii="Arial" w:hAnsi="Arial" w:cs="Arial"/>
                <w:sz w:val="16"/>
                <w:szCs w:val="16"/>
                <w:lang w:eastAsia="en-GB"/>
              </w:rPr>
            </w:pPr>
            <w:r>
              <w:rPr>
                <w:rFonts w:ascii="Arial" w:hAnsi="Arial" w:cs="Arial"/>
                <w:sz w:val="16"/>
                <w:szCs w:val="16"/>
                <w:lang w:eastAsia="en-GB"/>
              </w:rPr>
              <w:t>Level 3</w:t>
            </w:r>
          </w:p>
        </w:tc>
        <w:tc>
          <w:tcPr>
            <w:tcW w:w="1969" w:type="dxa"/>
            <w:tcBorders>
              <w:top w:val="single" w:sz="4" w:space="0" w:color="auto"/>
              <w:left w:val="nil"/>
              <w:bottom w:val="single" w:sz="4" w:space="0" w:color="auto"/>
              <w:right w:val="single" w:sz="4" w:space="0" w:color="auto"/>
            </w:tcBorders>
            <w:shd w:val="clear" w:color="auto" w:fill="auto"/>
          </w:tcPr>
          <w:p w14:paraId="5DEC2BE3" w14:textId="77777777" w:rsidR="008F5CB7" w:rsidRPr="008F5CB7" w:rsidRDefault="008F5CB7" w:rsidP="008F5CB7">
            <w:pPr>
              <w:rPr>
                <w:rFonts w:ascii="Arial" w:hAnsi="Arial" w:cs="Arial"/>
                <w:sz w:val="16"/>
                <w:szCs w:val="16"/>
                <w:lang w:eastAsia="en-GB"/>
              </w:rPr>
            </w:pPr>
            <w:r w:rsidRPr="008F5CB7">
              <w:rPr>
                <w:rFonts w:ascii="Arial" w:hAnsi="Arial" w:cs="Arial"/>
                <w:sz w:val="16"/>
                <w:szCs w:val="16"/>
              </w:rPr>
              <w:t xml:space="preserve">Each of the Fund’s investments is appraised semi-annually. Prior to its first appraisal, an investment is valued at cost plus any capital expenditures less any liabilities and thereafter is independently appraised in June and December in the year following the acquisition date. </w:t>
            </w:r>
          </w:p>
          <w:p w14:paraId="485C9C8C" w14:textId="77777777" w:rsidR="008F5CB7" w:rsidRPr="008F5CB7" w:rsidRDefault="008F5CB7" w:rsidP="00166220">
            <w:pPr>
              <w:rPr>
                <w:rFonts w:ascii="Arial" w:hAnsi="Arial" w:cs="Arial"/>
                <w:sz w:val="16"/>
                <w:szCs w:val="16"/>
                <w:lang w:eastAsia="en-GB"/>
              </w:rPr>
            </w:pPr>
          </w:p>
        </w:tc>
        <w:tc>
          <w:tcPr>
            <w:tcW w:w="1569" w:type="dxa"/>
            <w:tcBorders>
              <w:top w:val="single" w:sz="4" w:space="0" w:color="auto"/>
              <w:left w:val="nil"/>
              <w:bottom w:val="single" w:sz="4" w:space="0" w:color="auto"/>
              <w:right w:val="single" w:sz="4" w:space="0" w:color="auto"/>
            </w:tcBorders>
            <w:shd w:val="clear" w:color="auto" w:fill="auto"/>
          </w:tcPr>
          <w:p w14:paraId="23EE9515" w14:textId="77777777" w:rsidR="008F5CB7" w:rsidRDefault="008F5CB7" w:rsidP="008F5CB7">
            <w:pPr>
              <w:rPr>
                <w:rFonts w:ascii="Arial" w:hAnsi="Arial" w:cs="Arial"/>
                <w:sz w:val="18"/>
                <w:szCs w:val="18"/>
                <w:lang w:eastAsia="en-GB"/>
              </w:rPr>
            </w:pPr>
            <w:r w:rsidRPr="008F5CB7">
              <w:rPr>
                <w:rFonts w:ascii="Arial" w:hAnsi="Arial" w:cs="Arial"/>
                <w:sz w:val="16"/>
                <w:szCs w:val="16"/>
              </w:rPr>
              <w:t>Under the Fund’s current valuation policy, MIMTA selects and supervises third party appraisal firms.  For operating company investments, the Fund engages financial advisory firms to conduct an enterprise valuation analysis within 12 months after the operating company’s acquisition date and each June and December thereafter</w:t>
            </w:r>
            <w:r>
              <w:rPr>
                <w:rFonts w:ascii="Arial" w:hAnsi="Arial" w:cs="Arial"/>
                <w:sz w:val="18"/>
                <w:szCs w:val="18"/>
              </w:rPr>
              <w:t>.</w:t>
            </w:r>
          </w:p>
          <w:p w14:paraId="12DA0187" w14:textId="77777777" w:rsidR="008F5CB7" w:rsidRPr="008F5CB7" w:rsidRDefault="008F5CB7" w:rsidP="00166220">
            <w:pPr>
              <w:rPr>
                <w:rFonts w:ascii="Arial" w:hAnsi="Arial" w:cs="Arial"/>
                <w:sz w:val="16"/>
                <w:szCs w:val="16"/>
                <w:lang w:eastAsia="en-GB"/>
              </w:rPr>
            </w:pPr>
          </w:p>
        </w:tc>
        <w:tc>
          <w:tcPr>
            <w:tcW w:w="1745" w:type="dxa"/>
            <w:tcBorders>
              <w:top w:val="single" w:sz="4" w:space="0" w:color="auto"/>
              <w:left w:val="nil"/>
              <w:bottom w:val="single" w:sz="4" w:space="0" w:color="auto"/>
              <w:right w:val="single" w:sz="4" w:space="0" w:color="auto"/>
            </w:tcBorders>
            <w:shd w:val="clear" w:color="auto" w:fill="auto"/>
          </w:tcPr>
          <w:p w14:paraId="507942AD" w14:textId="77777777" w:rsidR="008F5CB7" w:rsidRPr="00166220" w:rsidRDefault="008F5CB7" w:rsidP="00166220">
            <w:pPr>
              <w:rPr>
                <w:rFonts w:ascii="Arial" w:hAnsi="Arial" w:cs="Arial"/>
                <w:sz w:val="16"/>
                <w:szCs w:val="16"/>
                <w:lang w:eastAsia="en-GB"/>
              </w:rPr>
            </w:pPr>
            <w:r w:rsidRPr="00166220">
              <w:rPr>
                <w:rFonts w:ascii="Arial" w:hAnsi="Arial" w:cs="Arial"/>
                <w:sz w:val="16"/>
                <w:szCs w:val="16"/>
                <w:lang w:eastAsia="en-GB"/>
              </w:rPr>
              <w:t>Valuations could be affected by material events occurring between the date of the financial statements provided and the pension fund's own reporting date, by changes to expected cashflows and by differences between audited and unaudited accounts</w:t>
            </w:r>
          </w:p>
        </w:tc>
      </w:tr>
      <w:tr w:rsidR="00166220" w:rsidRPr="00166220" w14:paraId="5877B563" w14:textId="77777777" w:rsidTr="00166220">
        <w:trPr>
          <w:trHeight w:val="2652"/>
        </w:trPr>
        <w:tc>
          <w:tcPr>
            <w:tcW w:w="3066" w:type="dxa"/>
            <w:tcBorders>
              <w:top w:val="single" w:sz="4" w:space="0" w:color="auto"/>
              <w:left w:val="single" w:sz="4" w:space="0" w:color="auto"/>
              <w:bottom w:val="single" w:sz="4" w:space="0" w:color="auto"/>
              <w:right w:val="single" w:sz="4" w:space="0" w:color="auto"/>
            </w:tcBorders>
            <w:shd w:val="clear" w:color="auto" w:fill="auto"/>
            <w:hideMark/>
          </w:tcPr>
          <w:p w14:paraId="2E983A34"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 xml:space="preserve">Unquoted Private Equity </w:t>
            </w:r>
          </w:p>
        </w:tc>
        <w:tc>
          <w:tcPr>
            <w:tcW w:w="1368" w:type="dxa"/>
            <w:tcBorders>
              <w:top w:val="single" w:sz="4" w:space="0" w:color="auto"/>
              <w:left w:val="nil"/>
              <w:bottom w:val="single" w:sz="4" w:space="0" w:color="auto"/>
              <w:right w:val="single" w:sz="4" w:space="0" w:color="auto"/>
            </w:tcBorders>
            <w:shd w:val="clear" w:color="auto" w:fill="auto"/>
            <w:noWrap/>
            <w:hideMark/>
          </w:tcPr>
          <w:p w14:paraId="20FDA546" w14:textId="77777777" w:rsidR="00166220" w:rsidRPr="00166220" w:rsidRDefault="00166220" w:rsidP="00166220">
            <w:pPr>
              <w:jc w:val="center"/>
              <w:rPr>
                <w:rFonts w:ascii="Arial" w:hAnsi="Arial" w:cs="Arial"/>
                <w:sz w:val="16"/>
                <w:szCs w:val="16"/>
                <w:lang w:eastAsia="en-GB"/>
              </w:rPr>
            </w:pPr>
            <w:r w:rsidRPr="00166220">
              <w:rPr>
                <w:rFonts w:ascii="Arial" w:hAnsi="Arial" w:cs="Arial"/>
                <w:sz w:val="16"/>
                <w:szCs w:val="16"/>
                <w:lang w:eastAsia="en-GB"/>
              </w:rPr>
              <w:t>Level 3</w:t>
            </w:r>
          </w:p>
        </w:tc>
        <w:tc>
          <w:tcPr>
            <w:tcW w:w="1969" w:type="dxa"/>
            <w:tcBorders>
              <w:top w:val="single" w:sz="4" w:space="0" w:color="auto"/>
              <w:left w:val="nil"/>
              <w:bottom w:val="single" w:sz="4" w:space="0" w:color="auto"/>
              <w:right w:val="single" w:sz="4" w:space="0" w:color="auto"/>
            </w:tcBorders>
            <w:shd w:val="clear" w:color="auto" w:fill="auto"/>
            <w:hideMark/>
          </w:tcPr>
          <w:p w14:paraId="3DBA33BD"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Valued quarterly at NAV using the market approach using quarterly financial statements in accordance with International Private Equity and Venture Capital Association Guidelines</w:t>
            </w:r>
          </w:p>
        </w:tc>
        <w:tc>
          <w:tcPr>
            <w:tcW w:w="1569" w:type="dxa"/>
            <w:tcBorders>
              <w:top w:val="single" w:sz="4" w:space="0" w:color="auto"/>
              <w:left w:val="nil"/>
              <w:bottom w:val="single" w:sz="4" w:space="0" w:color="auto"/>
              <w:right w:val="single" w:sz="4" w:space="0" w:color="auto"/>
            </w:tcBorders>
            <w:shd w:val="clear" w:color="auto" w:fill="auto"/>
            <w:hideMark/>
          </w:tcPr>
          <w:p w14:paraId="2B5FB42D"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EBITDA multiples, revenue multiples, discount for lack of market evidence, control premium</w:t>
            </w:r>
          </w:p>
        </w:tc>
        <w:tc>
          <w:tcPr>
            <w:tcW w:w="1745" w:type="dxa"/>
            <w:tcBorders>
              <w:top w:val="single" w:sz="4" w:space="0" w:color="auto"/>
              <w:left w:val="nil"/>
              <w:bottom w:val="single" w:sz="4" w:space="0" w:color="auto"/>
              <w:right w:val="single" w:sz="4" w:space="0" w:color="auto"/>
            </w:tcBorders>
            <w:shd w:val="clear" w:color="auto" w:fill="auto"/>
            <w:hideMark/>
          </w:tcPr>
          <w:p w14:paraId="118FE603"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Valuations could be affected by material events occurring between the date of the financial statements provided and the pension fund's own reporting date, by changes to expected cashflows and by differences between audited and unaudited accounts.</w:t>
            </w:r>
          </w:p>
        </w:tc>
      </w:tr>
      <w:tr w:rsidR="00793FA3" w:rsidRPr="00793FA3" w14:paraId="25B925FF" w14:textId="77777777" w:rsidTr="00793FA3">
        <w:trPr>
          <w:trHeight w:val="2652"/>
        </w:trPr>
        <w:tc>
          <w:tcPr>
            <w:tcW w:w="3066" w:type="dxa"/>
            <w:tcBorders>
              <w:top w:val="single" w:sz="4" w:space="0" w:color="auto"/>
              <w:left w:val="single" w:sz="4" w:space="0" w:color="auto"/>
              <w:bottom w:val="single" w:sz="4" w:space="0" w:color="auto"/>
              <w:right w:val="single" w:sz="4" w:space="0" w:color="auto"/>
            </w:tcBorders>
            <w:shd w:val="clear" w:color="auto" w:fill="auto"/>
            <w:hideMark/>
          </w:tcPr>
          <w:p w14:paraId="03768EEE" w14:textId="77777777" w:rsidR="00793FA3" w:rsidRDefault="00793FA3" w:rsidP="00793FA3">
            <w:pPr>
              <w:rPr>
                <w:rFonts w:ascii="Arial" w:hAnsi="Arial" w:cs="Arial"/>
                <w:sz w:val="16"/>
                <w:szCs w:val="16"/>
                <w:lang w:eastAsia="en-GB"/>
              </w:rPr>
            </w:pPr>
            <w:r>
              <w:rPr>
                <w:rFonts w:ascii="Arial" w:hAnsi="Arial" w:cs="Arial"/>
                <w:sz w:val="16"/>
                <w:szCs w:val="16"/>
                <w:lang w:eastAsia="en-GB"/>
              </w:rPr>
              <w:t>Residential Housing</w:t>
            </w:r>
          </w:p>
        </w:tc>
        <w:tc>
          <w:tcPr>
            <w:tcW w:w="1368" w:type="dxa"/>
            <w:tcBorders>
              <w:top w:val="single" w:sz="4" w:space="0" w:color="auto"/>
              <w:left w:val="nil"/>
              <w:bottom w:val="single" w:sz="4" w:space="0" w:color="auto"/>
              <w:right w:val="single" w:sz="4" w:space="0" w:color="auto"/>
            </w:tcBorders>
            <w:shd w:val="clear" w:color="auto" w:fill="auto"/>
            <w:noWrap/>
            <w:hideMark/>
          </w:tcPr>
          <w:p w14:paraId="7655EC84" w14:textId="77777777" w:rsidR="00793FA3" w:rsidRDefault="00793FA3" w:rsidP="00793FA3">
            <w:pPr>
              <w:jc w:val="center"/>
              <w:rPr>
                <w:rFonts w:ascii="Arial" w:hAnsi="Arial" w:cs="Arial"/>
                <w:sz w:val="16"/>
                <w:szCs w:val="16"/>
                <w:lang w:eastAsia="en-GB"/>
              </w:rPr>
            </w:pPr>
            <w:r>
              <w:rPr>
                <w:rFonts w:ascii="Arial" w:hAnsi="Arial" w:cs="Arial"/>
                <w:sz w:val="16"/>
                <w:szCs w:val="16"/>
                <w:lang w:eastAsia="en-GB"/>
              </w:rPr>
              <w:t>Level 3</w:t>
            </w:r>
          </w:p>
        </w:tc>
        <w:tc>
          <w:tcPr>
            <w:tcW w:w="1969" w:type="dxa"/>
            <w:tcBorders>
              <w:top w:val="single" w:sz="4" w:space="0" w:color="auto"/>
              <w:left w:val="nil"/>
              <w:bottom w:val="single" w:sz="4" w:space="0" w:color="auto"/>
              <w:right w:val="single" w:sz="4" w:space="0" w:color="auto"/>
            </w:tcBorders>
            <w:shd w:val="clear" w:color="auto" w:fill="auto"/>
            <w:hideMark/>
          </w:tcPr>
          <w:p w14:paraId="595F7CA9" w14:textId="77777777" w:rsidR="00793FA3" w:rsidRDefault="00793FA3" w:rsidP="00793FA3">
            <w:pPr>
              <w:rPr>
                <w:rFonts w:ascii="Arial" w:hAnsi="Arial" w:cs="Arial"/>
                <w:sz w:val="16"/>
                <w:szCs w:val="16"/>
                <w:lang w:eastAsia="en-GB"/>
              </w:rPr>
            </w:pPr>
            <w:r>
              <w:rPr>
                <w:rFonts w:ascii="Arial" w:hAnsi="Arial" w:cs="Arial"/>
                <w:sz w:val="16"/>
                <w:szCs w:val="16"/>
                <w:lang w:eastAsia="en-GB"/>
              </w:rPr>
              <w:t xml:space="preserve">Quarterly calculated NAV with at least annual investment appraisals. Prior to its first appraisal, an investment is valued at cost plus capital expenditures until independently appraised in December following the acquisition date. Valuation methods are applied in accordance with the RICS Red Book Global Standards. </w:t>
            </w:r>
          </w:p>
        </w:tc>
        <w:tc>
          <w:tcPr>
            <w:tcW w:w="1569" w:type="dxa"/>
            <w:tcBorders>
              <w:top w:val="single" w:sz="4" w:space="0" w:color="auto"/>
              <w:left w:val="nil"/>
              <w:bottom w:val="single" w:sz="4" w:space="0" w:color="auto"/>
              <w:right w:val="single" w:sz="4" w:space="0" w:color="auto"/>
            </w:tcBorders>
            <w:shd w:val="clear" w:color="auto" w:fill="auto"/>
            <w:hideMark/>
          </w:tcPr>
          <w:p w14:paraId="3F3E5136" w14:textId="77777777" w:rsidR="00793FA3" w:rsidRDefault="00793FA3" w:rsidP="00793FA3">
            <w:pPr>
              <w:rPr>
                <w:rFonts w:ascii="Arial" w:hAnsi="Arial" w:cs="Arial"/>
                <w:sz w:val="16"/>
                <w:szCs w:val="16"/>
                <w:lang w:eastAsia="en-GB"/>
              </w:rPr>
            </w:pPr>
            <w:r>
              <w:rPr>
                <w:rFonts w:ascii="Arial" w:hAnsi="Arial" w:cs="Arial"/>
                <w:sz w:val="16"/>
                <w:szCs w:val="16"/>
                <w:lang w:eastAsia="en-GB"/>
              </w:rPr>
              <w:t>Cashflow period, projected income and expenditure based on expected tenure type, growth of income and expenditure, voids, staircasing rate, discount rate, margin risk for developments.</w:t>
            </w:r>
          </w:p>
        </w:tc>
        <w:tc>
          <w:tcPr>
            <w:tcW w:w="1745" w:type="dxa"/>
            <w:tcBorders>
              <w:top w:val="single" w:sz="4" w:space="0" w:color="auto"/>
              <w:left w:val="nil"/>
              <w:bottom w:val="single" w:sz="4" w:space="0" w:color="auto"/>
              <w:right w:val="single" w:sz="4" w:space="0" w:color="auto"/>
            </w:tcBorders>
            <w:shd w:val="clear" w:color="auto" w:fill="auto"/>
            <w:hideMark/>
          </w:tcPr>
          <w:p w14:paraId="54BE5B15" w14:textId="77777777" w:rsidR="00793FA3" w:rsidRDefault="00793FA3" w:rsidP="00793FA3">
            <w:pPr>
              <w:rPr>
                <w:rFonts w:ascii="Arial" w:hAnsi="Arial" w:cs="Arial"/>
                <w:sz w:val="16"/>
                <w:szCs w:val="16"/>
                <w:lang w:eastAsia="en-GB"/>
              </w:rPr>
            </w:pPr>
            <w:r>
              <w:rPr>
                <w:rFonts w:ascii="Arial" w:hAnsi="Arial" w:cs="Arial"/>
                <w:sz w:val="16"/>
                <w:szCs w:val="16"/>
                <w:lang w:eastAsia="en-GB"/>
              </w:rPr>
              <w:t xml:space="preserve">Valuations could be affected by material events occurring between the date of the financial statements provided and the pension fund's own reporting date, by changes to expected cashflows and by differences between audited and unaudited accounts. Changes to assumption of unobservable inputs and to observable inputs. </w:t>
            </w:r>
          </w:p>
        </w:tc>
      </w:tr>
    </w:tbl>
    <w:p w14:paraId="4AF37AA8" w14:textId="77777777" w:rsidR="001E4F93" w:rsidRDefault="001E4F93" w:rsidP="00986FE4">
      <w:pPr>
        <w:pStyle w:val="BodyText"/>
        <w:tabs>
          <w:tab w:val="left" w:pos="6971"/>
        </w:tabs>
        <w:ind w:left="-180"/>
        <w:jc w:val="center"/>
        <w:rPr>
          <w:noProof/>
          <w:lang w:eastAsia="en-GB"/>
        </w:rPr>
      </w:pPr>
    </w:p>
    <w:p w14:paraId="79B562C2" w14:textId="77777777" w:rsidR="00166220" w:rsidRDefault="00166220" w:rsidP="0078724F">
      <w:pPr>
        <w:pStyle w:val="BodyText"/>
        <w:tabs>
          <w:tab w:val="left" w:pos="6971"/>
        </w:tabs>
        <w:rPr>
          <w:rFonts w:cs="Arial"/>
          <w:b/>
          <w:bCs/>
        </w:rPr>
      </w:pPr>
    </w:p>
    <w:p w14:paraId="3E9AA39D" w14:textId="77777777" w:rsidR="0078724F" w:rsidRPr="005E4E65" w:rsidRDefault="001E4F93" w:rsidP="0078724F">
      <w:pPr>
        <w:pStyle w:val="BodyText"/>
        <w:tabs>
          <w:tab w:val="left" w:pos="6971"/>
        </w:tabs>
        <w:rPr>
          <w:rFonts w:cs="Arial"/>
          <w:b/>
          <w:bCs/>
        </w:rPr>
      </w:pPr>
      <w:r>
        <w:rPr>
          <w:rFonts w:cs="Arial"/>
          <w:b/>
          <w:bCs/>
        </w:rPr>
        <w:t>2</w:t>
      </w:r>
      <w:r w:rsidR="00542E92">
        <w:rPr>
          <w:rFonts w:cs="Arial"/>
          <w:b/>
          <w:bCs/>
        </w:rPr>
        <w:t>3</w:t>
      </w:r>
      <w:r w:rsidR="0078724F" w:rsidRPr="005E4E65">
        <w:rPr>
          <w:rFonts w:cs="Arial"/>
          <w:b/>
          <w:bCs/>
        </w:rPr>
        <w:t>. I</w:t>
      </w:r>
      <w:r w:rsidR="00894841">
        <w:rPr>
          <w:rFonts w:cs="Arial"/>
          <w:b/>
          <w:bCs/>
        </w:rPr>
        <w:t>nvestment Risks</w:t>
      </w:r>
    </w:p>
    <w:p w14:paraId="4D8390AE" w14:textId="77777777" w:rsidR="0078724F" w:rsidRPr="005E4E65" w:rsidRDefault="0078724F" w:rsidP="0078724F">
      <w:pPr>
        <w:pStyle w:val="BodyText"/>
        <w:tabs>
          <w:tab w:val="left" w:pos="6971"/>
        </w:tabs>
        <w:spacing w:line="72" w:lineRule="auto"/>
        <w:rPr>
          <w:rFonts w:cs="Arial"/>
          <w:b/>
          <w:bCs/>
        </w:rPr>
      </w:pPr>
    </w:p>
    <w:p w14:paraId="4B524A76" w14:textId="77777777" w:rsidR="0078724F" w:rsidRDefault="0078724F" w:rsidP="0078724F">
      <w:pPr>
        <w:pStyle w:val="BodyText"/>
        <w:tabs>
          <w:tab w:val="left" w:pos="6971"/>
        </w:tabs>
        <w:rPr>
          <w:rFonts w:cs="Arial"/>
        </w:rPr>
      </w:pPr>
      <w:r w:rsidRPr="005E4E65">
        <w:rPr>
          <w:rFonts w:cs="Arial"/>
        </w:rPr>
        <w:t xml:space="preserve">As demonstrated above, the Fund maintains positions </w:t>
      </w:r>
      <w:r w:rsidR="00135EBB">
        <w:rPr>
          <w:rFonts w:cs="Arial"/>
        </w:rPr>
        <w:t xml:space="preserve">indirectly via its fund managers </w:t>
      </w:r>
      <w:r w:rsidRPr="005E4E65">
        <w:rPr>
          <w:rFonts w:cs="Arial"/>
        </w:rPr>
        <w:t>in a variety of financial instruments including bank deposits, quoted equity instruments, fixed interest securities, direct property holdings, unlisted equity products, commodity futures and other derivatives.  This exposes the Fund to a variety of financial risks including credit and counterparty risk, liquidity risk, market risk and exchange rate risk.</w:t>
      </w:r>
    </w:p>
    <w:p w14:paraId="2EFF763F" w14:textId="77777777" w:rsidR="0078724F" w:rsidRPr="005E4E65" w:rsidRDefault="0078724F" w:rsidP="0078724F">
      <w:pPr>
        <w:pStyle w:val="BodyText"/>
        <w:tabs>
          <w:tab w:val="left" w:pos="6971"/>
        </w:tabs>
        <w:rPr>
          <w:rFonts w:cs="Arial"/>
        </w:rPr>
      </w:pPr>
    </w:p>
    <w:p w14:paraId="19681F83" w14:textId="77777777" w:rsidR="0078724F" w:rsidRPr="005E4E65" w:rsidRDefault="0078724F" w:rsidP="0078724F">
      <w:pPr>
        <w:pStyle w:val="BodyText"/>
        <w:tabs>
          <w:tab w:val="left" w:pos="6971"/>
        </w:tabs>
        <w:spacing w:line="72" w:lineRule="auto"/>
        <w:rPr>
          <w:rFonts w:cs="Arial"/>
        </w:rPr>
      </w:pPr>
    </w:p>
    <w:p w14:paraId="4A8DA926" w14:textId="77777777" w:rsidR="0078724F" w:rsidRPr="005E4E65" w:rsidRDefault="0078724F" w:rsidP="0078724F">
      <w:pPr>
        <w:pStyle w:val="DefaultText"/>
        <w:tabs>
          <w:tab w:val="left" w:pos="720"/>
          <w:tab w:val="left" w:pos="1440"/>
          <w:tab w:val="left" w:pos="1925"/>
          <w:tab w:val="left" w:pos="3607"/>
          <w:tab w:val="left" w:pos="5058"/>
          <w:tab w:val="left" w:pos="6971"/>
        </w:tabs>
        <w:jc w:val="both"/>
        <w:rPr>
          <w:rFonts w:ascii="Arial" w:hAnsi="Arial" w:cs="Arial"/>
          <w:b/>
          <w:bCs/>
          <w:szCs w:val="24"/>
        </w:rPr>
      </w:pPr>
      <w:r w:rsidRPr="005E4E65">
        <w:rPr>
          <w:rFonts w:ascii="Arial" w:hAnsi="Arial" w:cs="Arial"/>
          <w:b/>
          <w:bCs/>
          <w:szCs w:val="24"/>
        </w:rPr>
        <w:t>Procedures for Managing Risk</w:t>
      </w:r>
    </w:p>
    <w:p w14:paraId="379EF85D" w14:textId="77777777" w:rsidR="0078724F" w:rsidRPr="005E4E65" w:rsidRDefault="0078724F" w:rsidP="0078724F">
      <w:pPr>
        <w:pStyle w:val="BodyText"/>
        <w:tabs>
          <w:tab w:val="left" w:pos="6971"/>
        </w:tabs>
        <w:rPr>
          <w:rFonts w:cs="Arial"/>
        </w:rPr>
      </w:pPr>
      <w:r w:rsidRPr="005E4E65">
        <w:rPr>
          <w:rFonts w:cs="Arial"/>
        </w:rPr>
        <w:t>The principal powers to invest are contained in the Local Government Pension Scheme (Management and Investment of Funds) Regulations 20</w:t>
      </w:r>
      <w:r w:rsidR="00F06E41">
        <w:rPr>
          <w:rFonts w:cs="Arial"/>
        </w:rPr>
        <w:t>16</w:t>
      </w:r>
      <w:r w:rsidRPr="005E4E65">
        <w:rPr>
          <w:rFonts w:cs="Arial"/>
        </w:rPr>
        <w:t xml:space="preserve"> and require an Administering </w:t>
      </w:r>
      <w:r w:rsidRPr="005E4E65">
        <w:rPr>
          <w:rFonts w:cs="Arial"/>
        </w:rPr>
        <w:lastRenderedPageBreak/>
        <w:t xml:space="preserve">Authority to invest any </w:t>
      </w:r>
      <w:r w:rsidR="008A4714">
        <w:rPr>
          <w:rFonts w:cs="Arial"/>
        </w:rPr>
        <w:t>Pe</w:t>
      </w:r>
      <w:r w:rsidRPr="005E4E65">
        <w:rPr>
          <w:rFonts w:cs="Arial"/>
        </w:rPr>
        <w:t xml:space="preserve">nsion </w:t>
      </w:r>
      <w:r w:rsidR="008A4714">
        <w:rPr>
          <w:rFonts w:cs="Arial"/>
        </w:rPr>
        <w:t>F</w:t>
      </w:r>
      <w:r w:rsidRPr="005E4E65">
        <w:rPr>
          <w:rFonts w:cs="Arial"/>
        </w:rPr>
        <w:t>und money that is not needed immediately to make payments from the Pension Fund.  These regulations require the Pension Fund to formulate a policy for the investment of its fund money.  The Administering Authority’s overall risk management procedures focus on the unpredictability of financial markets and implementing restrictions to minimise these risks.  The Pen</w:t>
      </w:r>
      <w:r w:rsidR="00880E33">
        <w:rPr>
          <w:rFonts w:cs="Arial"/>
        </w:rPr>
        <w:t>sion Fund annually reviews its Investment Strategy St</w:t>
      </w:r>
      <w:r w:rsidRPr="005E4E65">
        <w:rPr>
          <w:rFonts w:cs="Arial"/>
        </w:rPr>
        <w:t>atement  (</w:t>
      </w:r>
      <w:r w:rsidR="00880E33">
        <w:rPr>
          <w:rFonts w:cs="Arial"/>
        </w:rPr>
        <w:t>ISS</w:t>
      </w:r>
      <w:r w:rsidRPr="005E4E65">
        <w:rPr>
          <w:rFonts w:cs="Arial"/>
        </w:rPr>
        <w:t xml:space="preserve">) and corresponding Funding Strategy Statement (FSS), which set out the Pension Fund’s policy on matters such as the type of investments to be held, balance between types of investments, investment restrictions and the way risk is managed.  </w:t>
      </w:r>
    </w:p>
    <w:p w14:paraId="68AACE4A" w14:textId="77777777" w:rsidR="0078724F" w:rsidRPr="005E4E65" w:rsidRDefault="0078724F" w:rsidP="0078724F">
      <w:pPr>
        <w:pStyle w:val="BodyText"/>
        <w:tabs>
          <w:tab w:val="left" w:pos="6971"/>
        </w:tabs>
        <w:jc w:val="center"/>
        <w:rPr>
          <w:rFonts w:cs="Arial"/>
        </w:rPr>
      </w:pPr>
    </w:p>
    <w:p w14:paraId="7BB8EA29" w14:textId="77777777" w:rsidR="006B6AD4" w:rsidRDefault="0078724F" w:rsidP="0078724F">
      <w:pPr>
        <w:pStyle w:val="DefaultText"/>
        <w:tabs>
          <w:tab w:val="left" w:pos="720"/>
          <w:tab w:val="left" w:pos="1440"/>
          <w:tab w:val="left" w:pos="1925"/>
          <w:tab w:val="left" w:pos="3607"/>
          <w:tab w:val="left" w:pos="5058"/>
          <w:tab w:val="left" w:pos="6971"/>
        </w:tabs>
        <w:jc w:val="both"/>
        <w:rPr>
          <w:rFonts w:ascii="Arial" w:hAnsi="Arial" w:cs="Arial"/>
          <w:szCs w:val="24"/>
        </w:rPr>
      </w:pPr>
      <w:r w:rsidRPr="005E4E65">
        <w:rPr>
          <w:rFonts w:ascii="Arial" w:hAnsi="Arial" w:cs="Arial"/>
          <w:szCs w:val="24"/>
        </w:rPr>
        <w:t xml:space="preserve">The Fund </w:t>
      </w:r>
      <w:r>
        <w:rPr>
          <w:rFonts w:ascii="Arial" w:hAnsi="Arial" w:cs="Arial"/>
          <w:szCs w:val="24"/>
        </w:rPr>
        <w:t>continues to</w:t>
      </w:r>
      <w:r w:rsidRPr="005E4E65">
        <w:rPr>
          <w:rFonts w:ascii="Arial" w:hAnsi="Arial" w:cs="Arial"/>
          <w:szCs w:val="24"/>
        </w:rPr>
        <w:t xml:space="preserve"> review </w:t>
      </w:r>
      <w:r>
        <w:rPr>
          <w:rFonts w:ascii="Arial" w:hAnsi="Arial" w:cs="Arial"/>
          <w:szCs w:val="24"/>
        </w:rPr>
        <w:t xml:space="preserve">its structure. </w:t>
      </w:r>
      <w:r w:rsidRPr="005E4E65">
        <w:rPr>
          <w:rFonts w:ascii="Arial" w:hAnsi="Arial" w:cs="Arial"/>
          <w:szCs w:val="24"/>
        </w:rPr>
        <w:t>A key element in this review process is the consideration of risk and for many years now the Fund has pursued a policy of lowering risk by diversifying investments across asset classes, investment regions and fund managers.  Furthermore alternative assets are subject to their own diversification requirements and some examples are given below</w:t>
      </w:r>
      <w:r w:rsidR="00BC00F4">
        <w:rPr>
          <w:rFonts w:ascii="Arial" w:hAnsi="Arial" w:cs="Arial"/>
          <w:szCs w:val="24"/>
        </w:rPr>
        <w:t xml:space="preserve"> :</w:t>
      </w:r>
    </w:p>
    <w:p w14:paraId="7FFC1BB4" w14:textId="77777777" w:rsidR="00894841" w:rsidRPr="005E4E65" w:rsidRDefault="00894841" w:rsidP="00894841">
      <w:pPr>
        <w:pStyle w:val="BodyText"/>
        <w:tabs>
          <w:tab w:val="left" w:pos="6971"/>
        </w:tabs>
        <w:rPr>
          <w:rFonts w:cs="Arial"/>
          <w:b/>
          <w:bCs/>
        </w:rPr>
      </w:pPr>
    </w:p>
    <w:p w14:paraId="05BFCF7D" w14:textId="77777777" w:rsidR="0078724F" w:rsidRDefault="00BC00F4" w:rsidP="009E72D7">
      <w:pPr>
        <w:pStyle w:val="DefaultText"/>
        <w:numPr>
          <w:ilvl w:val="0"/>
          <w:numId w:val="12"/>
        </w:numPr>
        <w:tabs>
          <w:tab w:val="clear" w:pos="360"/>
          <w:tab w:val="left" w:pos="284"/>
          <w:tab w:val="num" w:pos="1004"/>
          <w:tab w:val="left" w:pos="1440"/>
          <w:tab w:val="left" w:pos="1925"/>
          <w:tab w:val="left" w:pos="3607"/>
          <w:tab w:val="left" w:pos="5058"/>
          <w:tab w:val="left" w:pos="6971"/>
        </w:tabs>
        <w:ind w:left="1004"/>
        <w:jc w:val="both"/>
        <w:rPr>
          <w:rFonts w:ascii="Arial" w:hAnsi="Arial" w:cs="Arial"/>
          <w:szCs w:val="24"/>
        </w:rPr>
      </w:pPr>
      <w:r>
        <w:rPr>
          <w:rFonts w:ascii="Arial" w:hAnsi="Arial" w:cs="Arial"/>
          <w:szCs w:val="24"/>
        </w:rPr>
        <w:t>P</w:t>
      </w:r>
      <w:r w:rsidR="0078724F" w:rsidRPr="005E4E65">
        <w:rPr>
          <w:rFonts w:ascii="Arial" w:hAnsi="Arial" w:cs="Arial"/>
          <w:szCs w:val="24"/>
        </w:rPr>
        <w:t>rivate equity – by stage, geography and vintage where funds of funds are not used</w:t>
      </w:r>
    </w:p>
    <w:p w14:paraId="2A87B512" w14:textId="77777777" w:rsidR="00877119" w:rsidRDefault="00877119" w:rsidP="00877119">
      <w:pPr>
        <w:pStyle w:val="DefaultText"/>
        <w:tabs>
          <w:tab w:val="left" w:pos="284"/>
          <w:tab w:val="left" w:pos="1440"/>
          <w:tab w:val="left" w:pos="1925"/>
          <w:tab w:val="left" w:pos="3607"/>
          <w:tab w:val="left" w:pos="5058"/>
          <w:tab w:val="left" w:pos="6971"/>
        </w:tabs>
        <w:jc w:val="both"/>
        <w:rPr>
          <w:rFonts w:ascii="Arial" w:hAnsi="Arial" w:cs="Arial"/>
          <w:szCs w:val="24"/>
        </w:rPr>
      </w:pPr>
    </w:p>
    <w:p w14:paraId="333A3208" w14:textId="77777777" w:rsidR="00877119" w:rsidRDefault="00BC00F4" w:rsidP="009E72D7">
      <w:pPr>
        <w:pStyle w:val="DefaultText"/>
        <w:numPr>
          <w:ilvl w:val="0"/>
          <w:numId w:val="12"/>
        </w:numPr>
        <w:tabs>
          <w:tab w:val="clear" w:pos="360"/>
          <w:tab w:val="left" w:pos="284"/>
          <w:tab w:val="num" w:pos="1004"/>
          <w:tab w:val="left" w:pos="1440"/>
          <w:tab w:val="left" w:pos="1925"/>
          <w:tab w:val="left" w:pos="3607"/>
          <w:tab w:val="left" w:pos="5058"/>
          <w:tab w:val="left" w:pos="6971"/>
        </w:tabs>
        <w:ind w:left="1004"/>
        <w:jc w:val="both"/>
        <w:rPr>
          <w:rFonts w:ascii="Arial" w:hAnsi="Arial" w:cs="Arial"/>
          <w:szCs w:val="24"/>
        </w:rPr>
      </w:pPr>
      <w:r w:rsidRPr="00877119">
        <w:rPr>
          <w:rFonts w:ascii="Arial" w:hAnsi="Arial" w:cs="Arial"/>
          <w:szCs w:val="24"/>
        </w:rPr>
        <w:t>P</w:t>
      </w:r>
      <w:r w:rsidR="0078724F" w:rsidRPr="00877119">
        <w:rPr>
          <w:rFonts w:ascii="Arial" w:hAnsi="Arial" w:cs="Arial"/>
          <w:szCs w:val="24"/>
        </w:rPr>
        <w:t>roperty – by type, risk profile, geography and vintage (on closed-ended funds)</w:t>
      </w:r>
    </w:p>
    <w:p w14:paraId="5A9E231D" w14:textId="77777777" w:rsidR="00877119" w:rsidRDefault="00877119" w:rsidP="00877119">
      <w:pPr>
        <w:pStyle w:val="ListParagraph"/>
        <w:rPr>
          <w:rFonts w:cs="Arial"/>
        </w:rPr>
      </w:pPr>
    </w:p>
    <w:p w14:paraId="7FB5F0F0" w14:textId="77777777" w:rsidR="0078724F" w:rsidRPr="005E4E65" w:rsidRDefault="00BC00F4" w:rsidP="009E72D7">
      <w:pPr>
        <w:pStyle w:val="DefaultText"/>
        <w:numPr>
          <w:ilvl w:val="0"/>
          <w:numId w:val="12"/>
        </w:numPr>
        <w:tabs>
          <w:tab w:val="clear" w:pos="360"/>
          <w:tab w:val="left" w:pos="284"/>
          <w:tab w:val="num" w:pos="1004"/>
          <w:tab w:val="left" w:pos="1440"/>
          <w:tab w:val="left" w:pos="1925"/>
          <w:tab w:val="left" w:pos="3607"/>
          <w:tab w:val="left" w:pos="5058"/>
          <w:tab w:val="left" w:pos="6971"/>
        </w:tabs>
        <w:ind w:left="1004"/>
        <w:jc w:val="both"/>
        <w:rPr>
          <w:rFonts w:ascii="Arial" w:hAnsi="Arial" w:cs="Arial"/>
          <w:szCs w:val="24"/>
        </w:rPr>
      </w:pPr>
      <w:r>
        <w:rPr>
          <w:rFonts w:ascii="Arial" w:hAnsi="Arial" w:cs="Arial"/>
          <w:szCs w:val="24"/>
        </w:rPr>
        <w:t>H</w:t>
      </w:r>
      <w:r w:rsidR="0078724F" w:rsidRPr="005E4E65">
        <w:rPr>
          <w:rFonts w:ascii="Arial" w:hAnsi="Arial" w:cs="Arial"/>
          <w:szCs w:val="24"/>
        </w:rPr>
        <w:t xml:space="preserve">edge funds – multi-strategy </w:t>
      </w:r>
      <w:r w:rsidR="0078724F">
        <w:rPr>
          <w:rFonts w:ascii="Arial" w:hAnsi="Arial" w:cs="Arial"/>
          <w:szCs w:val="24"/>
        </w:rPr>
        <w:t>and</w:t>
      </w:r>
      <w:r w:rsidR="00673248">
        <w:rPr>
          <w:rFonts w:ascii="Arial" w:hAnsi="Arial" w:cs="Arial"/>
          <w:szCs w:val="24"/>
        </w:rPr>
        <w:t>/</w:t>
      </w:r>
      <w:r w:rsidR="0078724F">
        <w:rPr>
          <w:rFonts w:ascii="Arial" w:hAnsi="Arial" w:cs="Arial"/>
          <w:szCs w:val="24"/>
        </w:rPr>
        <w:t>or</w:t>
      </w:r>
      <w:r w:rsidR="0078724F" w:rsidRPr="005E4E65">
        <w:rPr>
          <w:rFonts w:ascii="Arial" w:hAnsi="Arial" w:cs="Arial"/>
          <w:szCs w:val="24"/>
        </w:rPr>
        <w:t xml:space="preserve"> funds of funds</w:t>
      </w:r>
      <w:r w:rsidR="00673248">
        <w:rPr>
          <w:rFonts w:ascii="Arial" w:hAnsi="Arial" w:cs="Arial"/>
          <w:szCs w:val="24"/>
        </w:rPr>
        <w:t>.</w:t>
      </w:r>
    </w:p>
    <w:p w14:paraId="01E92C7D" w14:textId="77777777" w:rsidR="0078724F" w:rsidRDefault="0078724F" w:rsidP="0078724F">
      <w:pPr>
        <w:pStyle w:val="DefaultText"/>
        <w:tabs>
          <w:tab w:val="left" w:pos="284"/>
          <w:tab w:val="left" w:pos="1440"/>
          <w:tab w:val="left" w:pos="1925"/>
          <w:tab w:val="left" w:pos="3607"/>
          <w:tab w:val="left" w:pos="5058"/>
          <w:tab w:val="left" w:pos="6971"/>
        </w:tabs>
        <w:jc w:val="both"/>
        <w:rPr>
          <w:rFonts w:ascii="Arial" w:hAnsi="Arial" w:cs="Arial"/>
          <w:szCs w:val="24"/>
        </w:rPr>
      </w:pPr>
    </w:p>
    <w:p w14:paraId="695C7047" w14:textId="77777777" w:rsidR="009909B2" w:rsidRPr="005E4E65" w:rsidRDefault="009909B2" w:rsidP="0078724F">
      <w:pPr>
        <w:pStyle w:val="DefaultText"/>
        <w:tabs>
          <w:tab w:val="left" w:pos="284"/>
          <w:tab w:val="left" w:pos="1440"/>
          <w:tab w:val="left" w:pos="1925"/>
          <w:tab w:val="left" w:pos="3607"/>
          <w:tab w:val="left" w:pos="5058"/>
          <w:tab w:val="left" w:pos="6971"/>
        </w:tabs>
        <w:jc w:val="both"/>
        <w:rPr>
          <w:rFonts w:ascii="Arial" w:hAnsi="Arial" w:cs="Arial"/>
          <w:szCs w:val="24"/>
        </w:rPr>
      </w:pPr>
    </w:p>
    <w:p w14:paraId="1A4C4ED5" w14:textId="77777777" w:rsidR="0078724F" w:rsidRPr="005E4E65" w:rsidRDefault="0078724F" w:rsidP="0078724F">
      <w:pPr>
        <w:pStyle w:val="DefaultText"/>
        <w:tabs>
          <w:tab w:val="left" w:pos="284"/>
          <w:tab w:val="left" w:pos="1440"/>
          <w:tab w:val="left" w:pos="1925"/>
          <w:tab w:val="left" w:pos="3607"/>
          <w:tab w:val="left" w:pos="5058"/>
          <w:tab w:val="left" w:pos="6971"/>
        </w:tabs>
        <w:jc w:val="both"/>
        <w:rPr>
          <w:rFonts w:ascii="Arial" w:hAnsi="Arial" w:cs="Arial"/>
          <w:b/>
          <w:szCs w:val="24"/>
        </w:rPr>
      </w:pPr>
      <w:r w:rsidRPr="005E4E65">
        <w:rPr>
          <w:rFonts w:ascii="Arial" w:hAnsi="Arial" w:cs="Arial"/>
          <w:b/>
          <w:szCs w:val="24"/>
        </w:rPr>
        <w:t>Manager Risk</w:t>
      </w:r>
    </w:p>
    <w:p w14:paraId="7C78EF3B" w14:textId="77777777" w:rsidR="001E4F93" w:rsidRDefault="0078724F" w:rsidP="0078724F">
      <w:pPr>
        <w:pStyle w:val="DefaultText"/>
        <w:tabs>
          <w:tab w:val="left" w:pos="284"/>
          <w:tab w:val="left" w:pos="1440"/>
          <w:tab w:val="left" w:pos="1925"/>
          <w:tab w:val="left" w:pos="3607"/>
          <w:tab w:val="left" w:pos="5058"/>
          <w:tab w:val="left" w:pos="6971"/>
        </w:tabs>
        <w:jc w:val="both"/>
        <w:rPr>
          <w:rFonts w:ascii="Arial" w:hAnsi="Arial" w:cs="Arial"/>
          <w:szCs w:val="24"/>
        </w:rPr>
      </w:pPr>
      <w:r w:rsidRPr="005E4E65">
        <w:rPr>
          <w:rFonts w:ascii="Arial" w:hAnsi="Arial" w:cs="Arial"/>
          <w:szCs w:val="24"/>
        </w:rPr>
        <w:t>The Fund is also well diversified by manager</w:t>
      </w:r>
      <w:r w:rsidR="00EA3092">
        <w:rPr>
          <w:rFonts w:ascii="Arial" w:hAnsi="Arial" w:cs="Arial"/>
          <w:szCs w:val="24"/>
        </w:rPr>
        <w:t xml:space="preserve">. </w:t>
      </w:r>
      <w:r w:rsidRPr="005E4E65">
        <w:rPr>
          <w:rFonts w:ascii="Arial" w:hAnsi="Arial" w:cs="Arial"/>
          <w:szCs w:val="24"/>
        </w:rPr>
        <w:t>On appointment</w:t>
      </w:r>
      <w:r w:rsidR="00673248">
        <w:rPr>
          <w:rFonts w:ascii="Arial" w:hAnsi="Arial" w:cs="Arial"/>
          <w:szCs w:val="24"/>
        </w:rPr>
        <w:t>,</w:t>
      </w:r>
      <w:r w:rsidRPr="005E4E65">
        <w:rPr>
          <w:rFonts w:ascii="Arial" w:hAnsi="Arial" w:cs="Arial"/>
          <w:szCs w:val="24"/>
        </w:rPr>
        <w:t xml:space="preserve"> fund managers are delegated the power to make such purchases and sales as they deem appropriate under the mandate concerned.  Each mandate has a benchmark or target to outperform or achieve, usually on the basis of 3-year rolling periods.  An update, at least quarterly, is required from each manager and regular meetings are held with managers to discuss their mandates and their performance on them.  There are slightly different arrangements for some of the alternative assets.  </w:t>
      </w:r>
      <w:r>
        <w:rPr>
          <w:rFonts w:ascii="Arial" w:hAnsi="Arial" w:cs="Arial"/>
          <w:szCs w:val="24"/>
        </w:rPr>
        <w:t>Some private equity</w:t>
      </w:r>
      <w:r w:rsidRPr="005E4E65">
        <w:rPr>
          <w:rFonts w:ascii="Arial" w:hAnsi="Arial" w:cs="Arial"/>
          <w:szCs w:val="24"/>
        </w:rPr>
        <w:t xml:space="preserve"> </w:t>
      </w:r>
      <w:r>
        <w:rPr>
          <w:rFonts w:ascii="Arial" w:hAnsi="Arial" w:cs="Arial"/>
          <w:szCs w:val="24"/>
        </w:rPr>
        <w:t>and property</w:t>
      </w:r>
      <w:r w:rsidRPr="005E4E65">
        <w:rPr>
          <w:rFonts w:ascii="Arial" w:hAnsi="Arial" w:cs="Arial"/>
          <w:szCs w:val="24"/>
        </w:rPr>
        <w:t xml:space="preserve"> investment is fund rather than manager-specific, with specific funds </w:t>
      </w:r>
      <w:r>
        <w:rPr>
          <w:rFonts w:ascii="Arial" w:hAnsi="Arial" w:cs="Arial"/>
          <w:szCs w:val="24"/>
        </w:rPr>
        <w:t>identified by the investment sub group</w:t>
      </w:r>
      <w:r w:rsidRPr="005E4E65">
        <w:rPr>
          <w:rFonts w:ascii="Arial" w:hAnsi="Arial" w:cs="Arial"/>
          <w:szCs w:val="24"/>
        </w:rPr>
        <w:t xml:space="preserve"> after careful due diligence.  These commitments tend to </w:t>
      </w:r>
    </w:p>
    <w:p w14:paraId="467EB0EE" w14:textId="77777777" w:rsidR="0078724F" w:rsidRPr="005E4E65" w:rsidRDefault="0078724F" w:rsidP="0078724F">
      <w:pPr>
        <w:pStyle w:val="DefaultText"/>
        <w:tabs>
          <w:tab w:val="left" w:pos="284"/>
          <w:tab w:val="left" w:pos="1440"/>
          <w:tab w:val="left" w:pos="1925"/>
          <w:tab w:val="left" w:pos="3607"/>
          <w:tab w:val="left" w:pos="5058"/>
          <w:tab w:val="left" w:pos="6971"/>
        </w:tabs>
        <w:jc w:val="both"/>
        <w:rPr>
          <w:rFonts w:ascii="Arial" w:hAnsi="Arial" w:cs="Arial"/>
          <w:szCs w:val="24"/>
        </w:rPr>
      </w:pPr>
      <w:r w:rsidRPr="005E4E65">
        <w:rPr>
          <w:rFonts w:ascii="Arial" w:hAnsi="Arial" w:cs="Arial"/>
          <w:szCs w:val="24"/>
        </w:rPr>
        <w:t>be smaller in nature than main asset class investments but again regular performance reports are received and such investments are reviewed with managers at least once a year.</w:t>
      </w:r>
    </w:p>
    <w:p w14:paraId="0556761A" w14:textId="77777777" w:rsidR="001E4F93" w:rsidRDefault="001E4F93" w:rsidP="001E4F93">
      <w:pPr>
        <w:pStyle w:val="BodyText"/>
        <w:tabs>
          <w:tab w:val="left" w:pos="6971"/>
        </w:tabs>
        <w:rPr>
          <w:rFonts w:cs="Arial"/>
          <w:b/>
          <w:bCs/>
        </w:rPr>
      </w:pPr>
    </w:p>
    <w:p w14:paraId="60FD7C8A" w14:textId="77777777" w:rsidR="001E4F93" w:rsidRDefault="001E4F93" w:rsidP="001E4F93">
      <w:pPr>
        <w:pStyle w:val="BodyText"/>
        <w:tabs>
          <w:tab w:val="left" w:pos="6971"/>
        </w:tabs>
        <w:rPr>
          <w:rFonts w:cs="Arial"/>
          <w:b/>
          <w:bCs/>
        </w:rPr>
      </w:pPr>
    </w:p>
    <w:p w14:paraId="779FA3B4" w14:textId="77777777" w:rsidR="001E4F93" w:rsidRDefault="001E4F93" w:rsidP="001E4F93">
      <w:pPr>
        <w:pStyle w:val="BodyText"/>
        <w:tabs>
          <w:tab w:val="left" w:pos="6971"/>
        </w:tabs>
        <w:rPr>
          <w:rFonts w:cs="Arial"/>
          <w:b/>
          <w:bCs/>
        </w:rPr>
      </w:pPr>
      <w:r>
        <w:rPr>
          <w:rFonts w:cs="Arial"/>
          <w:b/>
          <w:bCs/>
        </w:rPr>
        <w:t>23</w:t>
      </w:r>
      <w:r w:rsidRPr="005E4E65">
        <w:rPr>
          <w:rFonts w:cs="Arial"/>
          <w:b/>
          <w:bCs/>
        </w:rPr>
        <w:t>. I</w:t>
      </w:r>
      <w:r>
        <w:rPr>
          <w:rFonts w:cs="Arial"/>
          <w:b/>
          <w:bCs/>
        </w:rPr>
        <w:t>nvestment</w:t>
      </w:r>
      <w:r w:rsidRPr="005E4E65">
        <w:rPr>
          <w:rFonts w:cs="Arial"/>
          <w:b/>
          <w:bCs/>
        </w:rPr>
        <w:t xml:space="preserve"> R</w:t>
      </w:r>
      <w:r>
        <w:rPr>
          <w:rFonts w:cs="Arial"/>
          <w:b/>
          <w:bCs/>
        </w:rPr>
        <w:t>isks (Continued)</w:t>
      </w:r>
    </w:p>
    <w:p w14:paraId="42582DF8" w14:textId="77777777" w:rsidR="00C169CC" w:rsidRDefault="00C169CC" w:rsidP="00D10839">
      <w:pPr>
        <w:pStyle w:val="BodyText"/>
        <w:tabs>
          <w:tab w:val="left" w:pos="6971"/>
        </w:tabs>
        <w:rPr>
          <w:rFonts w:cs="Arial"/>
          <w:b/>
          <w:bCs/>
        </w:rPr>
      </w:pPr>
    </w:p>
    <w:p w14:paraId="4BE86D6B" w14:textId="77777777" w:rsidR="00C169CC" w:rsidRDefault="00C169CC" w:rsidP="00D10839">
      <w:pPr>
        <w:pStyle w:val="BodyText"/>
        <w:tabs>
          <w:tab w:val="left" w:pos="6971"/>
        </w:tabs>
        <w:rPr>
          <w:rFonts w:cs="Arial"/>
          <w:b/>
          <w:bCs/>
        </w:rPr>
      </w:pPr>
    </w:p>
    <w:p w14:paraId="2EBA720C" w14:textId="77777777" w:rsidR="0078724F" w:rsidRPr="005E4E65" w:rsidRDefault="0078724F" w:rsidP="0078724F">
      <w:pPr>
        <w:pStyle w:val="NormalWeb"/>
        <w:tabs>
          <w:tab w:val="left" w:pos="6971"/>
        </w:tabs>
        <w:spacing w:before="0" w:after="0"/>
        <w:jc w:val="both"/>
        <w:rPr>
          <w:rFonts w:ascii="Arial" w:hAnsi="Arial" w:cs="Arial"/>
          <w:b/>
        </w:rPr>
      </w:pPr>
      <w:r w:rsidRPr="005E4E65">
        <w:rPr>
          <w:rFonts w:ascii="Arial" w:hAnsi="Arial" w:cs="Arial"/>
          <w:b/>
          <w:iCs/>
        </w:rPr>
        <w:t xml:space="preserve">Credit Risk </w:t>
      </w:r>
    </w:p>
    <w:p w14:paraId="41B5F779" w14:textId="77777777" w:rsidR="0078724F" w:rsidRPr="0031414C" w:rsidRDefault="0078724F" w:rsidP="0078724F">
      <w:pPr>
        <w:tabs>
          <w:tab w:val="left" w:pos="6971"/>
        </w:tabs>
        <w:jc w:val="both"/>
        <w:rPr>
          <w:rFonts w:ascii="Arial" w:hAnsi="Arial" w:cs="Arial"/>
        </w:rPr>
      </w:pPr>
      <w:r w:rsidRPr="00135EBB">
        <w:rPr>
          <w:rFonts w:ascii="Arial" w:hAnsi="Arial" w:cs="Arial"/>
          <w:sz w:val="24"/>
          <w:szCs w:val="24"/>
        </w:rPr>
        <w:t>Credit risk is the risk that a counterparty to a financial instrument will fail to discharge an obligation or commitment that it has entered into with the Fund.  As noted above almost all the Fund’s investment are through pooled vehicles and a number of these are involved in derivative trades of various sorts, including futures, swaps and options.  Whilst the Fund is not a direct counterparty to such trades and so has no direct credit risk, clearly all derivative transactions incorporate a degree of risk and the value of the pooled vehicle, and hence the Fund’s holding, could be impacted negatively by failure of one of the vehicle’s counterparties.  However, part of the operational due diligence carried out on potential manager appointees concerns itself with the quality of that manager’s risk processes around counterparties and seeks to establish assurance that these are such as to minimise exposure to credit risk.</w:t>
      </w:r>
      <w:r w:rsidRPr="0031414C">
        <w:rPr>
          <w:rFonts w:ascii="Arial" w:hAnsi="Arial" w:cs="Arial"/>
        </w:rPr>
        <w:t xml:space="preserve">  </w:t>
      </w:r>
    </w:p>
    <w:p w14:paraId="7CE3B0E0" w14:textId="77777777" w:rsidR="0078724F" w:rsidRDefault="0078724F" w:rsidP="0078724F">
      <w:pPr>
        <w:tabs>
          <w:tab w:val="left" w:pos="6971"/>
        </w:tabs>
        <w:jc w:val="both"/>
        <w:rPr>
          <w:rFonts w:ascii="Arial" w:hAnsi="Arial" w:cs="Arial"/>
        </w:rPr>
      </w:pPr>
    </w:p>
    <w:p w14:paraId="46056BFF" w14:textId="77777777" w:rsidR="00135EBB" w:rsidRPr="00135EBB" w:rsidRDefault="00135EBB" w:rsidP="0078724F">
      <w:pPr>
        <w:tabs>
          <w:tab w:val="left" w:pos="6971"/>
        </w:tabs>
        <w:jc w:val="both"/>
        <w:rPr>
          <w:rFonts w:ascii="Arial" w:hAnsi="Arial" w:cs="Arial"/>
          <w:sz w:val="24"/>
          <w:szCs w:val="24"/>
        </w:rPr>
      </w:pPr>
      <w:r w:rsidRPr="00135EBB">
        <w:rPr>
          <w:rFonts w:ascii="Arial" w:hAnsi="Arial" w:cs="Arial"/>
          <w:sz w:val="24"/>
          <w:szCs w:val="24"/>
        </w:rPr>
        <w:t xml:space="preserve">There has been no historical experience of default on the investments held by the </w:t>
      </w:r>
      <w:r w:rsidR="00673248">
        <w:rPr>
          <w:rFonts w:ascii="Arial" w:hAnsi="Arial" w:cs="Arial"/>
          <w:sz w:val="24"/>
          <w:szCs w:val="24"/>
        </w:rPr>
        <w:t>P</w:t>
      </w:r>
      <w:r w:rsidRPr="00135EBB">
        <w:rPr>
          <w:rFonts w:ascii="Arial" w:hAnsi="Arial" w:cs="Arial"/>
          <w:sz w:val="24"/>
          <w:szCs w:val="24"/>
        </w:rPr>
        <w:t xml:space="preserve">ension </w:t>
      </w:r>
      <w:r w:rsidR="00673248">
        <w:rPr>
          <w:rFonts w:ascii="Arial" w:hAnsi="Arial" w:cs="Arial"/>
          <w:sz w:val="24"/>
          <w:szCs w:val="24"/>
        </w:rPr>
        <w:t>F</w:t>
      </w:r>
      <w:r w:rsidRPr="00135EBB">
        <w:rPr>
          <w:rFonts w:ascii="Arial" w:hAnsi="Arial" w:cs="Arial"/>
          <w:sz w:val="24"/>
          <w:szCs w:val="24"/>
        </w:rPr>
        <w:t>und.</w:t>
      </w:r>
    </w:p>
    <w:p w14:paraId="590D01C2" w14:textId="77777777" w:rsidR="00D87A9F" w:rsidRDefault="00D87A9F" w:rsidP="0078724F">
      <w:pPr>
        <w:tabs>
          <w:tab w:val="left" w:pos="6971"/>
        </w:tabs>
        <w:jc w:val="both"/>
        <w:rPr>
          <w:rFonts w:ascii="Arial" w:hAnsi="Arial" w:cs="Arial"/>
          <w:sz w:val="24"/>
          <w:szCs w:val="24"/>
        </w:rPr>
      </w:pPr>
    </w:p>
    <w:p w14:paraId="63094D6F" w14:textId="77777777" w:rsidR="0078724F" w:rsidRPr="00135EBB" w:rsidRDefault="0078724F" w:rsidP="0078724F">
      <w:pPr>
        <w:tabs>
          <w:tab w:val="left" w:pos="6971"/>
        </w:tabs>
        <w:jc w:val="both"/>
        <w:rPr>
          <w:rFonts w:ascii="Arial" w:hAnsi="Arial" w:cs="Arial"/>
          <w:sz w:val="24"/>
          <w:szCs w:val="24"/>
        </w:rPr>
      </w:pPr>
      <w:r w:rsidRPr="00135EBB">
        <w:rPr>
          <w:rFonts w:ascii="Arial" w:hAnsi="Arial" w:cs="Arial"/>
          <w:sz w:val="24"/>
          <w:szCs w:val="24"/>
        </w:rPr>
        <w:t>Within the Fund, the areas of focus in terms of credit risk are bonds and some of the alternative asset categories</w:t>
      </w:r>
      <w:r w:rsidR="00673248">
        <w:rPr>
          <w:rFonts w:ascii="Arial" w:hAnsi="Arial" w:cs="Arial"/>
          <w:sz w:val="24"/>
          <w:szCs w:val="24"/>
        </w:rPr>
        <w:t xml:space="preserve"> :</w:t>
      </w:r>
    </w:p>
    <w:p w14:paraId="76EC92FB" w14:textId="77777777" w:rsidR="0078724F" w:rsidRPr="00135EBB" w:rsidRDefault="0078724F" w:rsidP="0078724F">
      <w:pPr>
        <w:tabs>
          <w:tab w:val="left" w:pos="6971"/>
        </w:tabs>
        <w:jc w:val="both"/>
        <w:rPr>
          <w:rFonts w:ascii="Arial" w:hAnsi="Arial" w:cs="Arial"/>
          <w:sz w:val="24"/>
          <w:szCs w:val="24"/>
        </w:rPr>
      </w:pPr>
    </w:p>
    <w:p w14:paraId="6CCFAA75" w14:textId="77777777" w:rsidR="0078724F" w:rsidRDefault="0078724F" w:rsidP="009E72D7">
      <w:pPr>
        <w:numPr>
          <w:ilvl w:val="0"/>
          <w:numId w:val="11"/>
        </w:numPr>
        <w:tabs>
          <w:tab w:val="left" w:pos="6971"/>
        </w:tabs>
        <w:jc w:val="both"/>
        <w:rPr>
          <w:rFonts w:ascii="Arial" w:hAnsi="Arial" w:cs="Arial"/>
          <w:sz w:val="24"/>
          <w:szCs w:val="24"/>
        </w:rPr>
      </w:pPr>
      <w:r w:rsidRPr="00135EBB">
        <w:rPr>
          <w:rFonts w:ascii="Arial" w:hAnsi="Arial" w:cs="Arial"/>
          <w:sz w:val="24"/>
          <w:szCs w:val="24"/>
        </w:rPr>
        <w:t xml:space="preserve">The Fund’s </w:t>
      </w:r>
      <w:r w:rsidR="00673248">
        <w:rPr>
          <w:rFonts w:ascii="Arial" w:hAnsi="Arial" w:cs="Arial"/>
          <w:sz w:val="24"/>
          <w:szCs w:val="24"/>
        </w:rPr>
        <w:t xml:space="preserve">active fixed interest </w:t>
      </w:r>
      <w:r w:rsidR="008F227A">
        <w:rPr>
          <w:rFonts w:ascii="Arial" w:hAnsi="Arial" w:cs="Arial"/>
          <w:sz w:val="24"/>
          <w:szCs w:val="24"/>
        </w:rPr>
        <w:t xml:space="preserve">mandates are valued at </w:t>
      </w:r>
      <w:r w:rsidR="00673248">
        <w:rPr>
          <w:rFonts w:ascii="Arial" w:hAnsi="Arial" w:cs="Arial"/>
          <w:sz w:val="24"/>
          <w:szCs w:val="24"/>
        </w:rPr>
        <w:t>£</w:t>
      </w:r>
      <w:r w:rsidR="008F227A">
        <w:rPr>
          <w:rFonts w:ascii="Arial" w:hAnsi="Arial" w:cs="Arial"/>
          <w:sz w:val="24"/>
          <w:szCs w:val="24"/>
        </w:rPr>
        <w:t>12</w:t>
      </w:r>
      <w:r w:rsidR="008F5CB7">
        <w:rPr>
          <w:rFonts w:ascii="Arial" w:hAnsi="Arial" w:cs="Arial"/>
          <w:sz w:val="24"/>
          <w:szCs w:val="24"/>
        </w:rPr>
        <w:t>8,817</w:t>
      </w:r>
      <w:r w:rsidR="00673248">
        <w:rPr>
          <w:rFonts w:ascii="Arial" w:hAnsi="Arial" w:cs="Arial"/>
          <w:sz w:val="24"/>
          <w:szCs w:val="24"/>
        </w:rPr>
        <w:t xml:space="preserve">k is </w:t>
      </w:r>
      <w:r w:rsidRPr="00135EBB">
        <w:rPr>
          <w:rFonts w:ascii="Arial" w:hAnsi="Arial" w:cs="Arial"/>
          <w:sz w:val="24"/>
          <w:szCs w:val="24"/>
        </w:rPr>
        <w:t>managed</w:t>
      </w:r>
      <w:r w:rsidR="00673248">
        <w:rPr>
          <w:rFonts w:ascii="Arial" w:hAnsi="Arial" w:cs="Arial"/>
          <w:sz w:val="24"/>
          <w:szCs w:val="24"/>
        </w:rPr>
        <w:t xml:space="preserve"> (by </w:t>
      </w:r>
      <w:r w:rsidR="008F227A">
        <w:rPr>
          <w:rFonts w:ascii="Arial" w:hAnsi="Arial" w:cs="Arial"/>
          <w:sz w:val="24"/>
          <w:szCs w:val="24"/>
        </w:rPr>
        <w:t>Russell Investments on behalf of Wales Pension Partnership</w:t>
      </w:r>
      <w:r w:rsidR="00673248">
        <w:rPr>
          <w:rFonts w:ascii="Arial" w:hAnsi="Arial" w:cs="Arial"/>
          <w:sz w:val="24"/>
          <w:szCs w:val="24"/>
        </w:rPr>
        <w:t>)</w:t>
      </w:r>
      <w:r w:rsidRPr="00135EBB">
        <w:rPr>
          <w:rFonts w:ascii="Arial" w:hAnsi="Arial" w:cs="Arial"/>
          <w:sz w:val="24"/>
          <w:szCs w:val="24"/>
        </w:rPr>
        <w:t xml:space="preserve"> on an unconstrained basis and has a significant exposure to credit, emerging market debt and loans.  At 31st March 20</w:t>
      </w:r>
      <w:r w:rsidR="00165C42">
        <w:rPr>
          <w:rFonts w:ascii="Arial" w:hAnsi="Arial" w:cs="Arial"/>
          <w:sz w:val="24"/>
          <w:szCs w:val="24"/>
        </w:rPr>
        <w:t>2</w:t>
      </w:r>
      <w:r w:rsidR="008F5CB7">
        <w:rPr>
          <w:rFonts w:ascii="Arial" w:hAnsi="Arial" w:cs="Arial"/>
          <w:sz w:val="24"/>
          <w:szCs w:val="24"/>
        </w:rPr>
        <w:t>2</w:t>
      </w:r>
      <w:r w:rsidRPr="00135EBB">
        <w:rPr>
          <w:rFonts w:ascii="Arial" w:hAnsi="Arial" w:cs="Arial"/>
          <w:sz w:val="24"/>
          <w:szCs w:val="24"/>
        </w:rPr>
        <w:t xml:space="preserve">, the Fund’s exposure to non-investment grade paper was </w:t>
      </w:r>
      <w:r w:rsidR="000C748A">
        <w:rPr>
          <w:rFonts w:ascii="Arial" w:hAnsi="Arial" w:cs="Arial"/>
          <w:sz w:val="24"/>
          <w:szCs w:val="24"/>
        </w:rPr>
        <w:t>59.8%</w:t>
      </w:r>
      <w:r w:rsidR="00135EBB" w:rsidRPr="00135EBB">
        <w:rPr>
          <w:rFonts w:ascii="Arial" w:hAnsi="Arial" w:cs="Arial"/>
          <w:sz w:val="24"/>
          <w:szCs w:val="24"/>
        </w:rPr>
        <w:t xml:space="preserve"> </w:t>
      </w:r>
      <w:r w:rsidRPr="00135EBB">
        <w:rPr>
          <w:rFonts w:ascii="Arial" w:hAnsi="Arial" w:cs="Arial"/>
          <w:sz w:val="24"/>
          <w:szCs w:val="24"/>
        </w:rPr>
        <w:t>of the actively managed fixed income portfolio</w:t>
      </w:r>
      <w:r w:rsidR="00673248">
        <w:rPr>
          <w:rFonts w:ascii="Arial" w:hAnsi="Arial" w:cs="Arial"/>
          <w:sz w:val="24"/>
          <w:szCs w:val="24"/>
        </w:rPr>
        <w:t>.</w:t>
      </w:r>
      <w:r w:rsidRPr="00135EBB">
        <w:rPr>
          <w:rFonts w:ascii="Arial" w:hAnsi="Arial" w:cs="Arial"/>
          <w:sz w:val="24"/>
          <w:szCs w:val="24"/>
        </w:rPr>
        <w:t xml:space="preserve"> </w:t>
      </w:r>
    </w:p>
    <w:p w14:paraId="75CB2D55" w14:textId="77777777" w:rsidR="008804FD" w:rsidRDefault="008804FD" w:rsidP="008804FD">
      <w:pPr>
        <w:tabs>
          <w:tab w:val="left" w:pos="6971"/>
        </w:tabs>
        <w:jc w:val="both"/>
        <w:rPr>
          <w:rFonts w:ascii="Arial" w:hAnsi="Arial" w:cs="Arial"/>
          <w:sz w:val="24"/>
          <w:szCs w:val="24"/>
        </w:rPr>
      </w:pPr>
    </w:p>
    <w:p w14:paraId="0E970633" w14:textId="77777777" w:rsidR="0078724F" w:rsidRPr="008804FD" w:rsidRDefault="0078724F" w:rsidP="009E72D7">
      <w:pPr>
        <w:numPr>
          <w:ilvl w:val="0"/>
          <w:numId w:val="11"/>
        </w:numPr>
        <w:tabs>
          <w:tab w:val="left" w:pos="6971"/>
        </w:tabs>
        <w:jc w:val="both"/>
        <w:rPr>
          <w:rFonts w:ascii="Arial" w:hAnsi="Arial" w:cs="Arial"/>
          <w:b/>
          <w:bCs/>
          <w:sz w:val="24"/>
          <w:szCs w:val="24"/>
        </w:rPr>
      </w:pPr>
      <w:r w:rsidRPr="00135EBB">
        <w:rPr>
          <w:rFonts w:ascii="Arial" w:hAnsi="Arial" w:cs="Arial"/>
          <w:sz w:val="24"/>
          <w:szCs w:val="24"/>
        </w:rPr>
        <w:t xml:space="preserve">On private equity the Fund’s investments are almost entirely in the equity of the companies concerned.  </w:t>
      </w:r>
      <w:r w:rsidR="00135EBB" w:rsidRPr="00135EBB">
        <w:rPr>
          <w:rFonts w:ascii="Arial" w:hAnsi="Arial" w:cs="Arial"/>
          <w:sz w:val="24"/>
          <w:szCs w:val="24"/>
        </w:rPr>
        <w:t xml:space="preserve">The </w:t>
      </w:r>
      <w:r w:rsidR="00673248">
        <w:rPr>
          <w:rFonts w:ascii="Arial" w:hAnsi="Arial" w:cs="Arial"/>
          <w:sz w:val="24"/>
          <w:szCs w:val="24"/>
        </w:rPr>
        <w:t>F</w:t>
      </w:r>
      <w:r w:rsidR="00135EBB" w:rsidRPr="00135EBB">
        <w:rPr>
          <w:rFonts w:ascii="Arial" w:hAnsi="Arial" w:cs="Arial"/>
          <w:sz w:val="24"/>
          <w:szCs w:val="24"/>
        </w:rPr>
        <w:t>unds private equity investments of £</w:t>
      </w:r>
      <w:r w:rsidR="00A65F67">
        <w:rPr>
          <w:rFonts w:ascii="Arial" w:hAnsi="Arial" w:cs="Arial"/>
          <w:sz w:val="24"/>
          <w:szCs w:val="24"/>
        </w:rPr>
        <w:t>197,918</w:t>
      </w:r>
      <w:r w:rsidR="00135EBB" w:rsidRPr="008804FD">
        <w:rPr>
          <w:rFonts w:ascii="Arial" w:hAnsi="Arial" w:cs="Arial"/>
          <w:sz w:val="24"/>
          <w:szCs w:val="24"/>
        </w:rPr>
        <w:t>k</w:t>
      </w:r>
      <w:r w:rsidR="00AA6865">
        <w:rPr>
          <w:rFonts w:ascii="Arial" w:hAnsi="Arial" w:cs="Arial"/>
          <w:sz w:val="24"/>
          <w:szCs w:val="24"/>
        </w:rPr>
        <w:t xml:space="preserve"> are managed by HarbourVest and Blackstone i</w:t>
      </w:r>
      <w:r w:rsidR="00135EBB" w:rsidRPr="00135EBB">
        <w:rPr>
          <w:rFonts w:ascii="Arial" w:hAnsi="Arial" w:cs="Arial"/>
          <w:sz w:val="24"/>
          <w:szCs w:val="24"/>
        </w:rPr>
        <w:t>n fund of funds portfoli</w:t>
      </w:r>
      <w:r w:rsidR="00AA6865">
        <w:rPr>
          <w:rFonts w:ascii="Arial" w:hAnsi="Arial" w:cs="Arial"/>
          <w:sz w:val="24"/>
          <w:szCs w:val="24"/>
        </w:rPr>
        <w:t>os</w:t>
      </w:r>
      <w:r w:rsidR="00135EBB" w:rsidRPr="00135EBB">
        <w:rPr>
          <w:rFonts w:ascii="Arial" w:hAnsi="Arial" w:cs="Arial"/>
          <w:sz w:val="24"/>
          <w:szCs w:val="24"/>
        </w:rPr>
        <w:t>.</w:t>
      </w:r>
    </w:p>
    <w:p w14:paraId="52D590CB" w14:textId="77777777" w:rsidR="008804FD" w:rsidRDefault="008804FD" w:rsidP="008804FD">
      <w:pPr>
        <w:tabs>
          <w:tab w:val="left" w:pos="6971"/>
        </w:tabs>
        <w:jc w:val="both"/>
        <w:rPr>
          <w:rFonts w:ascii="Arial" w:hAnsi="Arial" w:cs="Arial"/>
          <w:sz w:val="24"/>
          <w:szCs w:val="24"/>
        </w:rPr>
      </w:pPr>
    </w:p>
    <w:p w14:paraId="66209369" w14:textId="77777777" w:rsidR="0078724F" w:rsidRDefault="0078724F" w:rsidP="0078724F">
      <w:pPr>
        <w:pStyle w:val="BodyText"/>
        <w:tabs>
          <w:tab w:val="left" w:pos="6971"/>
        </w:tabs>
        <w:rPr>
          <w:rFonts w:cs="Arial"/>
        </w:rPr>
      </w:pPr>
      <w:r w:rsidRPr="005E4E65">
        <w:rPr>
          <w:rFonts w:cs="Arial"/>
        </w:rPr>
        <w:t>On hedge fund of funds and multi-strategy vehicles, underlying managers have in place a broad range of derivatives.  The Fund’s exposure to hedge funds through its managers at 31st March 20</w:t>
      </w:r>
      <w:r w:rsidR="007A7B91">
        <w:rPr>
          <w:rFonts w:cs="Arial"/>
        </w:rPr>
        <w:t>2</w:t>
      </w:r>
      <w:r w:rsidR="000C748A">
        <w:rPr>
          <w:rFonts w:cs="Arial"/>
        </w:rPr>
        <w:t>2</w:t>
      </w:r>
      <w:r w:rsidRPr="005E4E65">
        <w:rPr>
          <w:rFonts w:cs="Arial"/>
        </w:rPr>
        <w:t xml:space="preserve"> is set out below</w:t>
      </w:r>
      <w:r>
        <w:rPr>
          <w:rFonts w:cs="Arial"/>
        </w:rPr>
        <w:t xml:space="preserve"> with their relative exposure to credit risk</w:t>
      </w:r>
      <w:r w:rsidR="00673248">
        <w:rPr>
          <w:rFonts w:cs="Arial"/>
        </w:rPr>
        <w:t xml:space="preserve"> :</w:t>
      </w:r>
    </w:p>
    <w:p w14:paraId="0AC410EB" w14:textId="77777777" w:rsidR="00047CAC" w:rsidRDefault="00047CAC" w:rsidP="0078724F">
      <w:pPr>
        <w:pStyle w:val="BodyText"/>
        <w:tabs>
          <w:tab w:val="left" w:pos="6971"/>
        </w:tabs>
        <w:rPr>
          <w:rFonts w:cs="Arial"/>
        </w:rPr>
      </w:pPr>
    </w:p>
    <w:p w14:paraId="1EC9BED2" w14:textId="77777777" w:rsidR="00047CAC" w:rsidRDefault="00047CAC" w:rsidP="0078724F">
      <w:pPr>
        <w:pStyle w:val="BodyText"/>
        <w:tabs>
          <w:tab w:val="left" w:pos="6971"/>
        </w:tabs>
        <w:rPr>
          <w:rFonts w:cs="Arial"/>
        </w:rPr>
      </w:pPr>
    </w:p>
    <w:tbl>
      <w:tblPr>
        <w:tblW w:w="0" w:type="auto"/>
        <w:tblLook w:val="01E0" w:firstRow="1" w:lastRow="1" w:firstColumn="1" w:lastColumn="1" w:noHBand="0" w:noVBand="0"/>
      </w:tblPr>
      <w:tblGrid>
        <w:gridCol w:w="2220"/>
        <w:gridCol w:w="2220"/>
        <w:gridCol w:w="2221"/>
      </w:tblGrid>
      <w:tr w:rsidR="0078724F" w:rsidRPr="00814920" w14:paraId="58E72500" w14:textId="77777777" w:rsidTr="00814920">
        <w:tc>
          <w:tcPr>
            <w:tcW w:w="2220" w:type="dxa"/>
            <w:shd w:val="clear" w:color="auto" w:fill="auto"/>
          </w:tcPr>
          <w:p w14:paraId="3CAA41A6" w14:textId="77777777" w:rsidR="0078724F" w:rsidRPr="00814920" w:rsidRDefault="0078724F" w:rsidP="00814920">
            <w:pPr>
              <w:pStyle w:val="BodyText"/>
              <w:tabs>
                <w:tab w:val="clear" w:pos="5184"/>
                <w:tab w:val="clear" w:pos="6624"/>
                <w:tab w:val="clear" w:pos="8640"/>
                <w:tab w:val="clear" w:pos="10080"/>
                <w:tab w:val="right" w:pos="3732"/>
                <w:tab w:val="right" w:pos="4769"/>
                <w:tab w:val="left" w:pos="5019"/>
                <w:tab w:val="right" w:pos="6220"/>
                <w:tab w:val="right" w:pos="7257"/>
              </w:tabs>
              <w:rPr>
                <w:rFonts w:cs="Arial"/>
              </w:rPr>
            </w:pPr>
            <w:bookmarkStart w:id="3" w:name="OLE_LINK3"/>
          </w:p>
        </w:tc>
        <w:tc>
          <w:tcPr>
            <w:tcW w:w="2220" w:type="dxa"/>
            <w:shd w:val="clear" w:color="auto" w:fill="auto"/>
          </w:tcPr>
          <w:p w14:paraId="6AA56275" w14:textId="77777777" w:rsidR="0078724F" w:rsidRPr="00814920" w:rsidRDefault="00BE6536" w:rsidP="00814920">
            <w:pPr>
              <w:pStyle w:val="BodyText"/>
              <w:tabs>
                <w:tab w:val="clear" w:pos="5184"/>
                <w:tab w:val="clear" w:pos="6624"/>
                <w:tab w:val="clear" w:pos="8640"/>
                <w:tab w:val="clear" w:pos="10080"/>
                <w:tab w:val="right" w:pos="3732"/>
                <w:tab w:val="right" w:pos="4769"/>
                <w:tab w:val="left" w:pos="5019"/>
                <w:tab w:val="right" w:pos="6220"/>
                <w:tab w:val="right" w:pos="7257"/>
              </w:tabs>
              <w:jc w:val="center"/>
              <w:rPr>
                <w:rFonts w:cs="Arial"/>
                <w:b/>
              </w:rPr>
            </w:pPr>
            <w:r w:rsidRPr="00814920">
              <w:rPr>
                <w:rFonts w:cs="Arial"/>
                <w:b/>
              </w:rPr>
              <w:t>March 20</w:t>
            </w:r>
            <w:r w:rsidR="00165C42">
              <w:rPr>
                <w:rFonts w:cs="Arial"/>
                <w:b/>
              </w:rPr>
              <w:t>2</w:t>
            </w:r>
            <w:r w:rsidR="00745FB0">
              <w:rPr>
                <w:rFonts w:cs="Arial"/>
                <w:b/>
              </w:rPr>
              <w:t>2</w:t>
            </w:r>
          </w:p>
          <w:p w14:paraId="65BF0495" w14:textId="77777777" w:rsidR="0078724F" w:rsidRPr="00814920" w:rsidRDefault="0078724F" w:rsidP="00814920">
            <w:pPr>
              <w:pStyle w:val="BodyText"/>
              <w:tabs>
                <w:tab w:val="clear" w:pos="5184"/>
                <w:tab w:val="clear" w:pos="6624"/>
                <w:tab w:val="clear" w:pos="8640"/>
                <w:tab w:val="clear" w:pos="10080"/>
                <w:tab w:val="right" w:pos="3732"/>
                <w:tab w:val="right" w:pos="4769"/>
                <w:tab w:val="left" w:pos="5019"/>
                <w:tab w:val="right" w:pos="6220"/>
                <w:tab w:val="right" w:pos="7257"/>
              </w:tabs>
              <w:jc w:val="center"/>
              <w:rPr>
                <w:rFonts w:cs="Arial"/>
                <w:b/>
              </w:rPr>
            </w:pPr>
            <w:r w:rsidRPr="00814920">
              <w:rPr>
                <w:rFonts w:cs="Arial"/>
                <w:b/>
              </w:rPr>
              <w:t>£’000</w:t>
            </w:r>
          </w:p>
          <w:p w14:paraId="6C1FBF6A" w14:textId="77777777" w:rsidR="0078724F" w:rsidRPr="00814920" w:rsidRDefault="0078724F" w:rsidP="00814920">
            <w:pPr>
              <w:pStyle w:val="BodyText"/>
              <w:tabs>
                <w:tab w:val="clear" w:pos="5184"/>
                <w:tab w:val="clear" w:pos="6624"/>
                <w:tab w:val="clear" w:pos="8640"/>
                <w:tab w:val="clear" w:pos="10080"/>
                <w:tab w:val="right" w:pos="3732"/>
                <w:tab w:val="right" w:pos="4769"/>
                <w:tab w:val="left" w:pos="5019"/>
                <w:tab w:val="right" w:pos="6220"/>
                <w:tab w:val="right" w:pos="7257"/>
              </w:tabs>
              <w:rPr>
                <w:rFonts w:cs="Arial"/>
                <w:b/>
              </w:rPr>
            </w:pPr>
          </w:p>
        </w:tc>
        <w:tc>
          <w:tcPr>
            <w:tcW w:w="2221" w:type="dxa"/>
            <w:shd w:val="clear" w:color="auto" w:fill="auto"/>
          </w:tcPr>
          <w:p w14:paraId="18FF25F1" w14:textId="77777777" w:rsidR="0078724F" w:rsidRPr="00814920" w:rsidRDefault="0078724F" w:rsidP="00814920">
            <w:pPr>
              <w:pStyle w:val="BodyText"/>
              <w:tabs>
                <w:tab w:val="clear" w:pos="5184"/>
                <w:tab w:val="clear" w:pos="6624"/>
                <w:tab w:val="clear" w:pos="8640"/>
                <w:tab w:val="clear" w:pos="10080"/>
                <w:tab w:val="right" w:pos="3732"/>
                <w:tab w:val="right" w:pos="4769"/>
                <w:tab w:val="left" w:pos="5019"/>
                <w:tab w:val="right" w:pos="6220"/>
                <w:tab w:val="right" w:pos="7257"/>
              </w:tabs>
              <w:rPr>
                <w:rFonts w:cs="Arial"/>
                <w:b/>
              </w:rPr>
            </w:pPr>
            <w:r w:rsidRPr="00814920">
              <w:rPr>
                <w:rFonts w:cs="Arial"/>
                <w:b/>
              </w:rPr>
              <w:t>Credit Exposure</w:t>
            </w:r>
          </w:p>
          <w:p w14:paraId="0F5F5FB4" w14:textId="77777777" w:rsidR="0078724F" w:rsidRPr="00814920" w:rsidRDefault="005B5BFD" w:rsidP="00814920">
            <w:pPr>
              <w:pStyle w:val="BodyText"/>
              <w:tabs>
                <w:tab w:val="clear" w:pos="5184"/>
                <w:tab w:val="clear" w:pos="6624"/>
                <w:tab w:val="clear" w:pos="8640"/>
                <w:tab w:val="clear" w:pos="10080"/>
                <w:tab w:val="right" w:pos="3732"/>
                <w:tab w:val="right" w:pos="4769"/>
                <w:tab w:val="left" w:pos="5019"/>
                <w:tab w:val="right" w:pos="6220"/>
                <w:tab w:val="right" w:pos="7257"/>
              </w:tabs>
              <w:rPr>
                <w:rFonts w:cs="Arial"/>
                <w:b/>
              </w:rPr>
            </w:pPr>
            <w:r>
              <w:rPr>
                <w:rFonts w:cs="Arial"/>
                <w:b/>
              </w:rPr>
              <w:t xml:space="preserve">              %</w:t>
            </w:r>
          </w:p>
        </w:tc>
      </w:tr>
      <w:tr w:rsidR="0078724F" w:rsidRPr="005B5BFD" w14:paraId="32FAB870" w14:textId="77777777" w:rsidTr="00814920">
        <w:tc>
          <w:tcPr>
            <w:tcW w:w="2220" w:type="dxa"/>
            <w:shd w:val="clear" w:color="auto" w:fill="auto"/>
          </w:tcPr>
          <w:p w14:paraId="36835C13" w14:textId="77777777" w:rsidR="0078724F" w:rsidRPr="005B5BFD" w:rsidRDefault="00367960" w:rsidP="00814920">
            <w:pPr>
              <w:pStyle w:val="BodyText"/>
              <w:tabs>
                <w:tab w:val="clear" w:pos="5184"/>
                <w:tab w:val="clear" w:pos="6624"/>
                <w:tab w:val="clear" w:pos="8640"/>
                <w:tab w:val="clear" w:pos="10080"/>
                <w:tab w:val="right" w:pos="3732"/>
                <w:tab w:val="right" w:pos="4769"/>
                <w:tab w:val="left" w:pos="5019"/>
                <w:tab w:val="right" w:pos="6220"/>
                <w:tab w:val="right" w:pos="7257"/>
              </w:tabs>
              <w:rPr>
                <w:rFonts w:cs="Arial"/>
              </w:rPr>
            </w:pPr>
            <w:r w:rsidRPr="005B5BFD">
              <w:rPr>
                <w:rFonts w:cs="Arial"/>
              </w:rPr>
              <w:t>EnTrust</w:t>
            </w:r>
            <w:r w:rsidR="00326903" w:rsidRPr="005B5BFD">
              <w:rPr>
                <w:rFonts w:cs="Arial"/>
              </w:rPr>
              <w:t>Permal</w:t>
            </w:r>
            <w:r w:rsidR="0078724F" w:rsidRPr="005B5BFD">
              <w:rPr>
                <w:rFonts w:cs="Arial"/>
              </w:rPr>
              <w:t xml:space="preserve"> </w:t>
            </w:r>
          </w:p>
        </w:tc>
        <w:tc>
          <w:tcPr>
            <w:tcW w:w="2220" w:type="dxa"/>
            <w:shd w:val="clear" w:color="auto" w:fill="auto"/>
          </w:tcPr>
          <w:p w14:paraId="68700E08" w14:textId="77777777" w:rsidR="0078724F" w:rsidRPr="005B5BFD" w:rsidRDefault="008F5CB7" w:rsidP="00367960">
            <w:pPr>
              <w:pStyle w:val="BodyText"/>
              <w:tabs>
                <w:tab w:val="clear" w:pos="5184"/>
                <w:tab w:val="clear" w:pos="6624"/>
                <w:tab w:val="clear" w:pos="8640"/>
                <w:tab w:val="clear" w:pos="10080"/>
                <w:tab w:val="right" w:pos="3732"/>
                <w:tab w:val="right" w:pos="4769"/>
                <w:tab w:val="left" w:pos="5019"/>
                <w:tab w:val="right" w:pos="6220"/>
                <w:tab w:val="right" w:pos="7257"/>
              </w:tabs>
              <w:jc w:val="center"/>
              <w:rPr>
                <w:rFonts w:cs="Arial"/>
              </w:rPr>
            </w:pPr>
            <w:r>
              <w:rPr>
                <w:rFonts w:cs="Arial"/>
              </w:rPr>
              <w:t>28,276</w:t>
            </w:r>
          </w:p>
        </w:tc>
        <w:tc>
          <w:tcPr>
            <w:tcW w:w="2221" w:type="dxa"/>
            <w:shd w:val="clear" w:color="auto" w:fill="auto"/>
          </w:tcPr>
          <w:p w14:paraId="2DD72D89" w14:textId="77777777" w:rsidR="0078724F" w:rsidRPr="005B5BFD" w:rsidRDefault="008F5CB7" w:rsidP="00367960">
            <w:pPr>
              <w:pStyle w:val="BodyText"/>
              <w:tabs>
                <w:tab w:val="clear" w:pos="5184"/>
                <w:tab w:val="clear" w:pos="6624"/>
                <w:tab w:val="clear" w:pos="8640"/>
                <w:tab w:val="clear" w:pos="10080"/>
                <w:tab w:val="right" w:pos="3732"/>
                <w:tab w:val="right" w:pos="4769"/>
                <w:tab w:val="left" w:pos="5019"/>
                <w:tab w:val="right" w:pos="6220"/>
                <w:tab w:val="right" w:pos="7257"/>
              </w:tabs>
              <w:jc w:val="center"/>
              <w:rPr>
                <w:rFonts w:cs="Arial"/>
              </w:rPr>
            </w:pPr>
            <w:r>
              <w:rPr>
                <w:rFonts w:cs="Arial"/>
              </w:rPr>
              <w:t>44.76</w:t>
            </w:r>
          </w:p>
        </w:tc>
      </w:tr>
      <w:tr w:rsidR="0078724F" w:rsidRPr="00814920" w14:paraId="2163065C" w14:textId="77777777" w:rsidTr="00814920">
        <w:tc>
          <w:tcPr>
            <w:tcW w:w="2220" w:type="dxa"/>
            <w:shd w:val="clear" w:color="auto" w:fill="auto"/>
          </w:tcPr>
          <w:p w14:paraId="57826818" w14:textId="77777777" w:rsidR="0078724F" w:rsidRPr="005B5BFD" w:rsidRDefault="0078724F" w:rsidP="00814920">
            <w:pPr>
              <w:pStyle w:val="BodyText"/>
              <w:tabs>
                <w:tab w:val="clear" w:pos="5184"/>
                <w:tab w:val="clear" w:pos="6624"/>
                <w:tab w:val="clear" w:pos="8640"/>
                <w:tab w:val="clear" w:pos="10080"/>
                <w:tab w:val="right" w:pos="3732"/>
                <w:tab w:val="right" w:pos="4769"/>
                <w:tab w:val="left" w:pos="5019"/>
                <w:tab w:val="right" w:pos="6220"/>
                <w:tab w:val="right" w:pos="7257"/>
              </w:tabs>
              <w:rPr>
                <w:rFonts w:cs="Arial"/>
              </w:rPr>
            </w:pPr>
            <w:r w:rsidRPr="005B5BFD">
              <w:rPr>
                <w:rFonts w:cs="Arial"/>
              </w:rPr>
              <w:t>Blackrock</w:t>
            </w:r>
          </w:p>
        </w:tc>
        <w:tc>
          <w:tcPr>
            <w:tcW w:w="2220" w:type="dxa"/>
            <w:shd w:val="clear" w:color="auto" w:fill="auto"/>
          </w:tcPr>
          <w:p w14:paraId="40E03E87" w14:textId="77777777" w:rsidR="0078724F" w:rsidRPr="005B5BFD" w:rsidRDefault="008F5CB7" w:rsidP="005B5BFD">
            <w:pPr>
              <w:pStyle w:val="BodyText"/>
              <w:tabs>
                <w:tab w:val="clear" w:pos="5184"/>
                <w:tab w:val="clear" w:pos="6624"/>
                <w:tab w:val="clear" w:pos="8640"/>
                <w:tab w:val="clear" w:pos="10080"/>
                <w:tab w:val="right" w:pos="3732"/>
                <w:tab w:val="right" w:pos="4769"/>
                <w:tab w:val="left" w:pos="5019"/>
                <w:tab w:val="right" w:pos="6220"/>
                <w:tab w:val="right" w:pos="7257"/>
              </w:tabs>
              <w:jc w:val="center"/>
              <w:rPr>
                <w:rFonts w:cs="Arial"/>
              </w:rPr>
            </w:pPr>
            <w:r>
              <w:rPr>
                <w:rFonts w:cs="Arial"/>
              </w:rPr>
              <w:t>32,581</w:t>
            </w:r>
          </w:p>
        </w:tc>
        <w:tc>
          <w:tcPr>
            <w:tcW w:w="2221" w:type="dxa"/>
            <w:shd w:val="clear" w:color="auto" w:fill="auto"/>
          </w:tcPr>
          <w:p w14:paraId="75CBAAC4" w14:textId="77777777" w:rsidR="0078724F" w:rsidRPr="005B5BFD" w:rsidRDefault="008F5CB7" w:rsidP="00F927FB">
            <w:pPr>
              <w:pStyle w:val="BodyText"/>
              <w:tabs>
                <w:tab w:val="clear" w:pos="5184"/>
                <w:tab w:val="clear" w:pos="6624"/>
                <w:tab w:val="clear" w:pos="8640"/>
                <w:tab w:val="clear" w:pos="10080"/>
                <w:tab w:val="right" w:pos="3732"/>
                <w:tab w:val="right" w:pos="4769"/>
                <w:tab w:val="left" w:pos="5019"/>
                <w:tab w:val="right" w:pos="6220"/>
                <w:tab w:val="right" w:pos="7257"/>
              </w:tabs>
              <w:jc w:val="center"/>
              <w:rPr>
                <w:rFonts w:cs="Arial"/>
              </w:rPr>
            </w:pPr>
            <w:r>
              <w:rPr>
                <w:rFonts w:cs="Arial"/>
              </w:rPr>
              <w:t>16.60</w:t>
            </w:r>
          </w:p>
        </w:tc>
      </w:tr>
      <w:bookmarkEnd w:id="3"/>
    </w:tbl>
    <w:p w14:paraId="6EF7B349" w14:textId="77777777" w:rsidR="00EC6F71" w:rsidRPr="005E4E65" w:rsidRDefault="00EC6F71" w:rsidP="0078724F">
      <w:pPr>
        <w:pStyle w:val="BodyText"/>
        <w:tabs>
          <w:tab w:val="left" w:pos="6971"/>
        </w:tabs>
        <w:rPr>
          <w:rFonts w:cs="Arial"/>
          <w:b/>
          <w:bCs/>
        </w:rPr>
      </w:pPr>
    </w:p>
    <w:p w14:paraId="2FA5FCBE" w14:textId="77777777" w:rsidR="008804FD" w:rsidRDefault="008804FD" w:rsidP="0078724F">
      <w:pPr>
        <w:pStyle w:val="BodyText"/>
        <w:tabs>
          <w:tab w:val="left" w:pos="6971"/>
        </w:tabs>
        <w:rPr>
          <w:rFonts w:cs="Arial"/>
          <w:b/>
          <w:bCs/>
        </w:rPr>
      </w:pPr>
    </w:p>
    <w:p w14:paraId="0DDDDD5E" w14:textId="77777777" w:rsidR="00A86050" w:rsidRDefault="00A86050" w:rsidP="0078724F">
      <w:pPr>
        <w:pStyle w:val="BodyText"/>
        <w:tabs>
          <w:tab w:val="left" w:pos="6971"/>
        </w:tabs>
        <w:rPr>
          <w:rFonts w:cs="Arial"/>
          <w:b/>
          <w:bCs/>
        </w:rPr>
      </w:pPr>
    </w:p>
    <w:p w14:paraId="1382188C" w14:textId="77777777" w:rsidR="00A86050" w:rsidRDefault="00A86050" w:rsidP="0078724F">
      <w:pPr>
        <w:pStyle w:val="BodyText"/>
        <w:tabs>
          <w:tab w:val="left" w:pos="6971"/>
        </w:tabs>
        <w:rPr>
          <w:rFonts w:cs="Arial"/>
          <w:b/>
          <w:bCs/>
        </w:rPr>
      </w:pPr>
    </w:p>
    <w:p w14:paraId="00F46B96" w14:textId="77777777" w:rsidR="0078724F" w:rsidRDefault="0078724F" w:rsidP="0078724F">
      <w:pPr>
        <w:pStyle w:val="BodyText"/>
        <w:tabs>
          <w:tab w:val="left" w:pos="6971"/>
        </w:tabs>
        <w:rPr>
          <w:rFonts w:cs="Arial"/>
          <w:b/>
          <w:bCs/>
        </w:rPr>
      </w:pPr>
      <w:r w:rsidRPr="005E4E65">
        <w:rPr>
          <w:rFonts w:cs="Arial"/>
          <w:b/>
          <w:bCs/>
        </w:rPr>
        <w:t>Liquidity Risk</w:t>
      </w:r>
    </w:p>
    <w:p w14:paraId="3BCFF9DD" w14:textId="77777777" w:rsidR="008F417D" w:rsidRPr="005E4E65" w:rsidRDefault="008F417D" w:rsidP="0078724F">
      <w:pPr>
        <w:pStyle w:val="BodyText"/>
        <w:tabs>
          <w:tab w:val="left" w:pos="6971"/>
        </w:tabs>
        <w:rPr>
          <w:rFonts w:cs="Arial"/>
          <w:b/>
          <w:bCs/>
        </w:rPr>
      </w:pPr>
    </w:p>
    <w:p w14:paraId="34B158BF" w14:textId="77777777" w:rsidR="00D10839" w:rsidRPr="005E4E65" w:rsidRDefault="008A2917" w:rsidP="00D10839">
      <w:pPr>
        <w:pStyle w:val="BodyText"/>
        <w:tabs>
          <w:tab w:val="left" w:pos="6971"/>
        </w:tabs>
        <w:rPr>
          <w:rFonts w:cs="Arial"/>
        </w:rPr>
      </w:pPr>
      <w:r>
        <w:rPr>
          <w:rFonts w:cs="Arial"/>
        </w:rPr>
        <w:t>The Pension Fund</w:t>
      </w:r>
      <w:r w:rsidR="0078724F" w:rsidRPr="005E4E65">
        <w:rPr>
          <w:rFonts w:cs="Arial"/>
        </w:rPr>
        <w:t xml:space="preserve"> has its own bank account</w:t>
      </w:r>
      <w:r w:rsidR="00894841">
        <w:rPr>
          <w:rFonts w:cs="Arial"/>
        </w:rPr>
        <w:t>s</w:t>
      </w:r>
      <w:r w:rsidR="0078724F" w:rsidRPr="005E4E65">
        <w:rPr>
          <w:rFonts w:cs="Arial"/>
        </w:rPr>
        <w:t xml:space="preserve">.  At its simplest, liquidity risk is the risk that the Fund will not be able to meet its financial obligations when they fall due, especially pension payments to its members. At a strategic level the Administering Authority, together with its consulting actuary, reviews the position of the Fund triennially to ensure that all its obligations can be suitably covered. Ongoing cash flow planning in respect of contributions, benefit payments, </w:t>
      </w:r>
      <w:r w:rsidR="00D10839">
        <w:rPr>
          <w:rFonts w:cs="Arial"/>
        </w:rPr>
        <w:t>i</w:t>
      </w:r>
      <w:r w:rsidR="00D10839" w:rsidRPr="005E4E65">
        <w:rPr>
          <w:rFonts w:cs="Arial"/>
        </w:rPr>
        <w:t xml:space="preserve">nvestment income and capital calls/distributions is also essential. This is in place with the Fund’s position </w:t>
      </w:r>
      <w:r w:rsidR="00EC6F71">
        <w:rPr>
          <w:rFonts w:cs="Arial"/>
        </w:rPr>
        <w:t>u</w:t>
      </w:r>
      <w:r w:rsidR="00D10839" w:rsidRPr="005E4E65">
        <w:rPr>
          <w:rFonts w:cs="Arial"/>
        </w:rPr>
        <w:t xml:space="preserve">pdated much more regularly.  </w:t>
      </w:r>
    </w:p>
    <w:p w14:paraId="12A664F1" w14:textId="77777777" w:rsidR="00C169CC" w:rsidRDefault="00C169CC" w:rsidP="00D10839">
      <w:pPr>
        <w:pStyle w:val="BodyText"/>
        <w:tabs>
          <w:tab w:val="left" w:pos="6971"/>
        </w:tabs>
        <w:rPr>
          <w:rFonts w:cs="Arial"/>
          <w:b/>
          <w:bCs/>
        </w:rPr>
      </w:pPr>
    </w:p>
    <w:p w14:paraId="147B24F4" w14:textId="77777777" w:rsidR="0078724F" w:rsidRPr="005E4E65" w:rsidRDefault="0078724F" w:rsidP="0078724F">
      <w:pPr>
        <w:pStyle w:val="BodyText"/>
        <w:tabs>
          <w:tab w:val="left" w:pos="6971"/>
        </w:tabs>
        <w:rPr>
          <w:rFonts w:cs="Arial"/>
        </w:rPr>
      </w:pPr>
      <w:r w:rsidRPr="005E4E65">
        <w:rPr>
          <w:rFonts w:cs="Arial"/>
        </w:rPr>
        <w:t xml:space="preserve">Specifically on investments, the Fund holds through its managers a mixture of liquid, semi-liquid and illiquid assets.  Whilst the Fund’s investment managers have substantial discretionary powers regarding their individual portfolios and the management of their cash positions, they hold within their pooled vehicles a large value of very liquid securities, such as equities and bonds quoted on major stock exchanges, which can easily be realised.  Traditional equities and bonds </w:t>
      </w:r>
      <w:r w:rsidRPr="00B57FC0">
        <w:rPr>
          <w:rFonts w:cs="Arial"/>
        </w:rPr>
        <w:t>now comprise 8</w:t>
      </w:r>
      <w:r w:rsidR="00B57FC0" w:rsidRPr="00B57FC0">
        <w:rPr>
          <w:rFonts w:cs="Arial"/>
        </w:rPr>
        <w:t>1</w:t>
      </w:r>
      <w:r w:rsidR="0094164B" w:rsidRPr="00B57FC0">
        <w:rPr>
          <w:rFonts w:cs="Arial"/>
        </w:rPr>
        <w:t>%</w:t>
      </w:r>
      <w:r w:rsidRPr="00B57FC0">
        <w:rPr>
          <w:rFonts w:cs="Arial"/>
        </w:rPr>
        <w:t xml:space="preserve"> of the Fund’s value and, whilst there will be some slightly less liquid elements within this figure (emerging</w:t>
      </w:r>
      <w:r w:rsidRPr="005E4E65">
        <w:rPr>
          <w:rFonts w:cs="Arial"/>
        </w:rPr>
        <w:t xml:space="preserve"> market equities and debt for example), the funds investing in these securities offer monthly trading at worst – often weekly or fortnightly.</w:t>
      </w:r>
    </w:p>
    <w:p w14:paraId="53456F58" w14:textId="77777777" w:rsidR="0078724F" w:rsidRPr="005E4E65" w:rsidRDefault="0078724F" w:rsidP="0078724F">
      <w:pPr>
        <w:pStyle w:val="BodyText"/>
        <w:tabs>
          <w:tab w:val="left" w:pos="6971"/>
        </w:tabs>
        <w:jc w:val="center"/>
        <w:rPr>
          <w:rFonts w:cs="Arial"/>
        </w:rPr>
      </w:pPr>
    </w:p>
    <w:p w14:paraId="29CD607B" w14:textId="77777777" w:rsidR="0078724F" w:rsidRDefault="0078724F" w:rsidP="0078724F">
      <w:pPr>
        <w:pStyle w:val="BodyText"/>
        <w:tabs>
          <w:tab w:val="left" w:pos="6971"/>
        </w:tabs>
        <w:rPr>
          <w:rFonts w:cs="Arial"/>
        </w:rPr>
      </w:pPr>
      <w:r w:rsidRPr="005E4E65">
        <w:rPr>
          <w:rFonts w:cs="Arial"/>
        </w:rPr>
        <w:t xml:space="preserve">On alternative assets the position is more mixed.  </w:t>
      </w:r>
      <w:r w:rsidR="00F243FF">
        <w:rPr>
          <w:rFonts w:cs="Arial"/>
        </w:rPr>
        <w:t>M</w:t>
      </w:r>
      <w:r w:rsidRPr="005E4E65">
        <w:rPr>
          <w:rFonts w:cs="Arial"/>
        </w:rPr>
        <w:t xml:space="preserve">ost are subject to their own liquidity terms or, in the case of property, redemption rules.  Closed-ended funds such as most private equity vehicles and some property funds are effectively illiquid for the specified fund period (usually 10 years), although they can be sold on the secondary market, usually at a discount.  </w:t>
      </w:r>
    </w:p>
    <w:p w14:paraId="46FB1C89" w14:textId="77777777" w:rsidR="008804FD" w:rsidRDefault="008804FD" w:rsidP="0078724F">
      <w:pPr>
        <w:pStyle w:val="BodyText"/>
        <w:tabs>
          <w:tab w:val="left" w:pos="6971"/>
        </w:tabs>
        <w:rPr>
          <w:rFonts w:cs="Arial"/>
        </w:rPr>
      </w:pPr>
    </w:p>
    <w:p w14:paraId="2A82830C" w14:textId="77777777" w:rsidR="008F417D" w:rsidRDefault="008F417D" w:rsidP="0078724F">
      <w:pPr>
        <w:pStyle w:val="BodyText"/>
        <w:tabs>
          <w:tab w:val="left" w:pos="6971"/>
        </w:tabs>
        <w:rPr>
          <w:rFonts w:cs="Arial"/>
        </w:rPr>
      </w:pPr>
    </w:p>
    <w:p w14:paraId="6BEA1D94" w14:textId="77777777" w:rsidR="0078724F" w:rsidRDefault="0078724F" w:rsidP="0078724F">
      <w:pPr>
        <w:pStyle w:val="BodyText"/>
        <w:tabs>
          <w:tab w:val="left" w:pos="6971"/>
        </w:tabs>
        <w:rPr>
          <w:rFonts w:cs="Arial"/>
        </w:rPr>
      </w:pPr>
      <w:r w:rsidRPr="005B5BFD">
        <w:rPr>
          <w:rFonts w:cs="Arial"/>
        </w:rPr>
        <w:t>The table below analyses the value of the Fund’s investments at 31st March 20</w:t>
      </w:r>
      <w:r w:rsidR="00DA74B5" w:rsidRPr="005B5BFD">
        <w:rPr>
          <w:rFonts w:cs="Arial"/>
        </w:rPr>
        <w:t>2</w:t>
      </w:r>
      <w:r w:rsidR="00745FB0">
        <w:rPr>
          <w:rFonts w:cs="Arial"/>
        </w:rPr>
        <w:t>2</w:t>
      </w:r>
      <w:r w:rsidRPr="005B5BFD">
        <w:rPr>
          <w:rFonts w:cs="Arial"/>
        </w:rPr>
        <w:t xml:space="preserve"> by liquidity profile</w:t>
      </w:r>
      <w:r w:rsidR="003F23F6" w:rsidRPr="005B5BFD">
        <w:rPr>
          <w:rFonts w:cs="Arial"/>
        </w:rPr>
        <w:t xml:space="preserve"> :</w:t>
      </w:r>
      <w:r w:rsidRPr="005E4E65">
        <w:rPr>
          <w:rFonts w:cs="Arial"/>
        </w:rPr>
        <w:t xml:space="preserve">  </w:t>
      </w:r>
    </w:p>
    <w:p w14:paraId="0F7D95C7" w14:textId="77777777" w:rsidR="0078724F" w:rsidRDefault="0078724F" w:rsidP="0078724F">
      <w:pPr>
        <w:pStyle w:val="BodyText"/>
        <w:tabs>
          <w:tab w:val="left" w:pos="6971"/>
        </w:tabs>
        <w:rPr>
          <w:rFonts w:cs="Arial"/>
        </w:rPr>
      </w:pPr>
    </w:p>
    <w:p w14:paraId="5FE7B30E" w14:textId="77777777" w:rsidR="003D0181" w:rsidRDefault="003D0181" w:rsidP="0078724F">
      <w:pPr>
        <w:pStyle w:val="BodyText"/>
        <w:tabs>
          <w:tab w:val="left" w:pos="6971"/>
        </w:tabs>
        <w:rPr>
          <w:noProof/>
          <w:lang w:eastAsia="en-GB"/>
        </w:rPr>
      </w:pPr>
    </w:p>
    <w:p w14:paraId="56CD1007" w14:textId="5A41B33A" w:rsidR="005B5BFD" w:rsidRDefault="00516E75" w:rsidP="0078724F">
      <w:pPr>
        <w:pStyle w:val="BodyText"/>
        <w:tabs>
          <w:tab w:val="left" w:pos="6971"/>
        </w:tabs>
        <w:rPr>
          <w:noProof/>
          <w:lang w:eastAsia="en-GB"/>
        </w:rPr>
      </w:pPr>
      <w:r>
        <w:rPr>
          <w:noProof/>
        </w:rPr>
        <w:drawing>
          <wp:inline distT="0" distB="0" distL="0" distR="0" wp14:anchorId="76B9FCE9" wp14:editId="289AEB4D">
            <wp:extent cx="6489700" cy="3479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9700" cy="3479800"/>
                    </a:xfrm>
                    <a:prstGeom prst="rect">
                      <a:avLst/>
                    </a:prstGeom>
                    <a:noFill/>
                    <a:ln>
                      <a:noFill/>
                    </a:ln>
                  </pic:spPr>
                </pic:pic>
              </a:graphicData>
            </a:graphic>
          </wp:inline>
        </w:drawing>
      </w:r>
    </w:p>
    <w:p w14:paraId="13ECC49F" w14:textId="77777777" w:rsidR="005B5BFD" w:rsidRDefault="005B5BFD" w:rsidP="0078724F">
      <w:pPr>
        <w:pStyle w:val="BodyText"/>
        <w:tabs>
          <w:tab w:val="left" w:pos="6971"/>
        </w:tabs>
        <w:rPr>
          <w:noProof/>
          <w:lang w:eastAsia="en-GB"/>
        </w:rPr>
      </w:pPr>
    </w:p>
    <w:p w14:paraId="7D3FC6B3" w14:textId="77777777" w:rsidR="005B5BFD" w:rsidRDefault="005B5BFD" w:rsidP="0078724F">
      <w:pPr>
        <w:pStyle w:val="BodyText"/>
        <w:tabs>
          <w:tab w:val="left" w:pos="6971"/>
        </w:tabs>
        <w:rPr>
          <w:noProof/>
          <w:lang w:eastAsia="en-GB"/>
        </w:rPr>
      </w:pPr>
    </w:p>
    <w:p w14:paraId="12B6B10C" w14:textId="77777777" w:rsidR="005B5BFD" w:rsidRDefault="005B5BFD" w:rsidP="0078724F">
      <w:pPr>
        <w:pStyle w:val="BodyText"/>
        <w:tabs>
          <w:tab w:val="left" w:pos="6971"/>
        </w:tabs>
        <w:rPr>
          <w:noProof/>
          <w:lang w:eastAsia="en-GB"/>
        </w:rPr>
      </w:pPr>
    </w:p>
    <w:p w14:paraId="05B2E21E" w14:textId="77777777" w:rsidR="005B5BFD" w:rsidRDefault="005B5BFD" w:rsidP="0078724F">
      <w:pPr>
        <w:pStyle w:val="BodyText"/>
        <w:tabs>
          <w:tab w:val="left" w:pos="6971"/>
        </w:tabs>
        <w:rPr>
          <w:noProof/>
          <w:lang w:eastAsia="en-GB"/>
        </w:rPr>
      </w:pPr>
    </w:p>
    <w:p w14:paraId="3A995AB0" w14:textId="77777777" w:rsidR="005B5BFD" w:rsidRDefault="005B5BFD" w:rsidP="0078724F">
      <w:pPr>
        <w:pStyle w:val="BodyText"/>
        <w:tabs>
          <w:tab w:val="left" w:pos="6971"/>
        </w:tabs>
        <w:rPr>
          <w:noProof/>
          <w:lang w:eastAsia="en-GB"/>
        </w:rPr>
      </w:pPr>
    </w:p>
    <w:p w14:paraId="2838D7D9" w14:textId="77777777" w:rsidR="005B5BFD" w:rsidRDefault="005B5BFD" w:rsidP="0078724F">
      <w:pPr>
        <w:pStyle w:val="BodyText"/>
        <w:tabs>
          <w:tab w:val="left" w:pos="6971"/>
        </w:tabs>
        <w:rPr>
          <w:noProof/>
          <w:lang w:eastAsia="en-GB"/>
        </w:rPr>
      </w:pPr>
    </w:p>
    <w:p w14:paraId="27BD655E" w14:textId="77777777" w:rsidR="005B5BFD" w:rsidRDefault="005B5BFD" w:rsidP="0078724F">
      <w:pPr>
        <w:pStyle w:val="BodyText"/>
        <w:tabs>
          <w:tab w:val="left" w:pos="6971"/>
        </w:tabs>
        <w:rPr>
          <w:noProof/>
          <w:lang w:eastAsia="en-GB"/>
        </w:rPr>
      </w:pPr>
    </w:p>
    <w:p w14:paraId="27E69035" w14:textId="77777777" w:rsidR="005B5BFD" w:rsidRDefault="005B5BFD" w:rsidP="0078724F">
      <w:pPr>
        <w:pStyle w:val="BodyText"/>
        <w:tabs>
          <w:tab w:val="left" w:pos="6971"/>
        </w:tabs>
        <w:rPr>
          <w:noProof/>
          <w:lang w:eastAsia="en-GB"/>
        </w:rPr>
      </w:pPr>
    </w:p>
    <w:p w14:paraId="5336F88D" w14:textId="77777777" w:rsidR="005B5BFD" w:rsidRDefault="005B5BFD" w:rsidP="0078724F">
      <w:pPr>
        <w:pStyle w:val="BodyText"/>
        <w:tabs>
          <w:tab w:val="left" w:pos="6971"/>
        </w:tabs>
        <w:rPr>
          <w:noProof/>
          <w:lang w:eastAsia="en-GB"/>
        </w:rPr>
      </w:pPr>
    </w:p>
    <w:p w14:paraId="7EEA1502" w14:textId="77777777" w:rsidR="005B5BFD" w:rsidRDefault="005B5BFD" w:rsidP="0078724F">
      <w:pPr>
        <w:pStyle w:val="BodyText"/>
        <w:tabs>
          <w:tab w:val="left" w:pos="6971"/>
        </w:tabs>
        <w:rPr>
          <w:noProof/>
          <w:lang w:eastAsia="en-GB"/>
        </w:rPr>
      </w:pPr>
    </w:p>
    <w:p w14:paraId="7534DB1E" w14:textId="77777777" w:rsidR="005B5BFD" w:rsidRDefault="005B5BFD" w:rsidP="0078724F">
      <w:pPr>
        <w:pStyle w:val="BodyText"/>
        <w:tabs>
          <w:tab w:val="left" w:pos="6971"/>
        </w:tabs>
        <w:rPr>
          <w:noProof/>
          <w:lang w:eastAsia="en-GB"/>
        </w:rPr>
      </w:pPr>
    </w:p>
    <w:p w14:paraId="07C71599" w14:textId="77777777" w:rsidR="005B5BFD" w:rsidRDefault="005B5BFD" w:rsidP="0078724F">
      <w:pPr>
        <w:pStyle w:val="BodyText"/>
        <w:tabs>
          <w:tab w:val="left" w:pos="6971"/>
        </w:tabs>
        <w:rPr>
          <w:noProof/>
          <w:lang w:eastAsia="en-GB"/>
        </w:rPr>
      </w:pPr>
    </w:p>
    <w:p w14:paraId="7B944042" w14:textId="77777777" w:rsidR="005B5BFD" w:rsidRDefault="005B5BFD" w:rsidP="0078724F">
      <w:pPr>
        <w:pStyle w:val="BodyText"/>
        <w:tabs>
          <w:tab w:val="left" w:pos="6971"/>
        </w:tabs>
        <w:rPr>
          <w:noProof/>
          <w:lang w:eastAsia="en-GB"/>
        </w:rPr>
      </w:pPr>
    </w:p>
    <w:p w14:paraId="01720E3B" w14:textId="77777777" w:rsidR="005B5BFD" w:rsidRDefault="005B5BFD" w:rsidP="0078724F">
      <w:pPr>
        <w:pStyle w:val="BodyText"/>
        <w:tabs>
          <w:tab w:val="left" w:pos="6971"/>
        </w:tabs>
        <w:rPr>
          <w:noProof/>
          <w:lang w:eastAsia="en-GB"/>
        </w:rPr>
      </w:pPr>
    </w:p>
    <w:p w14:paraId="0F98906E" w14:textId="77777777" w:rsidR="005B5BFD" w:rsidRDefault="005B5BFD" w:rsidP="0078724F">
      <w:pPr>
        <w:pStyle w:val="BodyText"/>
        <w:tabs>
          <w:tab w:val="left" w:pos="6971"/>
        </w:tabs>
        <w:rPr>
          <w:noProof/>
          <w:lang w:eastAsia="en-GB"/>
        </w:rPr>
      </w:pPr>
    </w:p>
    <w:p w14:paraId="6AE978C4" w14:textId="77777777" w:rsidR="005B5BFD" w:rsidRDefault="005B5BFD" w:rsidP="0078724F">
      <w:pPr>
        <w:pStyle w:val="BodyText"/>
        <w:tabs>
          <w:tab w:val="left" w:pos="6971"/>
        </w:tabs>
        <w:rPr>
          <w:noProof/>
          <w:lang w:eastAsia="en-GB"/>
        </w:rPr>
      </w:pPr>
    </w:p>
    <w:p w14:paraId="19CAF460" w14:textId="77777777" w:rsidR="005B5BFD" w:rsidRDefault="005B5BFD" w:rsidP="0078724F">
      <w:pPr>
        <w:pStyle w:val="BodyText"/>
        <w:tabs>
          <w:tab w:val="left" w:pos="6971"/>
        </w:tabs>
        <w:rPr>
          <w:noProof/>
          <w:lang w:eastAsia="en-GB"/>
        </w:rPr>
      </w:pPr>
    </w:p>
    <w:p w14:paraId="1A0DB7CE" w14:textId="77777777" w:rsidR="005B5BFD" w:rsidRDefault="005B5BFD" w:rsidP="0078724F">
      <w:pPr>
        <w:pStyle w:val="BodyText"/>
        <w:tabs>
          <w:tab w:val="left" w:pos="6971"/>
        </w:tabs>
        <w:rPr>
          <w:noProof/>
          <w:lang w:eastAsia="en-GB"/>
        </w:rPr>
      </w:pPr>
    </w:p>
    <w:p w14:paraId="1B5124C4" w14:textId="77777777" w:rsidR="005B5BFD" w:rsidRDefault="005B5BFD" w:rsidP="0078724F">
      <w:pPr>
        <w:pStyle w:val="BodyText"/>
        <w:tabs>
          <w:tab w:val="left" w:pos="6971"/>
        </w:tabs>
        <w:rPr>
          <w:noProof/>
          <w:lang w:eastAsia="en-GB"/>
        </w:rPr>
      </w:pPr>
    </w:p>
    <w:p w14:paraId="12FC3F42" w14:textId="77777777" w:rsidR="005B5BFD" w:rsidRDefault="005B5BFD" w:rsidP="0078724F">
      <w:pPr>
        <w:pStyle w:val="BodyText"/>
        <w:tabs>
          <w:tab w:val="left" w:pos="6971"/>
        </w:tabs>
        <w:rPr>
          <w:noProof/>
          <w:lang w:eastAsia="en-GB"/>
        </w:rPr>
      </w:pPr>
    </w:p>
    <w:p w14:paraId="72138876" w14:textId="77777777" w:rsidR="00F927FB" w:rsidRDefault="00F927FB" w:rsidP="0078724F">
      <w:pPr>
        <w:pStyle w:val="BodyText"/>
        <w:tabs>
          <w:tab w:val="left" w:pos="6971"/>
        </w:tabs>
        <w:rPr>
          <w:noProof/>
          <w:lang w:eastAsia="en-GB"/>
        </w:rPr>
      </w:pPr>
    </w:p>
    <w:p w14:paraId="72670DA0" w14:textId="77777777" w:rsidR="009909B2" w:rsidRPr="003D0181" w:rsidRDefault="003D0181" w:rsidP="0078724F">
      <w:pPr>
        <w:pStyle w:val="BodyText"/>
        <w:tabs>
          <w:tab w:val="left" w:pos="6971"/>
        </w:tabs>
        <w:rPr>
          <w:rFonts w:cs="Arial"/>
          <w:b/>
        </w:rPr>
      </w:pPr>
      <w:r w:rsidRPr="003D0181">
        <w:rPr>
          <w:rFonts w:cs="Arial"/>
          <w:b/>
        </w:rPr>
        <w:t>23. Investment Risks (Continued)</w:t>
      </w:r>
    </w:p>
    <w:p w14:paraId="7682AF94" w14:textId="77777777" w:rsidR="003D0181" w:rsidRDefault="003D0181" w:rsidP="0078724F">
      <w:pPr>
        <w:pStyle w:val="BodyText"/>
        <w:tabs>
          <w:tab w:val="left" w:pos="6971"/>
        </w:tabs>
        <w:rPr>
          <w:rFonts w:cs="Arial"/>
        </w:rPr>
      </w:pPr>
    </w:p>
    <w:p w14:paraId="0E96B5BB" w14:textId="77777777" w:rsidR="0078724F" w:rsidRDefault="0078724F" w:rsidP="0078724F">
      <w:pPr>
        <w:pStyle w:val="BodyText"/>
        <w:tabs>
          <w:tab w:val="left" w:pos="6971"/>
        </w:tabs>
        <w:rPr>
          <w:rFonts w:cs="Arial"/>
        </w:rPr>
      </w:pPr>
      <w:r w:rsidRPr="005E4E65">
        <w:rPr>
          <w:rFonts w:cs="Arial"/>
        </w:rPr>
        <w:t xml:space="preserve">It should be noted that different quoted investments are subject to different settlement rules but all payments/receipts are usually due within 7 days of the transaction (buy/sell) date.  Because the Fund uses </w:t>
      </w:r>
      <w:r>
        <w:rPr>
          <w:rFonts w:cs="Arial"/>
        </w:rPr>
        <w:t xml:space="preserve">some </w:t>
      </w:r>
      <w:r w:rsidRPr="005E4E65">
        <w:rPr>
          <w:rFonts w:cs="Arial"/>
        </w:rPr>
        <w:t xml:space="preserve">pooled vehicles for quoted investments these are often subject to daily, weekly, 2-weekly or monthly trading dates.  All such investments have been designated “within 1 month” for the purposes of liquidity analysis.  Open-ended property funds are subject to redemption rules set by their management boards.  Many have quarterly redemptions but these can be held back in difficult markets so as not to force sales and disadvantage continuing investors.  For liquidity analysis purposes, a conservative approach has been applied and all such investments have been designated “within </w:t>
      </w:r>
      <w:r w:rsidR="0043277A">
        <w:rPr>
          <w:rFonts w:cs="Arial"/>
        </w:rPr>
        <w:t>4</w:t>
      </w:r>
      <w:r w:rsidRPr="005E4E65">
        <w:rPr>
          <w:rFonts w:cs="Arial"/>
        </w:rPr>
        <w:t>-12 months”.</w:t>
      </w:r>
    </w:p>
    <w:p w14:paraId="46C68F3D" w14:textId="77777777" w:rsidR="00D10839" w:rsidRDefault="00D10839" w:rsidP="0078724F">
      <w:pPr>
        <w:pStyle w:val="BodyText"/>
        <w:tabs>
          <w:tab w:val="left" w:pos="6971"/>
        </w:tabs>
        <w:rPr>
          <w:rFonts w:cs="Arial"/>
        </w:rPr>
      </w:pPr>
    </w:p>
    <w:p w14:paraId="4A71FBDD" w14:textId="77777777" w:rsidR="00A43BAD" w:rsidRDefault="0078724F" w:rsidP="0078724F">
      <w:pPr>
        <w:pStyle w:val="BodyText"/>
        <w:tabs>
          <w:tab w:val="left" w:pos="6971"/>
        </w:tabs>
        <w:rPr>
          <w:rFonts w:cs="Arial"/>
        </w:rPr>
      </w:pPr>
      <w:r w:rsidRPr="005E4E65">
        <w:rPr>
          <w:rFonts w:cs="Arial"/>
        </w:rPr>
        <w:t xml:space="preserve">Closed-ended funds have been designated illiquid for the purposes of liquidity analysis.  However, these closed-ended vehicles have a very different cash flow pattern to traditional investments since the monies committed are only drawn down as the underlying investments are made (usually over a period of 5 years) and distributions are returned as soon as underlying investments are exited (often as early as year 4).  In terms of cash flow, therefore, the net cash flow for such a vehicle usually only reaches a maximum of about 60-70% of the amount committed and cumulative distributions usually exceed cumulative drawdowns well before the end of the specified period, as these vehicles regularly return 1½ to 2½ times the money invested.  At the same time, it has been the Fund’s practice to invest monies on a regular annual basis so the vintage year of active vehicles ranges from </w:t>
      </w:r>
      <w:r w:rsidR="00C846EF">
        <w:rPr>
          <w:rFonts w:cs="Arial"/>
        </w:rPr>
        <w:t>2000</w:t>
      </w:r>
      <w:r w:rsidRPr="005E4E65">
        <w:rPr>
          <w:rFonts w:cs="Arial"/>
        </w:rPr>
        <w:t xml:space="preserve"> to </w:t>
      </w:r>
      <w:r w:rsidR="004432BC">
        <w:rPr>
          <w:rFonts w:cs="Arial"/>
        </w:rPr>
        <w:t>202</w:t>
      </w:r>
      <w:r w:rsidR="00EF7AFF">
        <w:rPr>
          <w:rFonts w:cs="Arial"/>
        </w:rPr>
        <w:t>1</w:t>
      </w:r>
      <w:r w:rsidR="004432BC">
        <w:rPr>
          <w:rFonts w:cs="Arial"/>
        </w:rPr>
        <w:t>.</w:t>
      </w:r>
      <w:r w:rsidRPr="005E4E65">
        <w:rPr>
          <w:rFonts w:cs="Arial"/>
        </w:rPr>
        <w:t xml:space="preserve"> </w:t>
      </w:r>
    </w:p>
    <w:p w14:paraId="11D82BEC" w14:textId="77777777" w:rsidR="00A43BAD" w:rsidRDefault="00A43BAD" w:rsidP="0078724F">
      <w:pPr>
        <w:pStyle w:val="BodyText"/>
        <w:tabs>
          <w:tab w:val="left" w:pos="6971"/>
        </w:tabs>
        <w:rPr>
          <w:rFonts w:cs="Arial"/>
        </w:rPr>
      </w:pPr>
    </w:p>
    <w:p w14:paraId="2D19C005" w14:textId="77777777" w:rsidR="0078724F" w:rsidRPr="005E4E65" w:rsidRDefault="0078724F" w:rsidP="0078724F">
      <w:pPr>
        <w:pStyle w:val="BodyText"/>
        <w:tabs>
          <w:tab w:val="left" w:pos="6971"/>
        </w:tabs>
        <w:rPr>
          <w:rFonts w:cs="Arial"/>
        </w:rPr>
      </w:pPr>
      <w:r w:rsidRPr="005E4E65">
        <w:rPr>
          <w:rFonts w:cs="Arial"/>
        </w:rPr>
        <w:t xml:space="preserve">This means that, whilst all these monies have been designated closed-ended and thereby illiquid on the basis of their usual “10-year life”, many are closer to maturity than implied by this broad designation.  As can be seen from the table, even using the conservative basis outlined above, around </w:t>
      </w:r>
      <w:r>
        <w:rPr>
          <w:rFonts w:cs="Arial"/>
        </w:rPr>
        <w:t>8</w:t>
      </w:r>
      <w:r w:rsidR="004432BC">
        <w:rPr>
          <w:rFonts w:cs="Arial"/>
        </w:rPr>
        <w:t>2</w:t>
      </w:r>
      <w:r w:rsidRPr="005E4E65">
        <w:rPr>
          <w:rFonts w:cs="Arial"/>
        </w:rPr>
        <w:t xml:space="preserve">% of the portfolio is realisable within 1 month and </w:t>
      </w:r>
      <w:r w:rsidR="00C136BE">
        <w:rPr>
          <w:rFonts w:cs="Arial"/>
        </w:rPr>
        <w:t>8</w:t>
      </w:r>
      <w:r w:rsidR="004432BC">
        <w:rPr>
          <w:rFonts w:cs="Arial"/>
        </w:rPr>
        <w:t>6</w:t>
      </w:r>
      <w:r w:rsidRPr="005E4E65">
        <w:rPr>
          <w:rFonts w:cs="Arial"/>
        </w:rPr>
        <w:t xml:space="preserve">% is realisable within </w:t>
      </w:r>
      <w:r>
        <w:rPr>
          <w:rFonts w:cs="Arial"/>
        </w:rPr>
        <w:t>12</w:t>
      </w:r>
      <w:r w:rsidRPr="005E4E65">
        <w:rPr>
          <w:rFonts w:cs="Arial"/>
        </w:rPr>
        <w:t xml:space="preserve"> </w:t>
      </w:r>
      <w:r w:rsidR="00EA3092">
        <w:rPr>
          <w:rFonts w:cs="Arial"/>
        </w:rPr>
        <w:t>m</w:t>
      </w:r>
      <w:r w:rsidRPr="005E4E65">
        <w:rPr>
          <w:rFonts w:cs="Arial"/>
        </w:rPr>
        <w:t xml:space="preserve">onths. </w:t>
      </w:r>
    </w:p>
    <w:p w14:paraId="4FE85E00" w14:textId="77777777" w:rsidR="0078724F" w:rsidRDefault="0078724F" w:rsidP="0078724F">
      <w:pPr>
        <w:pStyle w:val="BodyText"/>
        <w:tabs>
          <w:tab w:val="left" w:pos="6971"/>
        </w:tabs>
        <w:rPr>
          <w:rFonts w:cs="Arial"/>
        </w:rPr>
      </w:pPr>
    </w:p>
    <w:p w14:paraId="206B0C34" w14:textId="77777777" w:rsidR="0078724F" w:rsidRPr="005E4E65" w:rsidRDefault="0078724F" w:rsidP="0078724F">
      <w:pPr>
        <w:pStyle w:val="BodyText"/>
        <w:tabs>
          <w:tab w:val="left" w:pos="6971"/>
        </w:tabs>
        <w:rPr>
          <w:rFonts w:cs="Arial"/>
          <w:b/>
          <w:bCs/>
        </w:rPr>
      </w:pPr>
      <w:r w:rsidRPr="005E4E65">
        <w:rPr>
          <w:rFonts w:cs="Arial"/>
          <w:b/>
          <w:bCs/>
        </w:rPr>
        <w:t>Market Risk</w:t>
      </w:r>
    </w:p>
    <w:p w14:paraId="45BFF770" w14:textId="77777777" w:rsidR="0043277A" w:rsidRDefault="0078724F" w:rsidP="0078724F">
      <w:pPr>
        <w:pStyle w:val="BodyText"/>
        <w:tabs>
          <w:tab w:val="left" w:pos="6971"/>
        </w:tabs>
        <w:rPr>
          <w:rFonts w:cs="Arial"/>
        </w:rPr>
      </w:pPr>
      <w:r w:rsidRPr="005E4E65">
        <w:rPr>
          <w:rFonts w:cs="Arial"/>
        </w:rPr>
        <w:t>Market risk is the risk that the fair value or future cash flows of a financial institution will fluctuate because of changes in market price. The Fund is exposed to the risk of financial loss from a change in the value of its investments and the consequential danger that its assets will fail to deliver returns in line with the anticipated returns underpinning the valuation of its liabilities over the long term.</w:t>
      </w:r>
    </w:p>
    <w:p w14:paraId="708467A4" w14:textId="77777777" w:rsidR="0043277A" w:rsidRDefault="0043277A" w:rsidP="0078724F">
      <w:pPr>
        <w:pStyle w:val="BodyText"/>
        <w:tabs>
          <w:tab w:val="left" w:pos="6971"/>
        </w:tabs>
        <w:rPr>
          <w:rFonts w:cs="Arial"/>
        </w:rPr>
      </w:pPr>
    </w:p>
    <w:p w14:paraId="2288E442" w14:textId="77777777" w:rsidR="007F45C2" w:rsidRDefault="0078724F" w:rsidP="0078724F">
      <w:pPr>
        <w:pStyle w:val="BodyText"/>
        <w:tabs>
          <w:tab w:val="left" w:pos="6971"/>
        </w:tabs>
        <w:rPr>
          <w:rFonts w:cs="Arial"/>
        </w:rPr>
      </w:pPr>
      <w:r w:rsidRPr="005E4E65">
        <w:rPr>
          <w:rFonts w:cs="Arial"/>
        </w:rPr>
        <w:t>Market risk is comprised of two elements</w:t>
      </w:r>
      <w:r w:rsidR="007F45C2">
        <w:rPr>
          <w:rFonts w:cs="Arial"/>
        </w:rPr>
        <w:t xml:space="preserve"> :</w:t>
      </w:r>
    </w:p>
    <w:p w14:paraId="78A97E2E" w14:textId="77777777" w:rsidR="00FE4FC2" w:rsidRDefault="00FE4FC2" w:rsidP="0078724F">
      <w:pPr>
        <w:pStyle w:val="BodyText"/>
        <w:tabs>
          <w:tab w:val="left" w:pos="6971"/>
        </w:tabs>
        <w:rPr>
          <w:rFonts w:cs="Arial"/>
        </w:rPr>
      </w:pPr>
    </w:p>
    <w:p w14:paraId="195AB27C" w14:textId="77777777" w:rsidR="0078724F" w:rsidRPr="005E4E65" w:rsidRDefault="0078724F" w:rsidP="009E72D7">
      <w:pPr>
        <w:pStyle w:val="BodyText"/>
        <w:numPr>
          <w:ilvl w:val="0"/>
          <w:numId w:val="13"/>
        </w:numPr>
        <w:tabs>
          <w:tab w:val="clear" w:pos="5184"/>
          <w:tab w:val="clear" w:pos="6624"/>
          <w:tab w:val="clear" w:pos="8640"/>
          <w:tab w:val="clear" w:pos="10080"/>
          <w:tab w:val="left" w:pos="6971"/>
        </w:tabs>
        <w:rPr>
          <w:rFonts w:cs="Arial"/>
        </w:rPr>
      </w:pPr>
      <w:r w:rsidRPr="005E4E65">
        <w:rPr>
          <w:rFonts w:cs="Arial"/>
        </w:rPr>
        <w:t>The risks associated with volatility in the performance of the asset class itself (beta)</w:t>
      </w:r>
      <w:r w:rsidR="007F45C2">
        <w:rPr>
          <w:rFonts w:cs="Arial"/>
        </w:rPr>
        <w:t>.</w:t>
      </w:r>
    </w:p>
    <w:p w14:paraId="477DF79E" w14:textId="77777777" w:rsidR="0078724F" w:rsidRPr="005E4E65" w:rsidRDefault="0078724F" w:rsidP="009E72D7">
      <w:pPr>
        <w:pStyle w:val="BodyText"/>
        <w:numPr>
          <w:ilvl w:val="0"/>
          <w:numId w:val="13"/>
        </w:numPr>
        <w:tabs>
          <w:tab w:val="clear" w:pos="5184"/>
          <w:tab w:val="clear" w:pos="6624"/>
          <w:tab w:val="clear" w:pos="8640"/>
          <w:tab w:val="clear" w:pos="10080"/>
          <w:tab w:val="left" w:pos="6971"/>
        </w:tabs>
        <w:rPr>
          <w:rFonts w:cs="Arial"/>
        </w:rPr>
      </w:pPr>
      <w:r w:rsidRPr="005E4E65">
        <w:rPr>
          <w:rFonts w:cs="Arial"/>
        </w:rPr>
        <w:t xml:space="preserve">The risks associated with the ability of managers, where allowed, to move away from index weights and to generate alpha, thereby offsetting beta risk by exceeding market performance.    </w:t>
      </w:r>
    </w:p>
    <w:p w14:paraId="4691478F" w14:textId="77777777" w:rsidR="0078724F" w:rsidRPr="005E4E65" w:rsidRDefault="0078724F" w:rsidP="0078724F">
      <w:pPr>
        <w:pStyle w:val="BodyText"/>
        <w:tabs>
          <w:tab w:val="left" w:pos="6971"/>
        </w:tabs>
        <w:rPr>
          <w:rFonts w:cs="Arial"/>
        </w:rPr>
      </w:pPr>
    </w:p>
    <w:p w14:paraId="4E7306A6" w14:textId="77777777" w:rsidR="0078724F" w:rsidRDefault="0078724F" w:rsidP="0078724F">
      <w:pPr>
        <w:pStyle w:val="BodyText"/>
        <w:tabs>
          <w:tab w:val="left" w:pos="6971"/>
        </w:tabs>
        <w:rPr>
          <w:rFonts w:cs="Arial"/>
        </w:rPr>
      </w:pPr>
      <w:r w:rsidRPr="005E4E65">
        <w:rPr>
          <w:rFonts w:cs="Arial"/>
        </w:rPr>
        <w:t>The table below sets out an analysis of the Fund’s market risk positions at 31 March 20</w:t>
      </w:r>
      <w:r w:rsidR="00FE4FC2">
        <w:rPr>
          <w:rFonts w:cs="Arial"/>
        </w:rPr>
        <w:t>2</w:t>
      </w:r>
      <w:r w:rsidR="004432BC">
        <w:rPr>
          <w:rFonts w:cs="Arial"/>
        </w:rPr>
        <w:t>2</w:t>
      </w:r>
      <w:r w:rsidRPr="005E4E65">
        <w:rPr>
          <w:rFonts w:cs="Arial"/>
        </w:rPr>
        <w:t xml:space="preserve"> by showing the amount invested in each asset class and through each manager within each main asset class, the index used as a benchmark, the target set for </w:t>
      </w:r>
      <w:r>
        <w:rPr>
          <w:rFonts w:cs="Arial"/>
        </w:rPr>
        <w:t>managers against this benchmark</w:t>
      </w:r>
      <w:r w:rsidR="007F45C2">
        <w:rPr>
          <w:rFonts w:cs="Arial"/>
        </w:rPr>
        <w:t>:</w:t>
      </w:r>
      <w:r w:rsidRPr="005E4E65">
        <w:rPr>
          <w:rFonts w:cs="Arial"/>
        </w:rPr>
        <w:t xml:space="preserve"> </w:t>
      </w:r>
    </w:p>
    <w:p w14:paraId="2DD2F602" w14:textId="77777777" w:rsidR="00FE4FC2" w:rsidRDefault="00FE4FC2" w:rsidP="00D10839">
      <w:pPr>
        <w:pStyle w:val="BodyText"/>
        <w:tabs>
          <w:tab w:val="left" w:pos="6971"/>
        </w:tabs>
        <w:rPr>
          <w:rFonts w:cs="Arial"/>
          <w:b/>
          <w:bCs/>
        </w:rPr>
      </w:pPr>
    </w:p>
    <w:p w14:paraId="11346D31" w14:textId="77777777" w:rsidR="004432BC" w:rsidRDefault="004432BC" w:rsidP="00D10839">
      <w:pPr>
        <w:pStyle w:val="BodyText"/>
        <w:tabs>
          <w:tab w:val="left" w:pos="6971"/>
        </w:tabs>
        <w:rPr>
          <w:rFonts w:cs="Arial"/>
          <w:b/>
          <w:bCs/>
        </w:rPr>
      </w:pPr>
    </w:p>
    <w:p w14:paraId="234DA8B3" w14:textId="77777777" w:rsidR="00D10839" w:rsidRDefault="009A3389" w:rsidP="00D10839">
      <w:pPr>
        <w:pStyle w:val="BodyText"/>
        <w:tabs>
          <w:tab w:val="left" w:pos="6971"/>
        </w:tabs>
        <w:rPr>
          <w:rFonts w:cs="Arial"/>
          <w:b/>
          <w:bCs/>
        </w:rPr>
      </w:pPr>
      <w:r>
        <w:rPr>
          <w:rFonts w:cs="Arial"/>
          <w:b/>
          <w:bCs/>
        </w:rPr>
        <w:t>2</w:t>
      </w:r>
      <w:r w:rsidR="00D10839">
        <w:rPr>
          <w:rFonts w:cs="Arial"/>
          <w:b/>
          <w:bCs/>
        </w:rPr>
        <w:t>3</w:t>
      </w:r>
      <w:r w:rsidR="00D10839" w:rsidRPr="005E4E65">
        <w:rPr>
          <w:rFonts w:cs="Arial"/>
          <w:b/>
          <w:bCs/>
        </w:rPr>
        <w:t>. I</w:t>
      </w:r>
      <w:r w:rsidR="00D10839">
        <w:rPr>
          <w:rFonts w:cs="Arial"/>
          <w:b/>
          <w:bCs/>
        </w:rPr>
        <w:t>nvestment</w:t>
      </w:r>
      <w:r w:rsidR="00D10839" w:rsidRPr="005E4E65">
        <w:rPr>
          <w:rFonts w:cs="Arial"/>
          <w:b/>
          <w:bCs/>
        </w:rPr>
        <w:t xml:space="preserve"> R</w:t>
      </w:r>
      <w:r w:rsidR="00D10839">
        <w:rPr>
          <w:rFonts w:cs="Arial"/>
          <w:b/>
          <w:bCs/>
        </w:rPr>
        <w:t>isks (Cont</w:t>
      </w:r>
      <w:r w:rsidR="001B2C5A">
        <w:rPr>
          <w:rFonts w:cs="Arial"/>
          <w:b/>
          <w:bCs/>
        </w:rPr>
        <w:t>inued</w:t>
      </w:r>
      <w:r w:rsidR="00D10839">
        <w:rPr>
          <w:rFonts w:cs="Arial"/>
          <w:b/>
          <w:bCs/>
        </w:rPr>
        <w:t>)</w:t>
      </w:r>
    </w:p>
    <w:p w14:paraId="754DA1D5" w14:textId="77777777" w:rsidR="00FE4FC2" w:rsidRDefault="00FE4FC2" w:rsidP="0078724F">
      <w:pPr>
        <w:pStyle w:val="BodyText"/>
        <w:tabs>
          <w:tab w:val="left" w:pos="6971"/>
        </w:tabs>
        <w:rPr>
          <w:noProof/>
          <w:lang w:eastAsia="en-GB"/>
        </w:rPr>
      </w:pPr>
    </w:p>
    <w:p w14:paraId="3E465B2B" w14:textId="04EF7FDF" w:rsidR="00FE4FC2" w:rsidRDefault="00516E75" w:rsidP="0078724F">
      <w:pPr>
        <w:pStyle w:val="BodyText"/>
        <w:tabs>
          <w:tab w:val="left" w:pos="6971"/>
        </w:tabs>
        <w:rPr>
          <w:noProof/>
          <w:lang w:eastAsia="en-GB"/>
        </w:rPr>
      </w:pPr>
      <w:r>
        <w:rPr>
          <w:noProof/>
        </w:rPr>
        <w:drawing>
          <wp:inline distT="0" distB="0" distL="0" distR="0" wp14:anchorId="58287C04" wp14:editId="15A20D93">
            <wp:extent cx="6494145" cy="4394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94145" cy="4394200"/>
                    </a:xfrm>
                    <a:prstGeom prst="rect">
                      <a:avLst/>
                    </a:prstGeom>
                    <a:noFill/>
                    <a:ln>
                      <a:noFill/>
                    </a:ln>
                  </pic:spPr>
                </pic:pic>
              </a:graphicData>
            </a:graphic>
          </wp:inline>
        </w:drawing>
      </w:r>
    </w:p>
    <w:p w14:paraId="2C2464F4" w14:textId="77777777" w:rsidR="008F417D" w:rsidRDefault="008F417D" w:rsidP="0078724F">
      <w:pPr>
        <w:pStyle w:val="BodyText"/>
        <w:tabs>
          <w:tab w:val="left" w:pos="6971"/>
        </w:tabs>
        <w:rPr>
          <w:noProof/>
          <w:lang w:eastAsia="en-GB"/>
        </w:rPr>
      </w:pPr>
    </w:p>
    <w:p w14:paraId="0B41A070" w14:textId="77777777" w:rsidR="00F927FB" w:rsidRDefault="00F927FB" w:rsidP="0078724F">
      <w:pPr>
        <w:pStyle w:val="BodyText"/>
        <w:tabs>
          <w:tab w:val="left" w:pos="6971"/>
        </w:tabs>
        <w:rPr>
          <w:noProof/>
          <w:lang w:eastAsia="en-GB"/>
        </w:rPr>
      </w:pPr>
    </w:p>
    <w:p w14:paraId="6FB49A36" w14:textId="77777777" w:rsidR="0078724F" w:rsidRPr="005E4E65" w:rsidRDefault="009147ED" w:rsidP="00222183">
      <w:pPr>
        <w:pStyle w:val="BodyText"/>
        <w:tabs>
          <w:tab w:val="left" w:pos="6971"/>
        </w:tabs>
        <w:rPr>
          <w:rFonts w:cs="Arial"/>
          <w:b/>
          <w:bCs/>
        </w:rPr>
      </w:pPr>
      <w:r>
        <w:rPr>
          <w:rFonts w:cs="Arial"/>
        </w:rPr>
        <w:t>Th</w:t>
      </w:r>
      <w:r w:rsidR="0078724F" w:rsidRPr="005E4E65">
        <w:rPr>
          <w:rFonts w:cs="Arial"/>
        </w:rPr>
        <w:t>e risks associated with volatility in market values are managed mainly through a policy of broad asset diversification. The Fund sets restrictions on the type of investment it can hold through investment limits, in accordance with the Local Government Pension Scheme (Management and Investment of Funds) Regulations 20</w:t>
      </w:r>
      <w:r w:rsidR="00F06E41">
        <w:rPr>
          <w:rFonts w:cs="Arial"/>
        </w:rPr>
        <w:t>16</w:t>
      </w:r>
      <w:r w:rsidR="0078724F" w:rsidRPr="005E4E65">
        <w:rPr>
          <w:rFonts w:cs="Arial"/>
        </w:rPr>
        <w:t xml:space="preserve">. The Fund also adopts a specific strategic benchmark (details can be found in the Fund’s </w:t>
      </w:r>
      <w:r w:rsidR="003008B0">
        <w:rPr>
          <w:rFonts w:cs="Arial"/>
        </w:rPr>
        <w:t>ISS</w:t>
      </w:r>
      <w:r w:rsidR="0078724F" w:rsidRPr="005E4E65">
        <w:rPr>
          <w:rFonts w:cs="Arial"/>
        </w:rPr>
        <w:t>) and the weightings of the various asset classes within the benchmark form the basis for asset allocation within the Fund.  Under normal conditions there is quarterly rebalancing to this strategic benchmark within fixed tolerances.</w:t>
      </w:r>
      <w:r w:rsidR="007F45C2">
        <w:rPr>
          <w:rFonts w:cs="Arial"/>
        </w:rPr>
        <w:t xml:space="preserve"> </w:t>
      </w:r>
      <w:r w:rsidR="0078724F" w:rsidRPr="005E4E65">
        <w:rPr>
          <w:rFonts w:cs="Arial"/>
        </w:rPr>
        <w:t>This allocation, determined through the Fund’s asset allocation</w:t>
      </w:r>
      <w:r w:rsidR="00CD78A7">
        <w:rPr>
          <w:rFonts w:cs="Arial"/>
        </w:rPr>
        <w:t xml:space="preserve"> strategy</w:t>
      </w:r>
      <w:r w:rsidR="0078724F" w:rsidRPr="005E4E65">
        <w:rPr>
          <w:rFonts w:cs="Arial"/>
        </w:rPr>
        <w:t xml:space="preserve">, is designed to diversify and minimise risk through a broad spread of investments across both the main and alternative asset classes and geographic regions within each asset class. Market risk is also managed through manager diversification – constructing a diversified portfolio across multiple investment managers.  On a daily basis, managers will manage risk in line with the benchmarks, targets and risk parameters set for the mandate, as well as their own policies and processes.  The Fund itself monitors managers on a regular basis (at least quarterly) on all these aspects.  </w:t>
      </w:r>
    </w:p>
    <w:p w14:paraId="7E8D0C4A" w14:textId="77777777" w:rsidR="00064F03" w:rsidRDefault="00064F03" w:rsidP="00D10839">
      <w:pPr>
        <w:pStyle w:val="BodyText"/>
        <w:tabs>
          <w:tab w:val="left" w:pos="6971"/>
        </w:tabs>
        <w:rPr>
          <w:rFonts w:cs="Arial"/>
          <w:b/>
          <w:bCs/>
        </w:rPr>
      </w:pPr>
    </w:p>
    <w:p w14:paraId="041D6AB2" w14:textId="77777777" w:rsidR="00962E5A" w:rsidRDefault="00962E5A" w:rsidP="00D10839">
      <w:pPr>
        <w:pStyle w:val="BodyText"/>
        <w:tabs>
          <w:tab w:val="left" w:pos="6971"/>
        </w:tabs>
        <w:rPr>
          <w:rFonts w:cs="Arial"/>
          <w:b/>
          <w:bCs/>
        </w:rPr>
      </w:pPr>
    </w:p>
    <w:p w14:paraId="7792F338" w14:textId="77777777" w:rsidR="002109FF" w:rsidRDefault="002109FF" w:rsidP="00D10839">
      <w:pPr>
        <w:pStyle w:val="BodyText"/>
        <w:tabs>
          <w:tab w:val="left" w:pos="6971"/>
        </w:tabs>
        <w:rPr>
          <w:rFonts w:cs="Arial"/>
          <w:b/>
          <w:bCs/>
        </w:rPr>
      </w:pPr>
    </w:p>
    <w:p w14:paraId="5B89B343" w14:textId="77777777" w:rsidR="002109FF" w:rsidRDefault="002109FF" w:rsidP="00D10839">
      <w:pPr>
        <w:pStyle w:val="BodyText"/>
        <w:tabs>
          <w:tab w:val="left" w:pos="6971"/>
        </w:tabs>
        <w:rPr>
          <w:rFonts w:cs="Arial"/>
          <w:b/>
          <w:bCs/>
        </w:rPr>
      </w:pPr>
    </w:p>
    <w:p w14:paraId="4CAEFE5C" w14:textId="77777777" w:rsidR="002109FF" w:rsidRDefault="002109FF" w:rsidP="00D10839">
      <w:pPr>
        <w:pStyle w:val="BodyText"/>
        <w:tabs>
          <w:tab w:val="left" w:pos="6971"/>
        </w:tabs>
        <w:rPr>
          <w:rFonts w:cs="Arial"/>
          <w:b/>
          <w:bCs/>
        </w:rPr>
      </w:pPr>
    </w:p>
    <w:p w14:paraId="7060F446" w14:textId="77777777" w:rsidR="00962E5A" w:rsidRDefault="00962E5A" w:rsidP="00D10839">
      <w:pPr>
        <w:pStyle w:val="BodyText"/>
        <w:tabs>
          <w:tab w:val="left" w:pos="6971"/>
        </w:tabs>
        <w:rPr>
          <w:rFonts w:cs="Arial"/>
          <w:b/>
          <w:bCs/>
        </w:rPr>
      </w:pPr>
    </w:p>
    <w:p w14:paraId="52880E00" w14:textId="77777777" w:rsidR="00942A06" w:rsidRDefault="00942A06" w:rsidP="00D10839">
      <w:pPr>
        <w:pStyle w:val="BodyText"/>
        <w:tabs>
          <w:tab w:val="left" w:pos="6971"/>
        </w:tabs>
        <w:rPr>
          <w:rFonts w:cs="Arial"/>
          <w:b/>
          <w:bCs/>
        </w:rPr>
      </w:pPr>
    </w:p>
    <w:p w14:paraId="488DF77B" w14:textId="77777777" w:rsidR="00D96B29" w:rsidRDefault="00D96B29" w:rsidP="00D10839">
      <w:pPr>
        <w:pStyle w:val="BodyText"/>
        <w:tabs>
          <w:tab w:val="left" w:pos="6971"/>
        </w:tabs>
        <w:rPr>
          <w:rFonts w:cs="Arial"/>
          <w:b/>
          <w:bCs/>
        </w:rPr>
      </w:pPr>
      <w:r>
        <w:rPr>
          <w:rFonts w:cs="Arial"/>
          <w:b/>
          <w:bCs/>
        </w:rPr>
        <w:t>23</w:t>
      </w:r>
      <w:r w:rsidRPr="005E4E65">
        <w:rPr>
          <w:rFonts w:cs="Arial"/>
          <w:b/>
          <w:bCs/>
        </w:rPr>
        <w:t>. I</w:t>
      </w:r>
      <w:r>
        <w:rPr>
          <w:rFonts w:cs="Arial"/>
          <w:b/>
          <w:bCs/>
        </w:rPr>
        <w:t>nvestment</w:t>
      </w:r>
      <w:r w:rsidRPr="005E4E65">
        <w:rPr>
          <w:rFonts w:cs="Arial"/>
          <w:b/>
          <w:bCs/>
        </w:rPr>
        <w:t xml:space="preserve"> R</w:t>
      </w:r>
      <w:r>
        <w:rPr>
          <w:rFonts w:cs="Arial"/>
          <w:b/>
          <w:bCs/>
        </w:rPr>
        <w:t>isks (Continued)</w:t>
      </w:r>
    </w:p>
    <w:p w14:paraId="095C0F97" w14:textId="77777777" w:rsidR="00D96B29" w:rsidRDefault="00D96B29" w:rsidP="00D10839">
      <w:pPr>
        <w:pStyle w:val="BodyText"/>
        <w:tabs>
          <w:tab w:val="left" w:pos="6971"/>
        </w:tabs>
        <w:rPr>
          <w:rFonts w:cs="Arial"/>
          <w:b/>
          <w:bCs/>
        </w:rPr>
      </w:pPr>
    </w:p>
    <w:p w14:paraId="2BCEC888" w14:textId="77777777" w:rsidR="00886F20" w:rsidRPr="00886F20" w:rsidRDefault="00886F20" w:rsidP="0020171D">
      <w:pPr>
        <w:tabs>
          <w:tab w:val="left" w:pos="864"/>
          <w:tab w:val="right" w:pos="5184"/>
          <w:tab w:val="right" w:pos="6624"/>
          <w:tab w:val="right" w:pos="8640"/>
          <w:tab w:val="right" w:pos="10080"/>
        </w:tabs>
        <w:jc w:val="both"/>
        <w:rPr>
          <w:rFonts w:ascii="Arial" w:hAnsi="Arial"/>
          <w:b/>
          <w:sz w:val="24"/>
          <w:szCs w:val="24"/>
        </w:rPr>
      </w:pPr>
      <w:r w:rsidRPr="00886F20">
        <w:rPr>
          <w:rFonts w:ascii="Arial" w:hAnsi="Arial"/>
          <w:b/>
          <w:sz w:val="24"/>
          <w:szCs w:val="24"/>
        </w:rPr>
        <w:t>Price Risk</w:t>
      </w:r>
    </w:p>
    <w:p w14:paraId="36EFD77B" w14:textId="77777777" w:rsidR="00886F20" w:rsidRDefault="00886F20" w:rsidP="0020171D">
      <w:pPr>
        <w:tabs>
          <w:tab w:val="left" w:pos="864"/>
          <w:tab w:val="right" w:pos="5184"/>
          <w:tab w:val="right" w:pos="6624"/>
          <w:tab w:val="right" w:pos="8640"/>
          <w:tab w:val="right" w:pos="10080"/>
        </w:tabs>
        <w:jc w:val="both"/>
        <w:rPr>
          <w:rFonts w:ascii="Arial" w:hAnsi="Arial"/>
          <w:sz w:val="24"/>
          <w:szCs w:val="24"/>
        </w:rPr>
      </w:pPr>
    </w:p>
    <w:p w14:paraId="2A2A6DDD" w14:textId="77777777" w:rsidR="00886F20" w:rsidRDefault="00886F20" w:rsidP="0020171D">
      <w:pPr>
        <w:tabs>
          <w:tab w:val="left" w:pos="864"/>
          <w:tab w:val="right" w:pos="5184"/>
          <w:tab w:val="right" w:pos="6624"/>
          <w:tab w:val="right" w:pos="8640"/>
          <w:tab w:val="right" w:pos="10080"/>
        </w:tabs>
        <w:jc w:val="both"/>
        <w:rPr>
          <w:rFonts w:ascii="Arial" w:hAnsi="Arial"/>
          <w:sz w:val="24"/>
          <w:szCs w:val="24"/>
        </w:rPr>
      </w:pPr>
      <w:r>
        <w:rPr>
          <w:rFonts w:ascii="Arial" w:hAnsi="Arial"/>
          <w:sz w:val="24"/>
          <w:szCs w:val="24"/>
        </w:rPr>
        <w:t>Price risk represents the risk that the value of a financial instrument will fluctuate as a result of changes in market prices (other than those arising from interest rate risk or foreign exchange risk), whether those changes are caused by factors specific to the individual instrument or its issuer or factors affecting all such instruments in the market.</w:t>
      </w:r>
    </w:p>
    <w:p w14:paraId="38C58B81" w14:textId="77777777" w:rsidR="00886F20" w:rsidRDefault="00886F20" w:rsidP="0020171D">
      <w:pPr>
        <w:tabs>
          <w:tab w:val="left" w:pos="864"/>
          <w:tab w:val="right" w:pos="5184"/>
          <w:tab w:val="right" w:pos="6624"/>
          <w:tab w:val="right" w:pos="8640"/>
          <w:tab w:val="right" w:pos="10080"/>
        </w:tabs>
        <w:jc w:val="both"/>
        <w:rPr>
          <w:rFonts w:ascii="Arial" w:hAnsi="Arial"/>
          <w:sz w:val="24"/>
          <w:szCs w:val="24"/>
        </w:rPr>
      </w:pPr>
    </w:p>
    <w:p w14:paraId="0D85B400" w14:textId="77777777" w:rsidR="00886F20" w:rsidRDefault="00886F20" w:rsidP="0020171D">
      <w:pPr>
        <w:tabs>
          <w:tab w:val="left" w:pos="864"/>
          <w:tab w:val="right" w:pos="5184"/>
          <w:tab w:val="right" w:pos="6624"/>
          <w:tab w:val="right" w:pos="8640"/>
          <w:tab w:val="right" w:pos="10080"/>
        </w:tabs>
        <w:jc w:val="both"/>
        <w:rPr>
          <w:rFonts w:ascii="Arial" w:hAnsi="Arial"/>
          <w:sz w:val="24"/>
          <w:szCs w:val="24"/>
        </w:rPr>
      </w:pPr>
      <w:r>
        <w:rPr>
          <w:rFonts w:ascii="Arial" w:hAnsi="Arial"/>
          <w:sz w:val="24"/>
          <w:szCs w:val="24"/>
        </w:rPr>
        <w:t>The Fund is exposed to share and derivative price risk. This arises from investments held by the fund for which the future price is uncertain. All securities investments present a risk of loss of capital. Except for shares sold short, the maximum risk resulting from financial instruments is determined by the fair value of financial instruments. Possible losses from shares sold short is unlimited.</w:t>
      </w:r>
    </w:p>
    <w:p w14:paraId="5D571933" w14:textId="77777777" w:rsidR="00886F20" w:rsidRDefault="00886F20" w:rsidP="0020171D">
      <w:pPr>
        <w:tabs>
          <w:tab w:val="left" w:pos="864"/>
          <w:tab w:val="right" w:pos="5184"/>
          <w:tab w:val="right" w:pos="6624"/>
          <w:tab w:val="right" w:pos="8640"/>
          <w:tab w:val="right" w:pos="10080"/>
        </w:tabs>
        <w:jc w:val="both"/>
        <w:rPr>
          <w:rFonts w:ascii="Arial" w:hAnsi="Arial"/>
          <w:sz w:val="24"/>
          <w:szCs w:val="24"/>
        </w:rPr>
      </w:pPr>
    </w:p>
    <w:p w14:paraId="716E9204" w14:textId="77777777" w:rsidR="008565CC" w:rsidRDefault="00886F20" w:rsidP="008565CC">
      <w:pPr>
        <w:tabs>
          <w:tab w:val="left" w:pos="864"/>
          <w:tab w:val="right" w:pos="5184"/>
          <w:tab w:val="right" w:pos="6624"/>
          <w:tab w:val="right" w:pos="8640"/>
          <w:tab w:val="right" w:pos="10080"/>
        </w:tabs>
        <w:jc w:val="both"/>
        <w:rPr>
          <w:rFonts w:ascii="Arial" w:hAnsi="Arial"/>
          <w:sz w:val="24"/>
          <w:szCs w:val="24"/>
        </w:rPr>
      </w:pPr>
      <w:r>
        <w:rPr>
          <w:rFonts w:ascii="Arial" w:hAnsi="Arial"/>
          <w:sz w:val="24"/>
          <w:szCs w:val="24"/>
        </w:rPr>
        <w:t>Following analysis of historical data and expected investment returns movement during the financial year and in consultation with the Fund’s investment advisors, the Council has determined the following movements in market price risk are reasonably possible. Had the market price of the fund investments increased/decreased in line with the potential market movements, the change in the net assets available to pay benefits in the market price as at 31</w:t>
      </w:r>
      <w:r w:rsidRPr="00886F20">
        <w:rPr>
          <w:rFonts w:ascii="Arial" w:hAnsi="Arial"/>
          <w:sz w:val="24"/>
          <w:szCs w:val="24"/>
          <w:vertAlign w:val="superscript"/>
        </w:rPr>
        <w:t>st</w:t>
      </w:r>
      <w:r>
        <w:rPr>
          <w:rFonts w:ascii="Arial" w:hAnsi="Arial"/>
          <w:sz w:val="24"/>
          <w:szCs w:val="24"/>
        </w:rPr>
        <w:t xml:space="preserve"> March 20</w:t>
      </w:r>
      <w:r w:rsidR="00FE4FC2">
        <w:rPr>
          <w:rFonts w:ascii="Arial" w:hAnsi="Arial"/>
          <w:sz w:val="24"/>
          <w:szCs w:val="24"/>
        </w:rPr>
        <w:t>2</w:t>
      </w:r>
      <w:r w:rsidR="00B265CE">
        <w:rPr>
          <w:rFonts w:ascii="Arial" w:hAnsi="Arial"/>
          <w:sz w:val="24"/>
          <w:szCs w:val="24"/>
        </w:rPr>
        <w:t>2</w:t>
      </w:r>
      <w:r w:rsidR="00FE4FC2">
        <w:rPr>
          <w:rFonts w:ascii="Arial" w:hAnsi="Arial"/>
          <w:sz w:val="24"/>
          <w:szCs w:val="24"/>
        </w:rPr>
        <w:t xml:space="preserve"> </w:t>
      </w:r>
      <w:r>
        <w:rPr>
          <w:rFonts w:ascii="Arial" w:hAnsi="Arial"/>
          <w:sz w:val="24"/>
          <w:szCs w:val="24"/>
        </w:rPr>
        <w:t>would have been as follows:</w:t>
      </w:r>
    </w:p>
    <w:p w14:paraId="39E49126" w14:textId="77777777" w:rsidR="00E61A5C" w:rsidRDefault="00E61A5C" w:rsidP="008565CC">
      <w:pPr>
        <w:tabs>
          <w:tab w:val="left" w:pos="864"/>
          <w:tab w:val="right" w:pos="5184"/>
          <w:tab w:val="right" w:pos="6624"/>
          <w:tab w:val="right" w:pos="8640"/>
          <w:tab w:val="right" w:pos="10080"/>
        </w:tabs>
        <w:jc w:val="both"/>
        <w:rPr>
          <w:rFonts w:ascii="Arial" w:hAnsi="Arial"/>
          <w:sz w:val="24"/>
          <w:szCs w:val="24"/>
        </w:rPr>
      </w:pPr>
    </w:p>
    <w:p w14:paraId="10A135A6" w14:textId="6211D3E4" w:rsidR="00FF731A" w:rsidRDefault="00516E75" w:rsidP="008565CC">
      <w:pPr>
        <w:tabs>
          <w:tab w:val="left" w:pos="864"/>
          <w:tab w:val="right" w:pos="5184"/>
          <w:tab w:val="right" w:pos="6624"/>
          <w:tab w:val="right" w:pos="8640"/>
          <w:tab w:val="right" w:pos="10080"/>
        </w:tabs>
        <w:jc w:val="both"/>
        <w:rPr>
          <w:rFonts w:ascii="Arial" w:hAnsi="Arial"/>
          <w:sz w:val="24"/>
          <w:szCs w:val="24"/>
        </w:rPr>
      </w:pPr>
      <w:r>
        <w:rPr>
          <w:noProof/>
        </w:rPr>
        <w:drawing>
          <wp:inline distT="0" distB="0" distL="0" distR="0" wp14:anchorId="242A8B95" wp14:editId="2677EED3">
            <wp:extent cx="6266815" cy="20243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66815" cy="2024380"/>
                    </a:xfrm>
                    <a:prstGeom prst="rect">
                      <a:avLst/>
                    </a:prstGeom>
                    <a:noFill/>
                    <a:ln>
                      <a:noFill/>
                    </a:ln>
                  </pic:spPr>
                </pic:pic>
              </a:graphicData>
            </a:graphic>
          </wp:inline>
        </w:drawing>
      </w:r>
    </w:p>
    <w:p w14:paraId="1393E8CA" w14:textId="77777777" w:rsidR="00E61A5C" w:rsidRDefault="00E61A5C" w:rsidP="008565CC">
      <w:pPr>
        <w:tabs>
          <w:tab w:val="left" w:pos="864"/>
          <w:tab w:val="right" w:pos="5184"/>
          <w:tab w:val="right" w:pos="6624"/>
          <w:tab w:val="right" w:pos="8640"/>
          <w:tab w:val="right" w:pos="10080"/>
        </w:tabs>
        <w:jc w:val="both"/>
        <w:rPr>
          <w:rFonts w:ascii="Arial" w:hAnsi="Arial"/>
          <w:sz w:val="24"/>
          <w:szCs w:val="24"/>
        </w:rPr>
      </w:pPr>
    </w:p>
    <w:p w14:paraId="2C564BCD" w14:textId="77777777" w:rsidR="00407671" w:rsidRDefault="00407671" w:rsidP="008565CC">
      <w:pPr>
        <w:tabs>
          <w:tab w:val="left" w:pos="864"/>
          <w:tab w:val="right" w:pos="5184"/>
          <w:tab w:val="right" w:pos="6624"/>
          <w:tab w:val="right" w:pos="8640"/>
          <w:tab w:val="right" w:pos="10080"/>
        </w:tabs>
        <w:jc w:val="both"/>
        <w:rPr>
          <w:rFonts w:ascii="Arial" w:hAnsi="Arial"/>
          <w:sz w:val="24"/>
          <w:szCs w:val="24"/>
        </w:rPr>
      </w:pPr>
    </w:p>
    <w:p w14:paraId="05A6B6B7" w14:textId="77777777" w:rsidR="00407671" w:rsidRDefault="00407671" w:rsidP="008565CC">
      <w:pPr>
        <w:tabs>
          <w:tab w:val="left" w:pos="864"/>
          <w:tab w:val="right" w:pos="5184"/>
          <w:tab w:val="right" w:pos="6624"/>
          <w:tab w:val="right" w:pos="8640"/>
          <w:tab w:val="right" w:pos="10080"/>
        </w:tabs>
        <w:jc w:val="both"/>
        <w:rPr>
          <w:rFonts w:ascii="Arial" w:hAnsi="Arial"/>
          <w:sz w:val="24"/>
          <w:szCs w:val="24"/>
        </w:rPr>
      </w:pPr>
    </w:p>
    <w:p w14:paraId="67BC49A5" w14:textId="77777777" w:rsidR="00407671" w:rsidRDefault="00407671" w:rsidP="008565CC">
      <w:pPr>
        <w:tabs>
          <w:tab w:val="left" w:pos="864"/>
          <w:tab w:val="right" w:pos="5184"/>
          <w:tab w:val="right" w:pos="6624"/>
          <w:tab w:val="right" w:pos="8640"/>
          <w:tab w:val="right" w:pos="10080"/>
        </w:tabs>
        <w:jc w:val="both"/>
        <w:rPr>
          <w:rFonts w:ascii="Arial" w:hAnsi="Arial"/>
          <w:sz w:val="24"/>
          <w:szCs w:val="24"/>
        </w:rPr>
      </w:pPr>
    </w:p>
    <w:p w14:paraId="3D621D80" w14:textId="77777777" w:rsidR="00407671" w:rsidRDefault="00407671" w:rsidP="008565CC">
      <w:pPr>
        <w:tabs>
          <w:tab w:val="left" w:pos="864"/>
          <w:tab w:val="right" w:pos="5184"/>
          <w:tab w:val="right" w:pos="6624"/>
          <w:tab w:val="right" w:pos="8640"/>
          <w:tab w:val="right" w:pos="10080"/>
        </w:tabs>
        <w:jc w:val="both"/>
        <w:rPr>
          <w:rFonts w:ascii="Arial" w:hAnsi="Arial"/>
          <w:sz w:val="24"/>
          <w:szCs w:val="24"/>
        </w:rPr>
      </w:pPr>
    </w:p>
    <w:p w14:paraId="78129A2D" w14:textId="77777777" w:rsidR="00407671" w:rsidRDefault="00407671" w:rsidP="008565CC">
      <w:pPr>
        <w:tabs>
          <w:tab w:val="left" w:pos="864"/>
          <w:tab w:val="right" w:pos="5184"/>
          <w:tab w:val="right" w:pos="6624"/>
          <w:tab w:val="right" w:pos="8640"/>
          <w:tab w:val="right" w:pos="10080"/>
        </w:tabs>
        <w:jc w:val="both"/>
        <w:rPr>
          <w:rFonts w:ascii="Arial" w:hAnsi="Arial"/>
          <w:sz w:val="24"/>
          <w:szCs w:val="24"/>
        </w:rPr>
      </w:pPr>
    </w:p>
    <w:p w14:paraId="7CB1B903" w14:textId="77777777" w:rsidR="00407671" w:rsidRDefault="00407671" w:rsidP="008565CC">
      <w:pPr>
        <w:tabs>
          <w:tab w:val="left" w:pos="864"/>
          <w:tab w:val="right" w:pos="5184"/>
          <w:tab w:val="right" w:pos="6624"/>
          <w:tab w:val="right" w:pos="8640"/>
          <w:tab w:val="right" w:pos="10080"/>
        </w:tabs>
        <w:jc w:val="both"/>
        <w:rPr>
          <w:rFonts w:ascii="Arial" w:hAnsi="Arial"/>
          <w:sz w:val="24"/>
          <w:szCs w:val="24"/>
        </w:rPr>
      </w:pPr>
    </w:p>
    <w:p w14:paraId="4913B448" w14:textId="77777777" w:rsidR="00407671" w:rsidRDefault="00407671" w:rsidP="008565CC">
      <w:pPr>
        <w:tabs>
          <w:tab w:val="left" w:pos="864"/>
          <w:tab w:val="right" w:pos="5184"/>
          <w:tab w:val="right" w:pos="6624"/>
          <w:tab w:val="right" w:pos="8640"/>
          <w:tab w:val="right" w:pos="10080"/>
        </w:tabs>
        <w:jc w:val="both"/>
        <w:rPr>
          <w:rFonts w:ascii="Arial" w:hAnsi="Arial"/>
          <w:sz w:val="24"/>
          <w:szCs w:val="24"/>
        </w:rPr>
      </w:pPr>
    </w:p>
    <w:p w14:paraId="13F8024E" w14:textId="77777777" w:rsidR="00407671" w:rsidRDefault="00407671" w:rsidP="008565CC">
      <w:pPr>
        <w:tabs>
          <w:tab w:val="left" w:pos="864"/>
          <w:tab w:val="right" w:pos="5184"/>
          <w:tab w:val="right" w:pos="6624"/>
          <w:tab w:val="right" w:pos="8640"/>
          <w:tab w:val="right" w:pos="10080"/>
        </w:tabs>
        <w:jc w:val="both"/>
        <w:rPr>
          <w:rFonts w:ascii="Arial" w:hAnsi="Arial"/>
          <w:sz w:val="24"/>
          <w:szCs w:val="24"/>
        </w:rPr>
      </w:pPr>
    </w:p>
    <w:p w14:paraId="2C7D1D24" w14:textId="77777777" w:rsidR="00407671" w:rsidRDefault="00407671" w:rsidP="008565CC">
      <w:pPr>
        <w:tabs>
          <w:tab w:val="left" w:pos="864"/>
          <w:tab w:val="right" w:pos="5184"/>
          <w:tab w:val="right" w:pos="6624"/>
          <w:tab w:val="right" w:pos="8640"/>
          <w:tab w:val="right" w:pos="10080"/>
        </w:tabs>
        <w:jc w:val="both"/>
        <w:rPr>
          <w:rFonts w:ascii="Arial" w:hAnsi="Arial"/>
          <w:sz w:val="24"/>
          <w:szCs w:val="24"/>
        </w:rPr>
      </w:pPr>
    </w:p>
    <w:p w14:paraId="56D3A766" w14:textId="77777777" w:rsidR="00407671" w:rsidRDefault="00407671" w:rsidP="008565CC">
      <w:pPr>
        <w:tabs>
          <w:tab w:val="left" w:pos="864"/>
          <w:tab w:val="right" w:pos="5184"/>
          <w:tab w:val="right" w:pos="6624"/>
          <w:tab w:val="right" w:pos="8640"/>
          <w:tab w:val="right" w:pos="10080"/>
        </w:tabs>
        <w:jc w:val="both"/>
        <w:rPr>
          <w:rFonts w:ascii="Arial" w:hAnsi="Arial"/>
          <w:sz w:val="24"/>
          <w:szCs w:val="24"/>
        </w:rPr>
      </w:pPr>
    </w:p>
    <w:p w14:paraId="10C9CC2C" w14:textId="77777777" w:rsidR="00407671" w:rsidRDefault="00407671" w:rsidP="008565CC">
      <w:pPr>
        <w:tabs>
          <w:tab w:val="left" w:pos="864"/>
          <w:tab w:val="right" w:pos="5184"/>
          <w:tab w:val="right" w:pos="6624"/>
          <w:tab w:val="right" w:pos="8640"/>
          <w:tab w:val="right" w:pos="10080"/>
        </w:tabs>
        <w:jc w:val="both"/>
        <w:rPr>
          <w:rFonts w:ascii="Arial" w:hAnsi="Arial"/>
          <w:sz w:val="24"/>
          <w:szCs w:val="24"/>
        </w:rPr>
      </w:pPr>
    </w:p>
    <w:p w14:paraId="28AA7ED7" w14:textId="77777777" w:rsidR="00407671" w:rsidRDefault="00407671" w:rsidP="008565CC">
      <w:pPr>
        <w:tabs>
          <w:tab w:val="left" w:pos="864"/>
          <w:tab w:val="right" w:pos="5184"/>
          <w:tab w:val="right" w:pos="6624"/>
          <w:tab w:val="right" w:pos="8640"/>
          <w:tab w:val="right" w:pos="10080"/>
        </w:tabs>
        <w:jc w:val="both"/>
        <w:rPr>
          <w:rFonts w:ascii="Arial" w:hAnsi="Arial"/>
          <w:sz w:val="24"/>
          <w:szCs w:val="24"/>
        </w:rPr>
      </w:pPr>
    </w:p>
    <w:p w14:paraId="2FD0C331" w14:textId="77777777" w:rsidR="00E61A5C" w:rsidRDefault="00E61A5C" w:rsidP="008565CC">
      <w:pPr>
        <w:tabs>
          <w:tab w:val="left" w:pos="864"/>
          <w:tab w:val="right" w:pos="5184"/>
          <w:tab w:val="right" w:pos="6624"/>
          <w:tab w:val="right" w:pos="8640"/>
          <w:tab w:val="right" w:pos="10080"/>
        </w:tabs>
        <w:jc w:val="both"/>
        <w:rPr>
          <w:rFonts w:ascii="Arial" w:hAnsi="Arial"/>
          <w:sz w:val="24"/>
          <w:szCs w:val="24"/>
        </w:rPr>
      </w:pPr>
      <w:r>
        <w:rPr>
          <w:rFonts w:ascii="Arial" w:hAnsi="Arial"/>
          <w:sz w:val="24"/>
          <w:szCs w:val="24"/>
        </w:rPr>
        <w:lastRenderedPageBreak/>
        <w:t>And as at 31</w:t>
      </w:r>
      <w:r w:rsidRPr="00E61A5C">
        <w:rPr>
          <w:rFonts w:ascii="Arial" w:hAnsi="Arial"/>
          <w:sz w:val="24"/>
          <w:szCs w:val="24"/>
          <w:vertAlign w:val="superscript"/>
        </w:rPr>
        <w:t>st</w:t>
      </w:r>
      <w:r>
        <w:rPr>
          <w:rFonts w:ascii="Arial" w:hAnsi="Arial"/>
          <w:sz w:val="24"/>
          <w:szCs w:val="24"/>
        </w:rPr>
        <w:t xml:space="preserve"> March 202</w:t>
      </w:r>
      <w:r w:rsidR="00B265CE">
        <w:rPr>
          <w:rFonts w:ascii="Arial" w:hAnsi="Arial"/>
          <w:sz w:val="24"/>
          <w:szCs w:val="24"/>
        </w:rPr>
        <w:t>1</w:t>
      </w:r>
    </w:p>
    <w:p w14:paraId="76DCF468" w14:textId="77777777" w:rsidR="00D96B29" w:rsidRDefault="00D96B29" w:rsidP="008565CC">
      <w:pPr>
        <w:tabs>
          <w:tab w:val="left" w:pos="864"/>
          <w:tab w:val="right" w:pos="5184"/>
          <w:tab w:val="right" w:pos="6624"/>
          <w:tab w:val="right" w:pos="8640"/>
          <w:tab w:val="right" w:pos="10080"/>
        </w:tabs>
        <w:jc w:val="both"/>
        <w:rPr>
          <w:rFonts w:ascii="Arial" w:hAnsi="Arial"/>
          <w:sz w:val="24"/>
          <w:szCs w:val="24"/>
        </w:rPr>
      </w:pPr>
    </w:p>
    <w:p w14:paraId="1599302C" w14:textId="31B772E6" w:rsidR="00D96B29" w:rsidRDefault="00516E75" w:rsidP="008565CC">
      <w:pPr>
        <w:tabs>
          <w:tab w:val="left" w:pos="864"/>
          <w:tab w:val="right" w:pos="5184"/>
          <w:tab w:val="right" w:pos="6624"/>
          <w:tab w:val="right" w:pos="8640"/>
          <w:tab w:val="right" w:pos="10080"/>
        </w:tabs>
        <w:jc w:val="both"/>
        <w:rPr>
          <w:rFonts w:ascii="Arial" w:hAnsi="Arial"/>
          <w:sz w:val="24"/>
          <w:szCs w:val="24"/>
        </w:rPr>
      </w:pPr>
      <w:r>
        <w:rPr>
          <w:noProof/>
          <w:lang w:eastAsia="en-GB"/>
        </w:rPr>
        <w:drawing>
          <wp:inline distT="0" distB="0" distL="0" distR="0" wp14:anchorId="0F399CB6" wp14:editId="1FBD06B8">
            <wp:extent cx="6311900" cy="213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1900" cy="2133600"/>
                    </a:xfrm>
                    <a:prstGeom prst="rect">
                      <a:avLst/>
                    </a:prstGeom>
                    <a:noFill/>
                    <a:ln>
                      <a:noFill/>
                    </a:ln>
                  </pic:spPr>
                </pic:pic>
              </a:graphicData>
            </a:graphic>
          </wp:inline>
        </w:drawing>
      </w:r>
    </w:p>
    <w:p w14:paraId="30D9BB29" w14:textId="77777777" w:rsidR="002109FF" w:rsidRDefault="002109FF" w:rsidP="0020171D">
      <w:pPr>
        <w:tabs>
          <w:tab w:val="left" w:pos="864"/>
          <w:tab w:val="right" w:pos="5184"/>
          <w:tab w:val="right" w:pos="6624"/>
          <w:tab w:val="right" w:pos="8640"/>
          <w:tab w:val="right" w:pos="10080"/>
        </w:tabs>
        <w:jc w:val="both"/>
        <w:rPr>
          <w:rFonts w:ascii="Arial" w:hAnsi="Arial"/>
          <w:b/>
          <w:sz w:val="24"/>
          <w:szCs w:val="24"/>
        </w:rPr>
      </w:pPr>
    </w:p>
    <w:p w14:paraId="2BEDF00F" w14:textId="77777777" w:rsidR="00487987" w:rsidRPr="00EC7C25" w:rsidRDefault="00487987" w:rsidP="0020171D">
      <w:pPr>
        <w:tabs>
          <w:tab w:val="left" w:pos="864"/>
          <w:tab w:val="right" w:pos="5184"/>
          <w:tab w:val="right" w:pos="6624"/>
          <w:tab w:val="right" w:pos="8640"/>
          <w:tab w:val="right" w:pos="10080"/>
        </w:tabs>
        <w:jc w:val="both"/>
        <w:rPr>
          <w:rFonts w:ascii="Arial" w:hAnsi="Arial"/>
          <w:b/>
          <w:sz w:val="24"/>
          <w:szCs w:val="24"/>
        </w:rPr>
      </w:pPr>
      <w:r w:rsidRPr="00EC7C25">
        <w:rPr>
          <w:rFonts w:ascii="Arial" w:hAnsi="Arial"/>
          <w:b/>
          <w:sz w:val="24"/>
          <w:szCs w:val="24"/>
        </w:rPr>
        <w:t xml:space="preserve">Currency </w:t>
      </w:r>
      <w:r w:rsidR="00EC7C25" w:rsidRPr="00EC7C25">
        <w:rPr>
          <w:rFonts w:ascii="Arial" w:hAnsi="Arial"/>
          <w:b/>
          <w:sz w:val="24"/>
          <w:szCs w:val="24"/>
        </w:rPr>
        <w:t>Risk</w:t>
      </w:r>
    </w:p>
    <w:p w14:paraId="621F32F5" w14:textId="77777777" w:rsidR="00487987" w:rsidRDefault="00487987" w:rsidP="0020171D">
      <w:pPr>
        <w:tabs>
          <w:tab w:val="left" w:pos="864"/>
          <w:tab w:val="right" w:pos="5184"/>
          <w:tab w:val="right" w:pos="6624"/>
          <w:tab w:val="right" w:pos="8640"/>
          <w:tab w:val="right" w:pos="10080"/>
        </w:tabs>
        <w:jc w:val="both"/>
        <w:rPr>
          <w:rFonts w:ascii="Arial" w:hAnsi="Arial"/>
          <w:sz w:val="24"/>
          <w:szCs w:val="24"/>
        </w:rPr>
      </w:pPr>
    </w:p>
    <w:p w14:paraId="61F2D418" w14:textId="77777777" w:rsidR="00487987" w:rsidRDefault="00EC7C25" w:rsidP="0020171D">
      <w:pPr>
        <w:tabs>
          <w:tab w:val="left" w:pos="864"/>
          <w:tab w:val="right" w:pos="5184"/>
          <w:tab w:val="right" w:pos="6624"/>
          <w:tab w:val="right" w:pos="8640"/>
          <w:tab w:val="right" w:pos="10080"/>
        </w:tabs>
        <w:jc w:val="both"/>
        <w:rPr>
          <w:rFonts w:ascii="Arial" w:hAnsi="Arial"/>
          <w:sz w:val="24"/>
          <w:szCs w:val="24"/>
        </w:rPr>
      </w:pPr>
      <w:r>
        <w:rPr>
          <w:rFonts w:ascii="Arial" w:hAnsi="Arial"/>
          <w:sz w:val="24"/>
          <w:szCs w:val="24"/>
        </w:rPr>
        <w:t xml:space="preserve">Currency risk represents the risk that the fair value of future cash flows of a financial instrument will fluctuate because of changes in foreign exchange rates. The </w:t>
      </w:r>
      <w:r w:rsidR="00D87A9F">
        <w:rPr>
          <w:rFonts w:ascii="Arial" w:hAnsi="Arial"/>
          <w:sz w:val="24"/>
          <w:szCs w:val="24"/>
        </w:rPr>
        <w:t>F</w:t>
      </w:r>
      <w:r>
        <w:rPr>
          <w:rFonts w:ascii="Arial" w:hAnsi="Arial"/>
          <w:sz w:val="24"/>
          <w:szCs w:val="24"/>
        </w:rPr>
        <w:t xml:space="preserve">und is exposed to currency risk on financial instruments that are denominated in any currency other than the functional currency of the </w:t>
      </w:r>
      <w:r w:rsidR="00D87A9F">
        <w:rPr>
          <w:rFonts w:ascii="Arial" w:hAnsi="Arial"/>
          <w:sz w:val="24"/>
          <w:szCs w:val="24"/>
        </w:rPr>
        <w:t>F</w:t>
      </w:r>
      <w:r>
        <w:rPr>
          <w:rFonts w:ascii="Arial" w:hAnsi="Arial"/>
          <w:sz w:val="24"/>
          <w:szCs w:val="24"/>
        </w:rPr>
        <w:t xml:space="preserve">und (£UK). The </w:t>
      </w:r>
      <w:r w:rsidR="00D87A9F">
        <w:rPr>
          <w:rFonts w:ascii="Arial" w:hAnsi="Arial"/>
          <w:sz w:val="24"/>
          <w:szCs w:val="24"/>
        </w:rPr>
        <w:t>F</w:t>
      </w:r>
      <w:r>
        <w:rPr>
          <w:rFonts w:ascii="Arial" w:hAnsi="Arial"/>
          <w:sz w:val="24"/>
          <w:szCs w:val="24"/>
        </w:rPr>
        <w:t>und holds both monetary and non-monetary assets denominated in currencies other than £UK.</w:t>
      </w:r>
    </w:p>
    <w:p w14:paraId="3BBF768F" w14:textId="77777777" w:rsidR="00EC7C25" w:rsidRDefault="00EC7C25" w:rsidP="0020171D">
      <w:pPr>
        <w:tabs>
          <w:tab w:val="left" w:pos="864"/>
          <w:tab w:val="right" w:pos="5184"/>
          <w:tab w:val="right" w:pos="6624"/>
          <w:tab w:val="right" w:pos="8640"/>
          <w:tab w:val="right" w:pos="10080"/>
        </w:tabs>
        <w:jc w:val="both"/>
        <w:rPr>
          <w:rFonts w:ascii="Arial" w:hAnsi="Arial"/>
          <w:sz w:val="24"/>
          <w:szCs w:val="24"/>
        </w:rPr>
      </w:pPr>
    </w:p>
    <w:p w14:paraId="3B341D9F" w14:textId="77777777" w:rsidR="00EC7C25" w:rsidRDefault="00EC7C25" w:rsidP="0020171D">
      <w:pPr>
        <w:tabs>
          <w:tab w:val="left" w:pos="864"/>
          <w:tab w:val="right" w:pos="5184"/>
          <w:tab w:val="right" w:pos="6624"/>
          <w:tab w:val="right" w:pos="8640"/>
          <w:tab w:val="right" w:pos="10080"/>
        </w:tabs>
        <w:jc w:val="both"/>
        <w:rPr>
          <w:rFonts w:ascii="Arial" w:hAnsi="Arial"/>
          <w:sz w:val="24"/>
          <w:szCs w:val="24"/>
        </w:rPr>
      </w:pPr>
      <w:r>
        <w:rPr>
          <w:rFonts w:ascii="Arial" w:hAnsi="Arial"/>
          <w:sz w:val="24"/>
          <w:szCs w:val="24"/>
        </w:rPr>
        <w:t xml:space="preserve">In consultation with the </w:t>
      </w:r>
      <w:r w:rsidR="00D87A9F">
        <w:rPr>
          <w:rFonts w:ascii="Arial" w:hAnsi="Arial"/>
          <w:sz w:val="24"/>
          <w:szCs w:val="24"/>
        </w:rPr>
        <w:t>F</w:t>
      </w:r>
      <w:r>
        <w:rPr>
          <w:rFonts w:ascii="Arial" w:hAnsi="Arial"/>
          <w:sz w:val="24"/>
          <w:szCs w:val="24"/>
        </w:rPr>
        <w:t>und’s investment advisors, the Council has determined that the following movements in currencies are reasonably possible. The following represents a sensitivity analysis associated with foreign exchange movements as at 31</w:t>
      </w:r>
      <w:r w:rsidRPr="00EC7C25">
        <w:rPr>
          <w:rFonts w:ascii="Arial" w:hAnsi="Arial"/>
          <w:sz w:val="24"/>
          <w:szCs w:val="24"/>
          <w:vertAlign w:val="superscript"/>
        </w:rPr>
        <w:t>st</w:t>
      </w:r>
      <w:r>
        <w:rPr>
          <w:rFonts w:ascii="Arial" w:hAnsi="Arial"/>
          <w:sz w:val="24"/>
          <w:szCs w:val="24"/>
        </w:rPr>
        <w:t xml:space="preserve"> March 20</w:t>
      </w:r>
      <w:r w:rsidR="00FE4FC2">
        <w:rPr>
          <w:rFonts w:ascii="Arial" w:hAnsi="Arial"/>
          <w:sz w:val="24"/>
          <w:szCs w:val="24"/>
        </w:rPr>
        <w:t>2</w:t>
      </w:r>
      <w:r w:rsidR="00B265CE">
        <w:rPr>
          <w:rFonts w:ascii="Arial" w:hAnsi="Arial"/>
          <w:sz w:val="24"/>
          <w:szCs w:val="24"/>
        </w:rPr>
        <w:t>2</w:t>
      </w:r>
      <w:r w:rsidR="00A86050">
        <w:rPr>
          <w:rFonts w:ascii="Arial" w:hAnsi="Arial"/>
          <w:sz w:val="24"/>
          <w:szCs w:val="24"/>
        </w:rPr>
        <w:t xml:space="preserve"> </w:t>
      </w:r>
      <w:r>
        <w:rPr>
          <w:rFonts w:ascii="Arial" w:hAnsi="Arial"/>
          <w:sz w:val="24"/>
          <w:szCs w:val="24"/>
        </w:rPr>
        <w:t>:</w:t>
      </w:r>
    </w:p>
    <w:p w14:paraId="59613626"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01674466"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71B7A271" w14:textId="0CA49018" w:rsidR="00E61A5C" w:rsidRDefault="00516E75" w:rsidP="0020171D">
      <w:pPr>
        <w:tabs>
          <w:tab w:val="left" w:pos="864"/>
          <w:tab w:val="right" w:pos="5184"/>
          <w:tab w:val="right" w:pos="6624"/>
          <w:tab w:val="right" w:pos="8640"/>
          <w:tab w:val="right" w:pos="10080"/>
        </w:tabs>
        <w:jc w:val="both"/>
        <w:rPr>
          <w:rFonts w:ascii="Arial" w:hAnsi="Arial"/>
          <w:sz w:val="24"/>
          <w:szCs w:val="24"/>
        </w:rPr>
      </w:pPr>
      <w:r>
        <w:rPr>
          <w:noProof/>
        </w:rPr>
        <w:lastRenderedPageBreak/>
        <w:drawing>
          <wp:inline distT="0" distB="0" distL="0" distR="0" wp14:anchorId="303DB3D5" wp14:editId="2546151C">
            <wp:extent cx="6577965" cy="4613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7965" cy="4613275"/>
                    </a:xfrm>
                    <a:prstGeom prst="rect">
                      <a:avLst/>
                    </a:prstGeom>
                    <a:noFill/>
                    <a:ln>
                      <a:noFill/>
                    </a:ln>
                  </pic:spPr>
                </pic:pic>
              </a:graphicData>
            </a:graphic>
          </wp:inline>
        </w:drawing>
      </w:r>
    </w:p>
    <w:p w14:paraId="2CDFBB65"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1E24D7C0" w14:textId="77777777" w:rsidR="009C2E78" w:rsidRDefault="009C2E78" w:rsidP="0020171D">
      <w:pPr>
        <w:tabs>
          <w:tab w:val="left" w:pos="864"/>
          <w:tab w:val="right" w:pos="5184"/>
          <w:tab w:val="right" w:pos="6624"/>
          <w:tab w:val="right" w:pos="8640"/>
          <w:tab w:val="right" w:pos="10080"/>
        </w:tabs>
        <w:jc w:val="both"/>
        <w:rPr>
          <w:rFonts w:ascii="Arial" w:hAnsi="Arial"/>
          <w:sz w:val="24"/>
          <w:szCs w:val="24"/>
        </w:rPr>
      </w:pPr>
    </w:p>
    <w:p w14:paraId="0675B439" w14:textId="77777777" w:rsidR="005A6B77" w:rsidRDefault="005A6B77" w:rsidP="0020171D">
      <w:pPr>
        <w:tabs>
          <w:tab w:val="left" w:pos="864"/>
          <w:tab w:val="right" w:pos="5184"/>
          <w:tab w:val="right" w:pos="6624"/>
          <w:tab w:val="right" w:pos="8640"/>
          <w:tab w:val="right" w:pos="10080"/>
        </w:tabs>
        <w:jc w:val="both"/>
        <w:rPr>
          <w:rFonts w:ascii="Arial" w:hAnsi="Arial"/>
          <w:sz w:val="24"/>
          <w:szCs w:val="24"/>
        </w:rPr>
      </w:pPr>
    </w:p>
    <w:p w14:paraId="6C8FAF85" w14:textId="77777777" w:rsidR="009C2E78" w:rsidRDefault="009C2E78" w:rsidP="0020171D">
      <w:pPr>
        <w:tabs>
          <w:tab w:val="left" w:pos="864"/>
          <w:tab w:val="right" w:pos="5184"/>
          <w:tab w:val="right" w:pos="6624"/>
          <w:tab w:val="right" w:pos="8640"/>
          <w:tab w:val="right" w:pos="10080"/>
        </w:tabs>
        <w:jc w:val="both"/>
        <w:rPr>
          <w:rFonts w:ascii="Arial" w:hAnsi="Arial"/>
          <w:sz w:val="24"/>
          <w:szCs w:val="24"/>
        </w:rPr>
      </w:pPr>
    </w:p>
    <w:p w14:paraId="5F4D5FB9"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365E3751"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577CE29C"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6D0E5FBF"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5B7C23DD"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4478AA54"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642B3892"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692633FF"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79A59A3F"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611B5035"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6FE0DBB1"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2058F85C"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103C99FF"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7FEC846E"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2FA16407"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5D8721F4"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242E7D70"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268EE577"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5305CD69"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20A6246A" w14:textId="77777777" w:rsidR="00E61A5C" w:rsidRPr="002109FF" w:rsidRDefault="00E61A5C" w:rsidP="0020171D">
      <w:pPr>
        <w:tabs>
          <w:tab w:val="left" w:pos="864"/>
          <w:tab w:val="right" w:pos="5184"/>
          <w:tab w:val="right" w:pos="6624"/>
          <w:tab w:val="right" w:pos="8640"/>
          <w:tab w:val="right" w:pos="10080"/>
        </w:tabs>
        <w:jc w:val="both"/>
        <w:rPr>
          <w:rFonts w:ascii="Arial" w:hAnsi="Arial"/>
          <w:b/>
          <w:sz w:val="24"/>
          <w:szCs w:val="24"/>
        </w:rPr>
      </w:pPr>
      <w:r w:rsidRPr="002109FF">
        <w:rPr>
          <w:rFonts w:ascii="Arial" w:hAnsi="Arial"/>
          <w:b/>
          <w:sz w:val="24"/>
          <w:szCs w:val="24"/>
        </w:rPr>
        <w:lastRenderedPageBreak/>
        <w:t>As at 31</w:t>
      </w:r>
      <w:r w:rsidRPr="002109FF">
        <w:rPr>
          <w:rFonts w:ascii="Arial" w:hAnsi="Arial"/>
          <w:b/>
          <w:sz w:val="24"/>
          <w:szCs w:val="24"/>
          <w:vertAlign w:val="superscript"/>
        </w:rPr>
        <w:t>st</w:t>
      </w:r>
      <w:r w:rsidRPr="002109FF">
        <w:rPr>
          <w:rFonts w:ascii="Arial" w:hAnsi="Arial"/>
          <w:b/>
          <w:sz w:val="24"/>
          <w:szCs w:val="24"/>
        </w:rPr>
        <w:t xml:space="preserve"> March 202</w:t>
      </w:r>
      <w:r w:rsidR="00B265CE">
        <w:rPr>
          <w:rFonts w:ascii="Arial" w:hAnsi="Arial"/>
          <w:b/>
          <w:sz w:val="24"/>
          <w:szCs w:val="24"/>
        </w:rPr>
        <w:t>1</w:t>
      </w:r>
    </w:p>
    <w:p w14:paraId="20CFC63C"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5DF4A976" w14:textId="12F4C32F" w:rsidR="00E611B4" w:rsidRDefault="00516E75" w:rsidP="0020171D">
      <w:pPr>
        <w:tabs>
          <w:tab w:val="left" w:pos="864"/>
          <w:tab w:val="right" w:pos="5184"/>
          <w:tab w:val="right" w:pos="6624"/>
          <w:tab w:val="right" w:pos="8640"/>
          <w:tab w:val="right" w:pos="10080"/>
        </w:tabs>
        <w:jc w:val="both"/>
        <w:rPr>
          <w:rFonts w:ascii="Arial" w:hAnsi="Arial"/>
          <w:sz w:val="24"/>
          <w:szCs w:val="24"/>
        </w:rPr>
      </w:pPr>
      <w:r>
        <w:rPr>
          <w:noProof/>
          <w:lang w:eastAsia="en-GB"/>
        </w:rPr>
        <w:drawing>
          <wp:inline distT="0" distB="0" distL="0" distR="0" wp14:anchorId="4A28B152" wp14:editId="114B5B28">
            <wp:extent cx="6493510" cy="47790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3510" cy="4779010"/>
                    </a:xfrm>
                    <a:prstGeom prst="rect">
                      <a:avLst/>
                    </a:prstGeom>
                    <a:noFill/>
                    <a:ln>
                      <a:noFill/>
                    </a:ln>
                  </pic:spPr>
                </pic:pic>
              </a:graphicData>
            </a:graphic>
          </wp:inline>
        </w:drawing>
      </w:r>
    </w:p>
    <w:p w14:paraId="0E160084" w14:textId="77777777" w:rsidR="00E611B4" w:rsidRDefault="00E611B4" w:rsidP="0020171D">
      <w:pPr>
        <w:tabs>
          <w:tab w:val="left" w:pos="864"/>
          <w:tab w:val="right" w:pos="5184"/>
          <w:tab w:val="right" w:pos="6624"/>
          <w:tab w:val="right" w:pos="8640"/>
          <w:tab w:val="right" w:pos="10080"/>
        </w:tabs>
        <w:jc w:val="both"/>
        <w:rPr>
          <w:rFonts w:ascii="Arial" w:hAnsi="Arial"/>
          <w:sz w:val="24"/>
          <w:szCs w:val="24"/>
        </w:rPr>
      </w:pPr>
    </w:p>
    <w:p w14:paraId="7D1E89F6" w14:textId="77777777" w:rsidR="00E611B4" w:rsidRDefault="00E611B4" w:rsidP="0020171D">
      <w:pPr>
        <w:tabs>
          <w:tab w:val="left" w:pos="864"/>
          <w:tab w:val="right" w:pos="5184"/>
          <w:tab w:val="right" w:pos="6624"/>
          <w:tab w:val="right" w:pos="8640"/>
          <w:tab w:val="right" w:pos="10080"/>
        </w:tabs>
        <w:jc w:val="both"/>
        <w:rPr>
          <w:rFonts w:ascii="Arial" w:hAnsi="Arial"/>
          <w:sz w:val="24"/>
          <w:szCs w:val="24"/>
        </w:rPr>
      </w:pPr>
    </w:p>
    <w:p w14:paraId="179FA38C" w14:textId="77777777" w:rsidR="00E611B4" w:rsidRDefault="00E611B4" w:rsidP="0020171D">
      <w:pPr>
        <w:tabs>
          <w:tab w:val="left" w:pos="864"/>
          <w:tab w:val="right" w:pos="5184"/>
          <w:tab w:val="right" w:pos="6624"/>
          <w:tab w:val="right" w:pos="8640"/>
          <w:tab w:val="right" w:pos="10080"/>
        </w:tabs>
        <w:jc w:val="both"/>
        <w:rPr>
          <w:rFonts w:ascii="Arial" w:hAnsi="Arial"/>
          <w:sz w:val="24"/>
          <w:szCs w:val="24"/>
        </w:rPr>
      </w:pPr>
    </w:p>
    <w:p w14:paraId="6251EB07" w14:textId="77777777" w:rsidR="00E611B4" w:rsidRDefault="00E611B4" w:rsidP="0020171D">
      <w:pPr>
        <w:tabs>
          <w:tab w:val="left" w:pos="864"/>
          <w:tab w:val="right" w:pos="5184"/>
          <w:tab w:val="right" w:pos="6624"/>
          <w:tab w:val="right" w:pos="8640"/>
          <w:tab w:val="right" w:pos="10080"/>
        </w:tabs>
        <w:jc w:val="both"/>
        <w:rPr>
          <w:rFonts w:ascii="Arial" w:hAnsi="Arial"/>
          <w:sz w:val="24"/>
          <w:szCs w:val="24"/>
        </w:rPr>
      </w:pPr>
    </w:p>
    <w:p w14:paraId="7BB25C15" w14:textId="77777777" w:rsidR="00E611B4" w:rsidRDefault="00E611B4" w:rsidP="0020171D">
      <w:pPr>
        <w:tabs>
          <w:tab w:val="left" w:pos="864"/>
          <w:tab w:val="right" w:pos="5184"/>
          <w:tab w:val="right" w:pos="6624"/>
          <w:tab w:val="right" w:pos="8640"/>
          <w:tab w:val="right" w:pos="10080"/>
        </w:tabs>
        <w:jc w:val="both"/>
        <w:rPr>
          <w:rFonts w:ascii="Arial" w:hAnsi="Arial"/>
          <w:sz w:val="24"/>
          <w:szCs w:val="24"/>
        </w:rPr>
      </w:pPr>
    </w:p>
    <w:p w14:paraId="04838B17" w14:textId="77777777" w:rsidR="00E611B4" w:rsidRDefault="00E611B4" w:rsidP="0020171D">
      <w:pPr>
        <w:tabs>
          <w:tab w:val="left" w:pos="864"/>
          <w:tab w:val="right" w:pos="5184"/>
          <w:tab w:val="right" w:pos="6624"/>
          <w:tab w:val="right" w:pos="8640"/>
          <w:tab w:val="right" w:pos="10080"/>
        </w:tabs>
        <w:jc w:val="both"/>
        <w:rPr>
          <w:rFonts w:ascii="Arial" w:hAnsi="Arial"/>
          <w:sz w:val="24"/>
          <w:szCs w:val="24"/>
        </w:rPr>
      </w:pPr>
    </w:p>
    <w:p w14:paraId="457BB5C4" w14:textId="77777777" w:rsidR="00E611B4" w:rsidRDefault="00E611B4" w:rsidP="0020171D">
      <w:pPr>
        <w:tabs>
          <w:tab w:val="left" w:pos="864"/>
          <w:tab w:val="right" w:pos="5184"/>
          <w:tab w:val="right" w:pos="6624"/>
          <w:tab w:val="right" w:pos="8640"/>
          <w:tab w:val="right" w:pos="10080"/>
        </w:tabs>
        <w:jc w:val="both"/>
        <w:rPr>
          <w:rFonts w:ascii="Arial" w:hAnsi="Arial"/>
          <w:sz w:val="24"/>
          <w:szCs w:val="24"/>
        </w:rPr>
      </w:pPr>
    </w:p>
    <w:p w14:paraId="35F8F3D3" w14:textId="77777777" w:rsidR="00942A06" w:rsidRDefault="00942A06" w:rsidP="0020171D">
      <w:pPr>
        <w:tabs>
          <w:tab w:val="left" w:pos="864"/>
          <w:tab w:val="right" w:pos="5184"/>
          <w:tab w:val="right" w:pos="6624"/>
          <w:tab w:val="right" w:pos="8640"/>
          <w:tab w:val="right" w:pos="10080"/>
        </w:tabs>
        <w:jc w:val="both"/>
        <w:rPr>
          <w:rFonts w:ascii="Arial" w:hAnsi="Arial"/>
          <w:sz w:val="24"/>
          <w:szCs w:val="24"/>
        </w:rPr>
      </w:pPr>
    </w:p>
    <w:p w14:paraId="2AAEB467" w14:textId="77777777" w:rsidR="00942A06" w:rsidRDefault="00942A06" w:rsidP="0020171D">
      <w:pPr>
        <w:tabs>
          <w:tab w:val="left" w:pos="864"/>
          <w:tab w:val="right" w:pos="5184"/>
          <w:tab w:val="right" w:pos="6624"/>
          <w:tab w:val="right" w:pos="8640"/>
          <w:tab w:val="right" w:pos="10080"/>
        </w:tabs>
        <w:jc w:val="both"/>
        <w:rPr>
          <w:rFonts w:ascii="Arial" w:hAnsi="Arial"/>
          <w:sz w:val="24"/>
          <w:szCs w:val="24"/>
        </w:rPr>
      </w:pPr>
    </w:p>
    <w:p w14:paraId="0B4BA997" w14:textId="77777777" w:rsidR="00942A06" w:rsidRDefault="00942A06" w:rsidP="0020171D">
      <w:pPr>
        <w:tabs>
          <w:tab w:val="left" w:pos="864"/>
          <w:tab w:val="right" w:pos="5184"/>
          <w:tab w:val="right" w:pos="6624"/>
          <w:tab w:val="right" w:pos="8640"/>
          <w:tab w:val="right" w:pos="10080"/>
        </w:tabs>
        <w:jc w:val="both"/>
        <w:rPr>
          <w:rFonts w:ascii="Arial" w:hAnsi="Arial"/>
          <w:sz w:val="24"/>
          <w:szCs w:val="24"/>
        </w:rPr>
      </w:pPr>
    </w:p>
    <w:p w14:paraId="70B5B4FC" w14:textId="77777777" w:rsidR="00E611B4" w:rsidRDefault="00E611B4" w:rsidP="0020171D">
      <w:pPr>
        <w:tabs>
          <w:tab w:val="left" w:pos="864"/>
          <w:tab w:val="right" w:pos="5184"/>
          <w:tab w:val="right" w:pos="6624"/>
          <w:tab w:val="right" w:pos="8640"/>
          <w:tab w:val="right" w:pos="10080"/>
        </w:tabs>
        <w:jc w:val="both"/>
        <w:rPr>
          <w:rFonts w:ascii="Arial" w:hAnsi="Arial"/>
          <w:sz w:val="24"/>
          <w:szCs w:val="24"/>
        </w:rPr>
      </w:pPr>
    </w:p>
    <w:p w14:paraId="05ED0B0E" w14:textId="77777777" w:rsidR="00166220" w:rsidRDefault="00166220" w:rsidP="0020171D">
      <w:pPr>
        <w:tabs>
          <w:tab w:val="left" w:pos="864"/>
          <w:tab w:val="right" w:pos="5184"/>
          <w:tab w:val="right" w:pos="6624"/>
          <w:tab w:val="right" w:pos="8640"/>
          <w:tab w:val="right" w:pos="10080"/>
        </w:tabs>
        <w:jc w:val="both"/>
        <w:rPr>
          <w:rFonts w:ascii="Arial" w:hAnsi="Arial"/>
          <w:sz w:val="24"/>
          <w:szCs w:val="24"/>
        </w:rPr>
      </w:pPr>
    </w:p>
    <w:p w14:paraId="71CDD3F3" w14:textId="77777777" w:rsidR="002B0909" w:rsidRDefault="002B0909" w:rsidP="00E611B4">
      <w:pPr>
        <w:tabs>
          <w:tab w:val="left" w:pos="864"/>
          <w:tab w:val="right" w:pos="5184"/>
          <w:tab w:val="right" w:pos="6624"/>
          <w:tab w:val="right" w:pos="8640"/>
          <w:tab w:val="right" w:pos="10080"/>
        </w:tabs>
        <w:jc w:val="both"/>
        <w:rPr>
          <w:rFonts w:ascii="Arial" w:hAnsi="Arial"/>
          <w:sz w:val="24"/>
          <w:szCs w:val="24"/>
        </w:rPr>
      </w:pPr>
    </w:p>
    <w:p w14:paraId="00491681" w14:textId="77777777" w:rsidR="00E611B4" w:rsidRDefault="00E611B4" w:rsidP="0020171D">
      <w:pPr>
        <w:tabs>
          <w:tab w:val="left" w:pos="864"/>
          <w:tab w:val="right" w:pos="5184"/>
          <w:tab w:val="right" w:pos="6624"/>
          <w:tab w:val="right" w:pos="8640"/>
          <w:tab w:val="right" w:pos="10080"/>
        </w:tabs>
        <w:jc w:val="both"/>
        <w:rPr>
          <w:rFonts w:ascii="Arial" w:hAnsi="Arial"/>
          <w:sz w:val="24"/>
          <w:szCs w:val="24"/>
        </w:rPr>
      </w:pPr>
    </w:p>
    <w:p w14:paraId="0EF104D8"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4F538BDD"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53298ABC"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7BBC3E76" w14:textId="77777777" w:rsidR="00B64984" w:rsidRDefault="00B64984" w:rsidP="0020171D">
      <w:pPr>
        <w:tabs>
          <w:tab w:val="left" w:pos="864"/>
          <w:tab w:val="right" w:pos="5184"/>
          <w:tab w:val="right" w:pos="6624"/>
          <w:tab w:val="right" w:pos="8640"/>
          <w:tab w:val="right" w:pos="10080"/>
        </w:tabs>
        <w:jc w:val="both"/>
        <w:rPr>
          <w:rFonts w:ascii="Arial" w:hAnsi="Arial"/>
          <w:sz w:val="24"/>
          <w:szCs w:val="24"/>
        </w:rPr>
      </w:pPr>
    </w:p>
    <w:p w14:paraId="7FB531D8" w14:textId="77777777" w:rsidR="00B64984" w:rsidRDefault="00B64984" w:rsidP="0020171D">
      <w:pPr>
        <w:tabs>
          <w:tab w:val="left" w:pos="864"/>
          <w:tab w:val="right" w:pos="5184"/>
          <w:tab w:val="right" w:pos="6624"/>
          <w:tab w:val="right" w:pos="8640"/>
          <w:tab w:val="right" w:pos="10080"/>
        </w:tabs>
        <w:jc w:val="both"/>
        <w:rPr>
          <w:rFonts w:ascii="Arial" w:hAnsi="Arial"/>
          <w:sz w:val="24"/>
          <w:szCs w:val="24"/>
        </w:rPr>
      </w:pPr>
    </w:p>
    <w:p w14:paraId="65462AC5" w14:textId="77777777" w:rsidR="00B64984" w:rsidRDefault="00B64984" w:rsidP="0020171D">
      <w:pPr>
        <w:tabs>
          <w:tab w:val="left" w:pos="864"/>
          <w:tab w:val="right" w:pos="5184"/>
          <w:tab w:val="right" w:pos="6624"/>
          <w:tab w:val="right" w:pos="8640"/>
          <w:tab w:val="right" w:pos="10080"/>
        </w:tabs>
        <w:jc w:val="both"/>
        <w:rPr>
          <w:rFonts w:ascii="Arial" w:hAnsi="Arial"/>
          <w:sz w:val="24"/>
          <w:szCs w:val="24"/>
        </w:rPr>
      </w:pPr>
    </w:p>
    <w:p w14:paraId="4FE3B8C8" w14:textId="77777777" w:rsidR="00E611B4" w:rsidRDefault="00E611B4" w:rsidP="0020171D">
      <w:pPr>
        <w:tabs>
          <w:tab w:val="left" w:pos="864"/>
          <w:tab w:val="right" w:pos="5184"/>
          <w:tab w:val="right" w:pos="6624"/>
          <w:tab w:val="right" w:pos="8640"/>
          <w:tab w:val="right" w:pos="10080"/>
        </w:tabs>
        <w:jc w:val="both"/>
        <w:rPr>
          <w:rFonts w:ascii="Arial" w:hAnsi="Arial"/>
          <w:sz w:val="24"/>
          <w:szCs w:val="24"/>
        </w:rPr>
      </w:pPr>
    </w:p>
    <w:p w14:paraId="6E34BC1A" w14:textId="77777777" w:rsidR="00050C37" w:rsidRDefault="00050C37" w:rsidP="0020171D">
      <w:pPr>
        <w:tabs>
          <w:tab w:val="left" w:pos="864"/>
          <w:tab w:val="right" w:pos="5184"/>
          <w:tab w:val="right" w:pos="6624"/>
          <w:tab w:val="right" w:pos="8640"/>
          <w:tab w:val="right" w:pos="10080"/>
        </w:tabs>
        <w:jc w:val="both"/>
        <w:rPr>
          <w:rFonts w:ascii="Arial" w:hAnsi="Arial"/>
          <w:sz w:val="24"/>
          <w:szCs w:val="24"/>
        </w:rPr>
      </w:pPr>
    </w:p>
    <w:p w14:paraId="78211D6A" w14:textId="77777777" w:rsidR="00050C37" w:rsidRDefault="00050C37" w:rsidP="0020171D">
      <w:pPr>
        <w:tabs>
          <w:tab w:val="left" w:pos="864"/>
          <w:tab w:val="right" w:pos="5184"/>
          <w:tab w:val="right" w:pos="6624"/>
          <w:tab w:val="right" w:pos="8640"/>
          <w:tab w:val="right" w:pos="10080"/>
        </w:tabs>
        <w:jc w:val="both"/>
        <w:rPr>
          <w:rFonts w:ascii="Arial" w:hAnsi="Arial"/>
          <w:sz w:val="24"/>
          <w:szCs w:val="24"/>
        </w:rPr>
      </w:pPr>
    </w:p>
    <w:p w14:paraId="297261F9" w14:textId="77777777" w:rsidR="00050C37" w:rsidRDefault="00050C37" w:rsidP="0020171D">
      <w:pPr>
        <w:tabs>
          <w:tab w:val="left" w:pos="864"/>
          <w:tab w:val="right" w:pos="5184"/>
          <w:tab w:val="right" w:pos="6624"/>
          <w:tab w:val="right" w:pos="8640"/>
          <w:tab w:val="right" w:pos="10080"/>
        </w:tabs>
        <w:jc w:val="both"/>
        <w:rPr>
          <w:rFonts w:ascii="Arial" w:hAnsi="Arial"/>
          <w:sz w:val="24"/>
          <w:szCs w:val="24"/>
        </w:rPr>
      </w:pPr>
    </w:p>
    <w:p w14:paraId="242547AE" w14:textId="77777777" w:rsidR="005A068B" w:rsidRDefault="000073FA" w:rsidP="0020171D">
      <w:pPr>
        <w:tabs>
          <w:tab w:val="left" w:pos="864"/>
          <w:tab w:val="right" w:pos="5184"/>
          <w:tab w:val="right" w:pos="6624"/>
          <w:tab w:val="right" w:pos="8640"/>
          <w:tab w:val="right" w:pos="10080"/>
        </w:tabs>
        <w:jc w:val="both"/>
        <w:rPr>
          <w:rFonts w:ascii="Arial" w:hAnsi="Arial"/>
          <w:b/>
          <w:sz w:val="24"/>
          <w:szCs w:val="24"/>
        </w:rPr>
      </w:pPr>
      <w:r w:rsidRPr="000338A0">
        <w:rPr>
          <w:rFonts w:ascii="Arial" w:hAnsi="Arial"/>
          <w:b/>
          <w:sz w:val="24"/>
          <w:szCs w:val="24"/>
        </w:rPr>
        <w:t>Interest Rate Risk</w:t>
      </w:r>
    </w:p>
    <w:p w14:paraId="453B96DB" w14:textId="77777777" w:rsidR="000338A0" w:rsidRPr="000338A0" w:rsidRDefault="000338A0" w:rsidP="0020171D">
      <w:pPr>
        <w:tabs>
          <w:tab w:val="left" w:pos="864"/>
          <w:tab w:val="right" w:pos="5184"/>
          <w:tab w:val="right" w:pos="6624"/>
          <w:tab w:val="right" w:pos="8640"/>
          <w:tab w:val="right" w:pos="10080"/>
        </w:tabs>
        <w:jc w:val="both"/>
        <w:rPr>
          <w:rFonts w:ascii="Arial" w:hAnsi="Arial"/>
          <w:b/>
          <w:sz w:val="24"/>
          <w:szCs w:val="24"/>
        </w:rPr>
      </w:pPr>
    </w:p>
    <w:p w14:paraId="1A1735B0" w14:textId="77777777" w:rsidR="000073FA" w:rsidRDefault="000073FA" w:rsidP="0020171D">
      <w:pPr>
        <w:tabs>
          <w:tab w:val="left" w:pos="864"/>
          <w:tab w:val="right" w:pos="5184"/>
          <w:tab w:val="right" w:pos="6624"/>
          <w:tab w:val="right" w:pos="8640"/>
          <w:tab w:val="right" w:pos="10080"/>
        </w:tabs>
        <w:jc w:val="both"/>
        <w:rPr>
          <w:rFonts w:ascii="Arial" w:hAnsi="Arial"/>
          <w:sz w:val="24"/>
          <w:szCs w:val="24"/>
        </w:rPr>
      </w:pPr>
      <w:r>
        <w:rPr>
          <w:rFonts w:ascii="Arial" w:hAnsi="Arial"/>
          <w:sz w:val="24"/>
          <w:szCs w:val="24"/>
        </w:rPr>
        <w:t>The Fund invests in financial assets for the primary purpose of obtaining a return on investments. These investments are subject to interest rate risks, which represents the risk that the fair value or future cash flows of a financial instrument will fluctuate because of changes in market interest rates.</w:t>
      </w:r>
    </w:p>
    <w:p w14:paraId="07736A85" w14:textId="77777777" w:rsidR="000073FA" w:rsidRDefault="000073FA" w:rsidP="0020171D">
      <w:pPr>
        <w:tabs>
          <w:tab w:val="left" w:pos="864"/>
          <w:tab w:val="right" w:pos="5184"/>
          <w:tab w:val="right" w:pos="6624"/>
          <w:tab w:val="right" w:pos="8640"/>
          <w:tab w:val="right" w:pos="10080"/>
        </w:tabs>
        <w:jc w:val="both"/>
        <w:rPr>
          <w:rFonts w:ascii="Arial" w:hAnsi="Arial"/>
          <w:sz w:val="24"/>
          <w:szCs w:val="24"/>
        </w:rPr>
      </w:pPr>
    </w:p>
    <w:p w14:paraId="71CA3207" w14:textId="77777777" w:rsidR="00A86458" w:rsidRDefault="000073FA" w:rsidP="0020171D">
      <w:pPr>
        <w:tabs>
          <w:tab w:val="left" w:pos="864"/>
          <w:tab w:val="right" w:pos="5184"/>
          <w:tab w:val="right" w:pos="6624"/>
          <w:tab w:val="right" w:pos="8640"/>
          <w:tab w:val="right" w:pos="10080"/>
        </w:tabs>
        <w:jc w:val="both"/>
        <w:rPr>
          <w:rFonts w:ascii="Arial" w:hAnsi="Arial"/>
          <w:sz w:val="24"/>
          <w:szCs w:val="24"/>
        </w:rPr>
      </w:pPr>
      <w:r>
        <w:rPr>
          <w:rFonts w:ascii="Arial" w:hAnsi="Arial"/>
          <w:sz w:val="24"/>
          <w:szCs w:val="24"/>
        </w:rPr>
        <w:t>The Actuary, as part of their triennial valuation and dictated by the Funding Strategy Statement, will only anticipate long-term return on a relatively prudent basis to reduce risk of under-performing. Progress is analysed at three yearly valuations for all employers.</w:t>
      </w:r>
    </w:p>
    <w:p w14:paraId="74EE1BD8" w14:textId="77777777" w:rsidR="00116900" w:rsidRDefault="00116900" w:rsidP="005E4F16">
      <w:pPr>
        <w:tabs>
          <w:tab w:val="left" w:pos="864"/>
          <w:tab w:val="right" w:pos="5184"/>
          <w:tab w:val="right" w:pos="6624"/>
          <w:tab w:val="right" w:pos="8640"/>
          <w:tab w:val="right" w:pos="10080"/>
        </w:tabs>
        <w:jc w:val="both"/>
        <w:rPr>
          <w:rFonts w:ascii="Arial" w:hAnsi="Arial"/>
          <w:b/>
          <w:sz w:val="24"/>
          <w:szCs w:val="24"/>
        </w:rPr>
      </w:pPr>
    </w:p>
    <w:p w14:paraId="6DAF1D7C" w14:textId="77777777" w:rsidR="00116900" w:rsidRDefault="00116900" w:rsidP="005E4F16">
      <w:pPr>
        <w:tabs>
          <w:tab w:val="left" w:pos="864"/>
          <w:tab w:val="right" w:pos="5184"/>
          <w:tab w:val="right" w:pos="6624"/>
          <w:tab w:val="right" w:pos="8640"/>
          <w:tab w:val="right" w:pos="10080"/>
        </w:tabs>
        <w:jc w:val="both"/>
        <w:rPr>
          <w:rFonts w:ascii="Arial" w:hAnsi="Arial"/>
          <w:b/>
          <w:sz w:val="24"/>
          <w:szCs w:val="24"/>
        </w:rPr>
      </w:pPr>
    </w:p>
    <w:p w14:paraId="720B0D2A" w14:textId="77777777" w:rsidR="009768DC" w:rsidRPr="004F0CD8" w:rsidRDefault="009768DC" w:rsidP="005E4F16">
      <w:pPr>
        <w:tabs>
          <w:tab w:val="left" w:pos="864"/>
          <w:tab w:val="right" w:pos="5184"/>
          <w:tab w:val="right" w:pos="6624"/>
          <w:tab w:val="right" w:pos="8640"/>
          <w:tab w:val="right" w:pos="10080"/>
        </w:tabs>
        <w:jc w:val="both"/>
        <w:rPr>
          <w:rFonts w:ascii="Arial" w:hAnsi="Arial"/>
          <w:b/>
          <w:sz w:val="24"/>
          <w:szCs w:val="24"/>
        </w:rPr>
      </w:pPr>
      <w:r w:rsidRPr="004F0CD8">
        <w:rPr>
          <w:rFonts w:ascii="Arial" w:hAnsi="Arial"/>
          <w:b/>
          <w:sz w:val="24"/>
          <w:szCs w:val="24"/>
        </w:rPr>
        <w:t xml:space="preserve">24. Events </w:t>
      </w:r>
      <w:r w:rsidR="004F0CD8" w:rsidRPr="004F0CD8">
        <w:rPr>
          <w:rFonts w:ascii="Arial" w:hAnsi="Arial"/>
          <w:b/>
          <w:sz w:val="24"/>
          <w:szCs w:val="24"/>
        </w:rPr>
        <w:t>After the Balance Sheet Date</w:t>
      </w:r>
    </w:p>
    <w:p w14:paraId="2D04EC7C" w14:textId="77777777" w:rsidR="004F0CD8" w:rsidRDefault="004F0CD8" w:rsidP="005E4F16">
      <w:pPr>
        <w:tabs>
          <w:tab w:val="left" w:pos="864"/>
          <w:tab w:val="right" w:pos="5184"/>
          <w:tab w:val="right" w:pos="6624"/>
          <w:tab w:val="right" w:pos="8640"/>
          <w:tab w:val="right" w:pos="10080"/>
        </w:tabs>
        <w:jc w:val="both"/>
        <w:rPr>
          <w:rFonts w:ascii="Arial" w:hAnsi="Arial"/>
          <w:sz w:val="24"/>
          <w:szCs w:val="24"/>
        </w:rPr>
      </w:pPr>
    </w:p>
    <w:p w14:paraId="30F11E00" w14:textId="77777777" w:rsidR="009768DC" w:rsidRDefault="004F0CD8" w:rsidP="005E4F16">
      <w:pPr>
        <w:tabs>
          <w:tab w:val="left" w:pos="864"/>
          <w:tab w:val="right" w:pos="5184"/>
          <w:tab w:val="right" w:pos="6624"/>
          <w:tab w:val="right" w:pos="8640"/>
          <w:tab w:val="right" w:pos="10080"/>
        </w:tabs>
        <w:jc w:val="both"/>
        <w:rPr>
          <w:rFonts w:ascii="Arial" w:hAnsi="Arial"/>
          <w:sz w:val="24"/>
          <w:szCs w:val="24"/>
        </w:rPr>
      </w:pPr>
      <w:r>
        <w:rPr>
          <w:rFonts w:ascii="Arial" w:hAnsi="Arial"/>
          <w:sz w:val="24"/>
          <w:szCs w:val="24"/>
        </w:rPr>
        <w:t>Events after the balance sheet date are those events both favourable and unfavourable, that occur between the end of the reporting period and the date when the Statement of Accounts is authorised for issue. Two types of events can be identified :</w:t>
      </w:r>
    </w:p>
    <w:p w14:paraId="2D18AE62" w14:textId="77777777" w:rsidR="004F0CD8" w:rsidRDefault="004F0CD8" w:rsidP="005E4F16">
      <w:pPr>
        <w:tabs>
          <w:tab w:val="left" w:pos="864"/>
          <w:tab w:val="right" w:pos="5184"/>
          <w:tab w:val="right" w:pos="6624"/>
          <w:tab w:val="right" w:pos="8640"/>
          <w:tab w:val="right" w:pos="10080"/>
        </w:tabs>
        <w:jc w:val="both"/>
        <w:rPr>
          <w:rFonts w:ascii="Arial" w:hAnsi="Arial"/>
          <w:sz w:val="24"/>
          <w:szCs w:val="24"/>
        </w:rPr>
      </w:pPr>
    </w:p>
    <w:p w14:paraId="26E6AAE9" w14:textId="77777777" w:rsidR="004F0CD8" w:rsidRDefault="004F0CD8" w:rsidP="005E4F16">
      <w:pPr>
        <w:tabs>
          <w:tab w:val="left" w:pos="864"/>
          <w:tab w:val="right" w:pos="5184"/>
          <w:tab w:val="right" w:pos="6624"/>
          <w:tab w:val="right" w:pos="8640"/>
          <w:tab w:val="right" w:pos="10080"/>
        </w:tabs>
        <w:jc w:val="both"/>
        <w:rPr>
          <w:rFonts w:ascii="Arial" w:hAnsi="Arial"/>
          <w:sz w:val="24"/>
          <w:szCs w:val="24"/>
        </w:rPr>
      </w:pPr>
      <w:r>
        <w:rPr>
          <w:rFonts w:ascii="Arial" w:hAnsi="Arial"/>
          <w:sz w:val="24"/>
          <w:szCs w:val="24"/>
        </w:rPr>
        <w:t>- those that provide evidence of conditions that existed at the end of the reporting period</w:t>
      </w:r>
      <w:r w:rsidR="00236395">
        <w:rPr>
          <w:rFonts w:ascii="Arial" w:hAnsi="Arial"/>
          <w:sz w:val="24"/>
          <w:szCs w:val="24"/>
        </w:rPr>
        <w:t>,</w:t>
      </w:r>
      <w:r>
        <w:rPr>
          <w:rFonts w:ascii="Arial" w:hAnsi="Arial"/>
          <w:sz w:val="24"/>
          <w:szCs w:val="24"/>
        </w:rPr>
        <w:t xml:space="preserve"> the Statement of Accounts is adjusted to reflect such events.</w:t>
      </w:r>
    </w:p>
    <w:p w14:paraId="7A378728" w14:textId="77777777" w:rsidR="004F0CD8" w:rsidRDefault="004F0CD8" w:rsidP="005E4F16">
      <w:pPr>
        <w:tabs>
          <w:tab w:val="left" w:pos="864"/>
          <w:tab w:val="right" w:pos="5184"/>
          <w:tab w:val="right" w:pos="6624"/>
          <w:tab w:val="right" w:pos="8640"/>
          <w:tab w:val="right" w:pos="10080"/>
        </w:tabs>
        <w:jc w:val="both"/>
        <w:rPr>
          <w:rFonts w:ascii="Arial" w:hAnsi="Arial"/>
          <w:sz w:val="24"/>
          <w:szCs w:val="24"/>
        </w:rPr>
      </w:pPr>
    </w:p>
    <w:p w14:paraId="3F48F38E" w14:textId="77777777" w:rsidR="004F0CD8" w:rsidRDefault="004F0CD8" w:rsidP="005E4F16">
      <w:pPr>
        <w:tabs>
          <w:tab w:val="left" w:pos="864"/>
          <w:tab w:val="right" w:pos="5184"/>
          <w:tab w:val="right" w:pos="6624"/>
          <w:tab w:val="right" w:pos="8640"/>
          <w:tab w:val="right" w:pos="10080"/>
        </w:tabs>
        <w:jc w:val="both"/>
        <w:rPr>
          <w:rFonts w:ascii="Arial" w:hAnsi="Arial"/>
          <w:sz w:val="24"/>
          <w:szCs w:val="24"/>
        </w:rPr>
      </w:pPr>
      <w:r>
        <w:rPr>
          <w:rFonts w:ascii="Arial" w:hAnsi="Arial"/>
          <w:sz w:val="24"/>
          <w:szCs w:val="24"/>
        </w:rPr>
        <w:t>- those that are indicative of conditions that arose after the reporting period – the Statement of Accounts is not adjusted to reflect such events, but where a category of events would have a material effect, disclosure is made in the notes of the nature of those events and their estimated financial effect.</w:t>
      </w:r>
    </w:p>
    <w:p w14:paraId="6CB46952" w14:textId="77777777" w:rsidR="004F0CD8" w:rsidRDefault="004F0CD8" w:rsidP="005E4F16">
      <w:pPr>
        <w:tabs>
          <w:tab w:val="left" w:pos="864"/>
          <w:tab w:val="right" w:pos="5184"/>
          <w:tab w:val="right" w:pos="6624"/>
          <w:tab w:val="right" w:pos="8640"/>
          <w:tab w:val="right" w:pos="10080"/>
        </w:tabs>
        <w:jc w:val="both"/>
        <w:rPr>
          <w:rFonts w:ascii="Arial" w:hAnsi="Arial"/>
          <w:sz w:val="24"/>
          <w:szCs w:val="24"/>
        </w:rPr>
      </w:pPr>
    </w:p>
    <w:p w14:paraId="60396DB7" w14:textId="77777777" w:rsidR="00CF5700" w:rsidRDefault="00CF5700" w:rsidP="005E4F16">
      <w:pPr>
        <w:tabs>
          <w:tab w:val="left" w:pos="864"/>
          <w:tab w:val="right" w:pos="5184"/>
          <w:tab w:val="right" w:pos="6624"/>
          <w:tab w:val="right" w:pos="8640"/>
          <w:tab w:val="right" w:pos="10080"/>
        </w:tabs>
        <w:jc w:val="both"/>
        <w:rPr>
          <w:rFonts w:ascii="Arial" w:hAnsi="Arial"/>
          <w:sz w:val="24"/>
          <w:szCs w:val="24"/>
        </w:rPr>
      </w:pPr>
      <w:r w:rsidRPr="00D66A79">
        <w:rPr>
          <w:rFonts w:ascii="Arial" w:hAnsi="Arial"/>
          <w:sz w:val="24"/>
          <w:szCs w:val="24"/>
        </w:rPr>
        <w:t>There are no known events that have a material impact on these accounts.</w:t>
      </w:r>
    </w:p>
    <w:p w14:paraId="1632FA4C" w14:textId="77777777" w:rsidR="00CA0369" w:rsidRPr="00CA0369" w:rsidRDefault="00CA0369" w:rsidP="00CA0369">
      <w:pPr>
        <w:tabs>
          <w:tab w:val="left" w:pos="864"/>
          <w:tab w:val="right" w:pos="5184"/>
          <w:tab w:val="right" w:pos="6624"/>
          <w:tab w:val="right" w:pos="8640"/>
          <w:tab w:val="right" w:pos="10080"/>
        </w:tabs>
        <w:jc w:val="both"/>
        <w:rPr>
          <w:rFonts w:ascii="Arial" w:hAnsi="Arial"/>
          <w:sz w:val="24"/>
          <w:szCs w:val="24"/>
        </w:rPr>
      </w:pPr>
    </w:p>
    <w:p w14:paraId="3CB8EFE7" w14:textId="77777777" w:rsidR="00116900" w:rsidRPr="00C974AE" w:rsidRDefault="00116900" w:rsidP="005E4F16">
      <w:pPr>
        <w:tabs>
          <w:tab w:val="left" w:pos="864"/>
          <w:tab w:val="right" w:pos="5184"/>
          <w:tab w:val="right" w:pos="6624"/>
          <w:tab w:val="right" w:pos="8640"/>
          <w:tab w:val="right" w:pos="10080"/>
        </w:tabs>
        <w:jc w:val="both"/>
        <w:rPr>
          <w:rFonts w:ascii="Arial" w:hAnsi="Arial"/>
          <w:b/>
          <w:sz w:val="24"/>
          <w:szCs w:val="24"/>
        </w:rPr>
      </w:pPr>
      <w:r w:rsidRPr="00C974AE">
        <w:rPr>
          <w:rFonts w:ascii="Arial" w:hAnsi="Arial"/>
          <w:b/>
          <w:sz w:val="24"/>
          <w:szCs w:val="24"/>
        </w:rPr>
        <w:t>25. Covid 19</w:t>
      </w:r>
    </w:p>
    <w:p w14:paraId="1DD856E6" w14:textId="77777777" w:rsidR="00116900" w:rsidRPr="00C974AE" w:rsidRDefault="00116900" w:rsidP="005E4F16">
      <w:pPr>
        <w:tabs>
          <w:tab w:val="left" w:pos="864"/>
          <w:tab w:val="right" w:pos="5184"/>
          <w:tab w:val="right" w:pos="6624"/>
          <w:tab w:val="right" w:pos="8640"/>
          <w:tab w:val="right" w:pos="10080"/>
        </w:tabs>
        <w:jc w:val="both"/>
        <w:rPr>
          <w:rFonts w:ascii="Arial" w:hAnsi="Arial"/>
          <w:b/>
          <w:sz w:val="24"/>
          <w:szCs w:val="24"/>
        </w:rPr>
      </w:pPr>
    </w:p>
    <w:p w14:paraId="0F8A7133" w14:textId="77777777" w:rsidR="00116900" w:rsidRPr="00C974AE" w:rsidRDefault="00116900" w:rsidP="005E4F16">
      <w:pPr>
        <w:tabs>
          <w:tab w:val="left" w:pos="864"/>
          <w:tab w:val="right" w:pos="5184"/>
          <w:tab w:val="right" w:pos="6624"/>
          <w:tab w:val="right" w:pos="8640"/>
          <w:tab w:val="right" w:pos="10080"/>
        </w:tabs>
        <w:jc w:val="both"/>
        <w:rPr>
          <w:rFonts w:ascii="Arial" w:hAnsi="Arial"/>
          <w:sz w:val="24"/>
          <w:szCs w:val="24"/>
        </w:rPr>
      </w:pPr>
      <w:r w:rsidRPr="00C974AE">
        <w:rPr>
          <w:rFonts w:ascii="Arial" w:hAnsi="Arial"/>
          <w:sz w:val="24"/>
          <w:szCs w:val="24"/>
        </w:rPr>
        <w:t>As the Covid pandemic started its global spread early in 2020, global financial markets reflected the impending risks, with resultant material falls in valuations of most asset classes in February and March 2020</w:t>
      </w:r>
      <w:r w:rsidR="00CA0369" w:rsidRPr="00C974AE">
        <w:rPr>
          <w:rFonts w:ascii="Arial" w:hAnsi="Arial"/>
          <w:sz w:val="24"/>
          <w:szCs w:val="24"/>
        </w:rPr>
        <w:t>, however since that time markets have bounced back very strongly with record LGP</w:t>
      </w:r>
      <w:r w:rsidR="00CA0369" w:rsidRPr="00D25B64">
        <w:rPr>
          <w:rFonts w:ascii="Arial" w:hAnsi="Arial"/>
          <w:sz w:val="24"/>
          <w:szCs w:val="24"/>
        </w:rPr>
        <w:t>S returns in 2020/21</w:t>
      </w:r>
      <w:r w:rsidR="00D25B64" w:rsidRPr="00D25B64">
        <w:rPr>
          <w:rFonts w:ascii="Arial" w:hAnsi="Arial"/>
          <w:sz w:val="24"/>
          <w:szCs w:val="24"/>
        </w:rPr>
        <w:t xml:space="preserve">, </w:t>
      </w:r>
      <w:r w:rsidR="00D25B64" w:rsidRPr="00D25B64">
        <w:rPr>
          <w:rFonts w:ascii="Arial" w:hAnsi="Arial" w:cs="Arial"/>
          <w:sz w:val="24"/>
          <w:szCs w:val="24"/>
        </w:rPr>
        <w:t>which continued for most of 2021/22, with the fund producing another strong positive year.</w:t>
      </w:r>
    </w:p>
    <w:p w14:paraId="4D257B7B" w14:textId="77777777" w:rsidR="00116900" w:rsidRPr="00C974AE" w:rsidRDefault="00116900" w:rsidP="005E4F16">
      <w:pPr>
        <w:tabs>
          <w:tab w:val="left" w:pos="864"/>
          <w:tab w:val="right" w:pos="5184"/>
          <w:tab w:val="right" w:pos="6624"/>
          <w:tab w:val="right" w:pos="8640"/>
          <w:tab w:val="right" w:pos="10080"/>
        </w:tabs>
        <w:jc w:val="both"/>
        <w:rPr>
          <w:rFonts w:ascii="Arial" w:hAnsi="Arial"/>
          <w:sz w:val="24"/>
          <w:szCs w:val="24"/>
        </w:rPr>
      </w:pPr>
    </w:p>
    <w:p w14:paraId="31FF023D" w14:textId="77777777" w:rsidR="00116900" w:rsidRPr="00C974AE" w:rsidRDefault="00116900" w:rsidP="005E4F16">
      <w:pPr>
        <w:tabs>
          <w:tab w:val="left" w:pos="864"/>
          <w:tab w:val="right" w:pos="5184"/>
          <w:tab w:val="right" w:pos="6624"/>
          <w:tab w:val="right" w:pos="8640"/>
          <w:tab w:val="right" w:pos="10080"/>
        </w:tabs>
        <w:jc w:val="both"/>
        <w:rPr>
          <w:rFonts w:ascii="Arial" w:hAnsi="Arial"/>
          <w:sz w:val="24"/>
          <w:szCs w:val="24"/>
        </w:rPr>
      </w:pPr>
      <w:r w:rsidRPr="00C974AE">
        <w:rPr>
          <w:rFonts w:ascii="Arial" w:hAnsi="Arial"/>
          <w:sz w:val="24"/>
          <w:szCs w:val="24"/>
        </w:rPr>
        <w:t>LGPS defined benefit pensions are not linked to stock market performance and are set out in statute. Although short term investment values may vary, the LGPS as a long term investor is securely managed to address any longer term impacts.</w:t>
      </w:r>
    </w:p>
    <w:p w14:paraId="1F05AEDC" w14:textId="77777777" w:rsidR="00116900" w:rsidRPr="00C974AE" w:rsidRDefault="00116900" w:rsidP="005E4F16">
      <w:pPr>
        <w:tabs>
          <w:tab w:val="left" w:pos="864"/>
          <w:tab w:val="right" w:pos="5184"/>
          <w:tab w:val="right" w:pos="6624"/>
          <w:tab w:val="right" w:pos="8640"/>
          <w:tab w:val="right" w:pos="10080"/>
        </w:tabs>
        <w:jc w:val="both"/>
        <w:rPr>
          <w:rFonts w:ascii="Arial" w:hAnsi="Arial"/>
          <w:sz w:val="24"/>
          <w:szCs w:val="24"/>
        </w:rPr>
      </w:pPr>
    </w:p>
    <w:p w14:paraId="3811F973" w14:textId="77777777" w:rsidR="00116900" w:rsidRPr="00C974AE" w:rsidRDefault="00116900" w:rsidP="005E4F16">
      <w:pPr>
        <w:tabs>
          <w:tab w:val="left" w:pos="864"/>
          <w:tab w:val="right" w:pos="5184"/>
          <w:tab w:val="right" w:pos="6624"/>
          <w:tab w:val="right" w:pos="8640"/>
          <w:tab w:val="right" w:pos="10080"/>
        </w:tabs>
        <w:jc w:val="both"/>
        <w:rPr>
          <w:rFonts w:ascii="Arial" w:hAnsi="Arial"/>
          <w:sz w:val="24"/>
          <w:szCs w:val="24"/>
        </w:rPr>
      </w:pPr>
      <w:r w:rsidRPr="00C974AE">
        <w:rPr>
          <w:rFonts w:ascii="Arial" w:hAnsi="Arial"/>
          <w:sz w:val="24"/>
          <w:szCs w:val="24"/>
        </w:rPr>
        <w:t>LGPS Scheme members can therefore be reassured that both their contributions and their pensions, whether in payment or build up to date, will be unaffected.</w:t>
      </w:r>
    </w:p>
    <w:p w14:paraId="249B8E37" w14:textId="77777777" w:rsidR="00116900" w:rsidRPr="00C974AE" w:rsidRDefault="00116900" w:rsidP="005E4F16">
      <w:pPr>
        <w:tabs>
          <w:tab w:val="left" w:pos="864"/>
          <w:tab w:val="right" w:pos="5184"/>
          <w:tab w:val="right" w:pos="6624"/>
          <w:tab w:val="right" w:pos="8640"/>
          <w:tab w:val="right" w:pos="10080"/>
        </w:tabs>
        <w:jc w:val="both"/>
        <w:rPr>
          <w:rFonts w:ascii="Arial" w:hAnsi="Arial"/>
          <w:sz w:val="24"/>
          <w:szCs w:val="24"/>
        </w:rPr>
      </w:pPr>
    </w:p>
    <w:p w14:paraId="7EAB9ADC" w14:textId="77777777" w:rsidR="00116900" w:rsidRPr="00C974AE" w:rsidRDefault="00116900" w:rsidP="005E4F16">
      <w:pPr>
        <w:tabs>
          <w:tab w:val="left" w:pos="864"/>
          <w:tab w:val="right" w:pos="5184"/>
          <w:tab w:val="right" w:pos="6624"/>
          <w:tab w:val="right" w:pos="8640"/>
          <w:tab w:val="right" w:pos="10080"/>
        </w:tabs>
        <w:jc w:val="both"/>
        <w:rPr>
          <w:rFonts w:ascii="Arial" w:hAnsi="Arial"/>
          <w:sz w:val="24"/>
          <w:szCs w:val="24"/>
        </w:rPr>
      </w:pPr>
      <w:r w:rsidRPr="00C974AE">
        <w:rPr>
          <w:rFonts w:ascii="Arial" w:hAnsi="Arial"/>
          <w:sz w:val="24"/>
          <w:szCs w:val="24"/>
        </w:rPr>
        <w:t>The lockdown imposed by HM Government on 23</w:t>
      </w:r>
      <w:r w:rsidRPr="00C974AE">
        <w:rPr>
          <w:rFonts w:ascii="Arial" w:hAnsi="Arial"/>
          <w:sz w:val="24"/>
          <w:szCs w:val="24"/>
          <w:vertAlign w:val="superscript"/>
        </w:rPr>
        <w:t>rd</w:t>
      </w:r>
      <w:r w:rsidRPr="00C974AE">
        <w:rPr>
          <w:rFonts w:ascii="Arial" w:hAnsi="Arial"/>
          <w:sz w:val="24"/>
          <w:szCs w:val="24"/>
        </w:rPr>
        <w:t xml:space="preserve"> March 2020, presented operational hurdles for LGPS Administration Authorities, however, with the implementation of contingency planning, </w:t>
      </w:r>
      <w:r w:rsidRPr="00C974AE">
        <w:rPr>
          <w:rFonts w:ascii="Arial" w:hAnsi="Arial"/>
          <w:sz w:val="24"/>
          <w:szCs w:val="24"/>
        </w:rPr>
        <w:lastRenderedPageBreak/>
        <w:t>leveraging the use of technology, flexible working and professionalism and goodwill of staff, norm</w:t>
      </w:r>
      <w:r w:rsidRPr="00D25B64">
        <w:rPr>
          <w:rFonts w:ascii="Arial" w:hAnsi="Arial"/>
          <w:sz w:val="24"/>
          <w:szCs w:val="24"/>
        </w:rPr>
        <w:t>al business has been maintained. The payment of members’ pensions and the processing of pensioners/joiners has been prioritised and maintained throughout this period</w:t>
      </w:r>
      <w:r w:rsidR="00D25B64" w:rsidRPr="00D25B64">
        <w:rPr>
          <w:rFonts w:ascii="Arial" w:hAnsi="Arial"/>
          <w:sz w:val="24"/>
          <w:szCs w:val="24"/>
        </w:rPr>
        <w:t xml:space="preserve"> </w:t>
      </w:r>
      <w:r w:rsidR="00D25B64" w:rsidRPr="00D25B64">
        <w:rPr>
          <w:rFonts w:ascii="Arial" w:hAnsi="Arial" w:cs="Arial"/>
          <w:sz w:val="24"/>
          <w:szCs w:val="24"/>
        </w:rPr>
        <w:t>and has been maintained since</w:t>
      </w:r>
      <w:r w:rsidRPr="00D25B64">
        <w:rPr>
          <w:rFonts w:ascii="Arial" w:hAnsi="Arial"/>
          <w:sz w:val="24"/>
          <w:szCs w:val="24"/>
        </w:rPr>
        <w:t>.</w:t>
      </w:r>
    </w:p>
    <w:p w14:paraId="1860E3AF" w14:textId="77777777" w:rsidR="00ED625C" w:rsidRPr="00DD7868" w:rsidRDefault="00ED625C" w:rsidP="005E4F16">
      <w:pPr>
        <w:tabs>
          <w:tab w:val="left" w:pos="864"/>
          <w:tab w:val="right" w:pos="5184"/>
          <w:tab w:val="right" w:pos="6624"/>
          <w:tab w:val="right" w:pos="8640"/>
          <w:tab w:val="right" w:pos="10080"/>
        </w:tabs>
        <w:jc w:val="both"/>
        <w:rPr>
          <w:rFonts w:ascii="Arial" w:hAnsi="Arial"/>
          <w:sz w:val="24"/>
          <w:szCs w:val="24"/>
          <w:highlight w:val="yellow"/>
        </w:rPr>
      </w:pPr>
    </w:p>
    <w:p w14:paraId="580B6A7E" w14:textId="77777777" w:rsidR="00ED625C" w:rsidRPr="00C974AE" w:rsidRDefault="00ED625C" w:rsidP="005E4F16">
      <w:pPr>
        <w:tabs>
          <w:tab w:val="left" w:pos="864"/>
          <w:tab w:val="right" w:pos="5184"/>
          <w:tab w:val="right" w:pos="6624"/>
          <w:tab w:val="right" w:pos="8640"/>
          <w:tab w:val="right" w:pos="10080"/>
        </w:tabs>
        <w:jc w:val="both"/>
        <w:rPr>
          <w:rFonts w:ascii="Arial" w:hAnsi="Arial"/>
          <w:sz w:val="24"/>
          <w:szCs w:val="24"/>
        </w:rPr>
      </w:pPr>
      <w:r w:rsidRPr="00C974AE">
        <w:rPr>
          <w:rFonts w:ascii="Arial" w:hAnsi="Arial"/>
          <w:sz w:val="24"/>
          <w:szCs w:val="24"/>
        </w:rPr>
        <w:t>Employer/employee</w:t>
      </w:r>
      <w:r w:rsidR="004566C7" w:rsidRPr="00C974AE">
        <w:rPr>
          <w:rFonts w:ascii="Arial" w:hAnsi="Arial"/>
          <w:sz w:val="24"/>
          <w:szCs w:val="24"/>
        </w:rPr>
        <w:t xml:space="preserve"> </w:t>
      </w:r>
      <w:r w:rsidRPr="00C974AE">
        <w:rPr>
          <w:rFonts w:ascii="Arial" w:hAnsi="Arial"/>
          <w:sz w:val="24"/>
          <w:szCs w:val="24"/>
        </w:rPr>
        <w:t>contributions have not been affected during this period and the Administration Authority continues to liaise with employers to manage any cash</w:t>
      </w:r>
      <w:r w:rsidR="00BE26CA" w:rsidRPr="00C974AE">
        <w:rPr>
          <w:rFonts w:ascii="Arial" w:hAnsi="Arial"/>
          <w:sz w:val="24"/>
          <w:szCs w:val="24"/>
        </w:rPr>
        <w:t xml:space="preserve"> </w:t>
      </w:r>
      <w:r w:rsidRPr="00C974AE">
        <w:rPr>
          <w:rFonts w:ascii="Arial" w:hAnsi="Arial"/>
          <w:sz w:val="24"/>
          <w:szCs w:val="24"/>
        </w:rPr>
        <w:t xml:space="preserve">flow </w:t>
      </w:r>
      <w:r w:rsidR="004566C7" w:rsidRPr="00C974AE">
        <w:rPr>
          <w:rFonts w:ascii="Arial" w:hAnsi="Arial"/>
          <w:sz w:val="24"/>
          <w:szCs w:val="24"/>
        </w:rPr>
        <w:t>issues which may arise</w:t>
      </w:r>
      <w:r w:rsidR="00CA0369" w:rsidRPr="00C974AE">
        <w:rPr>
          <w:rFonts w:ascii="Arial" w:hAnsi="Arial"/>
          <w:sz w:val="24"/>
          <w:szCs w:val="24"/>
        </w:rPr>
        <w:t>.</w:t>
      </w:r>
    </w:p>
    <w:p w14:paraId="49014D46" w14:textId="77777777" w:rsidR="007D2CAF" w:rsidRPr="00C974AE" w:rsidRDefault="007D2CAF" w:rsidP="005E4F16">
      <w:pPr>
        <w:tabs>
          <w:tab w:val="left" w:pos="864"/>
          <w:tab w:val="right" w:pos="5184"/>
          <w:tab w:val="right" w:pos="6624"/>
          <w:tab w:val="right" w:pos="8640"/>
          <w:tab w:val="right" w:pos="10080"/>
        </w:tabs>
        <w:jc w:val="both"/>
        <w:rPr>
          <w:rFonts w:ascii="Arial" w:hAnsi="Arial"/>
          <w:sz w:val="24"/>
          <w:szCs w:val="24"/>
        </w:rPr>
      </w:pPr>
    </w:p>
    <w:p w14:paraId="51FE46AD" w14:textId="77777777" w:rsidR="00CF5700" w:rsidRPr="00C974AE" w:rsidRDefault="00CF5700" w:rsidP="00CF5700">
      <w:pPr>
        <w:tabs>
          <w:tab w:val="left" w:pos="864"/>
          <w:tab w:val="right" w:pos="5184"/>
          <w:tab w:val="right" w:pos="6624"/>
          <w:tab w:val="right" w:pos="8640"/>
          <w:tab w:val="right" w:pos="10080"/>
        </w:tabs>
        <w:jc w:val="both"/>
        <w:rPr>
          <w:rFonts w:ascii="Arial" w:hAnsi="Arial"/>
          <w:b/>
          <w:sz w:val="24"/>
          <w:szCs w:val="24"/>
        </w:rPr>
      </w:pPr>
      <w:r w:rsidRPr="00C974AE">
        <w:rPr>
          <w:rFonts w:ascii="Arial" w:hAnsi="Arial"/>
          <w:b/>
          <w:sz w:val="24"/>
          <w:szCs w:val="24"/>
        </w:rPr>
        <w:t>26. Cost Management Process and McCloud Judgement</w:t>
      </w:r>
    </w:p>
    <w:p w14:paraId="22EA494B" w14:textId="77777777" w:rsidR="00CF5700" w:rsidRPr="00C974AE" w:rsidRDefault="00CF5700" w:rsidP="00CF5700">
      <w:pPr>
        <w:tabs>
          <w:tab w:val="left" w:pos="864"/>
          <w:tab w:val="right" w:pos="5184"/>
          <w:tab w:val="right" w:pos="6624"/>
          <w:tab w:val="right" w:pos="8640"/>
          <w:tab w:val="right" w:pos="10080"/>
        </w:tabs>
        <w:jc w:val="both"/>
        <w:rPr>
          <w:rFonts w:ascii="Arial" w:hAnsi="Arial"/>
          <w:b/>
          <w:sz w:val="24"/>
          <w:szCs w:val="24"/>
        </w:rPr>
      </w:pPr>
    </w:p>
    <w:p w14:paraId="110A920C" w14:textId="77777777" w:rsidR="00CF5700" w:rsidRPr="00C974AE" w:rsidRDefault="00CF5700" w:rsidP="00CF5700">
      <w:pPr>
        <w:shd w:val="clear" w:color="auto" w:fill="FFFFFF"/>
        <w:spacing w:after="120"/>
        <w:jc w:val="both"/>
        <w:rPr>
          <w:rFonts w:ascii="Arial" w:hAnsi="Arial" w:cs="Arial"/>
          <w:sz w:val="24"/>
          <w:szCs w:val="24"/>
        </w:rPr>
      </w:pPr>
      <w:r w:rsidRPr="00C974AE">
        <w:rPr>
          <w:rFonts w:ascii="Arial" w:hAnsi="Arial" w:cs="Arial"/>
          <w:sz w:val="24"/>
          <w:szCs w:val="24"/>
        </w:rPr>
        <w:t>Initial results from the Scheme Advisory Board 2016 cost management process indicated that benefit improvements / member contribution reductions equivalent to 0.9% of pay would be required. However, the cost management process was paused following the Court of Appeal ruling that the transitional arrangements in both the Judges' Pension Scheme (McCloud) and Firefighters' Pension Scheme (Sargeant) constituted illegal age discrimination. Government confirmed that the judgement would be treated as applying to all public service schemes including the LGPS (where the transitional arrangements were in the form of a final salary underpin) and a consultation on changes to the LGPS was issued in July 2020.</w:t>
      </w:r>
    </w:p>
    <w:p w14:paraId="5D919AFE" w14:textId="77777777" w:rsidR="00CF5700" w:rsidRPr="00CA0369" w:rsidRDefault="00CF5700" w:rsidP="00CF5700">
      <w:pPr>
        <w:shd w:val="clear" w:color="auto" w:fill="FFFFFF"/>
        <w:spacing w:after="120"/>
        <w:jc w:val="both"/>
        <w:rPr>
          <w:rFonts w:ascii="Arial" w:hAnsi="Arial" w:cs="Arial"/>
          <w:sz w:val="24"/>
          <w:szCs w:val="24"/>
        </w:rPr>
      </w:pPr>
      <w:r w:rsidRPr="00C974AE">
        <w:rPr>
          <w:rFonts w:ascii="Arial" w:hAnsi="Arial" w:cs="Arial"/>
          <w:sz w:val="24"/>
          <w:szCs w:val="24"/>
        </w:rPr>
        <w:t>The employer contributions certified from 1 April 2020 as part of the 2019 valuation include an allowance of 1.5% of pay in relation to the potential additional costs of the McCloud judgement / cost management process. This was a simplified approach which didn't take account of different employer membership profiles or funding targets and may be more or less than the assessed cost once the final details of the LGPS changes arising from the 2016 cost management process have been agree</w:t>
      </w:r>
      <w:r w:rsidRPr="009C2E78">
        <w:rPr>
          <w:rFonts w:ascii="Arial" w:hAnsi="Arial" w:cs="Arial"/>
          <w:sz w:val="24"/>
          <w:szCs w:val="24"/>
        </w:rPr>
        <w:t>d.</w:t>
      </w:r>
    </w:p>
    <w:p w14:paraId="35F3EACD" w14:textId="77777777" w:rsidR="009768DC" w:rsidRDefault="009768DC" w:rsidP="005E4F16">
      <w:pPr>
        <w:tabs>
          <w:tab w:val="left" w:pos="864"/>
          <w:tab w:val="right" w:pos="5184"/>
          <w:tab w:val="right" w:pos="6624"/>
          <w:tab w:val="right" w:pos="8640"/>
          <w:tab w:val="right" w:pos="10080"/>
        </w:tabs>
        <w:jc w:val="both"/>
        <w:rPr>
          <w:rFonts w:ascii="Arial" w:hAnsi="Arial"/>
          <w:sz w:val="24"/>
          <w:szCs w:val="24"/>
        </w:rPr>
      </w:pPr>
    </w:p>
    <w:p w14:paraId="69837CDB" w14:textId="77777777" w:rsidR="000F2197" w:rsidRDefault="002E24C5" w:rsidP="000338A0">
      <w:pPr>
        <w:tabs>
          <w:tab w:val="left" w:pos="864"/>
          <w:tab w:val="right" w:pos="5184"/>
          <w:tab w:val="right" w:pos="6624"/>
          <w:tab w:val="right" w:pos="8640"/>
          <w:tab w:val="right" w:pos="10080"/>
        </w:tabs>
        <w:rPr>
          <w:rFonts w:ascii="Arial" w:hAnsi="Arial"/>
          <w:sz w:val="24"/>
          <w:szCs w:val="24"/>
        </w:rPr>
      </w:pPr>
      <w:r w:rsidRPr="006A1541">
        <w:rPr>
          <w:rFonts w:ascii="Arial" w:hAnsi="Arial"/>
          <w:b/>
          <w:sz w:val="24"/>
          <w:szCs w:val="24"/>
        </w:rPr>
        <w:t>2</w:t>
      </w:r>
      <w:r w:rsidR="00CF5700">
        <w:rPr>
          <w:rFonts w:ascii="Arial" w:hAnsi="Arial"/>
          <w:b/>
          <w:sz w:val="24"/>
          <w:szCs w:val="24"/>
        </w:rPr>
        <w:t>7</w:t>
      </w:r>
      <w:r w:rsidRPr="006A1541">
        <w:rPr>
          <w:rFonts w:ascii="Arial" w:hAnsi="Arial"/>
          <w:b/>
          <w:sz w:val="24"/>
          <w:szCs w:val="24"/>
        </w:rPr>
        <w:t>.</w:t>
      </w:r>
      <w:r w:rsidR="000F2197">
        <w:rPr>
          <w:rFonts w:ascii="Arial" w:hAnsi="Arial"/>
          <w:b/>
          <w:sz w:val="24"/>
          <w:szCs w:val="24"/>
        </w:rPr>
        <w:t xml:space="preserve"> </w:t>
      </w:r>
      <w:r w:rsidR="00AF67AB">
        <w:rPr>
          <w:rFonts w:ascii="Arial" w:hAnsi="Arial"/>
          <w:b/>
          <w:sz w:val="24"/>
          <w:szCs w:val="24"/>
        </w:rPr>
        <w:t>Further Information</w:t>
      </w:r>
      <w:r w:rsidRPr="002E24C5">
        <w:rPr>
          <w:rFonts w:ascii="Arial" w:hAnsi="Arial"/>
          <w:sz w:val="24"/>
          <w:szCs w:val="24"/>
        </w:rPr>
        <w:tab/>
      </w:r>
    </w:p>
    <w:p w14:paraId="7459DB36" w14:textId="77777777" w:rsidR="000F2197" w:rsidRDefault="000F2197" w:rsidP="000338A0">
      <w:pPr>
        <w:tabs>
          <w:tab w:val="left" w:pos="864"/>
          <w:tab w:val="right" w:pos="5184"/>
          <w:tab w:val="right" w:pos="6624"/>
          <w:tab w:val="right" w:pos="8640"/>
          <w:tab w:val="right" w:pos="10080"/>
        </w:tabs>
        <w:rPr>
          <w:rFonts w:ascii="Arial" w:hAnsi="Arial"/>
          <w:sz w:val="24"/>
          <w:szCs w:val="24"/>
        </w:rPr>
      </w:pPr>
    </w:p>
    <w:p w14:paraId="363B97E9" w14:textId="77777777" w:rsidR="007A4D46" w:rsidRDefault="007A4D46" w:rsidP="007A4D46">
      <w:pPr>
        <w:tabs>
          <w:tab w:val="left" w:pos="864"/>
          <w:tab w:val="right" w:pos="5184"/>
          <w:tab w:val="right" w:pos="6624"/>
          <w:tab w:val="right" w:pos="8640"/>
          <w:tab w:val="right" w:pos="10080"/>
        </w:tabs>
        <w:rPr>
          <w:rFonts w:ascii="Arial" w:hAnsi="Arial"/>
          <w:sz w:val="24"/>
          <w:szCs w:val="24"/>
        </w:rPr>
      </w:pPr>
      <w:r>
        <w:rPr>
          <w:rFonts w:ascii="Arial" w:hAnsi="Arial"/>
          <w:sz w:val="24"/>
          <w:szCs w:val="24"/>
        </w:rPr>
        <w:t>Further information about the fund can be found in the attached appendices. Information can also be obtained from the Deputy Chief Finance Officer, Room 1.4.1, Civic Centre,</w:t>
      </w:r>
      <w:r w:rsidRPr="002E24C5">
        <w:rPr>
          <w:rFonts w:ascii="Arial" w:hAnsi="Arial"/>
          <w:sz w:val="24"/>
          <w:szCs w:val="24"/>
        </w:rPr>
        <w:t xml:space="preserve"> </w:t>
      </w:r>
      <w:r>
        <w:rPr>
          <w:rFonts w:ascii="Arial" w:hAnsi="Arial"/>
          <w:sz w:val="24"/>
          <w:szCs w:val="24"/>
        </w:rPr>
        <w:t xml:space="preserve">Oystermouth Road, </w:t>
      </w:r>
      <w:r w:rsidRPr="002E24C5">
        <w:rPr>
          <w:rFonts w:ascii="Arial" w:hAnsi="Arial"/>
          <w:sz w:val="24"/>
          <w:szCs w:val="24"/>
        </w:rPr>
        <w:t xml:space="preserve">Swansea SA1 </w:t>
      </w:r>
      <w:r>
        <w:rPr>
          <w:rFonts w:ascii="Arial" w:hAnsi="Arial"/>
          <w:sz w:val="24"/>
          <w:szCs w:val="24"/>
        </w:rPr>
        <w:t xml:space="preserve">3SN or on </w:t>
      </w:r>
      <w:hyperlink r:id="rId46" w:history="1">
        <w:r w:rsidRPr="00CE3F80">
          <w:rPr>
            <w:rStyle w:val="Hyperlink"/>
            <w:rFonts w:ascii="Arial" w:hAnsi="Arial"/>
            <w:sz w:val="24"/>
            <w:szCs w:val="24"/>
          </w:rPr>
          <w:t>www.swanseapensionfund.org.uk</w:t>
        </w:r>
      </w:hyperlink>
      <w:r>
        <w:rPr>
          <w:rFonts w:ascii="Arial" w:hAnsi="Arial"/>
          <w:sz w:val="24"/>
          <w:szCs w:val="24"/>
        </w:rPr>
        <w:t>.</w:t>
      </w:r>
    </w:p>
    <w:p w14:paraId="273F91B3" w14:textId="77777777" w:rsidR="007A4D46" w:rsidRDefault="007A4D46" w:rsidP="007A4D46">
      <w:pPr>
        <w:tabs>
          <w:tab w:val="left" w:pos="864"/>
          <w:tab w:val="right" w:pos="5184"/>
          <w:tab w:val="right" w:pos="6624"/>
          <w:tab w:val="right" w:pos="8640"/>
          <w:tab w:val="right" w:pos="10080"/>
        </w:tabs>
        <w:rPr>
          <w:rFonts w:ascii="Arial" w:hAnsi="Arial"/>
          <w:sz w:val="24"/>
          <w:szCs w:val="24"/>
        </w:rPr>
      </w:pPr>
    </w:p>
    <w:p w14:paraId="4CC54184" w14:textId="77777777" w:rsidR="00AF67AB" w:rsidRPr="00AF67AB" w:rsidRDefault="00AF67AB" w:rsidP="000338A0">
      <w:pPr>
        <w:tabs>
          <w:tab w:val="left" w:pos="864"/>
          <w:tab w:val="right" w:pos="5184"/>
          <w:tab w:val="right" w:pos="6624"/>
          <w:tab w:val="right" w:pos="8640"/>
          <w:tab w:val="right" w:pos="10080"/>
        </w:tabs>
        <w:rPr>
          <w:rFonts w:ascii="Arial" w:hAnsi="Arial"/>
          <w:b/>
          <w:sz w:val="24"/>
          <w:szCs w:val="24"/>
        </w:rPr>
      </w:pPr>
      <w:r w:rsidRPr="00AF67AB">
        <w:rPr>
          <w:rFonts w:ascii="Arial" w:hAnsi="Arial"/>
          <w:b/>
          <w:sz w:val="24"/>
          <w:szCs w:val="24"/>
        </w:rPr>
        <w:t>2</w:t>
      </w:r>
      <w:r w:rsidR="00CF5700">
        <w:rPr>
          <w:rFonts w:ascii="Arial" w:hAnsi="Arial"/>
          <w:b/>
          <w:sz w:val="24"/>
          <w:szCs w:val="24"/>
        </w:rPr>
        <w:t>8</w:t>
      </w:r>
      <w:r w:rsidRPr="00AF67AB">
        <w:rPr>
          <w:rFonts w:ascii="Arial" w:hAnsi="Arial"/>
          <w:b/>
          <w:sz w:val="24"/>
          <w:szCs w:val="24"/>
        </w:rPr>
        <w:t>. Financial Position</w:t>
      </w:r>
    </w:p>
    <w:p w14:paraId="466F355A" w14:textId="77777777" w:rsidR="00F0162E" w:rsidRDefault="00F0162E" w:rsidP="000338A0">
      <w:pPr>
        <w:tabs>
          <w:tab w:val="left" w:pos="864"/>
          <w:tab w:val="right" w:pos="5184"/>
          <w:tab w:val="right" w:pos="6624"/>
          <w:tab w:val="right" w:pos="8640"/>
          <w:tab w:val="right" w:pos="10080"/>
        </w:tabs>
        <w:rPr>
          <w:rFonts w:ascii="Arial" w:hAnsi="Arial"/>
          <w:b/>
          <w:sz w:val="24"/>
          <w:szCs w:val="24"/>
        </w:rPr>
      </w:pPr>
    </w:p>
    <w:p w14:paraId="335E93B7" w14:textId="77777777" w:rsidR="00AF67AB" w:rsidRPr="00AF67AB" w:rsidRDefault="00AF67AB" w:rsidP="000338A0">
      <w:pPr>
        <w:tabs>
          <w:tab w:val="left" w:pos="864"/>
          <w:tab w:val="right" w:pos="5184"/>
          <w:tab w:val="right" w:pos="6624"/>
          <w:tab w:val="right" w:pos="8640"/>
          <w:tab w:val="right" w:pos="10080"/>
        </w:tabs>
        <w:rPr>
          <w:rFonts w:ascii="Arial" w:hAnsi="Arial"/>
          <w:b/>
          <w:sz w:val="24"/>
          <w:szCs w:val="24"/>
        </w:rPr>
      </w:pPr>
      <w:r w:rsidRPr="002E24C5">
        <w:rPr>
          <w:rFonts w:ascii="Arial" w:hAnsi="Arial"/>
          <w:sz w:val="24"/>
          <w:szCs w:val="24"/>
        </w:rPr>
        <w:t xml:space="preserve">The accounts outlined within the statement represent the financial position of the City and County of Swansea’s Pension Fund at 31 March </w:t>
      </w:r>
      <w:r w:rsidR="00DD7868">
        <w:rPr>
          <w:rFonts w:ascii="Arial" w:hAnsi="Arial"/>
          <w:sz w:val="24"/>
          <w:szCs w:val="24"/>
        </w:rPr>
        <w:t>2022.</w:t>
      </w:r>
    </w:p>
    <w:p w14:paraId="4E559B09" w14:textId="77777777" w:rsidR="00F0162E" w:rsidRDefault="00F0162E" w:rsidP="000338A0">
      <w:pPr>
        <w:tabs>
          <w:tab w:val="left" w:pos="864"/>
          <w:tab w:val="right" w:pos="5184"/>
          <w:tab w:val="right" w:pos="6624"/>
          <w:tab w:val="right" w:pos="8640"/>
          <w:tab w:val="right" w:pos="10080"/>
        </w:tabs>
        <w:rPr>
          <w:rFonts w:ascii="Arial" w:hAnsi="Arial"/>
          <w:sz w:val="24"/>
          <w:szCs w:val="24"/>
        </w:rPr>
      </w:pPr>
    </w:p>
    <w:p w14:paraId="45299404" w14:textId="77777777" w:rsidR="00047CAC" w:rsidRDefault="00047CAC" w:rsidP="000338A0">
      <w:pPr>
        <w:tabs>
          <w:tab w:val="left" w:pos="864"/>
          <w:tab w:val="right" w:pos="5184"/>
          <w:tab w:val="right" w:pos="6624"/>
          <w:tab w:val="right" w:pos="8640"/>
          <w:tab w:val="right" w:pos="10080"/>
        </w:tabs>
        <w:rPr>
          <w:rFonts w:ascii="Arial" w:hAnsi="Arial"/>
          <w:sz w:val="24"/>
          <w:szCs w:val="24"/>
        </w:rPr>
      </w:pPr>
    </w:p>
    <w:p w14:paraId="67203EEF" w14:textId="77777777" w:rsidR="00F0162E" w:rsidRDefault="00F0162E" w:rsidP="000338A0">
      <w:pPr>
        <w:tabs>
          <w:tab w:val="left" w:pos="864"/>
          <w:tab w:val="right" w:pos="5184"/>
          <w:tab w:val="right" w:pos="6624"/>
          <w:tab w:val="right" w:pos="8640"/>
          <w:tab w:val="right" w:pos="10080"/>
        </w:tabs>
        <w:rPr>
          <w:rFonts w:ascii="Arial" w:hAnsi="Arial"/>
          <w:sz w:val="24"/>
          <w:szCs w:val="24"/>
        </w:rPr>
      </w:pPr>
    </w:p>
    <w:p w14:paraId="5B1B3CBA" w14:textId="77777777" w:rsidR="002E24C5" w:rsidRDefault="002E24C5"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sz w:val="24"/>
          <w:szCs w:val="24"/>
        </w:rPr>
      </w:pPr>
    </w:p>
    <w:p w14:paraId="3EF5869C" w14:textId="77777777" w:rsidR="00EB08F1" w:rsidRDefault="00EB08F1"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sz w:val="24"/>
          <w:szCs w:val="24"/>
        </w:rPr>
      </w:pPr>
    </w:p>
    <w:p w14:paraId="6C39DCBF" w14:textId="77777777" w:rsidR="00D66A79" w:rsidRDefault="00D66A79"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sz w:val="24"/>
          <w:szCs w:val="24"/>
        </w:rPr>
      </w:pPr>
    </w:p>
    <w:p w14:paraId="02D66F92" w14:textId="77777777" w:rsidR="00D66A79" w:rsidRDefault="00D66A79"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sz w:val="24"/>
          <w:szCs w:val="24"/>
        </w:rPr>
      </w:pPr>
    </w:p>
    <w:p w14:paraId="7782E1F8" w14:textId="77777777" w:rsidR="00D66A79" w:rsidRDefault="00D66A79"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sz w:val="24"/>
          <w:szCs w:val="24"/>
        </w:rPr>
      </w:pPr>
    </w:p>
    <w:p w14:paraId="7323CE32" w14:textId="77777777" w:rsidR="007D2CAF" w:rsidRDefault="007D2CAF"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sz w:val="24"/>
          <w:szCs w:val="24"/>
        </w:rPr>
      </w:pPr>
    </w:p>
    <w:p w14:paraId="3FAA42AF" w14:textId="77777777" w:rsidR="00DD7868" w:rsidRDefault="00DD7868"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sz w:val="24"/>
          <w:szCs w:val="24"/>
        </w:rPr>
      </w:pPr>
    </w:p>
    <w:p w14:paraId="01CD0A6C" w14:textId="77777777" w:rsidR="00DD7868" w:rsidRDefault="00DD7868"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sz w:val="24"/>
          <w:szCs w:val="24"/>
        </w:rPr>
      </w:pPr>
    </w:p>
    <w:p w14:paraId="3215725B" w14:textId="77777777" w:rsidR="00DD7868" w:rsidRDefault="00DD7868"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sz w:val="24"/>
          <w:szCs w:val="24"/>
        </w:rPr>
      </w:pPr>
    </w:p>
    <w:p w14:paraId="7BD0CB79" w14:textId="77777777" w:rsidR="00DD7868" w:rsidRDefault="00DD7868"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sz w:val="24"/>
          <w:szCs w:val="24"/>
        </w:rPr>
      </w:pPr>
    </w:p>
    <w:p w14:paraId="141ADD91" w14:textId="77777777" w:rsidR="007D2CAF" w:rsidRDefault="007D2CAF"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sz w:val="24"/>
          <w:szCs w:val="24"/>
        </w:rPr>
      </w:pPr>
    </w:p>
    <w:p w14:paraId="65B2B9D9" w14:textId="77777777" w:rsidR="004566C7" w:rsidRDefault="004566C7"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sz w:val="24"/>
          <w:szCs w:val="24"/>
        </w:rPr>
      </w:pPr>
    </w:p>
    <w:tbl>
      <w:tblPr>
        <w:tblW w:w="10975" w:type="dxa"/>
        <w:tblInd w:w="93" w:type="dxa"/>
        <w:tblLook w:val="04A0" w:firstRow="1" w:lastRow="0" w:firstColumn="1" w:lastColumn="0" w:noHBand="0" w:noVBand="1"/>
      </w:tblPr>
      <w:tblGrid>
        <w:gridCol w:w="5514"/>
        <w:gridCol w:w="1895"/>
        <w:gridCol w:w="2084"/>
        <w:gridCol w:w="1482"/>
      </w:tblGrid>
      <w:tr w:rsidR="00835D4F" w:rsidRPr="00835D4F" w14:paraId="45AC1AF3" w14:textId="77777777" w:rsidTr="008530D9">
        <w:trPr>
          <w:trHeight w:val="304"/>
        </w:trPr>
        <w:tc>
          <w:tcPr>
            <w:tcW w:w="9493" w:type="dxa"/>
            <w:gridSpan w:val="3"/>
            <w:tcBorders>
              <w:top w:val="nil"/>
              <w:left w:val="nil"/>
              <w:bottom w:val="nil"/>
              <w:right w:val="nil"/>
            </w:tcBorders>
            <w:shd w:val="clear" w:color="auto" w:fill="auto"/>
            <w:noWrap/>
            <w:vAlign w:val="center"/>
            <w:hideMark/>
          </w:tcPr>
          <w:p w14:paraId="1490A030" w14:textId="77777777" w:rsidR="00835D4F" w:rsidRPr="00835D4F" w:rsidRDefault="00835D4F" w:rsidP="00835D4F">
            <w:pPr>
              <w:jc w:val="center"/>
              <w:rPr>
                <w:rFonts w:ascii="Arial" w:hAnsi="Arial" w:cs="Arial"/>
                <w:b/>
                <w:bCs/>
                <w:color w:val="000000"/>
                <w:sz w:val="24"/>
                <w:szCs w:val="24"/>
              </w:rPr>
            </w:pPr>
            <w:r w:rsidRPr="00835D4F">
              <w:rPr>
                <w:rFonts w:ascii="Arial" w:hAnsi="Arial" w:cs="Arial"/>
                <w:b/>
                <w:bCs/>
                <w:color w:val="000000"/>
                <w:sz w:val="24"/>
                <w:szCs w:val="24"/>
              </w:rPr>
              <w:t xml:space="preserve">                      PART C</w:t>
            </w:r>
          </w:p>
          <w:p w14:paraId="0B5E0990" w14:textId="77777777" w:rsidR="00835D4F" w:rsidRDefault="00835D4F" w:rsidP="00835D4F">
            <w:pPr>
              <w:jc w:val="center"/>
              <w:rPr>
                <w:rFonts w:ascii="Arial" w:hAnsi="Arial" w:cs="Arial"/>
                <w:b/>
                <w:bCs/>
                <w:color w:val="000000"/>
                <w:sz w:val="24"/>
                <w:szCs w:val="24"/>
              </w:rPr>
            </w:pPr>
            <w:r w:rsidRPr="00835D4F">
              <w:rPr>
                <w:rFonts w:ascii="Arial" w:hAnsi="Arial" w:cs="Arial"/>
                <w:b/>
                <w:bCs/>
                <w:color w:val="000000"/>
                <w:sz w:val="24"/>
                <w:szCs w:val="24"/>
              </w:rPr>
              <w:t xml:space="preserve">                      INVESTMENT REPORT</w:t>
            </w:r>
          </w:p>
          <w:p w14:paraId="31A18EAA" w14:textId="77777777" w:rsidR="00835D4F" w:rsidRPr="00835D4F" w:rsidRDefault="00835D4F" w:rsidP="00835D4F">
            <w:pPr>
              <w:jc w:val="center"/>
              <w:rPr>
                <w:rFonts w:ascii="Arial" w:hAnsi="Arial" w:cs="Arial"/>
                <w:b/>
                <w:bCs/>
                <w:color w:val="000000"/>
                <w:sz w:val="24"/>
                <w:szCs w:val="24"/>
              </w:rPr>
            </w:pPr>
          </w:p>
          <w:tbl>
            <w:tblPr>
              <w:tblW w:w="9265" w:type="dxa"/>
              <w:tblInd w:w="5" w:type="dxa"/>
              <w:tblLook w:val="04A0" w:firstRow="1" w:lastRow="0" w:firstColumn="1" w:lastColumn="0" w:noHBand="0" w:noVBand="1"/>
            </w:tblPr>
            <w:tblGrid>
              <w:gridCol w:w="3718"/>
              <w:gridCol w:w="1120"/>
              <w:gridCol w:w="279"/>
              <w:gridCol w:w="1109"/>
              <w:gridCol w:w="279"/>
              <w:gridCol w:w="1380"/>
              <w:gridCol w:w="1380"/>
            </w:tblGrid>
            <w:tr w:rsidR="003F3E04" w:rsidRPr="003F3E04" w14:paraId="00982CAD" w14:textId="77777777" w:rsidTr="008530D9">
              <w:trPr>
                <w:trHeight w:val="243"/>
              </w:trPr>
              <w:tc>
                <w:tcPr>
                  <w:tcW w:w="6226" w:type="dxa"/>
                  <w:gridSpan w:val="4"/>
                  <w:tcBorders>
                    <w:top w:val="nil"/>
                    <w:left w:val="nil"/>
                    <w:bottom w:val="nil"/>
                    <w:right w:val="nil"/>
                  </w:tcBorders>
                  <w:shd w:val="clear" w:color="000000" w:fill="FFFFFF"/>
                  <w:noWrap/>
                  <w:vAlign w:val="center"/>
                  <w:hideMark/>
                </w:tcPr>
                <w:p w14:paraId="1DEACFD3" w14:textId="77777777" w:rsidR="003F3E04" w:rsidRPr="003F3E04" w:rsidRDefault="003F3E04" w:rsidP="003F3E04">
                  <w:pPr>
                    <w:jc w:val="both"/>
                    <w:rPr>
                      <w:rFonts w:ascii="Arial" w:hAnsi="Arial" w:cs="Arial"/>
                      <w:b/>
                      <w:bCs/>
                      <w:color w:val="000000"/>
                      <w:sz w:val="18"/>
                      <w:szCs w:val="18"/>
                      <w:lang w:eastAsia="en-GB"/>
                    </w:rPr>
                  </w:pPr>
                  <w:bookmarkStart w:id="4" w:name="RANGE!A1:G49"/>
                  <w:r w:rsidRPr="003F3E04">
                    <w:rPr>
                      <w:rFonts w:ascii="Arial" w:hAnsi="Arial" w:cs="Arial"/>
                      <w:b/>
                      <w:bCs/>
                      <w:color w:val="000000"/>
                      <w:sz w:val="18"/>
                      <w:szCs w:val="18"/>
                      <w:lang w:eastAsia="en-GB"/>
                    </w:rPr>
                    <w:t>Pension Fund – Budget 2022/23</w:t>
                  </w:r>
                  <w:bookmarkEnd w:id="4"/>
                </w:p>
              </w:tc>
              <w:tc>
                <w:tcPr>
                  <w:tcW w:w="279" w:type="dxa"/>
                  <w:tcBorders>
                    <w:top w:val="nil"/>
                    <w:left w:val="nil"/>
                    <w:bottom w:val="nil"/>
                    <w:right w:val="nil"/>
                  </w:tcBorders>
                  <w:shd w:val="clear" w:color="000000" w:fill="FFFFFF"/>
                  <w:noWrap/>
                  <w:vAlign w:val="bottom"/>
                  <w:hideMark/>
                </w:tcPr>
                <w:p w14:paraId="543390BE"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5944A09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center"/>
                  <w:hideMark/>
                </w:tcPr>
                <w:p w14:paraId="38D28DD6"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69F9D705" w14:textId="77777777" w:rsidTr="008530D9">
              <w:trPr>
                <w:trHeight w:val="486"/>
              </w:trPr>
              <w:tc>
                <w:tcPr>
                  <w:tcW w:w="3718" w:type="dxa"/>
                  <w:tcBorders>
                    <w:top w:val="nil"/>
                    <w:left w:val="nil"/>
                    <w:bottom w:val="nil"/>
                    <w:right w:val="nil"/>
                  </w:tcBorders>
                  <w:shd w:val="clear" w:color="000000" w:fill="FFFFFF"/>
                  <w:noWrap/>
                  <w:vAlign w:val="center"/>
                  <w:hideMark/>
                </w:tcPr>
                <w:p w14:paraId="68F6ABD5"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120" w:type="dxa"/>
                  <w:tcBorders>
                    <w:top w:val="nil"/>
                    <w:left w:val="nil"/>
                    <w:bottom w:val="nil"/>
                    <w:right w:val="nil"/>
                  </w:tcBorders>
                  <w:shd w:val="clear" w:color="000000" w:fill="FFFFFF"/>
                  <w:vAlign w:val="center"/>
                  <w:hideMark/>
                </w:tcPr>
                <w:p w14:paraId="5A2AF30E"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Actual 2020/21</w:t>
                  </w:r>
                </w:p>
              </w:tc>
              <w:tc>
                <w:tcPr>
                  <w:tcW w:w="279" w:type="dxa"/>
                  <w:tcBorders>
                    <w:top w:val="nil"/>
                    <w:left w:val="nil"/>
                    <w:bottom w:val="nil"/>
                    <w:right w:val="nil"/>
                  </w:tcBorders>
                  <w:shd w:val="clear" w:color="000000" w:fill="FFFFFF"/>
                  <w:vAlign w:val="center"/>
                  <w:hideMark/>
                </w:tcPr>
                <w:p w14:paraId="3CBB3BE0"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108" w:type="dxa"/>
                  <w:tcBorders>
                    <w:top w:val="nil"/>
                    <w:left w:val="nil"/>
                    <w:bottom w:val="nil"/>
                    <w:right w:val="nil"/>
                  </w:tcBorders>
                  <w:shd w:val="clear" w:color="000000" w:fill="FFFFFF"/>
                  <w:vAlign w:val="center"/>
                  <w:hideMark/>
                </w:tcPr>
                <w:p w14:paraId="75F4C767"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Actual        2021/22</w:t>
                  </w:r>
                </w:p>
              </w:tc>
              <w:tc>
                <w:tcPr>
                  <w:tcW w:w="279" w:type="dxa"/>
                  <w:tcBorders>
                    <w:top w:val="nil"/>
                    <w:left w:val="nil"/>
                    <w:bottom w:val="nil"/>
                    <w:right w:val="nil"/>
                  </w:tcBorders>
                  <w:shd w:val="clear" w:color="000000" w:fill="FFFFFF"/>
                  <w:vAlign w:val="center"/>
                  <w:hideMark/>
                </w:tcPr>
                <w:p w14:paraId="4A92C21D"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380" w:type="dxa"/>
                  <w:tcBorders>
                    <w:top w:val="nil"/>
                    <w:left w:val="nil"/>
                    <w:bottom w:val="nil"/>
                    <w:right w:val="nil"/>
                  </w:tcBorders>
                  <w:shd w:val="clear" w:color="000000" w:fill="FFFFFF"/>
                  <w:vAlign w:val="center"/>
                  <w:hideMark/>
                </w:tcPr>
                <w:p w14:paraId="7B2DAA93"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Estimate         2022/23</w:t>
                  </w:r>
                </w:p>
              </w:tc>
              <w:tc>
                <w:tcPr>
                  <w:tcW w:w="1380" w:type="dxa"/>
                  <w:tcBorders>
                    <w:top w:val="nil"/>
                    <w:left w:val="nil"/>
                    <w:bottom w:val="nil"/>
                    <w:right w:val="nil"/>
                  </w:tcBorders>
                  <w:shd w:val="clear" w:color="000000" w:fill="FFFFFF"/>
                  <w:noWrap/>
                  <w:vAlign w:val="center"/>
                  <w:hideMark/>
                </w:tcPr>
                <w:p w14:paraId="21F5B3A7"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39E791A9" w14:textId="77777777" w:rsidTr="008530D9">
              <w:trPr>
                <w:trHeight w:val="243"/>
              </w:trPr>
              <w:tc>
                <w:tcPr>
                  <w:tcW w:w="3718" w:type="dxa"/>
                  <w:tcBorders>
                    <w:top w:val="nil"/>
                    <w:left w:val="nil"/>
                    <w:bottom w:val="nil"/>
                    <w:right w:val="nil"/>
                  </w:tcBorders>
                  <w:shd w:val="clear" w:color="000000" w:fill="FFFFFF"/>
                  <w:noWrap/>
                  <w:vAlign w:val="center"/>
                  <w:hideMark/>
                </w:tcPr>
                <w:p w14:paraId="30BAD45A"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Membership Numbers</w:t>
                  </w:r>
                </w:p>
              </w:tc>
              <w:tc>
                <w:tcPr>
                  <w:tcW w:w="1120" w:type="dxa"/>
                  <w:tcBorders>
                    <w:top w:val="nil"/>
                    <w:left w:val="nil"/>
                    <w:bottom w:val="nil"/>
                    <w:right w:val="nil"/>
                  </w:tcBorders>
                  <w:shd w:val="clear" w:color="000000" w:fill="FFFFFF"/>
                  <w:noWrap/>
                  <w:vAlign w:val="center"/>
                  <w:hideMark/>
                </w:tcPr>
                <w:p w14:paraId="0A714C00"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279" w:type="dxa"/>
                  <w:tcBorders>
                    <w:top w:val="nil"/>
                    <w:left w:val="nil"/>
                    <w:bottom w:val="nil"/>
                    <w:right w:val="nil"/>
                  </w:tcBorders>
                  <w:shd w:val="clear" w:color="000000" w:fill="FFFFFF"/>
                  <w:vAlign w:val="center"/>
                  <w:hideMark/>
                </w:tcPr>
                <w:p w14:paraId="377D6488"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608688A6"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279" w:type="dxa"/>
                  <w:tcBorders>
                    <w:top w:val="nil"/>
                    <w:left w:val="nil"/>
                    <w:bottom w:val="nil"/>
                    <w:right w:val="nil"/>
                  </w:tcBorders>
                  <w:shd w:val="clear" w:color="000000" w:fill="FFFFFF"/>
                  <w:vAlign w:val="center"/>
                  <w:hideMark/>
                </w:tcPr>
                <w:p w14:paraId="243540F1"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2A0921F6"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center"/>
                  <w:hideMark/>
                </w:tcPr>
                <w:p w14:paraId="3B68ADFD"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6E045EF7" w14:textId="77777777" w:rsidTr="008530D9">
              <w:trPr>
                <w:trHeight w:val="243"/>
              </w:trPr>
              <w:tc>
                <w:tcPr>
                  <w:tcW w:w="3718" w:type="dxa"/>
                  <w:tcBorders>
                    <w:top w:val="nil"/>
                    <w:left w:val="nil"/>
                    <w:bottom w:val="nil"/>
                    <w:right w:val="nil"/>
                  </w:tcBorders>
                  <w:shd w:val="clear" w:color="000000" w:fill="FFFFFF"/>
                  <w:noWrap/>
                  <w:vAlign w:val="center"/>
                  <w:hideMark/>
                </w:tcPr>
                <w:p w14:paraId="03CBD691"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Contributors</w:t>
                  </w:r>
                </w:p>
              </w:tc>
              <w:tc>
                <w:tcPr>
                  <w:tcW w:w="1120" w:type="dxa"/>
                  <w:tcBorders>
                    <w:top w:val="nil"/>
                    <w:left w:val="nil"/>
                    <w:bottom w:val="nil"/>
                    <w:right w:val="nil"/>
                  </w:tcBorders>
                  <w:shd w:val="clear" w:color="000000" w:fill="FFFFFF"/>
                  <w:noWrap/>
                  <w:vAlign w:val="center"/>
                  <w:hideMark/>
                </w:tcPr>
                <w:p w14:paraId="3DF327CE"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20,388</w:t>
                  </w:r>
                </w:p>
              </w:tc>
              <w:tc>
                <w:tcPr>
                  <w:tcW w:w="279" w:type="dxa"/>
                  <w:tcBorders>
                    <w:top w:val="nil"/>
                    <w:left w:val="nil"/>
                    <w:bottom w:val="nil"/>
                    <w:right w:val="nil"/>
                  </w:tcBorders>
                  <w:shd w:val="clear" w:color="000000" w:fill="FFFFFF"/>
                  <w:vAlign w:val="center"/>
                  <w:hideMark/>
                </w:tcPr>
                <w:p w14:paraId="344AED57"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398004D6"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21,424</w:t>
                  </w:r>
                </w:p>
              </w:tc>
              <w:tc>
                <w:tcPr>
                  <w:tcW w:w="279" w:type="dxa"/>
                  <w:tcBorders>
                    <w:top w:val="nil"/>
                    <w:left w:val="nil"/>
                    <w:bottom w:val="nil"/>
                    <w:right w:val="nil"/>
                  </w:tcBorders>
                  <w:shd w:val="clear" w:color="000000" w:fill="FFFFFF"/>
                  <w:vAlign w:val="center"/>
                  <w:hideMark/>
                </w:tcPr>
                <w:p w14:paraId="7F466499"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4A8E4023" w14:textId="77777777" w:rsidR="003F3E04" w:rsidRPr="003F3E04" w:rsidRDefault="003F3E04" w:rsidP="003F3E04">
                  <w:pPr>
                    <w:jc w:val="right"/>
                    <w:rPr>
                      <w:rFonts w:ascii="Arial" w:hAnsi="Arial" w:cs="Arial"/>
                      <w:sz w:val="18"/>
                      <w:szCs w:val="18"/>
                      <w:lang w:eastAsia="en-GB"/>
                    </w:rPr>
                  </w:pPr>
                  <w:r w:rsidRPr="003F3E04">
                    <w:rPr>
                      <w:rFonts w:ascii="Arial" w:hAnsi="Arial" w:cs="Arial"/>
                      <w:sz w:val="18"/>
                      <w:szCs w:val="18"/>
                      <w:lang w:eastAsia="en-GB"/>
                    </w:rPr>
                    <w:t>21,600</w:t>
                  </w:r>
                </w:p>
              </w:tc>
              <w:tc>
                <w:tcPr>
                  <w:tcW w:w="1380" w:type="dxa"/>
                  <w:tcBorders>
                    <w:top w:val="nil"/>
                    <w:left w:val="nil"/>
                    <w:bottom w:val="nil"/>
                    <w:right w:val="nil"/>
                  </w:tcBorders>
                  <w:shd w:val="clear" w:color="000000" w:fill="FFFFFF"/>
                  <w:noWrap/>
                  <w:vAlign w:val="center"/>
                  <w:hideMark/>
                </w:tcPr>
                <w:p w14:paraId="4E3F509C"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784FD7A4" w14:textId="77777777" w:rsidTr="008530D9">
              <w:trPr>
                <w:trHeight w:val="243"/>
              </w:trPr>
              <w:tc>
                <w:tcPr>
                  <w:tcW w:w="3718" w:type="dxa"/>
                  <w:tcBorders>
                    <w:top w:val="nil"/>
                    <w:left w:val="nil"/>
                    <w:bottom w:val="nil"/>
                    <w:right w:val="nil"/>
                  </w:tcBorders>
                  <w:shd w:val="clear" w:color="000000" w:fill="FFFFFF"/>
                  <w:noWrap/>
                  <w:vAlign w:val="center"/>
                  <w:hideMark/>
                </w:tcPr>
                <w:p w14:paraId="38BC11F5"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Pensioners</w:t>
                  </w:r>
                </w:p>
              </w:tc>
              <w:tc>
                <w:tcPr>
                  <w:tcW w:w="1120" w:type="dxa"/>
                  <w:tcBorders>
                    <w:top w:val="nil"/>
                    <w:left w:val="nil"/>
                    <w:bottom w:val="nil"/>
                    <w:right w:val="nil"/>
                  </w:tcBorders>
                  <w:shd w:val="clear" w:color="000000" w:fill="FFFFFF"/>
                  <w:noWrap/>
                  <w:vAlign w:val="center"/>
                  <w:hideMark/>
                </w:tcPr>
                <w:p w14:paraId="2209B0F5"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13,864</w:t>
                  </w:r>
                </w:p>
              </w:tc>
              <w:tc>
                <w:tcPr>
                  <w:tcW w:w="279" w:type="dxa"/>
                  <w:tcBorders>
                    <w:top w:val="nil"/>
                    <w:left w:val="nil"/>
                    <w:bottom w:val="nil"/>
                    <w:right w:val="nil"/>
                  </w:tcBorders>
                  <w:shd w:val="clear" w:color="000000" w:fill="FFFFFF"/>
                  <w:vAlign w:val="center"/>
                  <w:hideMark/>
                </w:tcPr>
                <w:p w14:paraId="68D66F62"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057BEE47" w14:textId="77777777" w:rsidR="003F3E04" w:rsidRPr="003F3E04" w:rsidRDefault="003F3E04" w:rsidP="003F3E04">
                  <w:pPr>
                    <w:jc w:val="right"/>
                    <w:rPr>
                      <w:rFonts w:ascii="Arial" w:hAnsi="Arial" w:cs="Arial"/>
                      <w:sz w:val="18"/>
                      <w:szCs w:val="18"/>
                      <w:lang w:eastAsia="en-GB"/>
                    </w:rPr>
                  </w:pPr>
                  <w:r w:rsidRPr="003F3E04">
                    <w:rPr>
                      <w:rFonts w:ascii="Arial" w:hAnsi="Arial" w:cs="Arial"/>
                      <w:sz w:val="18"/>
                      <w:szCs w:val="18"/>
                      <w:lang w:eastAsia="en-GB"/>
                    </w:rPr>
                    <w:t>14,294</w:t>
                  </w:r>
                </w:p>
              </w:tc>
              <w:tc>
                <w:tcPr>
                  <w:tcW w:w="279" w:type="dxa"/>
                  <w:tcBorders>
                    <w:top w:val="nil"/>
                    <w:left w:val="nil"/>
                    <w:bottom w:val="nil"/>
                    <w:right w:val="nil"/>
                  </w:tcBorders>
                  <w:shd w:val="clear" w:color="000000" w:fill="FFFFFF"/>
                  <w:vAlign w:val="center"/>
                  <w:hideMark/>
                </w:tcPr>
                <w:p w14:paraId="7E70CDF1"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48998093" w14:textId="77777777" w:rsidR="003F3E04" w:rsidRPr="003F3E04" w:rsidRDefault="003F3E04" w:rsidP="003F3E04">
                  <w:pPr>
                    <w:jc w:val="right"/>
                    <w:rPr>
                      <w:rFonts w:ascii="Arial" w:hAnsi="Arial" w:cs="Arial"/>
                      <w:sz w:val="18"/>
                      <w:szCs w:val="18"/>
                      <w:lang w:eastAsia="en-GB"/>
                    </w:rPr>
                  </w:pPr>
                  <w:r w:rsidRPr="003F3E04">
                    <w:rPr>
                      <w:rFonts w:ascii="Arial" w:hAnsi="Arial" w:cs="Arial"/>
                      <w:sz w:val="18"/>
                      <w:szCs w:val="18"/>
                      <w:lang w:eastAsia="en-GB"/>
                    </w:rPr>
                    <w:t>14,750</w:t>
                  </w:r>
                </w:p>
              </w:tc>
              <w:tc>
                <w:tcPr>
                  <w:tcW w:w="1380" w:type="dxa"/>
                  <w:tcBorders>
                    <w:top w:val="nil"/>
                    <w:left w:val="nil"/>
                    <w:bottom w:val="nil"/>
                    <w:right w:val="nil"/>
                  </w:tcBorders>
                  <w:shd w:val="clear" w:color="000000" w:fill="FFFFFF"/>
                  <w:noWrap/>
                  <w:vAlign w:val="center"/>
                  <w:hideMark/>
                </w:tcPr>
                <w:p w14:paraId="43E66224"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32E4F5CF" w14:textId="77777777" w:rsidTr="008530D9">
              <w:trPr>
                <w:trHeight w:val="243"/>
              </w:trPr>
              <w:tc>
                <w:tcPr>
                  <w:tcW w:w="3718" w:type="dxa"/>
                  <w:tcBorders>
                    <w:top w:val="nil"/>
                    <w:left w:val="nil"/>
                    <w:bottom w:val="nil"/>
                    <w:right w:val="nil"/>
                  </w:tcBorders>
                  <w:shd w:val="clear" w:color="000000" w:fill="FFFFFF"/>
                  <w:noWrap/>
                  <w:vAlign w:val="center"/>
                  <w:hideMark/>
                </w:tcPr>
                <w:p w14:paraId="2A10A33E"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Deferred</w:t>
                  </w:r>
                </w:p>
              </w:tc>
              <w:tc>
                <w:tcPr>
                  <w:tcW w:w="1120" w:type="dxa"/>
                  <w:tcBorders>
                    <w:top w:val="nil"/>
                    <w:left w:val="nil"/>
                    <w:bottom w:val="nil"/>
                    <w:right w:val="nil"/>
                  </w:tcBorders>
                  <w:shd w:val="clear" w:color="000000" w:fill="FFFFFF"/>
                  <w:noWrap/>
                  <w:vAlign w:val="center"/>
                  <w:hideMark/>
                </w:tcPr>
                <w:p w14:paraId="5B535451"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11,829</w:t>
                  </w:r>
                </w:p>
              </w:tc>
              <w:tc>
                <w:tcPr>
                  <w:tcW w:w="279" w:type="dxa"/>
                  <w:tcBorders>
                    <w:top w:val="nil"/>
                    <w:left w:val="nil"/>
                    <w:bottom w:val="nil"/>
                    <w:right w:val="nil"/>
                  </w:tcBorders>
                  <w:shd w:val="clear" w:color="000000" w:fill="FFFFFF"/>
                  <w:vAlign w:val="center"/>
                  <w:hideMark/>
                </w:tcPr>
                <w:p w14:paraId="26D69C9E"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1243102D"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12,263</w:t>
                  </w:r>
                </w:p>
              </w:tc>
              <w:tc>
                <w:tcPr>
                  <w:tcW w:w="279" w:type="dxa"/>
                  <w:tcBorders>
                    <w:top w:val="nil"/>
                    <w:left w:val="nil"/>
                    <w:bottom w:val="nil"/>
                    <w:right w:val="nil"/>
                  </w:tcBorders>
                  <w:shd w:val="clear" w:color="000000" w:fill="FFFFFF"/>
                  <w:vAlign w:val="center"/>
                  <w:hideMark/>
                </w:tcPr>
                <w:p w14:paraId="31D0395C"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1C353BF1" w14:textId="77777777" w:rsidR="003F3E04" w:rsidRPr="003F3E04" w:rsidRDefault="003F3E04" w:rsidP="003F3E04">
                  <w:pPr>
                    <w:jc w:val="right"/>
                    <w:rPr>
                      <w:rFonts w:ascii="Arial" w:hAnsi="Arial" w:cs="Arial"/>
                      <w:sz w:val="18"/>
                      <w:szCs w:val="18"/>
                      <w:lang w:eastAsia="en-GB"/>
                    </w:rPr>
                  </w:pPr>
                  <w:r w:rsidRPr="003F3E04">
                    <w:rPr>
                      <w:rFonts w:ascii="Arial" w:hAnsi="Arial" w:cs="Arial"/>
                      <w:sz w:val="18"/>
                      <w:szCs w:val="18"/>
                      <w:lang w:eastAsia="en-GB"/>
                    </w:rPr>
                    <w:t>12,670</w:t>
                  </w:r>
                </w:p>
              </w:tc>
              <w:tc>
                <w:tcPr>
                  <w:tcW w:w="1380" w:type="dxa"/>
                  <w:tcBorders>
                    <w:top w:val="nil"/>
                    <w:left w:val="nil"/>
                    <w:bottom w:val="nil"/>
                    <w:right w:val="nil"/>
                  </w:tcBorders>
                  <w:shd w:val="clear" w:color="000000" w:fill="FFFFFF"/>
                  <w:noWrap/>
                  <w:vAlign w:val="center"/>
                  <w:hideMark/>
                </w:tcPr>
                <w:p w14:paraId="414944E6"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7C42AAFE" w14:textId="77777777" w:rsidTr="008530D9">
              <w:trPr>
                <w:trHeight w:val="243"/>
              </w:trPr>
              <w:tc>
                <w:tcPr>
                  <w:tcW w:w="3718" w:type="dxa"/>
                  <w:tcBorders>
                    <w:top w:val="nil"/>
                    <w:left w:val="nil"/>
                    <w:bottom w:val="nil"/>
                    <w:right w:val="nil"/>
                  </w:tcBorders>
                  <w:shd w:val="clear" w:color="000000" w:fill="FFFFFF"/>
                  <w:noWrap/>
                  <w:vAlign w:val="center"/>
                  <w:hideMark/>
                </w:tcPr>
                <w:p w14:paraId="14B6E044"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20" w:type="dxa"/>
                  <w:tcBorders>
                    <w:top w:val="single" w:sz="4" w:space="0" w:color="auto"/>
                    <w:left w:val="nil"/>
                    <w:bottom w:val="nil"/>
                    <w:right w:val="nil"/>
                  </w:tcBorders>
                  <w:shd w:val="clear" w:color="000000" w:fill="FFFFFF"/>
                  <w:noWrap/>
                  <w:vAlign w:val="center"/>
                  <w:hideMark/>
                </w:tcPr>
                <w:p w14:paraId="46C650EB"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46,081</w:t>
                  </w:r>
                </w:p>
              </w:tc>
              <w:tc>
                <w:tcPr>
                  <w:tcW w:w="279" w:type="dxa"/>
                  <w:tcBorders>
                    <w:top w:val="nil"/>
                    <w:left w:val="nil"/>
                    <w:bottom w:val="nil"/>
                    <w:right w:val="nil"/>
                  </w:tcBorders>
                  <w:shd w:val="clear" w:color="000000" w:fill="FFFFFF"/>
                  <w:vAlign w:val="center"/>
                  <w:hideMark/>
                </w:tcPr>
                <w:p w14:paraId="411B1466"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108" w:type="dxa"/>
                  <w:tcBorders>
                    <w:top w:val="single" w:sz="4" w:space="0" w:color="auto"/>
                    <w:left w:val="nil"/>
                    <w:bottom w:val="nil"/>
                    <w:right w:val="nil"/>
                  </w:tcBorders>
                  <w:shd w:val="clear" w:color="000000" w:fill="FFFFFF"/>
                  <w:noWrap/>
                  <w:vAlign w:val="center"/>
                  <w:hideMark/>
                </w:tcPr>
                <w:p w14:paraId="46EA5C67"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47,981</w:t>
                  </w:r>
                </w:p>
              </w:tc>
              <w:tc>
                <w:tcPr>
                  <w:tcW w:w="279" w:type="dxa"/>
                  <w:tcBorders>
                    <w:top w:val="nil"/>
                    <w:left w:val="nil"/>
                    <w:bottom w:val="nil"/>
                    <w:right w:val="nil"/>
                  </w:tcBorders>
                  <w:shd w:val="clear" w:color="000000" w:fill="FFFFFF"/>
                  <w:vAlign w:val="center"/>
                  <w:hideMark/>
                </w:tcPr>
                <w:p w14:paraId="27E7C2F8"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380" w:type="dxa"/>
                  <w:tcBorders>
                    <w:top w:val="single" w:sz="4" w:space="0" w:color="auto"/>
                    <w:left w:val="nil"/>
                    <w:bottom w:val="nil"/>
                    <w:right w:val="nil"/>
                  </w:tcBorders>
                  <w:shd w:val="clear" w:color="000000" w:fill="FFFFFF"/>
                  <w:noWrap/>
                  <w:vAlign w:val="center"/>
                  <w:hideMark/>
                </w:tcPr>
                <w:p w14:paraId="012F7EFC"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49,020</w:t>
                  </w:r>
                </w:p>
              </w:tc>
              <w:tc>
                <w:tcPr>
                  <w:tcW w:w="1380" w:type="dxa"/>
                  <w:tcBorders>
                    <w:top w:val="nil"/>
                    <w:left w:val="nil"/>
                    <w:bottom w:val="nil"/>
                    <w:right w:val="nil"/>
                  </w:tcBorders>
                  <w:shd w:val="clear" w:color="000000" w:fill="FFFFFF"/>
                  <w:noWrap/>
                  <w:vAlign w:val="center"/>
                  <w:hideMark/>
                </w:tcPr>
                <w:p w14:paraId="162749B0"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0D5C1082" w14:textId="77777777" w:rsidTr="008530D9">
              <w:trPr>
                <w:trHeight w:val="243"/>
              </w:trPr>
              <w:tc>
                <w:tcPr>
                  <w:tcW w:w="3718" w:type="dxa"/>
                  <w:tcBorders>
                    <w:top w:val="nil"/>
                    <w:left w:val="nil"/>
                    <w:bottom w:val="nil"/>
                    <w:right w:val="nil"/>
                  </w:tcBorders>
                  <w:shd w:val="clear" w:color="000000" w:fill="FFFFFF"/>
                  <w:noWrap/>
                  <w:vAlign w:val="center"/>
                  <w:hideMark/>
                </w:tcPr>
                <w:p w14:paraId="24A6D79C"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20" w:type="dxa"/>
                  <w:tcBorders>
                    <w:top w:val="nil"/>
                    <w:left w:val="nil"/>
                    <w:bottom w:val="nil"/>
                    <w:right w:val="nil"/>
                  </w:tcBorders>
                  <w:shd w:val="clear" w:color="000000" w:fill="FFFFFF"/>
                  <w:noWrap/>
                  <w:vAlign w:val="center"/>
                  <w:hideMark/>
                </w:tcPr>
                <w:p w14:paraId="2FAA4B2C"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3312A61C"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6D7B52D1"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279" w:type="dxa"/>
                  <w:tcBorders>
                    <w:top w:val="nil"/>
                    <w:left w:val="nil"/>
                    <w:bottom w:val="nil"/>
                    <w:right w:val="nil"/>
                  </w:tcBorders>
                  <w:shd w:val="clear" w:color="000000" w:fill="FFFFFF"/>
                  <w:vAlign w:val="center"/>
                  <w:hideMark/>
                </w:tcPr>
                <w:p w14:paraId="2F25032E"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39F7BAE0"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center"/>
                  <w:hideMark/>
                </w:tcPr>
                <w:p w14:paraId="6FC901EF"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415E9F68" w14:textId="77777777" w:rsidTr="008530D9">
              <w:trPr>
                <w:trHeight w:val="486"/>
              </w:trPr>
              <w:tc>
                <w:tcPr>
                  <w:tcW w:w="3718" w:type="dxa"/>
                  <w:tcBorders>
                    <w:top w:val="nil"/>
                    <w:left w:val="nil"/>
                    <w:bottom w:val="nil"/>
                    <w:right w:val="nil"/>
                  </w:tcBorders>
                  <w:shd w:val="clear" w:color="000000" w:fill="FFFFFF"/>
                  <w:noWrap/>
                  <w:vAlign w:val="bottom"/>
                  <w:hideMark/>
                </w:tcPr>
                <w:p w14:paraId="1FF2073F"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20" w:type="dxa"/>
                  <w:tcBorders>
                    <w:top w:val="nil"/>
                    <w:left w:val="nil"/>
                    <w:bottom w:val="nil"/>
                    <w:right w:val="nil"/>
                  </w:tcBorders>
                  <w:shd w:val="clear" w:color="000000" w:fill="FFFFFF"/>
                  <w:vAlign w:val="center"/>
                  <w:hideMark/>
                </w:tcPr>
                <w:p w14:paraId="230CC252"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Actual 2020/21</w:t>
                  </w:r>
                </w:p>
              </w:tc>
              <w:tc>
                <w:tcPr>
                  <w:tcW w:w="279" w:type="dxa"/>
                  <w:tcBorders>
                    <w:top w:val="nil"/>
                    <w:left w:val="nil"/>
                    <w:bottom w:val="nil"/>
                    <w:right w:val="nil"/>
                  </w:tcBorders>
                  <w:shd w:val="clear" w:color="000000" w:fill="FFFFFF"/>
                  <w:vAlign w:val="center"/>
                  <w:hideMark/>
                </w:tcPr>
                <w:p w14:paraId="3B8793BD"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108" w:type="dxa"/>
                  <w:tcBorders>
                    <w:top w:val="nil"/>
                    <w:left w:val="nil"/>
                    <w:bottom w:val="nil"/>
                    <w:right w:val="nil"/>
                  </w:tcBorders>
                  <w:shd w:val="clear" w:color="000000" w:fill="FFFFFF"/>
                  <w:vAlign w:val="center"/>
                  <w:hideMark/>
                </w:tcPr>
                <w:p w14:paraId="5B3B8C3B"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Actual 2021/22</w:t>
                  </w:r>
                </w:p>
              </w:tc>
              <w:tc>
                <w:tcPr>
                  <w:tcW w:w="279" w:type="dxa"/>
                  <w:tcBorders>
                    <w:top w:val="nil"/>
                    <w:left w:val="nil"/>
                    <w:bottom w:val="nil"/>
                    <w:right w:val="nil"/>
                  </w:tcBorders>
                  <w:shd w:val="clear" w:color="000000" w:fill="FFFFFF"/>
                  <w:vAlign w:val="center"/>
                  <w:hideMark/>
                </w:tcPr>
                <w:p w14:paraId="167F93B8"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380" w:type="dxa"/>
                  <w:tcBorders>
                    <w:top w:val="nil"/>
                    <w:left w:val="nil"/>
                    <w:bottom w:val="nil"/>
                    <w:right w:val="nil"/>
                  </w:tcBorders>
                  <w:shd w:val="clear" w:color="000000" w:fill="FFFFFF"/>
                  <w:vAlign w:val="center"/>
                  <w:hideMark/>
                </w:tcPr>
                <w:p w14:paraId="3752BCFB"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Estimate         2022/23</w:t>
                  </w:r>
                </w:p>
              </w:tc>
              <w:tc>
                <w:tcPr>
                  <w:tcW w:w="1380" w:type="dxa"/>
                  <w:tcBorders>
                    <w:top w:val="nil"/>
                    <w:left w:val="nil"/>
                    <w:bottom w:val="nil"/>
                    <w:right w:val="nil"/>
                  </w:tcBorders>
                  <w:shd w:val="clear" w:color="000000" w:fill="FFFFFF"/>
                  <w:noWrap/>
                  <w:vAlign w:val="center"/>
                  <w:hideMark/>
                </w:tcPr>
                <w:p w14:paraId="7C28B96E"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2C6D12F8" w14:textId="77777777" w:rsidTr="008530D9">
              <w:trPr>
                <w:trHeight w:val="243"/>
              </w:trPr>
              <w:tc>
                <w:tcPr>
                  <w:tcW w:w="3718" w:type="dxa"/>
                  <w:tcBorders>
                    <w:top w:val="nil"/>
                    <w:left w:val="nil"/>
                    <w:bottom w:val="nil"/>
                    <w:right w:val="nil"/>
                  </w:tcBorders>
                  <w:shd w:val="clear" w:color="000000" w:fill="FFFFFF"/>
                  <w:noWrap/>
                  <w:vAlign w:val="center"/>
                  <w:hideMark/>
                </w:tcPr>
                <w:p w14:paraId="661628BA"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20" w:type="dxa"/>
                  <w:tcBorders>
                    <w:top w:val="nil"/>
                    <w:left w:val="nil"/>
                    <w:bottom w:val="nil"/>
                    <w:right w:val="nil"/>
                  </w:tcBorders>
                  <w:shd w:val="clear" w:color="000000" w:fill="FFFFFF"/>
                  <w:vAlign w:val="center"/>
                  <w:hideMark/>
                </w:tcPr>
                <w:p w14:paraId="7B256080"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£'000</w:t>
                  </w:r>
                </w:p>
              </w:tc>
              <w:tc>
                <w:tcPr>
                  <w:tcW w:w="279" w:type="dxa"/>
                  <w:tcBorders>
                    <w:top w:val="nil"/>
                    <w:left w:val="nil"/>
                    <w:bottom w:val="nil"/>
                    <w:right w:val="nil"/>
                  </w:tcBorders>
                  <w:shd w:val="clear" w:color="000000" w:fill="FFFFFF"/>
                  <w:noWrap/>
                  <w:vAlign w:val="center"/>
                  <w:hideMark/>
                </w:tcPr>
                <w:p w14:paraId="63F41525"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25DC1604"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£'000</w:t>
                  </w:r>
                </w:p>
              </w:tc>
              <w:tc>
                <w:tcPr>
                  <w:tcW w:w="279" w:type="dxa"/>
                  <w:tcBorders>
                    <w:top w:val="nil"/>
                    <w:left w:val="nil"/>
                    <w:bottom w:val="nil"/>
                    <w:right w:val="nil"/>
                  </w:tcBorders>
                  <w:shd w:val="clear" w:color="000000" w:fill="FFFFFF"/>
                  <w:vAlign w:val="center"/>
                  <w:hideMark/>
                </w:tcPr>
                <w:p w14:paraId="07456EAC"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380" w:type="dxa"/>
                  <w:tcBorders>
                    <w:top w:val="nil"/>
                    <w:left w:val="nil"/>
                    <w:bottom w:val="nil"/>
                    <w:right w:val="nil"/>
                  </w:tcBorders>
                  <w:shd w:val="clear" w:color="000000" w:fill="FFFFFF"/>
                  <w:noWrap/>
                  <w:vAlign w:val="center"/>
                  <w:hideMark/>
                </w:tcPr>
                <w:p w14:paraId="0DB38073"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£'000</w:t>
                  </w:r>
                </w:p>
              </w:tc>
              <w:tc>
                <w:tcPr>
                  <w:tcW w:w="1380" w:type="dxa"/>
                  <w:tcBorders>
                    <w:top w:val="nil"/>
                    <w:left w:val="nil"/>
                    <w:bottom w:val="nil"/>
                    <w:right w:val="nil"/>
                  </w:tcBorders>
                  <w:shd w:val="clear" w:color="000000" w:fill="FFFFFF"/>
                  <w:noWrap/>
                  <w:vAlign w:val="center"/>
                  <w:hideMark/>
                </w:tcPr>
                <w:p w14:paraId="3A536597"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1B1978FF" w14:textId="77777777" w:rsidTr="008530D9">
              <w:trPr>
                <w:trHeight w:val="243"/>
              </w:trPr>
              <w:tc>
                <w:tcPr>
                  <w:tcW w:w="3718" w:type="dxa"/>
                  <w:tcBorders>
                    <w:top w:val="nil"/>
                    <w:left w:val="nil"/>
                    <w:bottom w:val="nil"/>
                    <w:right w:val="nil"/>
                  </w:tcBorders>
                  <w:shd w:val="clear" w:color="000000" w:fill="FFFFFF"/>
                  <w:noWrap/>
                  <w:vAlign w:val="center"/>
                  <w:hideMark/>
                </w:tcPr>
                <w:p w14:paraId="6F7D8803"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Income</w:t>
                  </w:r>
                </w:p>
              </w:tc>
              <w:tc>
                <w:tcPr>
                  <w:tcW w:w="1120" w:type="dxa"/>
                  <w:tcBorders>
                    <w:top w:val="nil"/>
                    <w:left w:val="nil"/>
                    <w:bottom w:val="nil"/>
                    <w:right w:val="nil"/>
                  </w:tcBorders>
                  <w:shd w:val="clear" w:color="000000" w:fill="FFFFFF"/>
                  <w:noWrap/>
                  <w:vAlign w:val="center"/>
                  <w:hideMark/>
                </w:tcPr>
                <w:p w14:paraId="3DD7C5B7"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19C8C33E"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45F6D91F"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279" w:type="dxa"/>
                  <w:tcBorders>
                    <w:top w:val="nil"/>
                    <w:left w:val="nil"/>
                    <w:bottom w:val="nil"/>
                    <w:right w:val="nil"/>
                  </w:tcBorders>
                  <w:shd w:val="clear" w:color="000000" w:fill="FFFFFF"/>
                  <w:vAlign w:val="center"/>
                  <w:hideMark/>
                </w:tcPr>
                <w:p w14:paraId="29F44B90" w14:textId="77777777" w:rsidR="003F3E04" w:rsidRPr="003F3E04" w:rsidRDefault="003F3E04" w:rsidP="003F3E04">
                  <w:pPr>
                    <w:jc w:val="cente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1C0389D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center"/>
                  <w:hideMark/>
                </w:tcPr>
                <w:p w14:paraId="4ECC9FC0"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5677084B" w14:textId="77777777" w:rsidTr="008530D9">
              <w:trPr>
                <w:trHeight w:val="243"/>
              </w:trPr>
              <w:tc>
                <w:tcPr>
                  <w:tcW w:w="3718" w:type="dxa"/>
                  <w:tcBorders>
                    <w:top w:val="nil"/>
                    <w:left w:val="nil"/>
                    <w:bottom w:val="nil"/>
                    <w:right w:val="nil"/>
                  </w:tcBorders>
                  <w:shd w:val="clear" w:color="000000" w:fill="FFFFFF"/>
                  <w:noWrap/>
                  <w:vAlign w:val="center"/>
                  <w:hideMark/>
                </w:tcPr>
                <w:p w14:paraId="3B4385DC"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Employer Contributions</w:t>
                  </w:r>
                </w:p>
              </w:tc>
              <w:tc>
                <w:tcPr>
                  <w:tcW w:w="1120" w:type="dxa"/>
                  <w:tcBorders>
                    <w:top w:val="nil"/>
                    <w:left w:val="nil"/>
                    <w:bottom w:val="nil"/>
                    <w:right w:val="nil"/>
                  </w:tcBorders>
                  <w:shd w:val="clear" w:color="000000" w:fill="FFFFFF"/>
                  <w:noWrap/>
                  <w:vAlign w:val="center"/>
                  <w:hideMark/>
                </w:tcPr>
                <w:p w14:paraId="28731DBE"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81,813</w:t>
                  </w:r>
                </w:p>
              </w:tc>
              <w:tc>
                <w:tcPr>
                  <w:tcW w:w="279" w:type="dxa"/>
                  <w:tcBorders>
                    <w:top w:val="nil"/>
                    <w:left w:val="nil"/>
                    <w:bottom w:val="nil"/>
                    <w:right w:val="nil"/>
                  </w:tcBorders>
                  <w:shd w:val="clear" w:color="000000" w:fill="FFFFFF"/>
                  <w:noWrap/>
                  <w:vAlign w:val="center"/>
                  <w:hideMark/>
                </w:tcPr>
                <w:p w14:paraId="6348CD2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7AF4184D"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86,043</w:t>
                  </w:r>
                </w:p>
              </w:tc>
              <w:tc>
                <w:tcPr>
                  <w:tcW w:w="279" w:type="dxa"/>
                  <w:tcBorders>
                    <w:top w:val="nil"/>
                    <w:left w:val="nil"/>
                    <w:bottom w:val="nil"/>
                    <w:right w:val="nil"/>
                  </w:tcBorders>
                  <w:shd w:val="clear" w:color="000000" w:fill="FFFFFF"/>
                  <w:noWrap/>
                  <w:vAlign w:val="center"/>
                  <w:hideMark/>
                </w:tcPr>
                <w:p w14:paraId="015543D4"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3F17C740"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87,500</w:t>
                  </w:r>
                </w:p>
              </w:tc>
              <w:tc>
                <w:tcPr>
                  <w:tcW w:w="1380" w:type="dxa"/>
                  <w:tcBorders>
                    <w:top w:val="nil"/>
                    <w:left w:val="nil"/>
                    <w:bottom w:val="nil"/>
                    <w:right w:val="nil"/>
                  </w:tcBorders>
                  <w:shd w:val="clear" w:color="000000" w:fill="FFFFFF"/>
                  <w:noWrap/>
                  <w:vAlign w:val="center"/>
                  <w:hideMark/>
                </w:tcPr>
                <w:p w14:paraId="0E43B4AD"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41E781CD" w14:textId="77777777" w:rsidTr="008530D9">
              <w:trPr>
                <w:trHeight w:val="243"/>
              </w:trPr>
              <w:tc>
                <w:tcPr>
                  <w:tcW w:w="3718" w:type="dxa"/>
                  <w:tcBorders>
                    <w:top w:val="nil"/>
                    <w:left w:val="nil"/>
                    <w:bottom w:val="nil"/>
                    <w:right w:val="nil"/>
                  </w:tcBorders>
                  <w:shd w:val="clear" w:color="000000" w:fill="FFFFFF"/>
                  <w:noWrap/>
                  <w:vAlign w:val="center"/>
                  <w:hideMark/>
                </w:tcPr>
                <w:p w14:paraId="2F860EF9"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Employee Contributions</w:t>
                  </w:r>
                </w:p>
              </w:tc>
              <w:tc>
                <w:tcPr>
                  <w:tcW w:w="1120" w:type="dxa"/>
                  <w:tcBorders>
                    <w:top w:val="nil"/>
                    <w:left w:val="nil"/>
                    <w:bottom w:val="nil"/>
                    <w:right w:val="nil"/>
                  </w:tcBorders>
                  <w:shd w:val="clear" w:color="000000" w:fill="FFFFFF"/>
                  <w:noWrap/>
                  <w:vAlign w:val="center"/>
                  <w:hideMark/>
                </w:tcPr>
                <w:p w14:paraId="44F9253F"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20,199</w:t>
                  </w:r>
                </w:p>
              </w:tc>
              <w:tc>
                <w:tcPr>
                  <w:tcW w:w="279" w:type="dxa"/>
                  <w:tcBorders>
                    <w:top w:val="nil"/>
                    <w:left w:val="nil"/>
                    <w:bottom w:val="nil"/>
                    <w:right w:val="nil"/>
                  </w:tcBorders>
                  <w:shd w:val="clear" w:color="000000" w:fill="FFFFFF"/>
                  <w:noWrap/>
                  <w:vAlign w:val="center"/>
                  <w:hideMark/>
                </w:tcPr>
                <w:p w14:paraId="2516C3F8"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7568D203"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21,485</w:t>
                  </w:r>
                </w:p>
              </w:tc>
              <w:tc>
                <w:tcPr>
                  <w:tcW w:w="279" w:type="dxa"/>
                  <w:tcBorders>
                    <w:top w:val="nil"/>
                    <w:left w:val="nil"/>
                    <w:bottom w:val="nil"/>
                    <w:right w:val="nil"/>
                  </w:tcBorders>
                  <w:shd w:val="clear" w:color="000000" w:fill="FFFFFF"/>
                  <w:noWrap/>
                  <w:vAlign w:val="center"/>
                  <w:hideMark/>
                </w:tcPr>
                <w:p w14:paraId="514DC3E3"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2F60AC9D"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22,784</w:t>
                  </w:r>
                </w:p>
              </w:tc>
              <w:tc>
                <w:tcPr>
                  <w:tcW w:w="1380" w:type="dxa"/>
                  <w:tcBorders>
                    <w:top w:val="nil"/>
                    <w:left w:val="nil"/>
                    <w:bottom w:val="nil"/>
                    <w:right w:val="nil"/>
                  </w:tcBorders>
                  <w:shd w:val="clear" w:color="000000" w:fill="FFFFFF"/>
                  <w:noWrap/>
                  <w:vAlign w:val="center"/>
                  <w:hideMark/>
                </w:tcPr>
                <w:p w14:paraId="2ACAD203"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2E051736" w14:textId="77777777" w:rsidTr="008530D9">
              <w:trPr>
                <w:trHeight w:val="243"/>
              </w:trPr>
              <w:tc>
                <w:tcPr>
                  <w:tcW w:w="3718" w:type="dxa"/>
                  <w:tcBorders>
                    <w:top w:val="nil"/>
                    <w:left w:val="nil"/>
                    <w:bottom w:val="nil"/>
                    <w:right w:val="nil"/>
                  </w:tcBorders>
                  <w:shd w:val="clear" w:color="000000" w:fill="FFFFFF"/>
                  <w:noWrap/>
                  <w:vAlign w:val="center"/>
                  <w:hideMark/>
                </w:tcPr>
                <w:p w14:paraId="696B5E9A"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Transfers In</w:t>
                  </w:r>
                </w:p>
              </w:tc>
              <w:tc>
                <w:tcPr>
                  <w:tcW w:w="1120" w:type="dxa"/>
                  <w:tcBorders>
                    <w:top w:val="nil"/>
                    <w:left w:val="nil"/>
                    <w:bottom w:val="nil"/>
                    <w:right w:val="nil"/>
                  </w:tcBorders>
                  <w:shd w:val="clear" w:color="000000" w:fill="FFFFFF"/>
                  <w:noWrap/>
                  <w:vAlign w:val="center"/>
                  <w:hideMark/>
                </w:tcPr>
                <w:p w14:paraId="57191E93"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3,092</w:t>
                  </w:r>
                </w:p>
              </w:tc>
              <w:tc>
                <w:tcPr>
                  <w:tcW w:w="279" w:type="dxa"/>
                  <w:tcBorders>
                    <w:top w:val="nil"/>
                    <w:left w:val="nil"/>
                    <w:bottom w:val="nil"/>
                    <w:right w:val="nil"/>
                  </w:tcBorders>
                  <w:shd w:val="clear" w:color="000000" w:fill="FFFFFF"/>
                  <w:noWrap/>
                  <w:vAlign w:val="center"/>
                  <w:hideMark/>
                </w:tcPr>
                <w:p w14:paraId="79B6C511"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73B30AF1"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6,415</w:t>
                  </w:r>
                </w:p>
              </w:tc>
              <w:tc>
                <w:tcPr>
                  <w:tcW w:w="279" w:type="dxa"/>
                  <w:tcBorders>
                    <w:top w:val="nil"/>
                    <w:left w:val="nil"/>
                    <w:bottom w:val="nil"/>
                    <w:right w:val="nil"/>
                  </w:tcBorders>
                  <w:shd w:val="clear" w:color="000000" w:fill="FFFFFF"/>
                  <w:noWrap/>
                  <w:vAlign w:val="center"/>
                  <w:hideMark/>
                </w:tcPr>
                <w:p w14:paraId="36B7C3C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42DF59E0"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5,000</w:t>
                  </w:r>
                </w:p>
              </w:tc>
              <w:tc>
                <w:tcPr>
                  <w:tcW w:w="1380" w:type="dxa"/>
                  <w:tcBorders>
                    <w:top w:val="nil"/>
                    <w:left w:val="nil"/>
                    <w:bottom w:val="nil"/>
                    <w:right w:val="nil"/>
                  </w:tcBorders>
                  <w:shd w:val="clear" w:color="000000" w:fill="FFFFFF"/>
                  <w:noWrap/>
                  <w:vAlign w:val="center"/>
                  <w:hideMark/>
                </w:tcPr>
                <w:p w14:paraId="0D87CE61"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0AB71D97" w14:textId="77777777" w:rsidTr="008530D9">
              <w:trPr>
                <w:trHeight w:val="243"/>
              </w:trPr>
              <w:tc>
                <w:tcPr>
                  <w:tcW w:w="3718" w:type="dxa"/>
                  <w:tcBorders>
                    <w:top w:val="nil"/>
                    <w:left w:val="nil"/>
                    <w:bottom w:val="nil"/>
                    <w:right w:val="nil"/>
                  </w:tcBorders>
                  <w:shd w:val="clear" w:color="000000" w:fill="FFFFFF"/>
                  <w:noWrap/>
                  <w:vAlign w:val="center"/>
                  <w:hideMark/>
                </w:tcPr>
                <w:p w14:paraId="14584065"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Other Income</w:t>
                  </w:r>
                </w:p>
              </w:tc>
              <w:tc>
                <w:tcPr>
                  <w:tcW w:w="1120" w:type="dxa"/>
                  <w:tcBorders>
                    <w:top w:val="nil"/>
                    <w:left w:val="nil"/>
                    <w:bottom w:val="nil"/>
                    <w:right w:val="nil"/>
                  </w:tcBorders>
                  <w:shd w:val="clear" w:color="000000" w:fill="FFFFFF"/>
                  <w:noWrap/>
                  <w:vAlign w:val="center"/>
                  <w:hideMark/>
                </w:tcPr>
                <w:p w14:paraId="18AB2B00"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50</w:t>
                  </w:r>
                </w:p>
              </w:tc>
              <w:tc>
                <w:tcPr>
                  <w:tcW w:w="279" w:type="dxa"/>
                  <w:tcBorders>
                    <w:top w:val="nil"/>
                    <w:left w:val="nil"/>
                    <w:bottom w:val="nil"/>
                    <w:right w:val="nil"/>
                  </w:tcBorders>
                  <w:shd w:val="clear" w:color="000000" w:fill="FFFFFF"/>
                  <w:noWrap/>
                  <w:vAlign w:val="center"/>
                  <w:hideMark/>
                </w:tcPr>
                <w:p w14:paraId="799D5D56"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2512B13E"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5</w:t>
                  </w:r>
                </w:p>
              </w:tc>
              <w:tc>
                <w:tcPr>
                  <w:tcW w:w="279" w:type="dxa"/>
                  <w:tcBorders>
                    <w:top w:val="nil"/>
                    <w:left w:val="nil"/>
                    <w:bottom w:val="nil"/>
                    <w:right w:val="nil"/>
                  </w:tcBorders>
                  <w:shd w:val="clear" w:color="000000" w:fill="FFFFFF"/>
                  <w:noWrap/>
                  <w:vAlign w:val="center"/>
                  <w:hideMark/>
                </w:tcPr>
                <w:p w14:paraId="59265AE2"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2F797542"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5</w:t>
                  </w:r>
                </w:p>
              </w:tc>
              <w:tc>
                <w:tcPr>
                  <w:tcW w:w="1380" w:type="dxa"/>
                  <w:tcBorders>
                    <w:top w:val="nil"/>
                    <w:left w:val="nil"/>
                    <w:bottom w:val="nil"/>
                    <w:right w:val="nil"/>
                  </w:tcBorders>
                  <w:shd w:val="clear" w:color="000000" w:fill="FFFFFF"/>
                  <w:noWrap/>
                  <w:vAlign w:val="center"/>
                  <w:hideMark/>
                </w:tcPr>
                <w:p w14:paraId="619420B1"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6901D8FA" w14:textId="77777777" w:rsidTr="008530D9">
              <w:trPr>
                <w:trHeight w:val="243"/>
              </w:trPr>
              <w:tc>
                <w:tcPr>
                  <w:tcW w:w="3718" w:type="dxa"/>
                  <w:tcBorders>
                    <w:top w:val="nil"/>
                    <w:left w:val="nil"/>
                    <w:bottom w:val="nil"/>
                    <w:right w:val="nil"/>
                  </w:tcBorders>
                  <w:shd w:val="clear" w:color="000000" w:fill="FFFFFF"/>
                  <w:noWrap/>
                  <w:vAlign w:val="center"/>
                  <w:hideMark/>
                </w:tcPr>
                <w:p w14:paraId="2DF6E3E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Investment Income</w:t>
                  </w:r>
                </w:p>
              </w:tc>
              <w:tc>
                <w:tcPr>
                  <w:tcW w:w="1120" w:type="dxa"/>
                  <w:tcBorders>
                    <w:top w:val="nil"/>
                    <w:left w:val="nil"/>
                    <w:bottom w:val="nil"/>
                    <w:right w:val="nil"/>
                  </w:tcBorders>
                  <w:shd w:val="clear" w:color="000000" w:fill="FFFFFF"/>
                  <w:noWrap/>
                  <w:vAlign w:val="center"/>
                  <w:hideMark/>
                </w:tcPr>
                <w:p w14:paraId="7392CC2B" w14:textId="77777777" w:rsidR="003F3E04" w:rsidRPr="003F3E04" w:rsidRDefault="00EC3090" w:rsidP="003F3E04">
                  <w:pPr>
                    <w:jc w:val="right"/>
                    <w:rPr>
                      <w:rFonts w:ascii="Arial" w:hAnsi="Arial" w:cs="Arial"/>
                      <w:color w:val="000000"/>
                      <w:sz w:val="18"/>
                      <w:szCs w:val="18"/>
                      <w:lang w:eastAsia="en-GB"/>
                    </w:rPr>
                  </w:pPr>
                  <w:r>
                    <w:rPr>
                      <w:rFonts w:ascii="Arial" w:hAnsi="Arial" w:cs="Arial"/>
                      <w:color w:val="000000"/>
                      <w:sz w:val="18"/>
                      <w:szCs w:val="18"/>
                      <w:lang w:eastAsia="en-GB"/>
                    </w:rPr>
                    <w:t>39,722</w:t>
                  </w:r>
                </w:p>
              </w:tc>
              <w:tc>
                <w:tcPr>
                  <w:tcW w:w="279" w:type="dxa"/>
                  <w:tcBorders>
                    <w:top w:val="nil"/>
                    <w:left w:val="nil"/>
                    <w:bottom w:val="nil"/>
                    <w:right w:val="nil"/>
                  </w:tcBorders>
                  <w:shd w:val="clear" w:color="000000" w:fill="FFFFFF"/>
                  <w:noWrap/>
                  <w:vAlign w:val="center"/>
                  <w:hideMark/>
                </w:tcPr>
                <w:p w14:paraId="61AF7BF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2434882E"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27,164</w:t>
                  </w:r>
                </w:p>
              </w:tc>
              <w:tc>
                <w:tcPr>
                  <w:tcW w:w="279" w:type="dxa"/>
                  <w:tcBorders>
                    <w:top w:val="nil"/>
                    <w:left w:val="nil"/>
                    <w:bottom w:val="nil"/>
                    <w:right w:val="nil"/>
                  </w:tcBorders>
                  <w:shd w:val="clear" w:color="000000" w:fill="FFFFFF"/>
                  <w:noWrap/>
                  <w:vAlign w:val="center"/>
                  <w:hideMark/>
                </w:tcPr>
                <w:p w14:paraId="0E591C70"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0BA4B25B"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28,000</w:t>
                  </w:r>
                </w:p>
              </w:tc>
              <w:tc>
                <w:tcPr>
                  <w:tcW w:w="1380" w:type="dxa"/>
                  <w:tcBorders>
                    <w:top w:val="nil"/>
                    <w:left w:val="nil"/>
                    <w:bottom w:val="nil"/>
                    <w:right w:val="nil"/>
                  </w:tcBorders>
                  <w:shd w:val="clear" w:color="000000" w:fill="FFFFFF"/>
                  <w:noWrap/>
                  <w:vAlign w:val="center"/>
                  <w:hideMark/>
                </w:tcPr>
                <w:p w14:paraId="485B1357"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319169D7" w14:textId="77777777" w:rsidTr="008530D9">
              <w:trPr>
                <w:trHeight w:val="243"/>
              </w:trPr>
              <w:tc>
                <w:tcPr>
                  <w:tcW w:w="3718" w:type="dxa"/>
                  <w:tcBorders>
                    <w:top w:val="nil"/>
                    <w:left w:val="nil"/>
                    <w:bottom w:val="nil"/>
                    <w:right w:val="nil"/>
                  </w:tcBorders>
                  <w:shd w:val="clear" w:color="000000" w:fill="FFFFFF"/>
                  <w:noWrap/>
                  <w:vAlign w:val="center"/>
                  <w:hideMark/>
                </w:tcPr>
                <w:p w14:paraId="06EDF000"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20" w:type="dxa"/>
                  <w:tcBorders>
                    <w:top w:val="single" w:sz="4" w:space="0" w:color="auto"/>
                    <w:left w:val="nil"/>
                    <w:bottom w:val="nil"/>
                    <w:right w:val="nil"/>
                  </w:tcBorders>
                  <w:shd w:val="clear" w:color="000000" w:fill="FFFFFF"/>
                  <w:noWrap/>
                  <w:vAlign w:val="center"/>
                  <w:hideMark/>
                </w:tcPr>
                <w:p w14:paraId="711CE92B" w14:textId="77777777" w:rsidR="003F3E04" w:rsidRPr="003F3E04" w:rsidRDefault="00EC3090" w:rsidP="003F3E04">
                  <w:pPr>
                    <w:jc w:val="right"/>
                    <w:rPr>
                      <w:rFonts w:ascii="Arial" w:hAnsi="Arial" w:cs="Arial"/>
                      <w:b/>
                      <w:bCs/>
                      <w:color w:val="000000"/>
                      <w:sz w:val="18"/>
                      <w:szCs w:val="18"/>
                      <w:lang w:eastAsia="en-GB"/>
                    </w:rPr>
                  </w:pPr>
                  <w:r>
                    <w:rPr>
                      <w:rFonts w:ascii="Arial" w:hAnsi="Arial" w:cs="Arial"/>
                      <w:b/>
                      <w:bCs/>
                      <w:color w:val="000000"/>
                      <w:sz w:val="18"/>
                      <w:szCs w:val="18"/>
                      <w:lang w:eastAsia="en-GB"/>
                    </w:rPr>
                    <w:t>144,876</w:t>
                  </w:r>
                </w:p>
              </w:tc>
              <w:tc>
                <w:tcPr>
                  <w:tcW w:w="279" w:type="dxa"/>
                  <w:tcBorders>
                    <w:top w:val="nil"/>
                    <w:left w:val="nil"/>
                    <w:bottom w:val="nil"/>
                    <w:right w:val="nil"/>
                  </w:tcBorders>
                  <w:shd w:val="clear" w:color="000000" w:fill="FFFFFF"/>
                  <w:noWrap/>
                  <w:vAlign w:val="center"/>
                  <w:hideMark/>
                </w:tcPr>
                <w:p w14:paraId="7D2A0729"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single" w:sz="4" w:space="0" w:color="auto"/>
                    <w:left w:val="nil"/>
                    <w:bottom w:val="nil"/>
                    <w:right w:val="nil"/>
                  </w:tcBorders>
                  <w:shd w:val="clear" w:color="000000" w:fill="FFFFFF"/>
                  <w:noWrap/>
                  <w:vAlign w:val="center"/>
                  <w:hideMark/>
                </w:tcPr>
                <w:p w14:paraId="5061A981"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141,112</w:t>
                  </w:r>
                </w:p>
              </w:tc>
              <w:tc>
                <w:tcPr>
                  <w:tcW w:w="279" w:type="dxa"/>
                  <w:tcBorders>
                    <w:top w:val="nil"/>
                    <w:left w:val="nil"/>
                    <w:bottom w:val="nil"/>
                    <w:right w:val="nil"/>
                  </w:tcBorders>
                  <w:shd w:val="clear" w:color="000000" w:fill="FFFFFF"/>
                  <w:noWrap/>
                  <w:vAlign w:val="center"/>
                  <w:hideMark/>
                </w:tcPr>
                <w:p w14:paraId="4DB08C35"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single" w:sz="4" w:space="0" w:color="auto"/>
                    <w:left w:val="nil"/>
                    <w:bottom w:val="nil"/>
                    <w:right w:val="nil"/>
                  </w:tcBorders>
                  <w:shd w:val="clear" w:color="000000" w:fill="FFFFFF"/>
                  <w:noWrap/>
                  <w:vAlign w:val="center"/>
                  <w:hideMark/>
                </w:tcPr>
                <w:p w14:paraId="08FFBF00"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143,289</w:t>
                  </w:r>
                </w:p>
              </w:tc>
              <w:tc>
                <w:tcPr>
                  <w:tcW w:w="1380" w:type="dxa"/>
                  <w:tcBorders>
                    <w:top w:val="nil"/>
                    <w:left w:val="nil"/>
                    <w:bottom w:val="nil"/>
                    <w:right w:val="nil"/>
                  </w:tcBorders>
                  <w:shd w:val="clear" w:color="000000" w:fill="FFFFFF"/>
                  <w:noWrap/>
                  <w:vAlign w:val="center"/>
                  <w:hideMark/>
                </w:tcPr>
                <w:p w14:paraId="564F0C22"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705684A3" w14:textId="77777777" w:rsidTr="008530D9">
              <w:trPr>
                <w:trHeight w:val="243"/>
              </w:trPr>
              <w:tc>
                <w:tcPr>
                  <w:tcW w:w="3718" w:type="dxa"/>
                  <w:tcBorders>
                    <w:top w:val="nil"/>
                    <w:left w:val="nil"/>
                    <w:bottom w:val="nil"/>
                    <w:right w:val="nil"/>
                  </w:tcBorders>
                  <w:shd w:val="clear" w:color="000000" w:fill="FFFFFF"/>
                  <w:noWrap/>
                  <w:vAlign w:val="center"/>
                  <w:hideMark/>
                </w:tcPr>
                <w:p w14:paraId="32962FC1"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20" w:type="dxa"/>
                  <w:tcBorders>
                    <w:top w:val="nil"/>
                    <w:left w:val="nil"/>
                    <w:bottom w:val="nil"/>
                    <w:right w:val="nil"/>
                  </w:tcBorders>
                  <w:shd w:val="clear" w:color="000000" w:fill="FFFFFF"/>
                  <w:noWrap/>
                  <w:vAlign w:val="center"/>
                  <w:hideMark/>
                </w:tcPr>
                <w:p w14:paraId="46B2C000"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527CA561"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12E14ADD"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6801C4D8"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center"/>
                  <w:hideMark/>
                </w:tcPr>
                <w:p w14:paraId="26E97407"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380" w:type="dxa"/>
                  <w:tcBorders>
                    <w:top w:val="nil"/>
                    <w:left w:val="nil"/>
                    <w:bottom w:val="nil"/>
                    <w:right w:val="nil"/>
                  </w:tcBorders>
                  <w:shd w:val="clear" w:color="000000" w:fill="FFFFFF"/>
                  <w:noWrap/>
                  <w:vAlign w:val="center"/>
                  <w:hideMark/>
                </w:tcPr>
                <w:p w14:paraId="6514F70C"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6CD54406" w14:textId="77777777" w:rsidTr="008530D9">
              <w:trPr>
                <w:trHeight w:val="243"/>
              </w:trPr>
              <w:tc>
                <w:tcPr>
                  <w:tcW w:w="3718" w:type="dxa"/>
                  <w:tcBorders>
                    <w:top w:val="nil"/>
                    <w:left w:val="nil"/>
                    <w:bottom w:val="nil"/>
                    <w:right w:val="nil"/>
                  </w:tcBorders>
                  <w:shd w:val="clear" w:color="000000" w:fill="FFFFFF"/>
                  <w:noWrap/>
                  <w:vAlign w:val="center"/>
                  <w:hideMark/>
                </w:tcPr>
                <w:p w14:paraId="422B5607"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Expenditure</w:t>
                  </w:r>
                </w:p>
              </w:tc>
              <w:tc>
                <w:tcPr>
                  <w:tcW w:w="1120" w:type="dxa"/>
                  <w:tcBorders>
                    <w:top w:val="nil"/>
                    <w:left w:val="nil"/>
                    <w:bottom w:val="nil"/>
                    <w:right w:val="nil"/>
                  </w:tcBorders>
                  <w:shd w:val="clear" w:color="000000" w:fill="FFFFFF"/>
                  <w:noWrap/>
                  <w:vAlign w:val="center"/>
                  <w:hideMark/>
                </w:tcPr>
                <w:p w14:paraId="13902B47"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1CD90961"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4D4985C2"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189D542C"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66B2D6A7"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center"/>
                  <w:hideMark/>
                </w:tcPr>
                <w:p w14:paraId="75E1A71F"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385D31E7" w14:textId="77777777" w:rsidTr="008530D9">
              <w:trPr>
                <w:trHeight w:val="243"/>
              </w:trPr>
              <w:tc>
                <w:tcPr>
                  <w:tcW w:w="3718" w:type="dxa"/>
                  <w:tcBorders>
                    <w:top w:val="nil"/>
                    <w:left w:val="nil"/>
                    <w:bottom w:val="nil"/>
                    <w:right w:val="nil"/>
                  </w:tcBorders>
                  <w:shd w:val="clear" w:color="000000" w:fill="FFFFFF"/>
                  <w:noWrap/>
                  <w:vAlign w:val="center"/>
                  <w:hideMark/>
                </w:tcPr>
                <w:p w14:paraId="4C9F8C72"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Pensions Payable</w:t>
                  </w:r>
                </w:p>
              </w:tc>
              <w:tc>
                <w:tcPr>
                  <w:tcW w:w="1120" w:type="dxa"/>
                  <w:tcBorders>
                    <w:top w:val="nil"/>
                    <w:left w:val="nil"/>
                    <w:bottom w:val="nil"/>
                    <w:right w:val="nil"/>
                  </w:tcBorders>
                  <w:shd w:val="clear" w:color="000000" w:fill="FFFFFF"/>
                  <w:noWrap/>
                  <w:vAlign w:val="center"/>
                  <w:hideMark/>
                </w:tcPr>
                <w:p w14:paraId="1FDBCB68"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70,195</w:t>
                  </w:r>
                </w:p>
              </w:tc>
              <w:tc>
                <w:tcPr>
                  <w:tcW w:w="279" w:type="dxa"/>
                  <w:tcBorders>
                    <w:top w:val="nil"/>
                    <w:left w:val="nil"/>
                    <w:bottom w:val="nil"/>
                    <w:right w:val="nil"/>
                  </w:tcBorders>
                  <w:shd w:val="clear" w:color="000000" w:fill="FFFFFF"/>
                  <w:noWrap/>
                  <w:vAlign w:val="center"/>
                  <w:hideMark/>
                </w:tcPr>
                <w:p w14:paraId="4E170E07"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6581F3B0"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72,012</w:t>
                  </w:r>
                </w:p>
              </w:tc>
              <w:tc>
                <w:tcPr>
                  <w:tcW w:w="279" w:type="dxa"/>
                  <w:tcBorders>
                    <w:top w:val="nil"/>
                    <w:left w:val="nil"/>
                    <w:bottom w:val="nil"/>
                    <w:right w:val="nil"/>
                  </w:tcBorders>
                  <w:shd w:val="clear" w:color="000000" w:fill="FFFFFF"/>
                  <w:noWrap/>
                  <w:vAlign w:val="center"/>
                  <w:hideMark/>
                </w:tcPr>
                <w:p w14:paraId="456E9C46"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3F6E1481"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76,375</w:t>
                  </w:r>
                </w:p>
              </w:tc>
              <w:tc>
                <w:tcPr>
                  <w:tcW w:w="1380" w:type="dxa"/>
                  <w:tcBorders>
                    <w:top w:val="nil"/>
                    <w:left w:val="nil"/>
                    <w:bottom w:val="nil"/>
                    <w:right w:val="nil"/>
                  </w:tcBorders>
                  <w:shd w:val="clear" w:color="000000" w:fill="FFFFFF"/>
                  <w:noWrap/>
                  <w:vAlign w:val="center"/>
                  <w:hideMark/>
                </w:tcPr>
                <w:p w14:paraId="7D1561FD"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1506C57A" w14:textId="77777777" w:rsidTr="008530D9">
              <w:trPr>
                <w:trHeight w:val="243"/>
              </w:trPr>
              <w:tc>
                <w:tcPr>
                  <w:tcW w:w="3718" w:type="dxa"/>
                  <w:tcBorders>
                    <w:top w:val="nil"/>
                    <w:left w:val="nil"/>
                    <w:bottom w:val="nil"/>
                    <w:right w:val="nil"/>
                  </w:tcBorders>
                  <w:shd w:val="clear" w:color="000000" w:fill="FFFFFF"/>
                  <w:noWrap/>
                  <w:vAlign w:val="center"/>
                  <w:hideMark/>
                </w:tcPr>
                <w:p w14:paraId="6A5042A8"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Lump Sum Benefits</w:t>
                  </w:r>
                </w:p>
              </w:tc>
              <w:tc>
                <w:tcPr>
                  <w:tcW w:w="1120" w:type="dxa"/>
                  <w:tcBorders>
                    <w:top w:val="nil"/>
                    <w:left w:val="nil"/>
                    <w:bottom w:val="nil"/>
                    <w:right w:val="nil"/>
                  </w:tcBorders>
                  <w:shd w:val="clear" w:color="000000" w:fill="FFFFFF"/>
                  <w:noWrap/>
                  <w:vAlign w:val="center"/>
                  <w:hideMark/>
                </w:tcPr>
                <w:p w14:paraId="241A1BC6"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11,417</w:t>
                  </w:r>
                </w:p>
              </w:tc>
              <w:tc>
                <w:tcPr>
                  <w:tcW w:w="279" w:type="dxa"/>
                  <w:tcBorders>
                    <w:top w:val="nil"/>
                    <w:left w:val="nil"/>
                    <w:bottom w:val="nil"/>
                    <w:right w:val="nil"/>
                  </w:tcBorders>
                  <w:shd w:val="clear" w:color="000000" w:fill="FFFFFF"/>
                  <w:noWrap/>
                  <w:vAlign w:val="center"/>
                  <w:hideMark/>
                </w:tcPr>
                <w:p w14:paraId="18A82E42"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07035DB7"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15,235</w:t>
                  </w:r>
                </w:p>
              </w:tc>
              <w:tc>
                <w:tcPr>
                  <w:tcW w:w="279" w:type="dxa"/>
                  <w:tcBorders>
                    <w:top w:val="nil"/>
                    <w:left w:val="nil"/>
                    <w:bottom w:val="nil"/>
                    <w:right w:val="nil"/>
                  </w:tcBorders>
                  <w:shd w:val="clear" w:color="000000" w:fill="FFFFFF"/>
                  <w:noWrap/>
                  <w:vAlign w:val="center"/>
                  <w:hideMark/>
                </w:tcPr>
                <w:p w14:paraId="272EF0C0"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4ED6C33A"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15,000</w:t>
                  </w:r>
                </w:p>
              </w:tc>
              <w:tc>
                <w:tcPr>
                  <w:tcW w:w="1380" w:type="dxa"/>
                  <w:tcBorders>
                    <w:top w:val="nil"/>
                    <w:left w:val="nil"/>
                    <w:bottom w:val="nil"/>
                    <w:right w:val="nil"/>
                  </w:tcBorders>
                  <w:shd w:val="clear" w:color="000000" w:fill="FFFFFF"/>
                  <w:noWrap/>
                  <w:vAlign w:val="center"/>
                  <w:hideMark/>
                </w:tcPr>
                <w:p w14:paraId="200C5ADE"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085A66C3" w14:textId="77777777" w:rsidTr="008530D9">
              <w:trPr>
                <w:trHeight w:val="243"/>
              </w:trPr>
              <w:tc>
                <w:tcPr>
                  <w:tcW w:w="3718" w:type="dxa"/>
                  <w:tcBorders>
                    <w:top w:val="nil"/>
                    <w:left w:val="nil"/>
                    <w:bottom w:val="nil"/>
                    <w:right w:val="nil"/>
                  </w:tcBorders>
                  <w:shd w:val="clear" w:color="000000" w:fill="FFFFFF"/>
                  <w:noWrap/>
                  <w:vAlign w:val="center"/>
                  <w:hideMark/>
                </w:tcPr>
                <w:p w14:paraId="3FD29018"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Death Grants</w:t>
                  </w:r>
                </w:p>
              </w:tc>
              <w:tc>
                <w:tcPr>
                  <w:tcW w:w="1120" w:type="dxa"/>
                  <w:tcBorders>
                    <w:top w:val="nil"/>
                    <w:left w:val="nil"/>
                    <w:bottom w:val="nil"/>
                    <w:right w:val="nil"/>
                  </w:tcBorders>
                  <w:shd w:val="clear" w:color="000000" w:fill="FFFFFF"/>
                  <w:noWrap/>
                  <w:vAlign w:val="center"/>
                  <w:hideMark/>
                </w:tcPr>
                <w:p w14:paraId="0BEEBA18"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3,127</w:t>
                  </w:r>
                </w:p>
              </w:tc>
              <w:tc>
                <w:tcPr>
                  <w:tcW w:w="279" w:type="dxa"/>
                  <w:tcBorders>
                    <w:top w:val="nil"/>
                    <w:left w:val="nil"/>
                    <w:bottom w:val="nil"/>
                    <w:right w:val="nil"/>
                  </w:tcBorders>
                  <w:shd w:val="clear" w:color="000000" w:fill="FFFFFF"/>
                  <w:noWrap/>
                  <w:vAlign w:val="center"/>
                  <w:hideMark/>
                </w:tcPr>
                <w:p w14:paraId="6065E83C"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408B2482"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2,645</w:t>
                  </w:r>
                </w:p>
              </w:tc>
              <w:tc>
                <w:tcPr>
                  <w:tcW w:w="279" w:type="dxa"/>
                  <w:tcBorders>
                    <w:top w:val="nil"/>
                    <w:left w:val="nil"/>
                    <w:bottom w:val="nil"/>
                    <w:right w:val="nil"/>
                  </w:tcBorders>
                  <w:shd w:val="clear" w:color="000000" w:fill="FFFFFF"/>
                  <w:noWrap/>
                  <w:vAlign w:val="center"/>
                  <w:hideMark/>
                </w:tcPr>
                <w:p w14:paraId="3504597B"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02E99DC0"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2,500</w:t>
                  </w:r>
                </w:p>
              </w:tc>
              <w:tc>
                <w:tcPr>
                  <w:tcW w:w="1380" w:type="dxa"/>
                  <w:tcBorders>
                    <w:top w:val="nil"/>
                    <w:left w:val="nil"/>
                    <w:bottom w:val="nil"/>
                    <w:right w:val="nil"/>
                  </w:tcBorders>
                  <w:shd w:val="clear" w:color="000000" w:fill="FFFFFF"/>
                  <w:noWrap/>
                  <w:vAlign w:val="center"/>
                  <w:hideMark/>
                </w:tcPr>
                <w:p w14:paraId="57558EF6"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19F18336" w14:textId="77777777" w:rsidTr="008530D9">
              <w:trPr>
                <w:trHeight w:val="243"/>
              </w:trPr>
              <w:tc>
                <w:tcPr>
                  <w:tcW w:w="3718" w:type="dxa"/>
                  <w:tcBorders>
                    <w:top w:val="nil"/>
                    <w:left w:val="nil"/>
                    <w:bottom w:val="nil"/>
                    <w:right w:val="nil"/>
                  </w:tcBorders>
                  <w:shd w:val="clear" w:color="000000" w:fill="FFFFFF"/>
                  <w:noWrap/>
                  <w:vAlign w:val="center"/>
                  <w:hideMark/>
                </w:tcPr>
                <w:p w14:paraId="0F2506D5"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Refunds</w:t>
                  </w:r>
                </w:p>
              </w:tc>
              <w:tc>
                <w:tcPr>
                  <w:tcW w:w="1120" w:type="dxa"/>
                  <w:tcBorders>
                    <w:top w:val="nil"/>
                    <w:left w:val="nil"/>
                    <w:bottom w:val="nil"/>
                    <w:right w:val="nil"/>
                  </w:tcBorders>
                  <w:shd w:val="clear" w:color="000000" w:fill="FFFFFF"/>
                  <w:noWrap/>
                  <w:vAlign w:val="center"/>
                  <w:hideMark/>
                </w:tcPr>
                <w:p w14:paraId="1A83D181"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113</w:t>
                  </w:r>
                </w:p>
              </w:tc>
              <w:tc>
                <w:tcPr>
                  <w:tcW w:w="279" w:type="dxa"/>
                  <w:tcBorders>
                    <w:top w:val="nil"/>
                    <w:left w:val="nil"/>
                    <w:bottom w:val="nil"/>
                    <w:right w:val="nil"/>
                  </w:tcBorders>
                  <w:shd w:val="clear" w:color="000000" w:fill="FFFFFF"/>
                  <w:noWrap/>
                  <w:vAlign w:val="center"/>
                  <w:hideMark/>
                </w:tcPr>
                <w:p w14:paraId="4E08F736"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4900B90B"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131</w:t>
                  </w:r>
                </w:p>
              </w:tc>
              <w:tc>
                <w:tcPr>
                  <w:tcW w:w="279" w:type="dxa"/>
                  <w:tcBorders>
                    <w:top w:val="nil"/>
                    <w:left w:val="nil"/>
                    <w:bottom w:val="nil"/>
                    <w:right w:val="nil"/>
                  </w:tcBorders>
                  <w:shd w:val="clear" w:color="000000" w:fill="FFFFFF"/>
                  <w:noWrap/>
                  <w:vAlign w:val="center"/>
                  <w:hideMark/>
                </w:tcPr>
                <w:p w14:paraId="3BC7C073"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792ED35E"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100</w:t>
                  </w:r>
                </w:p>
              </w:tc>
              <w:tc>
                <w:tcPr>
                  <w:tcW w:w="1380" w:type="dxa"/>
                  <w:tcBorders>
                    <w:top w:val="nil"/>
                    <w:left w:val="nil"/>
                    <w:bottom w:val="nil"/>
                    <w:right w:val="nil"/>
                  </w:tcBorders>
                  <w:shd w:val="clear" w:color="000000" w:fill="FFFFFF"/>
                  <w:noWrap/>
                  <w:vAlign w:val="center"/>
                  <w:hideMark/>
                </w:tcPr>
                <w:p w14:paraId="146FA3F4"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35697475" w14:textId="77777777" w:rsidTr="008530D9">
              <w:trPr>
                <w:trHeight w:val="243"/>
              </w:trPr>
              <w:tc>
                <w:tcPr>
                  <w:tcW w:w="3718" w:type="dxa"/>
                  <w:tcBorders>
                    <w:top w:val="nil"/>
                    <w:left w:val="nil"/>
                    <w:bottom w:val="nil"/>
                    <w:right w:val="nil"/>
                  </w:tcBorders>
                  <w:shd w:val="clear" w:color="000000" w:fill="FFFFFF"/>
                  <w:noWrap/>
                  <w:vAlign w:val="center"/>
                  <w:hideMark/>
                </w:tcPr>
                <w:p w14:paraId="6143719A"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Transfers Out</w:t>
                  </w:r>
                </w:p>
              </w:tc>
              <w:tc>
                <w:tcPr>
                  <w:tcW w:w="1120" w:type="dxa"/>
                  <w:tcBorders>
                    <w:top w:val="nil"/>
                    <w:left w:val="nil"/>
                    <w:bottom w:val="nil"/>
                    <w:right w:val="nil"/>
                  </w:tcBorders>
                  <w:shd w:val="clear" w:color="000000" w:fill="FFFFFF"/>
                  <w:noWrap/>
                  <w:vAlign w:val="center"/>
                  <w:hideMark/>
                </w:tcPr>
                <w:p w14:paraId="736A099E"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3,934</w:t>
                  </w:r>
                </w:p>
              </w:tc>
              <w:tc>
                <w:tcPr>
                  <w:tcW w:w="279" w:type="dxa"/>
                  <w:tcBorders>
                    <w:top w:val="nil"/>
                    <w:left w:val="nil"/>
                    <w:bottom w:val="nil"/>
                    <w:right w:val="nil"/>
                  </w:tcBorders>
                  <w:shd w:val="clear" w:color="000000" w:fill="FFFFFF"/>
                  <w:noWrap/>
                  <w:vAlign w:val="center"/>
                  <w:hideMark/>
                </w:tcPr>
                <w:p w14:paraId="45FFE916"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059DC00C"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2,675</w:t>
                  </w:r>
                </w:p>
              </w:tc>
              <w:tc>
                <w:tcPr>
                  <w:tcW w:w="279" w:type="dxa"/>
                  <w:tcBorders>
                    <w:top w:val="nil"/>
                    <w:left w:val="nil"/>
                    <w:bottom w:val="nil"/>
                    <w:right w:val="nil"/>
                  </w:tcBorders>
                  <w:shd w:val="clear" w:color="000000" w:fill="FFFFFF"/>
                  <w:noWrap/>
                  <w:vAlign w:val="center"/>
                  <w:hideMark/>
                </w:tcPr>
                <w:p w14:paraId="0FDD31A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33C77EDC"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3,000</w:t>
                  </w:r>
                </w:p>
              </w:tc>
              <w:tc>
                <w:tcPr>
                  <w:tcW w:w="1380" w:type="dxa"/>
                  <w:tcBorders>
                    <w:top w:val="nil"/>
                    <w:left w:val="nil"/>
                    <w:bottom w:val="nil"/>
                    <w:right w:val="nil"/>
                  </w:tcBorders>
                  <w:shd w:val="clear" w:color="000000" w:fill="FFFFFF"/>
                  <w:noWrap/>
                  <w:vAlign w:val="center"/>
                  <w:hideMark/>
                </w:tcPr>
                <w:p w14:paraId="075A7C91"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796C4650" w14:textId="77777777" w:rsidTr="008530D9">
              <w:trPr>
                <w:trHeight w:val="243"/>
              </w:trPr>
              <w:tc>
                <w:tcPr>
                  <w:tcW w:w="3718" w:type="dxa"/>
                  <w:tcBorders>
                    <w:top w:val="nil"/>
                    <w:left w:val="nil"/>
                    <w:bottom w:val="nil"/>
                    <w:right w:val="nil"/>
                  </w:tcBorders>
                  <w:shd w:val="clear" w:color="000000" w:fill="FFFFFF"/>
                  <w:noWrap/>
                  <w:vAlign w:val="center"/>
                  <w:hideMark/>
                </w:tcPr>
                <w:p w14:paraId="29A585AC"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20" w:type="dxa"/>
                  <w:tcBorders>
                    <w:top w:val="single" w:sz="4" w:space="0" w:color="auto"/>
                    <w:left w:val="nil"/>
                    <w:bottom w:val="nil"/>
                    <w:right w:val="nil"/>
                  </w:tcBorders>
                  <w:shd w:val="clear" w:color="000000" w:fill="FFFFFF"/>
                  <w:noWrap/>
                  <w:vAlign w:val="center"/>
                  <w:hideMark/>
                </w:tcPr>
                <w:p w14:paraId="4E05D0CE"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88,786</w:t>
                  </w:r>
                </w:p>
              </w:tc>
              <w:tc>
                <w:tcPr>
                  <w:tcW w:w="279" w:type="dxa"/>
                  <w:tcBorders>
                    <w:top w:val="nil"/>
                    <w:left w:val="nil"/>
                    <w:bottom w:val="nil"/>
                    <w:right w:val="nil"/>
                  </w:tcBorders>
                  <w:shd w:val="clear" w:color="000000" w:fill="FFFFFF"/>
                  <w:noWrap/>
                  <w:vAlign w:val="center"/>
                  <w:hideMark/>
                </w:tcPr>
                <w:p w14:paraId="502846F3"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single" w:sz="4" w:space="0" w:color="auto"/>
                    <w:left w:val="nil"/>
                    <w:bottom w:val="nil"/>
                    <w:right w:val="nil"/>
                  </w:tcBorders>
                  <w:shd w:val="clear" w:color="000000" w:fill="FFFFFF"/>
                  <w:noWrap/>
                  <w:vAlign w:val="center"/>
                  <w:hideMark/>
                </w:tcPr>
                <w:p w14:paraId="3436C97F"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92,698</w:t>
                  </w:r>
                </w:p>
              </w:tc>
              <w:tc>
                <w:tcPr>
                  <w:tcW w:w="279" w:type="dxa"/>
                  <w:tcBorders>
                    <w:top w:val="nil"/>
                    <w:left w:val="nil"/>
                    <w:bottom w:val="nil"/>
                    <w:right w:val="nil"/>
                  </w:tcBorders>
                  <w:shd w:val="clear" w:color="000000" w:fill="FFFFFF"/>
                  <w:noWrap/>
                  <w:vAlign w:val="center"/>
                  <w:hideMark/>
                </w:tcPr>
                <w:p w14:paraId="34DCD239"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single" w:sz="4" w:space="0" w:color="auto"/>
                    <w:left w:val="nil"/>
                    <w:bottom w:val="nil"/>
                    <w:right w:val="nil"/>
                  </w:tcBorders>
                  <w:shd w:val="clear" w:color="000000" w:fill="FFFFFF"/>
                  <w:noWrap/>
                  <w:vAlign w:val="center"/>
                  <w:hideMark/>
                </w:tcPr>
                <w:p w14:paraId="16799A51"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96,975</w:t>
                  </w:r>
                </w:p>
              </w:tc>
              <w:tc>
                <w:tcPr>
                  <w:tcW w:w="1380" w:type="dxa"/>
                  <w:tcBorders>
                    <w:top w:val="nil"/>
                    <w:left w:val="nil"/>
                    <w:bottom w:val="nil"/>
                    <w:right w:val="nil"/>
                  </w:tcBorders>
                  <w:shd w:val="clear" w:color="000000" w:fill="FFFFFF"/>
                  <w:noWrap/>
                  <w:vAlign w:val="center"/>
                  <w:hideMark/>
                </w:tcPr>
                <w:p w14:paraId="5221E573"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6A5C66E8" w14:textId="77777777" w:rsidTr="008530D9">
              <w:trPr>
                <w:trHeight w:val="243"/>
              </w:trPr>
              <w:tc>
                <w:tcPr>
                  <w:tcW w:w="3718" w:type="dxa"/>
                  <w:tcBorders>
                    <w:top w:val="nil"/>
                    <w:left w:val="nil"/>
                    <w:bottom w:val="nil"/>
                    <w:right w:val="nil"/>
                  </w:tcBorders>
                  <w:shd w:val="clear" w:color="000000" w:fill="FFFFFF"/>
                  <w:noWrap/>
                  <w:vAlign w:val="center"/>
                  <w:hideMark/>
                </w:tcPr>
                <w:p w14:paraId="49D26D96"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20" w:type="dxa"/>
                  <w:tcBorders>
                    <w:top w:val="nil"/>
                    <w:left w:val="nil"/>
                    <w:bottom w:val="nil"/>
                    <w:right w:val="nil"/>
                  </w:tcBorders>
                  <w:shd w:val="clear" w:color="000000" w:fill="FFFFFF"/>
                  <w:noWrap/>
                  <w:vAlign w:val="center"/>
                  <w:hideMark/>
                </w:tcPr>
                <w:p w14:paraId="28C2FD84"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5B848B9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06ECFE00"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4CD8F20F"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center"/>
                  <w:hideMark/>
                </w:tcPr>
                <w:p w14:paraId="39CAFBCC"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380" w:type="dxa"/>
                  <w:tcBorders>
                    <w:top w:val="nil"/>
                    <w:left w:val="nil"/>
                    <w:bottom w:val="nil"/>
                    <w:right w:val="nil"/>
                  </w:tcBorders>
                  <w:shd w:val="clear" w:color="000000" w:fill="FFFFFF"/>
                  <w:noWrap/>
                  <w:vAlign w:val="center"/>
                  <w:hideMark/>
                </w:tcPr>
                <w:p w14:paraId="3B2A8C7D"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174E607C" w14:textId="77777777" w:rsidTr="008530D9">
              <w:trPr>
                <w:trHeight w:val="243"/>
              </w:trPr>
              <w:tc>
                <w:tcPr>
                  <w:tcW w:w="3718" w:type="dxa"/>
                  <w:tcBorders>
                    <w:top w:val="nil"/>
                    <w:left w:val="nil"/>
                    <w:bottom w:val="nil"/>
                    <w:right w:val="nil"/>
                  </w:tcBorders>
                  <w:shd w:val="clear" w:color="000000" w:fill="FFFFFF"/>
                  <w:noWrap/>
                  <w:vAlign w:val="center"/>
                  <w:hideMark/>
                </w:tcPr>
                <w:p w14:paraId="75E4C7C4"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Administrative Expenses</w:t>
                  </w:r>
                </w:p>
              </w:tc>
              <w:tc>
                <w:tcPr>
                  <w:tcW w:w="1120" w:type="dxa"/>
                  <w:tcBorders>
                    <w:top w:val="nil"/>
                    <w:left w:val="nil"/>
                    <w:bottom w:val="nil"/>
                    <w:right w:val="nil"/>
                  </w:tcBorders>
                  <w:shd w:val="clear" w:color="000000" w:fill="FFFFFF"/>
                  <w:noWrap/>
                  <w:vAlign w:val="center"/>
                  <w:hideMark/>
                </w:tcPr>
                <w:p w14:paraId="64D0A336"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331235F2"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5CAC4AE5"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58C2260E"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2B3AD263"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center"/>
                  <w:hideMark/>
                </w:tcPr>
                <w:p w14:paraId="0AA5D7A4"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0251657B" w14:textId="77777777" w:rsidTr="008530D9">
              <w:trPr>
                <w:trHeight w:val="243"/>
              </w:trPr>
              <w:tc>
                <w:tcPr>
                  <w:tcW w:w="3718" w:type="dxa"/>
                  <w:tcBorders>
                    <w:top w:val="nil"/>
                    <w:left w:val="nil"/>
                    <w:bottom w:val="nil"/>
                    <w:right w:val="nil"/>
                  </w:tcBorders>
                  <w:shd w:val="clear" w:color="000000" w:fill="FFFFFF"/>
                  <w:noWrap/>
                  <w:vAlign w:val="center"/>
                  <w:hideMark/>
                </w:tcPr>
                <w:p w14:paraId="34D8277A"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Support Services</w:t>
                  </w:r>
                </w:p>
              </w:tc>
              <w:tc>
                <w:tcPr>
                  <w:tcW w:w="1120" w:type="dxa"/>
                  <w:tcBorders>
                    <w:top w:val="nil"/>
                    <w:left w:val="nil"/>
                    <w:bottom w:val="nil"/>
                    <w:right w:val="nil"/>
                  </w:tcBorders>
                  <w:shd w:val="clear" w:color="000000" w:fill="FFFFFF"/>
                  <w:noWrap/>
                  <w:vAlign w:val="center"/>
                  <w:hideMark/>
                </w:tcPr>
                <w:p w14:paraId="636F3029"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790</w:t>
                  </w:r>
                </w:p>
              </w:tc>
              <w:tc>
                <w:tcPr>
                  <w:tcW w:w="279" w:type="dxa"/>
                  <w:tcBorders>
                    <w:top w:val="nil"/>
                    <w:left w:val="nil"/>
                    <w:bottom w:val="nil"/>
                    <w:right w:val="nil"/>
                  </w:tcBorders>
                  <w:shd w:val="clear" w:color="000000" w:fill="FFFFFF"/>
                  <w:noWrap/>
                  <w:vAlign w:val="center"/>
                  <w:hideMark/>
                </w:tcPr>
                <w:p w14:paraId="3B97819E"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3E545361"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793</w:t>
                  </w:r>
                </w:p>
              </w:tc>
              <w:tc>
                <w:tcPr>
                  <w:tcW w:w="279" w:type="dxa"/>
                  <w:tcBorders>
                    <w:top w:val="nil"/>
                    <w:left w:val="nil"/>
                    <w:bottom w:val="nil"/>
                    <w:right w:val="nil"/>
                  </w:tcBorders>
                  <w:shd w:val="clear" w:color="000000" w:fill="FFFFFF"/>
                  <w:noWrap/>
                  <w:vAlign w:val="center"/>
                  <w:hideMark/>
                </w:tcPr>
                <w:p w14:paraId="440F86EE"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22B8385F"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793</w:t>
                  </w:r>
                </w:p>
              </w:tc>
              <w:tc>
                <w:tcPr>
                  <w:tcW w:w="1380" w:type="dxa"/>
                  <w:tcBorders>
                    <w:top w:val="nil"/>
                    <w:left w:val="nil"/>
                    <w:bottom w:val="nil"/>
                    <w:right w:val="nil"/>
                  </w:tcBorders>
                  <w:shd w:val="clear" w:color="000000" w:fill="FFFFFF"/>
                  <w:noWrap/>
                  <w:vAlign w:val="center"/>
                  <w:hideMark/>
                </w:tcPr>
                <w:p w14:paraId="10575B2C"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4C4BA045" w14:textId="77777777" w:rsidTr="008530D9">
              <w:trPr>
                <w:trHeight w:val="243"/>
              </w:trPr>
              <w:tc>
                <w:tcPr>
                  <w:tcW w:w="3718" w:type="dxa"/>
                  <w:tcBorders>
                    <w:top w:val="nil"/>
                    <w:left w:val="nil"/>
                    <w:bottom w:val="nil"/>
                    <w:right w:val="nil"/>
                  </w:tcBorders>
                  <w:shd w:val="clear" w:color="000000" w:fill="FFFFFF"/>
                  <w:noWrap/>
                  <w:vAlign w:val="center"/>
                  <w:hideMark/>
                </w:tcPr>
                <w:p w14:paraId="07AEBF88"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Actuarial Fees</w:t>
                  </w:r>
                </w:p>
              </w:tc>
              <w:tc>
                <w:tcPr>
                  <w:tcW w:w="1120" w:type="dxa"/>
                  <w:tcBorders>
                    <w:top w:val="nil"/>
                    <w:left w:val="nil"/>
                    <w:bottom w:val="nil"/>
                    <w:right w:val="nil"/>
                  </w:tcBorders>
                  <w:shd w:val="clear" w:color="000000" w:fill="FFFFFF"/>
                  <w:noWrap/>
                  <w:vAlign w:val="center"/>
                  <w:hideMark/>
                </w:tcPr>
                <w:p w14:paraId="55F67F73"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65</w:t>
                  </w:r>
                </w:p>
              </w:tc>
              <w:tc>
                <w:tcPr>
                  <w:tcW w:w="279" w:type="dxa"/>
                  <w:tcBorders>
                    <w:top w:val="nil"/>
                    <w:left w:val="nil"/>
                    <w:bottom w:val="nil"/>
                    <w:right w:val="nil"/>
                  </w:tcBorders>
                  <w:shd w:val="clear" w:color="000000" w:fill="FFFFFF"/>
                  <w:noWrap/>
                  <w:vAlign w:val="center"/>
                  <w:hideMark/>
                </w:tcPr>
                <w:p w14:paraId="6C8454B4"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2BB26A90"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35</w:t>
                  </w:r>
                </w:p>
              </w:tc>
              <w:tc>
                <w:tcPr>
                  <w:tcW w:w="279" w:type="dxa"/>
                  <w:tcBorders>
                    <w:top w:val="nil"/>
                    <w:left w:val="nil"/>
                    <w:bottom w:val="nil"/>
                    <w:right w:val="nil"/>
                  </w:tcBorders>
                  <w:shd w:val="clear" w:color="000000" w:fill="FFFFFF"/>
                  <w:noWrap/>
                  <w:vAlign w:val="center"/>
                  <w:hideMark/>
                </w:tcPr>
                <w:p w14:paraId="76AEE2D0"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2E4030DC"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40</w:t>
                  </w:r>
                </w:p>
              </w:tc>
              <w:tc>
                <w:tcPr>
                  <w:tcW w:w="1380" w:type="dxa"/>
                  <w:tcBorders>
                    <w:top w:val="nil"/>
                    <w:left w:val="nil"/>
                    <w:bottom w:val="nil"/>
                    <w:right w:val="nil"/>
                  </w:tcBorders>
                  <w:shd w:val="clear" w:color="000000" w:fill="FFFFFF"/>
                  <w:noWrap/>
                  <w:vAlign w:val="center"/>
                  <w:hideMark/>
                </w:tcPr>
                <w:p w14:paraId="6F9F45F4"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2DA1D374" w14:textId="77777777" w:rsidTr="008530D9">
              <w:trPr>
                <w:trHeight w:val="243"/>
              </w:trPr>
              <w:tc>
                <w:tcPr>
                  <w:tcW w:w="3718" w:type="dxa"/>
                  <w:tcBorders>
                    <w:top w:val="nil"/>
                    <w:left w:val="nil"/>
                    <w:bottom w:val="nil"/>
                    <w:right w:val="nil"/>
                  </w:tcBorders>
                  <w:shd w:val="clear" w:color="000000" w:fill="FFFFFF"/>
                  <w:noWrap/>
                  <w:vAlign w:val="bottom"/>
                  <w:hideMark/>
                </w:tcPr>
                <w:p w14:paraId="0C505003"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xml:space="preserve">    Consultancy Service</w:t>
                  </w:r>
                </w:p>
              </w:tc>
              <w:tc>
                <w:tcPr>
                  <w:tcW w:w="1120" w:type="dxa"/>
                  <w:tcBorders>
                    <w:top w:val="nil"/>
                    <w:left w:val="nil"/>
                    <w:bottom w:val="nil"/>
                    <w:right w:val="nil"/>
                  </w:tcBorders>
                  <w:shd w:val="clear" w:color="000000" w:fill="FFFFFF"/>
                  <w:noWrap/>
                  <w:vAlign w:val="bottom"/>
                  <w:hideMark/>
                </w:tcPr>
                <w:p w14:paraId="001A2782"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101</w:t>
                  </w:r>
                </w:p>
              </w:tc>
              <w:tc>
                <w:tcPr>
                  <w:tcW w:w="279" w:type="dxa"/>
                  <w:tcBorders>
                    <w:top w:val="nil"/>
                    <w:left w:val="nil"/>
                    <w:bottom w:val="nil"/>
                    <w:right w:val="nil"/>
                  </w:tcBorders>
                  <w:shd w:val="clear" w:color="000000" w:fill="FFFFFF"/>
                  <w:noWrap/>
                  <w:vAlign w:val="center"/>
                  <w:hideMark/>
                </w:tcPr>
                <w:p w14:paraId="066A6459"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bottom"/>
                  <w:hideMark/>
                </w:tcPr>
                <w:p w14:paraId="3A984DB3"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209</w:t>
                  </w:r>
                </w:p>
              </w:tc>
              <w:tc>
                <w:tcPr>
                  <w:tcW w:w="279" w:type="dxa"/>
                  <w:tcBorders>
                    <w:top w:val="nil"/>
                    <w:left w:val="nil"/>
                    <w:bottom w:val="nil"/>
                    <w:right w:val="nil"/>
                  </w:tcBorders>
                  <w:shd w:val="clear" w:color="000000" w:fill="FFFFFF"/>
                  <w:noWrap/>
                  <w:vAlign w:val="center"/>
                  <w:hideMark/>
                </w:tcPr>
                <w:p w14:paraId="7FE9AA0B"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422D7623"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200</w:t>
                  </w:r>
                </w:p>
              </w:tc>
              <w:tc>
                <w:tcPr>
                  <w:tcW w:w="1380" w:type="dxa"/>
                  <w:tcBorders>
                    <w:top w:val="nil"/>
                    <w:left w:val="nil"/>
                    <w:bottom w:val="nil"/>
                    <w:right w:val="nil"/>
                  </w:tcBorders>
                  <w:shd w:val="clear" w:color="000000" w:fill="FFFFFF"/>
                  <w:noWrap/>
                  <w:vAlign w:val="center"/>
                  <w:hideMark/>
                </w:tcPr>
                <w:p w14:paraId="6519E638"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111060AC" w14:textId="77777777" w:rsidTr="008530D9">
              <w:trPr>
                <w:trHeight w:val="243"/>
              </w:trPr>
              <w:tc>
                <w:tcPr>
                  <w:tcW w:w="3718" w:type="dxa"/>
                  <w:tcBorders>
                    <w:top w:val="nil"/>
                    <w:left w:val="nil"/>
                    <w:bottom w:val="nil"/>
                    <w:right w:val="nil"/>
                  </w:tcBorders>
                  <w:shd w:val="clear" w:color="000000" w:fill="FFFFFF"/>
                  <w:noWrap/>
                  <w:vAlign w:val="center"/>
                  <w:hideMark/>
                </w:tcPr>
                <w:p w14:paraId="3439CC34"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External Audit Fees</w:t>
                  </w:r>
                </w:p>
              </w:tc>
              <w:tc>
                <w:tcPr>
                  <w:tcW w:w="1120" w:type="dxa"/>
                  <w:tcBorders>
                    <w:top w:val="nil"/>
                    <w:left w:val="nil"/>
                    <w:bottom w:val="nil"/>
                    <w:right w:val="nil"/>
                  </w:tcBorders>
                  <w:shd w:val="clear" w:color="000000" w:fill="FFFFFF"/>
                  <w:noWrap/>
                  <w:vAlign w:val="center"/>
                  <w:hideMark/>
                </w:tcPr>
                <w:p w14:paraId="285BB02C"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43</w:t>
                  </w:r>
                </w:p>
              </w:tc>
              <w:tc>
                <w:tcPr>
                  <w:tcW w:w="279" w:type="dxa"/>
                  <w:tcBorders>
                    <w:top w:val="nil"/>
                    <w:left w:val="nil"/>
                    <w:bottom w:val="nil"/>
                    <w:right w:val="nil"/>
                  </w:tcBorders>
                  <w:shd w:val="clear" w:color="000000" w:fill="FFFFFF"/>
                  <w:noWrap/>
                  <w:vAlign w:val="center"/>
                  <w:hideMark/>
                </w:tcPr>
                <w:p w14:paraId="6082542F"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02E484DE"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44</w:t>
                  </w:r>
                </w:p>
              </w:tc>
              <w:tc>
                <w:tcPr>
                  <w:tcW w:w="279" w:type="dxa"/>
                  <w:tcBorders>
                    <w:top w:val="nil"/>
                    <w:left w:val="nil"/>
                    <w:bottom w:val="nil"/>
                    <w:right w:val="nil"/>
                  </w:tcBorders>
                  <w:shd w:val="clear" w:color="000000" w:fill="FFFFFF"/>
                  <w:noWrap/>
                  <w:vAlign w:val="center"/>
                  <w:hideMark/>
                </w:tcPr>
                <w:p w14:paraId="13C9DA72"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41CDF7D2"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44</w:t>
                  </w:r>
                </w:p>
              </w:tc>
              <w:tc>
                <w:tcPr>
                  <w:tcW w:w="1380" w:type="dxa"/>
                  <w:tcBorders>
                    <w:top w:val="nil"/>
                    <w:left w:val="nil"/>
                    <w:bottom w:val="nil"/>
                    <w:right w:val="nil"/>
                  </w:tcBorders>
                  <w:shd w:val="clear" w:color="000000" w:fill="FFFFFF"/>
                  <w:noWrap/>
                  <w:vAlign w:val="center"/>
                  <w:hideMark/>
                </w:tcPr>
                <w:p w14:paraId="15A90ACF"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0C02930E" w14:textId="77777777" w:rsidTr="008530D9">
              <w:trPr>
                <w:trHeight w:val="243"/>
              </w:trPr>
              <w:tc>
                <w:tcPr>
                  <w:tcW w:w="3718" w:type="dxa"/>
                  <w:tcBorders>
                    <w:top w:val="nil"/>
                    <w:left w:val="nil"/>
                    <w:bottom w:val="nil"/>
                    <w:right w:val="nil"/>
                  </w:tcBorders>
                  <w:shd w:val="clear" w:color="000000" w:fill="FFFFFF"/>
                  <w:noWrap/>
                  <w:vAlign w:val="center"/>
                  <w:hideMark/>
                </w:tcPr>
                <w:p w14:paraId="3C59662D"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Performance Monitoring Fees</w:t>
                  </w:r>
                </w:p>
              </w:tc>
              <w:tc>
                <w:tcPr>
                  <w:tcW w:w="1120" w:type="dxa"/>
                  <w:tcBorders>
                    <w:top w:val="nil"/>
                    <w:left w:val="nil"/>
                    <w:bottom w:val="nil"/>
                    <w:right w:val="nil"/>
                  </w:tcBorders>
                  <w:shd w:val="clear" w:color="000000" w:fill="FFFFFF"/>
                  <w:noWrap/>
                  <w:vAlign w:val="center"/>
                  <w:hideMark/>
                </w:tcPr>
                <w:p w14:paraId="4CB18EF5"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14</w:t>
                  </w:r>
                </w:p>
              </w:tc>
              <w:tc>
                <w:tcPr>
                  <w:tcW w:w="279" w:type="dxa"/>
                  <w:tcBorders>
                    <w:top w:val="nil"/>
                    <w:left w:val="nil"/>
                    <w:bottom w:val="nil"/>
                    <w:right w:val="nil"/>
                  </w:tcBorders>
                  <w:shd w:val="clear" w:color="000000" w:fill="FFFFFF"/>
                  <w:noWrap/>
                  <w:vAlign w:val="center"/>
                  <w:hideMark/>
                </w:tcPr>
                <w:p w14:paraId="52C63933"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198D3E75"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6</w:t>
                  </w:r>
                </w:p>
              </w:tc>
              <w:tc>
                <w:tcPr>
                  <w:tcW w:w="279" w:type="dxa"/>
                  <w:tcBorders>
                    <w:top w:val="nil"/>
                    <w:left w:val="nil"/>
                    <w:bottom w:val="nil"/>
                    <w:right w:val="nil"/>
                  </w:tcBorders>
                  <w:shd w:val="clear" w:color="000000" w:fill="FFFFFF"/>
                  <w:noWrap/>
                  <w:vAlign w:val="center"/>
                  <w:hideMark/>
                </w:tcPr>
                <w:p w14:paraId="5AA1DBAE"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0E757F80"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6</w:t>
                  </w:r>
                </w:p>
              </w:tc>
              <w:tc>
                <w:tcPr>
                  <w:tcW w:w="1380" w:type="dxa"/>
                  <w:tcBorders>
                    <w:top w:val="nil"/>
                    <w:left w:val="nil"/>
                    <w:bottom w:val="nil"/>
                    <w:right w:val="nil"/>
                  </w:tcBorders>
                  <w:shd w:val="clear" w:color="000000" w:fill="FFFFFF"/>
                  <w:noWrap/>
                  <w:vAlign w:val="center"/>
                  <w:hideMark/>
                </w:tcPr>
                <w:p w14:paraId="4CA90A72"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2A12553C" w14:textId="77777777" w:rsidTr="008530D9">
              <w:trPr>
                <w:trHeight w:val="243"/>
              </w:trPr>
              <w:tc>
                <w:tcPr>
                  <w:tcW w:w="3718" w:type="dxa"/>
                  <w:tcBorders>
                    <w:top w:val="nil"/>
                    <w:left w:val="nil"/>
                    <w:bottom w:val="nil"/>
                    <w:right w:val="nil"/>
                  </w:tcBorders>
                  <w:shd w:val="clear" w:color="000000" w:fill="FFFFFF"/>
                  <w:noWrap/>
                  <w:vAlign w:val="center"/>
                  <w:hideMark/>
                </w:tcPr>
                <w:p w14:paraId="59D0392E"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Printing &amp; Publications</w:t>
                  </w:r>
                </w:p>
              </w:tc>
              <w:tc>
                <w:tcPr>
                  <w:tcW w:w="1120" w:type="dxa"/>
                  <w:tcBorders>
                    <w:top w:val="nil"/>
                    <w:left w:val="nil"/>
                    <w:bottom w:val="nil"/>
                    <w:right w:val="nil"/>
                  </w:tcBorders>
                  <w:shd w:val="clear" w:color="000000" w:fill="FFFFFF"/>
                  <w:noWrap/>
                  <w:vAlign w:val="center"/>
                  <w:hideMark/>
                </w:tcPr>
                <w:p w14:paraId="242E8349"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8</w:t>
                  </w:r>
                </w:p>
              </w:tc>
              <w:tc>
                <w:tcPr>
                  <w:tcW w:w="279" w:type="dxa"/>
                  <w:tcBorders>
                    <w:top w:val="nil"/>
                    <w:left w:val="nil"/>
                    <w:bottom w:val="nil"/>
                    <w:right w:val="nil"/>
                  </w:tcBorders>
                  <w:shd w:val="clear" w:color="000000" w:fill="FFFFFF"/>
                  <w:noWrap/>
                  <w:vAlign w:val="center"/>
                  <w:hideMark/>
                </w:tcPr>
                <w:p w14:paraId="276F5EB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76923C9E"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17</w:t>
                  </w:r>
                </w:p>
              </w:tc>
              <w:tc>
                <w:tcPr>
                  <w:tcW w:w="279" w:type="dxa"/>
                  <w:tcBorders>
                    <w:top w:val="nil"/>
                    <w:left w:val="nil"/>
                    <w:bottom w:val="nil"/>
                    <w:right w:val="nil"/>
                  </w:tcBorders>
                  <w:shd w:val="clear" w:color="000000" w:fill="FFFFFF"/>
                  <w:noWrap/>
                  <w:vAlign w:val="center"/>
                  <w:hideMark/>
                </w:tcPr>
                <w:p w14:paraId="632C6FEF"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3ACF0B73"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17</w:t>
                  </w:r>
                </w:p>
              </w:tc>
              <w:tc>
                <w:tcPr>
                  <w:tcW w:w="1380" w:type="dxa"/>
                  <w:tcBorders>
                    <w:top w:val="nil"/>
                    <w:left w:val="nil"/>
                    <w:bottom w:val="nil"/>
                    <w:right w:val="nil"/>
                  </w:tcBorders>
                  <w:shd w:val="clear" w:color="000000" w:fill="FFFFFF"/>
                  <w:noWrap/>
                  <w:vAlign w:val="center"/>
                  <w:hideMark/>
                </w:tcPr>
                <w:p w14:paraId="33F71CA2"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4975FCE5" w14:textId="77777777" w:rsidTr="008530D9">
              <w:trPr>
                <w:trHeight w:val="243"/>
              </w:trPr>
              <w:tc>
                <w:tcPr>
                  <w:tcW w:w="3718" w:type="dxa"/>
                  <w:tcBorders>
                    <w:top w:val="nil"/>
                    <w:left w:val="nil"/>
                    <w:bottom w:val="nil"/>
                    <w:right w:val="nil"/>
                  </w:tcBorders>
                  <w:shd w:val="clear" w:color="000000" w:fill="FFFFFF"/>
                  <w:noWrap/>
                  <w:vAlign w:val="center"/>
                  <w:hideMark/>
                </w:tcPr>
                <w:p w14:paraId="1C5CA53B"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Software Licences</w:t>
                  </w:r>
                </w:p>
              </w:tc>
              <w:tc>
                <w:tcPr>
                  <w:tcW w:w="1120" w:type="dxa"/>
                  <w:tcBorders>
                    <w:top w:val="nil"/>
                    <w:left w:val="nil"/>
                    <w:bottom w:val="nil"/>
                    <w:right w:val="nil"/>
                  </w:tcBorders>
                  <w:shd w:val="clear" w:color="000000" w:fill="FFFFFF"/>
                  <w:noWrap/>
                  <w:vAlign w:val="center"/>
                  <w:hideMark/>
                </w:tcPr>
                <w:p w14:paraId="293B9862"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262</w:t>
                  </w:r>
                </w:p>
              </w:tc>
              <w:tc>
                <w:tcPr>
                  <w:tcW w:w="279" w:type="dxa"/>
                  <w:tcBorders>
                    <w:top w:val="nil"/>
                    <w:left w:val="nil"/>
                    <w:bottom w:val="nil"/>
                    <w:right w:val="nil"/>
                  </w:tcBorders>
                  <w:shd w:val="clear" w:color="000000" w:fill="FFFFFF"/>
                  <w:noWrap/>
                  <w:vAlign w:val="center"/>
                  <w:hideMark/>
                </w:tcPr>
                <w:p w14:paraId="6E51BA2C"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50600A44"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253</w:t>
                  </w:r>
                </w:p>
              </w:tc>
              <w:tc>
                <w:tcPr>
                  <w:tcW w:w="279" w:type="dxa"/>
                  <w:tcBorders>
                    <w:top w:val="nil"/>
                    <w:left w:val="nil"/>
                    <w:bottom w:val="nil"/>
                    <w:right w:val="nil"/>
                  </w:tcBorders>
                  <w:shd w:val="clear" w:color="000000" w:fill="FFFFFF"/>
                  <w:noWrap/>
                  <w:vAlign w:val="center"/>
                  <w:hideMark/>
                </w:tcPr>
                <w:p w14:paraId="0F76BC48"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5921C702"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255</w:t>
                  </w:r>
                </w:p>
              </w:tc>
              <w:tc>
                <w:tcPr>
                  <w:tcW w:w="1380" w:type="dxa"/>
                  <w:tcBorders>
                    <w:top w:val="nil"/>
                    <w:left w:val="nil"/>
                    <w:bottom w:val="nil"/>
                    <w:right w:val="nil"/>
                  </w:tcBorders>
                  <w:shd w:val="clear" w:color="000000" w:fill="FFFFFF"/>
                  <w:noWrap/>
                  <w:vAlign w:val="center"/>
                  <w:hideMark/>
                </w:tcPr>
                <w:p w14:paraId="7FDC820C"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3E2DF2FD" w14:textId="77777777" w:rsidTr="008530D9">
              <w:trPr>
                <w:trHeight w:val="243"/>
              </w:trPr>
              <w:tc>
                <w:tcPr>
                  <w:tcW w:w="3718" w:type="dxa"/>
                  <w:tcBorders>
                    <w:top w:val="nil"/>
                    <w:left w:val="nil"/>
                    <w:bottom w:val="nil"/>
                    <w:right w:val="nil"/>
                  </w:tcBorders>
                  <w:shd w:val="clear" w:color="000000" w:fill="FFFFFF"/>
                  <w:noWrap/>
                  <w:vAlign w:val="center"/>
                  <w:hideMark/>
                </w:tcPr>
                <w:p w14:paraId="4E73C4D1"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Membership Fees</w:t>
                  </w:r>
                </w:p>
              </w:tc>
              <w:tc>
                <w:tcPr>
                  <w:tcW w:w="1120" w:type="dxa"/>
                  <w:tcBorders>
                    <w:top w:val="nil"/>
                    <w:left w:val="nil"/>
                    <w:bottom w:val="nil"/>
                    <w:right w:val="nil"/>
                  </w:tcBorders>
                  <w:shd w:val="clear" w:color="000000" w:fill="FFFFFF"/>
                  <w:noWrap/>
                  <w:vAlign w:val="center"/>
                  <w:hideMark/>
                </w:tcPr>
                <w:p w14:paraId="4A5267C8"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30</w:t>
                  </w:r>
                </w:p>
              </w:tc>
              <w:tc>
                <w:tcPr>
                  <w:tcW w:w="279" w:type="dxa"/>
                  <w:tcBorders>
                    <w:top w:val="nil"/>
                    <w:left w:val="nil"/>
                    <w:bottom w:val="nil"/>
                    <w:right w:val="nil"/>
                  </w:tcBorders>
                  <w:shd w:val="clear" w:color="000000" w:fill="FFFFFF"/>
                  <w:noWrap/>
                  <w:vAlign w:val="center"/>
                  <w:hideMark/>
                </w:tcPr>
                <w:p w14:paraId="56644609"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5FDFB410"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35</w:t>
                  </w:r>
                </w:p>
              </w:tc>
              <w:tc>
                <w:tcPr>
                  <w:tcW w:w="279" w:type="dxa"/>
                  <w:tcBorders>
                    <w:top w:val="nil"/>
                    <w:left w:val="nil"/>
                    <w:bottom w:val="nil"/>
                    <w:right w:val="nil"/>
                  </w:tcBorders>
                  <w:shd w:val="clear" w:color="000000" w:fill="FFFFFF"/>
                  <w:noWrap/>
                  <w:vAlign w:val="center"/>
                  <w:hideMark/>
                </w:tcPr>
                <w:p w14:paraId="240BC020"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71D65E31"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35</w:t>
                  </w:r>
                </w:p>
              </w:tc>
              <w:tc>
                <w:tcPr>
                  <w:tcW w:w="1380" w:type="dxa"/>
                  <w:tcBorders>
                    <w:top w:val="nil"/>
                    <w:left w:val="nil"/>
                    <w:bottom w:val="nil"/>
                    <w:right w:val="nil"/>
                  </w:tcBorders>
                  <w:shd w:val="clear" w:color="000000" w:fill="FFFFFF"/>
                  <w:noWrap/>
                  <w:vAlign w:val="center"/>
                  <w:hideMark/>
                </w:tcPr>
                <w:p w14:paraId="47E88472"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0F08A3D1" w14:textId="77777777" w:rsidTr="008530D9">
              <w:trPr>
                <w:trHeight w:val="243"/>
              </w:trPr>
              <w:tc>
                <w:tcPr>
                  <w:tcW w:w="3718" w:type="dxa"/>
                  <w:tcBorders>
                    <w:top w:val="nil"/>
                    <w:left w:val="nil"/>
                    <w:bottom w:val="nil"/>
                    <w:right w:val="nil"/>
                  </w:tcBorders>
                  <w:shd w:val="clear" w:color="000000" w:fill="FFFFFF"/>
                  <w:noWrap/>
                  <w:vAlign w:val="center"/>
                  <w:hideMark/>
                </w:tcPr>
                <w:p w14:paraId="03CFAB21"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Legal Fees</w:t>
                  </w:r>
                </w:p>
              </w:tc>
              <w:tc>
                <w:tcPr>
                  <w:tcW w:w="1120" w:type="dxa"/>
                  <w:tcBorders>
                    <w:top w:val="nil"/>
                    <w:left w:val="nil"/>
                    <w:bottom w:val="nil"/>
                    <w:right w:val="nil"/>
                  </w:tcBorders>
                  <w:shd w:val="clear" w:color="000000" w:fill="FFFFFF"/>
                  <w:noWrap/>
                  <w:vAlign w:val="center"/>
                  <w:hideMark/>
                </w:tcPr>
                <w:p w14:paraId="50E4D4F3"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22</w:t>
                  </w:r>
                </w:p>
              </w:tc>
              <w:tc>
                <w:tcPr>
                  <w:tcW w:w="279" w:type="dxa"/>
                  <w:tcBorders>
                    <w:top w:val="nil"/>
                    <w:left w:val="nil"/>
                    <w:bottom w:val="nil"/>
                    <w:right w:val="nil"/>
                  </w:tcBorders>
                  <w:shd w:val="clear" w:color="000000" w:fill="FFFFFF"/>
                  <w:noWrap/>
                  <w:vAlign w:val="center"/>
                  <w:hideMark/>
                </w:tcPr>
                <w:p w14:paraId="75CA3E73"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6ACAA940"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18</w:t>
                  </w:r>
                </w:p>
              </w:tc>
              <w:tc>
                <w:tcPr>
                  <w:tcW w:w="279" w:type="dxa"/>
                  <w:tcBorders>
                    <w:top w:val="nil"/>
                    <w:left w:val="nil"/>
                    <w:bottom w:val="nil"/>
                    <w:right w:val="nil"/>
                  </w:tcBorders>
                  <w:shd w:val="clear" w:color="000000" w:fill="FFFFFF"/>
                  <w:noWrap/>
                  <w:vAlign w:val="center"/>
                  <w:hideMark/>
                </w:tcPr>
                <w:p w14:paraId="7BCBF69B"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5AC089F9"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20</w:t>
                  </w:r>
                </w:p>
              </w:tc>
              <w:tc>
                <w:tcPr>
                  <w:tcW w:w="1380" w:type="dxa"/>
                  <w:tcBorders>
                    <w:top w:val="nil"/>
                    <w:left w:val="nil"/>
                    <w:bottom w:val="nil"/>
                    <w:right w:val="nil"/>
                  </w:tcBorders>
                  <w:shd w:val="clear" w:color="000000" w:fill="FFFFFF"/>
                  <w:noWrap/>
                  <w:vAlign w:val="center"/>
                  <w:hideMark/>
                </w:tcPr>
                <w:p w14:paraId="277A046D"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08208ADB" w14:textId="77777777" w:rsidTr="008530D9">
              <w:trPr>
                <w:trHeight w:val="243"/>
              </w:trPr>
              <w:tc>
                <w:tcPr>
                  <w:tcW w:w="3718" w:type="dxa"/>
                  <w:tcBorders>
                    <w:top w:val="nil"/>
                    <w:left w:val="nil"/>
                    <w:bottom w:val="nil"/>
                    <w:right w:val="nil"/>
                  </w:tcBorders>
                  <w:shd w:val="clear" w:color="000000" w:fill="FFFFFF"/>
                  <w:noWrap/>
                  <w:vAlign w:val="center"/>
                  <w:hideMark/>
                </w:tcPr>
                <w:p w14:paraId="598130B6"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Other</w:t>
                  </w:r>
                </w:p>
              </w:tc>
              <w:tc>
                <w:tcPr>
                  <w:tcW w:w="1120" w:type="dxa"/>
                  <w:tcBorders>
                    <w:top w:val="nil"/>
                    <w:left w:val="nil"/>
                    <w:bottom w:val="nil"/>
                    <w:right w:val="nil"/>
                  </w:tcBorders>
                  <w:shd w:val="clear" w:color="000000" w:fill="FFFFFF"/>
                  <w:noWrap/>
                  <w:vAlign w:val="center"/>
                  <w:hideMark/>
                </w:tcPr>
                <w:p w14:paraId="4C36A144"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94</w:t>
                  </w:r>
                </w:p>
              </w:tc>
              <w:tc>
                <w:tcPr>
                  <w:tcW w:w="279" w:type="dxa"/>
                  <w:tcBorders>
                    <w:top w:val="nil"/>
                    <w:left w:val="nil"/>
                    <w:bottom w:val="nil"/>
                    <w:right w:val="nil"/>
                  </w:tcBorders>
                  <w:shd w:val="clear" w:color="000000" w:fill="FFFFFF"/>
                  <w:noWrap/>
                  <w:vAlign w:val="center"/>
                  <w:hideMark/>
                </w:tcPr>
                <w:p w14:paraId="66D57DC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274801FB"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36</w:t>
                  </w:r>
                </w:p>
              </w:tc>
              <w:tc>
                <w:tcPr>
                  <w:tcW w:w="279" w:type="dxa"/>
                  <w:tcBorders>
                    <w:top w:val="nil"/>
                    <w:left w:val="nil"/>
                    <w:bottom w:val="nil"/>
                    <w:right w:val="nil"/>
                  </w:tcBorders>
                  <w:shd w:val="clear" w:color="000000" w:fill="FFFFFF"/>
                  <w:noWrap/>
                  <w:vAlign w:val="center"/>
                  <w:hideMark/>
                </w:tcPr>
                <w:p w14:paraId="1080D23A"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390DBEF5"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40</w:t>
                  </w:r>
                </w:p>
              </w:tc>
              <w:tc>
                <w:tcPr>
                  <w:tcW w:w="1380" w:type="dxa"/>
                  <w:tcBorders>
                    <w:top w:val="nil"/>
                    <w:left w:val="nil"/>
                    <w:bottom w:val="nil"/>
                    <w:right w:val="nil"/>
                  </w:tcBorders>
                  <w:shd w:val="clear" w:color="000000" w:fill="FFFFFF"/>
                  <w:noWrap/>
                  <w:vAlign w:val="center"/>
                  <w:hideMark/>
                </w:tcPr>
                <w:p w14:paraId="5F638635"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7FFBEA9A" w14:textId="77777777" w:rsidTr="008530D9">
              <w:trPr>
                <w:trHeight w:val="243"/>
              </w:trPr>
              <w:tc>
                <w:tcPr>
                  <w:tcW w:w="3718" w:type="dxa"/>
                  <w:tcBorders>
                    <w:top w:val="nil"/>
                    <w:left w:val="nil"/>
                    <w:bottom w:val="nil"/>
                    <w:right w:val="nil"/>
                  </w:tcBorders>
                  <w:shd w:val="clear" w:color="000000" w:fill="FFFFFF"/>
                  <w:noWrap/>
                  <w:vAlign w:val="center"/>
                  <w:hideMark/>
                </w:tcPr>
                <w:p w14:paraId="637BA0BD"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Pension Fund Committee</w:t>
                  </w:r>
                </w:p>
              </w:tc>
              <w:tc>
                <w:tcPr>
                  <w:tcW w:w="1120" w:type="dxa"/>
                  <w:tcBorders>
                    <w:top w:val="nil"/>
                    <w:left w:val="nil"/>
                    <w:bottom w:val="nil"/>
                    <w:right w:val="nil"/>
                  </w:tcBorders>
                  <w:shd w:val="clear" w:color="000000" w:fill="FFFFFF"/>
                  <w:noWrap/>
                  <w:vAlign w:val="center"/>
                  <w:hideMark/>
                </w:tcPr>
                <w:p w14:paraId="18D260CF"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w:t>
                  </w:r>
                </w:p>
              </w:tc>
              <w:tc>
                <w:tcPr>
                  <w:tcW w:w="279" w:type="dxa"/>
                  <w:tcBorders>
                    <w:top w:val="nil"/>
                    <w:left w:val="nil"/>
                    <w:bottom w:val="nil"/>
                    <w:right w:val="nil"/>
                  </w:tcBorders>
                  <w:shd w:val="clear" w:color="000000" w:fill="FFFFFF"/>
                  <w:noWrap/>
                  <w:vAlign w:val="center"/>
                  <w:hideMark/>
                </w:tcPr>
                <w:p w14:paraId="59D89920"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657735BE"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w:t>
                  </w:r>
                </w:p>
              </w:tc>
              <w:tc>
                <w:tcPr>
                  <w:tcW w:w="279" w:type="dxa"/>
                  <w:tcBorders>
                    <w:top w:val="nil"/>
                    <w:left w:val="nil"/>
                    <w:bottom w:val="nil"/>
                    <w:right w:val="nil"/>
                  </w:tcBorders>
                  <w:shd w:val="clear" w:color="000000" w:fill="FFFFFF"/>
                  <w:noWrap/>
                  <w:vAlign w:val="center"/>
                  <w:hideMark/>
                </w:tcPr>
                <w:p w14:paraId="2955A10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55104032"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w:t>
                  </w:r>
                </w:p>
              </w:tc>
              <w:tc>
                <w:tcPr>
                  <w:tcW w:w="1380" w:type="dxa"/>
                  <w:tcBorders>
                    <w:top w:val="nil"/>
                    <w:left w:val="nil"/>
                    <w:bottom w:val="nil"/>
                    <w:right w:val="nil"/>
                  </w:tcBorders>
                  <w:shd w:val="clear" w:color="000000" w:fill="FFFFFF"/>
                  <w:noWrap/>
                  <w:vAlign w:val="center"/>
                  <w:hideMark/>
                </w:tcPr>
                <w:p w14:paraId="6B7B9B26"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76830C5B" w14:textId="77777777" w:rsidTr="008530D9">
              <w:trPr>
                <w:trHeight w:val="243"/>
              </w:trPr>
              <w:tc>
                <w:tcPr>
                  <w:tcW w:w="3718" w:type="dxa"/>
                  <w:tcBorders>
                    <w:top w:val="nil"/>
                    <w:left w:val="nil"/>
                    <w:bottom w:val="nil"/>
                    <w:right w:val="nil"/>
                  </w:tcBorders>
                  <w:shd w:val="clear" w:color="000000" w:fill="FFFFFF"/>
                  <w:noWrap/>
                  <w:vAlign w:val="center"/>
                  <w:hideMark/>
                </w:tcPr>
                <w:p w14:paraId="7E640210"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Pension Board</w:t>
                  </w:r>
                </w:p>
              </w:tc>
              <w:tc>
                <w:tcPr>
                  <w:tcW w:w="1120" w:type="dxa"/>
                  <w:tcBorders>
                    <w:top w:val="nil"/>
                    <w:left w:val="nil"/>
                    <w:bottom w:val="nil"/>
                    <w:right w:val="nil"/>
                  </w:tcBorders>
                  <w:shd w:val="clear" w:color="000000" w:fill="FFFFFF"/>
                  <w:noWrap/>
                  <w:vAlign w:val="center"/>
                  <w:hideMark/>
                </w:tcPr>
                <w:p w14:paraId="5DB02436"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w:t>
                  </w:r>
                </w:p>
              </w:tc>
              <w:tc>
                <w:tcPr>
                  <w:tcW w:w="279" w:type="dxa"/>
                  <w:tcBorders>
                    <w:top w:val="nil"/>
                    <w:left w:val="nil"/>
                    <w:bottom w:val="nil"/>
                    <w:right w:val="nil"/>
                  </w:tcBorders>
                  <w:shd w:val="clear" w:color="000000" w:fill="FFFFFF"/>
                  <w:noWrap/>
                  <w:vAlign w:val="center"/>
                  <w:hideMark/>
                </w:tcPr>
                <w:p w14:paraId="496A03F5"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0326ADC4"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w:t>
                  </w:r>
                </w:p>
              </w:tc>
              <w:tc>
                <w:tcPr>
                  <w:tcW w:w="279" w:type="dxa"/>
                  <w:tcBorders>
                    <w:top w:val="nil"/>
                    <w:left w:val="nil"/>
                    <w:bottom w:val="nil"/>
                    <w:right w:val="nil"/>
                  </w:tcBorders>
                  <w:shd w:val="clear" w:color="000000" w:fill="FFFFFF"/>
                  <w:noWrap/>
                  <w:vAlign w:val="center"/>
                  <w:hideMark/>
                </w:tcPr>
                <w:p w14:paraId="7DE4F0EC"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52FB7AD5"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w:t>
                  </w:r>
                </w:p>
              </w:tc>
              <w:tc>
                <w:tcPr>
                  <w:tcW w:w="1380" w:type="dxa"/>
                  <w:tcBorders>
                    <w:top w:val="nil"/>
                    <w:left w:val="nil"/>
                    <w:bottom w:val="nil"/>
                    <w:right w:val="nil"/>
                  </w:tcBorders>
                  <w:shd w:val="clear" w:color="000000" w:fill="FFFFFF"/>
                  <w:noWrap/>
                  <w:vAlign w:val="center"/>
                  <w:hideMark/>
                </w:tcPr>
                <w:p w14:paraId="14A419EB"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176C6C4B" w14:textId="77777777" w:rsidTr="008530D9">
              <w:trPr>
                <w:trHeight w:val="243"/>
              </w:trPr>
              <w:tc>
                <w:tcPr>
                  <w:tcW w:w="3718" w:type="dxa"/>
                  <w:tcBorders>
                    <w:top w:val="nil"/>
                    <w:left w:val="nil"/>
                    <w:bottom w:val="nil"/>
                    <w:right w:val="nil"/>
                  </w:tcBorders>
                  <w:shd w:val="clear" w:color="000000" w:fill="FFFFFF"/>
                  <w:noWrap/>
                  <w:vAlign w:val="center"/>
                  <w:hideMark/>
                </w:tcPr>
                <w:p w14:paraId="1C7E03E9"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Training</w:t>
                  </w:r>
                </w:p>
              </w:tc>
              <w:tc>
                <w:tcPr>
                  <w:tcW w:w="1120" w:type="dxa"/>
                  <w:tcBorders>
                    <w:top w:val="nil"/>
                    <w:left w:val="nil"/>
                    <w:bottom w:val="nil"/>
                    <w:right w:val="nil"/>
                  </w:tcBorders>
                  <w:shd w:val="clear" w:color="000000" w:fill="FFFFFF"/>
                  <w:noWrap/>
                  <w:vAlign w:val="center"/>
                  <w:hideMark/>
                </w:tcPr>
                <w:p w14:paraId="2968B712"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10</w:t>
                  </w:r>
                </w:p>
              </w:tc>
              <w:tc>
                <w:tcPr>
                  <w:tcW w:w="279" w:type="dxa"/>
                  <w:tcBorders>
                    <w:top w:val="nil"/>
                    <w:left w:val="nil"/>
                    <w:bottom w:val="nil"/>
                    <w:right w:val="nil"/>
                  </w:tcBorders>
                  <w:shd w:val="clear" w:color="000000" w:fill="FFFFFF"/>
                  <w:noWrap/>
                  <w:vAlign w:val="center"/>
                  <w:hideMark/>
                </w:tcPr>
                <w:p w14:paraId="3143F493"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170A6660"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5</w:t>
                  </w:r>
                </w:p>
              </w:tc>
              <w:tc>
                <w:tcPr>
                  <w:tcW w:w="279" w:type="dxa"/>
                  <w:tcBorders>
                    <w:top w:val="nil"/>
                    <w:left w:val="nil"/>
                    <w:bottom w:val="nil"/>
                    <w:right w:val="nil"/>
                  </w:tcBorders>
                  <w:shd w:val="clear" w:color="000000" w:fill="FFFFFF"/>
                  <w:noWrap/>
                  <w:vAlign w:val="center"/>
                  <w:hideMark/>
                </w:tcPr>
                <w:p w14:paraId="0506227B"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57658599"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5</w:t>
                  </w:r>
                </w:p>
              </w:tc>
              <w:tc>
                <w:tcPr>
                  <w:tcW w:w="1380" w:type="dxa"/>
                  <w:tcBorders>
                    <w:top w:val="nil"/>
                    <w:left w:val="nil"/>
                    <w:bottom w:val="nil"/>
                    <w:right w:val="nil"/>
                  </w:tcBorders>
                  <w:shd w:val="clear" w:color="000000" w:fill="FFFFFF"/>
                  <w:noWrap/>
                  <w:vAlign w:val="center"/>
                  <w:hideMark/>
                </w:tcPr>
                <w:p w14:paraId="6CC33245"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1614E830" w14:textId="77777777" w:rsidTr="008530D9">
              <w:trPr>
                <w:trHeight w:val="243"/>
              </w:trPr>
              <w:tc>
                <w:tcPr>
                  <w:tcW w:w="3718" w:type="dxa"/>
                  <w:tcBorders>
                    <w:top w:val="nil"/>
                    <w:left w:val="nil"/>
                    <w:bottom w:val="nil"/>
                    <w:right w:val="nil"/>
                  </w:tcBorders>
                  <w:shd w:val="clear" w:color="000000" w:fill="FFFFFF"/>
                  <w:noWrap/>
                  <w:vAlign w:val="center"/>
                  <w:hideMark/>
                </w:tcPr>
                <w:p w14:paraId="35832A06"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Wales Pension Partnership Fees</w:t>
                  </w:r>
                </w:p>
              </w:tc>
              <w:tc>
                <w:tcPr>
                  <w:tcW w:w="1120" w:type="dxa"/>
                  <w:tcBorders>
                    <w:top w:val="nil"/>
                    <w:left w:val="nil"/>
                    <w:bottom w:val="nil"/>
                    <w:right w:val="nil"/>
                  </w:tcBorders>
                  <w:shd w:val="clear" w:color="000000" w:fill="FFFFFF"/>
                  <w:noWrap/>
                  <w:vAlign w:val="center"/>
                  <w:hideMark/>
                </w:tcPr>
                <w:p w14:paraId="03F00B8A"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88</w:t>
                  </w:r>
                </w:p>
              </w:tc>
              <w:tc>
                <w:tcPr>
                  <w:tcW w:w="279" w:type="dxa"/>
                  <w:tcBorders>
                    <w:top w:val="nil"/>
                    <w:left w:val="nil"/>
                    <w:bottom w:val="nil"/>
                    <w:right w:val="nil"/>
                  </w:tcBorders>
                  <w:shd w:val="clear" w:color="000000" w:fill="FFFFFF"/>
                  <w:noWrap/>
                  <w:vAlign w:val="center"/>
                  <w:hideMark/>
                </w:tcPr>
                <w:p w14:paraId="2AF75B11"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6E6D5BE9"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135</w:t>
                  </w:r>
                </w:p>
              </w:tc>
              <w:tc>
                <w:tcPr>
                  <w:tcW w:w="279" w:type="dxa"/>
                  <w:tcBorders>
                    <w:top w:val="nil"/>
                    <w:left w:val="nil"/>
                    <w:bottom w:val="nil"/>
                    <w:right w:val="nil"/>
                  </w:tcBorders>
                  <w:shd w:val="clear" w:color="000000" w:fill="FFFFFF"/>
                  <w:noWrap/>
                  <w:vAlign w:val="center"/>
                  <w:hideMark/>
                </w:tcPr>
                <w:p w14:paraId="746BF772"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6D00CFB7"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135</w:t>
                  </w:r>
                </w:p>
              </w:tc>
              <w:tc>
                <w:tcPr>
                  <w:tcW w:w="1380" w:type="dxa"/>
                  <w:tcBorders>
                    <w:top w:val="nil"/>
                    <w:left w:val="nil"/>
                    <w:bottom w:val="nil"/>
                    <w:right w:val="nil"/>
                  </w:tcBorders>
                  <w:shd w:val="clear" w:color="000000" w:fill="FFFFFF"/>
                  <w:noWrap/>
                  <w:vAlign w:val="center"/>
                  <w:hideMark/>
                </w:tcPr>
                <w:p w14:paraId="532D90B2"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10EBAC1F" w14:textId="77777777" w:rsidTr="008530D9">
              <w:trPr>
                <w:trHeight w:val="243"/>
              </w:trPr>
              <w:tc>
                <w:tcPr>
                  <w:tcW w:w="3718" w:type="dxa"/>
                  <w:tcBorders>
                    <w:top w:val="nil"/>
                    <w:left w:val="nil"/>
                    <w:bottom w:val="nil"/>
                    <w:right w:val="nil"/>
                  </w:tcBorders>
                  <w:shd w:val="clear" w:color="000000" w:fill="FFFFFF"/>
                  <w:noWrap/>
                  <w:vAlign w:val="center"/>
                  <w:hideMark/>
                </w:tcPr>
                <w:p w14:paraId="3B1C4604"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20" w:type="dxa"/>
                  <w:tcBorders>
                    <w:top w:val="single" w:sz="4" w:space="0" w:color="auto"/>
                    <w:left w:val="nil"/>
                    <w:bottom w:val="nil"/>
                    <w:right w:val="nil"/>
                  </w:tcBorders>
                  <w:shd w:val="clear" w:color="000000" w:fill="FFFFFF"/>
                  <w:noWrap/>
                  <w:vAlign w:val="center"/>
                  <w:hideMark/>
                </w:tcPr>
                <w:p w14:paraId="46B6D35B"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1,533</w:t>
                  </w:r>
                </w:p>
              </w:tc>
              <w:tc>
                <w:tcPr>
                  <w:tcW w:w="279" w:type="dxa"/>
                  <w:tcBorders>
                    <w:top w:val="nil"/>
                    <w:left w:val="nil"/>
                    <w:bottom w:val="nil"/>
                    <w:right w:val="nil"/>
                  </w:tcBorders>
                  <w:shd w:val="clear" w:color="000000" w:fill="FFFFFF"/>
                  <w:noWrap/>
                  <w:vAlign w:val="center"/>
                  <w:hideMark/>
                </w:tcPr>
                <w:p w14:paraId="6ED723F8"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single" w:sz="4" w:space="0" w:color="auto"/>
                    <w:left w:val="nil"/>
                    <w:bottom w:val="nil"/>
                    <w:right w:val="nil"/>
                  </w:tcBorders>
                  <w:shd w:val="clear" w:color="000000" w:fill="FFFFFF"/>
                  <w:noWrap/>
                  <w:vAlign w:val="center"/>
                  <w:hideMark/>
                </w:tcPr>
                <w:p w14:paraId="4E8BE019"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1,592</w:t>
                  </w:r>
                </w:p>
              </w:tc>
              <w:tc>
                <w:tcPr>
                  <w:tcW w:w="279" w:type="dxa"/>
                  <w:tcBorders>
                    <w:top w:val="nil"/>
                    <w:left w:val="nil"/>
                    <w:bottom w:val="nil"/>
                    <w:right w:val="nil"/>
                  </w:tcBorders>
                  <w:shd w:val="clear" w:color="000000" w:fill="FFFFFF"/>
                  <w:noWrap/>
                  <w:vAlign w:val="center"/>
                  <w:hideMark/>
                </w:tcPr>
                <w:p w14:paraId="6720F46C"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single" w:sz="4" w:space="0" w:color="auto"/>
                    <w:left w:val="nil"/>
                    <w:bottom w:val="nil"/>
                    <w:right w:val="nil"/>
                  </w:tcBorders>
                  <w:shd w:val="clear" w:color="000000" w:fill="FFFFFF"/>
                  <w:noWrap/>
                  <w:vAlign w:val="center"/>
                  <w:hideMark/>
                </w:tcPr>
                <w:p w14:paraId="764DCF2A"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1,596</w:t>
                  </w:r>
                </w:p>
              </w:tc>
              <w:tc>
                <w:tcPr>
                  <w:tcW w:w="1380" w:type="dxa"/>
                  <w:tcBorders>
                    <w:top w:val="nil"/>
                    <w:left w:val="nil"/>
                    <w:bottom w:val="nil"/>
                    <w:right w:val="nil"/>
                  </w:tcBorders>
                  <w:shd w:val="clear" w:color="000000" w:fill="FFFFFF"/>
                  <w:noWrap/>
                  <w:vAlign w:val="center"/>
                  <w:hideMark/>
                </w:tcPr>
                <w:p w14:paraId="221168BC"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3AB06839" w14:textId="77777777" w:rsidTr="008530D9">
              <w:trPr>
                <w:trHeight w:val="243"/>
              </w:trPr>
              <w:tc>
                <w:tcPr>
                  <w:tcW w:w="3718" w:type="dxa"/>
                  <w:tcBorders>
                    <w:top w:val="nil"/>
                    <w:left w:val="nil"/>
                    <w:bottom w:val="nil"/>
                    <w:right w:val="nil"/>
                  </w:tcBorders>
                  <w:shd w:val="clear" w:color="000000" w:fill="FFFFFF"/>
                  <w:noWrap/>
                  <w:vAlign w:val="center"/>
                  <w:hideMark/>
                </w:tcPr>
                <w:p w14:paraId="3C36E11A"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20" w:type="dxa"/>
                  <w:tcBorders>
                    <w:top w:val="nil"/>
                    <w:left w:val="nil"/>
                    <w:bottom w:val="nil"/>
                    <w:right w:val="nil"/>
                  </w:tcBorders>
                  <w:shd w:val="clear" w:color="000000" w:fill="FFFFFF"/>
                  <w:noWrap/>
                  <w:vAlign w:val="center"/>
                  <w:hideMark/>
                </w:tcPr>
                <w:p w14:paraId="206672FF"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15565E3B"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2D69BCC0"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4C7AD7E2"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1FB8D38B"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center"/>
                  <w:hideMark/>
                </w:tcPr>
                <w:p w14:paraId="10983831"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r>
            <w:tr w:rsidR="003F3E04" w:rsidRPr="003F3E04" w14:paraId="0F5F5ABD" w14:textId="77777777" w:rsidTr="008530D9">
              <w:trPr>
                <w:trHeight w:val="243"/>
              </w:trPr>
              <w:tc>
                <w:tcPr>
                  <w:tcW w:w="3718" w:type="dxa"/>
                  <w:tcBorders>
                    <w:top w:val="nil"/>
                    <w:left w:val="nil"/>
                    <w:bottom w:val="nil"/>
                    <w:right w:val="nil"/>
                  </w:tcBorders>
                  <w:shd w:val="clear" w:color="000000" w:fill="FFFFFF"/>
                  <w:noWrap/>
                  <w:vAlign w:val="center"/>
                  <w:hideMark/>
                </w:tcPr>
                <w:p w14:paraId="1C9B23EF"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Investment Expenses</w:t>
                  </w:r>
                </w:p>
              </w:tc>
              <w:tc>
                <w:tcPr>
                  <w:tcW w:w="1120" w:type="dxa"/>
                  <w:tcBorders>
                    <w:top w:val="nil"/>
                    <w:left w:val="nil"/>
                    <w:bottom w:val="nil"/>
                    <w:right w:val="nil"/>
                  </w:tcBorders>
                  <w:shd w:val="clear" w:color="000000" w:fill="FFFFFF"/>
                  <w:noWrap/>
                  <w:vAlign w:val="center"/>
                  <w:hideMark/>
                </w:tcPr>
                <w:p w14:paraId="06BE3768"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4A60515E"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center"/>
                  <w:hideMark/>
                </w:tcPr>
                <w:p w14:paraId="6C1E7304"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279" w:type="dxa"/>
                  <w:tcBorders>
                    <w:top w:val="nil"/>
                    <w:left w:val="nil"/>
                    <w:bottom w:val="nil"/>
                    <w:right w:val="nil"/>
                  </w:tcBorders>
                  <w:shd w:val="clear" w:color="000000" w:fill="FFFFFF"/>
                  <w:noWrap/>
                  <w:vAlign w:val="center"/>
                  <w:hideMark/>
                </w:tcPr>
                <w:p w14:paraId="672F418F"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1AF2F460"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7595D027"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r>
            <w:tr w:rsidR="003F3E04" w:rsidRPr="003F3E04" w14:paraId="5DDEAA1A" w14:textId="77777777" w:rsidTr="008530D9">
              <w:trPr>
                <w:trHeight w:val="231"/>
              </w:trPr>
              <w:tc>
                <w:tcPr>
                  <w:tcW w:w="3718" w:type="dxa"/>
                  <w:tcBorders>
                    <w:top w:val="nil"/>
                    <w:left w:val="nil"/>
                    <w:bottom w:val="nil"/>
                    <w:right w:val="nil"/>
                  </w:tcBorders>
                  <w:shd w:val="clear" w:color="000000" w:fill="FFFFFF"/>
                  <w:noWrap/>
                  <w:vAlign w:val="center"/>
                  <w:hideMark/>
                </w:tcPr>
                <w:p w14:paraId="5828ADCB"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Management Fees</w:t>
                  </w:r>
                </w:p>
              </w:tc>
              <w:tc>
                <w:tcPr>
                  <w:tcW w:w="1120" w:type="dxa"/>
                  <w:tcBorders>
                    <w:top w:val="nil"/>
                    <w:left w:val="nil"/>
                    <w:bottom w:val="nil"/>
                    <w:right w:val="nil"/>
                  </w:tcBorders>
                  <w:shd w:val="clear" w:color="000000" w:fill="FFFFFF"/>
                  <w:noWrap/>
                  <w:vAlign w:val="center"/>
                  <w:hideMark/>
                </w:tcPr>
                <w:p w14:paraId="2BA03A3C"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4,887</w:t>
                  </w:r>
                </w:p>
              </w:tc>
              <w:tc>
                <w:tcPr>
                  <w:tcW w:w="279" w:type="dxa"/>
                  <w:tcBorders>
                    <w:top w:val="nil"/>
                    <w:left w:val="nil"/>
                    <w:bottom w:val="nil"/>
                    <w:right w:val="nil"/>
                  </w:tcBorders>
                  <w:shd w:val="clear" w:color="000000" w:fill="FFFFFF"/>
                  <w:noWrap/>
                  <w:vAlign w:val="center"/>
                  <w:hideMark/>
                </w:tcPr>
                <w:p w14:paraId="3CE6E271"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bottom"/>
                  <w:hideMark/>
                </w:tcPr>
                <w:p w14:paraId="0089F04E"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5,894</w:t>
                  </w:r>
                </w:p>
              </w:tc>
              <w:tc>
                <w:tcPr>
                  <w:tcW w:w="279" w:type="dxa"/>
                  <w:tcBorders>
                    <w:top w:val="nil"/>
                    <w:left w:val="nil"/>
                    <w:bottom w:val="nil"/>
                    <w:right w:val="nil"/>
                  </w:tcBorders>
                  <w:shd w:val="clear" w:color="000000" w:fill="FFFFFF"/>
                  <w:noWrap/>
                  <w:vAlign w:val="center"/>
                  <w:hideMark/>
                </w:tcPr>
                <w:p w14:paraId="46D49F5A"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65F21051"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6,000</w:t>
                  </w:r>
                </w:p>
              </w:tc>
              <w:tc>
                <w:tcPr>
                  <w:tcW w:w="1380" w:type="dxa"/>
                  <w:tcBorders>
                    <w:top w:val="nil"/>
                    <w:left w:val="nil"/>
                    <w:bottom w:val="nil"/>
                    <w:right w:val="nil"/>
                  </w:tcBorders>
                  <w:shd w:val="clear" w:color="000000" w:fill="FFFFFF"/>
                  <w:noWrap/>
                  <w:vAlign w:val="bottom"/>
                  <w:hideMark/>
                </w:tcPr>
                <w:p w14:paraId="1268E9D1"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r>
            <w:tr w:rsidR="003F3E04" w:rsidRPr="003F3E04" w14:paraId="2C364003" w14:textId="77777777" w:rsidTr="008530D9">
              <w:trPr>
                <w:trHeight w:val="231"/>
              </w:trPr>
              <w:tc>
                <w:tcPr>
                  <w:tcW w:w="3718" w:type="dxa"/>
                  <w:tcBorders>
                    <w:top w:val="nil"/>
                    <w:left w:val="nil"/>
                    <w:bottom w:val="nil"/>
                    <w:right w:val="nil"/>
                  </w:tcBorders>
                  <w:shd w:val="clear" w:color="000000" w:fill="FFFFFF"/>
                  <w:noWrap/>
                  <w:vAlign w:val="center"/>
                  <w:hideMark/>
                </w:tcPr>
                <w:p w14:paraId="4230839B"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Performance Fees</w:t>
                  </w:r>
                </w:p>
              </w:tc>
              <w:tc>
                <w:tcPr>
                  <w:tcW w:w="1120" w:type="dxa"/>
                  <w:tcBorders>
                    <w:top w:val="nil"/>
                    <w:left w:val="nil"/>
                    <w:bottom w:val="nil"/>
                    <w:right w:val="nil"/>
                  </w:tcBorders>
                  <w:shd w:val="clear" w:color="000000" w:fill="FFFFFF"/>
                  <w:noWrap/>
                  <w:vAlign w:val="center"/>
                  <w:hideMark/>
                </w:tcPr>
                <w:p w14:paraId="5A35BB2E"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5,197</w:t>
                  </w:r>
                </w:p>
              </w:tc>
              <w:tc>
                <w:tcPr>
                  <w:tcW w:w="279" w:type="dxa"/>
                  <w:tcBorders>
                    <w:top w:val="nil"/>
                    <w:left w:val="nil"/>
                    <w:bottom w:val="nil"/>
                    <w:right w:val="nil"/>
                  </w:tcBorders>
                  <w:shd w:val="clear" w:color="000000" w:fill="FFFFFF"/>
                  <w:noWrap/>
                  <w:vAlign w:val="center"/>
                  <w:hideMark/>
                </w:tcPr>
                <w:p w14:paraId="5A5AC6C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bottom"/>
                  <w:hideMark/>
                </w:tcPr>
                <w:p w14:paraId="6789804F"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5,710</w:t>
                  </w:r>
                </w:p>
              </w:tc>
              <w:tc>
                <w:tcPr>
                  <w:tcW w:w="279" w:type="dxa"/>
                  <w:tcBorders>
                    <w:top w:val="nil"/>
                    <w:left w:val="nil"/>
                    <w:bottom w:val="nil"/>
                    <w:right w:val="nil"/>
                  </w:tcBorders>
                  <w:shd w:val="clear" w:color="000000" w:fill="FFFFFF"/>
                  <w:noWrap/>
                  <w:vAlign w:val="center"/>
                  <w:hideMark/>
                </w:tcPr>
                <w:p w14:paraId="210C4EB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70355BAF"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6,000</w:t>
                  </w:r>
                </w:p>
              </w:tc>
              <w:tc>
                <w:tcPr>
                  <w:tcW w:w="1380" w:type="dxa"/>
                  <w:tcBorders>
                    <w:top w:val="nil"/>
                    <w:left w:val="nil"/>
                    <w:bottom w:val="nil"/>
                    <w:right w:val="nil"/>
                  </w:tcBorders>
                  <w:shd w:val="clear" w:color="000000" w:fill="FFFFFF"/>
                  <w:noWrap/>
                  <w:vAlign w:val="bottom"/>
                  <w:hideMark/>
                </w:tcPr>
                <w:p w14:paraId="4A0B3D2A"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r>
            <w:tr w:rsidR="003F3E04" w:rsidRPr="003F3E04" w14:paraId="57921806" w14:textId="77777777" w:rsidTr="008530D9">
              <w:trPr>
                <w:trHeight w:val="231"/>
              </w:trPr>
              <w:tc>
                <w:tcPr>
                  <w:tcW w:w="3718" w:type="dxa"/>
                  <w:tcBorders>
                    <w:top w:val="nil"/>
                    <w:left w:val="nil"/>
                    <w:bottom w:val="nil"/>
                    <w:right w:val="nil"/>
                  </w:tcBorders>
                  <w:shd w:val="clear" w:color="000000" w:fill="FFFFFF"/>
                  <w:noWrap/>
                  <w:vAlign w:val="center"/>
                  <w:hideMark/>
                </w:tcPr>
                <w:p w14:paraId="38427F11"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Custody Fees</w:t>
                  </w:r>
                </w:p>
              </w:tc>
              <w:tc>
                <w:tcPr>
                  <w:tcW w:w="1120" w:type="dxa"/>
                  <w:tcBorders>
                    <w:top w:val="nil"/>
                    <w:left w:val="nil"/>
                    <w:bottom w:val="nil"/>
                    <w:right w:val="nil"/>
                  </w:tcBorders>
                  <w:shd w:val="clear" w:color="000000" w:fill="FFFFFF"/>
                  <w:noWrap/>
                  <w:vAlign w:val="center"/>
                  <w:hideMark/>
                </w:tcPr>
                <w:p w14:paraId="6A11900E"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266</w:t>
                  </w:r>
                </w:p>
              </w:tc>
              <w:tc>
                <w:tcPr>
                  <w:tcW w:w="279" w:type="dxa"/>
                  <w:tcBorders>
                    <w:top w:val="nil"/>
                    <w:left w:val="nil"/>
                    <w:bottom w:val="nil"/>
                    <w:right w:val="nil"/>
                  </w:tcBorders>
                  <w:shd w:val="clear" w:color="000000" w:fill="FFFFFF"/>
                  <w:noWrap/>
                  <w:vAlign w:val="center"/>
                  <w:hideMark/>
                </w:tcPr>
                <w:p w14:paraId="3ED063F8"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bottom"/>
                  <w:hideMark/>
                </w:tcPr>
                <w:p w14:paraId="5B97F6BC"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284</w:t>
                  </w:r>
                </w:p>
              </w:tc>
              <w:tc>
                <w:tcPr>
                  <w:tcW w:w="279" w:type="dxa"/>
                  <w:tcBorders>
                    <w:top w:val="nil"/>
                    <w:left w:val="nil"/>
                    <w:bottom w:val="nil"/>
                    <w:right w:val="nil"/>
                  </w:tcBorders>
                  <w:shd w:val="clear" w:color="000000" w:fill="FFFFFF"/>
                  <w:noWrap/>
                  <w:vAlign w:val="center"/>
                  <w:hideMark/>
                </w:tcPr>
                <w:p w14:paraId="6FE17BBC"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3854DBA6"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300</w:t>
                  </w:r>
                </w:p>
              </w:tc>
              <w:tc>
                <w:tcPr>
                  <w:tcW w:w="1380" w:type="dxa"/>
                  <w:tcBorders>
                    <w:top w:val="nil"/>
                    <w:left w:val="nil"/>
                    <w:bottom w:val="nil"/>
                    <w:right w:val="nil"/>
                  </w:tcBorders>
                  <w:shd w:val="clear" w:color="000000" w:fill="FFFFFF"/>
                  <w:noWrap/>
                  <w:vAlign w:val="bottom"/>
                  <w:hideMark/>
                </w:tcPr>
                <w:p w14:paraId="2A7B4EFD"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r>
            <w:tr w:rsidR="003F3E04" w:rsidRPr="003F3E04" w14:paraId="3E955EF2" w14:textId="77777777" w:rsidTr="008530D9">
              <w:trPr>
                <w:trHeight w:val="231"/>
              </w:trPr>
              <w:tc>
                <w:tcPr>
                  <w:tcW w:w="3718" w:type="dxa"/>
                  <w:tcBorders>
                    <w:top w:val="nil"/>
                    <w:left w:val="nil"/>
                    <w:bottom w:val="nil"/>
                    <w:right w:val="nil"/>
                  </w:tcBorders>
                  <w:shd w:val="clear" w:color="000000" w:fill="FFFFFF"/>
                  <w:noWrap/>
                  <w:vAlign w:val="center"/>
                  <w:hideMark/>
                </w:tcPr>
                <w:p w14:paraId="1AB08F66" w14:textId="77777777" w:rsidR="003F3E04" w:rsidRPr="003F3E04" w:rsidRDefault="003F3E04" w:rsidP="003F3E04">
                  <w:pPr>
                    <w:ind w:firstLineChars="100" w:firstLine="180"/>
                    <w:rPr>
                      <w:rFonts w:ascii="Arial" w:hAnsi="Arial" w:cs="Arial"/>
                      <w:color w:val="000000"/>
                      <w:sz w:val="18"/>
                      <w:szCs w:val="18"/>
                      <w:lang w:eastAsia="en-GB"/>
                    </w:rPr>
                  </w:pPr>
                  <w:r w:rsidRPr="003F3E04">
                    <w:rPr>
                      <w:rFonts w:ascii="Arial" w:hAnsi="Arial" w:cs="Arial"/>
                      <w:color w:val="000000"/>
                      <w:sz w:val="18"/>
                      <w:szCs w:val="18"/>
                      <w:lang w:eastAsia="en-GB"/>
                    </w:rPr>
                    <w:t>Transaction Costs</w:t>
                  </w:r>
                </w:p>
              </w:tc>
              <w:tc>
                <w:tcPr>
                  <w:tcW w:w="1120" w:type="dxa"/>
                  <w:tcBorders>
                    <w:top w:val="nil"/>
                    <w:left w:val="nil"/>
                    <w:bottom w:val="nil"/>
                    <w:right w:val="nil"/>
                  </w:tcBorders>
                  <w:shd w:val="clear" w:color="000000" w:fill="FFFFFF"/>
                  <w:noWrap/>
                  <w:vAlign w:val="center"/>
                  <w:hideMark/>
                </w:tcPr>
                <w:p w14:paraId="027A0125"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1,631</w:t>
                  </w:r>
                </w:p>
              </w:tc>
              <w:tc>
                <w:tcPr>
                  <w:tcW w:w="279" w:type="dxa"/>
                  <w:tcBorders>
                    <w:top w:val="nil"/>
                    <w:left w:val="nil"/>
                    <w:bottom w:val="nil"/>
                    <w:right w:val="nil"/>
                  </w:tcBorders>
                  <w:shd w:val="clear" w:color="000000" w:fill="FFFFFF"/>
                  <w:noWrap/>
                  <w:vAlign w:val="center"/>
                  <w:hideMark/>
                </w:tcPr>
                <w:p w14:paraId="1D8A87B0"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bottom"/>
                  <w:hideMark/>
                </w:tcPr>
                <w:p w14:paraId="66843AF6"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3,064</w:t>
                  </w:r>
                </w:p>
              </w:tc>
              <w:tc>
                <w:tcPr>
                  <w:tcW w:w="279" w:type="dxa"/>
                  <w:tcBorders>
                    <w:top w:val="nil"/>
                    <w:left w:val="nil"/>
                    <w:bottom w:val="nil"/>
                    <w:right w:val="nil"/>
                  </w:tcBorders>
                  <w:shd w:val="clear" w:color="000000" w:fill="FFFFFF"/>
                  <w:noWrap/>
                  <w:vAlign w:val="center"/>
                  <w:hideMark/>
                </w:tcPr>
                <w:p w14:paraId="79D6DFE8"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4358C0BD" w14:textId="77777777" w:rsidR="003F3E04" w:rsidRPr="003F3E04" w:rsidRDefault="003F3E04" w:rsidP="003F3E04">
                  <w:pPr>
                    <w:jc w:val="right"/>
                    <w:rPr>
                      <w:rFonts w:ascii="Arial" w:hAnsi="Arial" w:cs="Arial"/>
                      <w:color w:val="000000"/>
                      <w:sz w:val="18"/>
                      <w:szCs w:val="18"/>
                      <w:lang w:eastAsia="en-GB"/>
                    </w:rPr>
                  </w:pPr>
                  <w:r w:rsidRPr="003F3E04">
                    <w:rPr>
                      <w:rFonts w:ascii="Arial" w:hAnsi="Arial" w:cs="Arial"/>
                      <w:color w:val="000000"/>
                      <w:sz w:val="18"/>
                      <w:szCs w:val="18"/>
                      <w:lang w:eastAsia="en-GB"/>
                    </w:rPr>
                    <w:t>3,000</w:t>
                  </w:r>
                </w:p>
              </w:tc>
              <w:tc>
                <w:tcPr>
                  <w:tcW w:w="1380" w:type="dxa"/>
                  <w:tcBorders>
                    <w:top w:val="nil"/>
                    <w:left w:val="nil"/>
                    <w:bottom w:val="nil"/>
                    <w:right w:val="nil"/>
                  </w:tcBorders>
                  <w:shd w:val="clear" w:color="000000" w:fill="FFFFFF"/>
                  <w:noWrap/>
                  <w:vAlign w:val="bottom"/>
                  <w:hideMark/>
                </w:tcPr>
                <w:p w14:paraId="3EE6FD6F"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r>
            <w:tr w:rsidR="003F3E04" w:rsidRPr="003F3E04" w14:paraId="32DC125C" w14:textId="77777777" w:rsidTr="008530D9">
              <w:trPr>
                <w:trHeight w:val="243"/>
              </w:trPr>
              <w:tc>
                <w:tcPr>
                  <w:tcW w:w="3718" w:type="dxa"/>
                  <w:tcBorders>
                    <w:top w:val="nil"/>
                    <w:left w:val="nil"/>
                    <w:bottom w:val="nil"/>
                    <w:right w:val="nil"/>
                  </w:tcBorders>
                  <w:shd w:val="clear" w:color="000000" w:fill="FFFFFF"/>
                  <w:noWrap/>
                  <w:vAlign w:val="bottom"/>
                  <w:hideMark/>
                </w:tcPr>
                <w:p w14:paraId="036838AB"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20" w:type="dxa"/>
                  <w:tcBorders>
                    <w:top w:val="single" w:sz="4" w:space="0" w:color="auto"/>
                    <w:left w:val="nil"/>
                    <w:bottom w:val="nil"/>
                    <w:right w:val="nil"/>
                  </w:tcBorders>
                  <w:shd w:val="clear" w:color="000000" w:fill="FFFFFF"/>
                  <w:noWrap/>
                  <w:vAlign w:val="bottom"/>
                  <w:hideMark/>
                </w:tcPr>
                <w:p w14:paraId="5052A7ED"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11,981</w:t>
                  </w:r>
                </w:p>
              </w:tc>
              <w:tc>
                <w:tcPr>
                  <w:tcW w:w="279" w:type="dxa"/>
                  <w:tcBorders>
                    <w:top w:val="single" w:sz="4" w:space="0" w:color="auto"/>
                    <w:left w:val="nil"/>
                    <w:bottom w:val="nil"/>
                    <w:right w:val="nil"/>
                  </w:tcBorders>
                  <w:shd w:val="clear" w:color="000000" w:fill="FFFFFF"/>
                  <w:noWrap/>
                  <w:vAlign w:val="bottom"/>
                  <w:hideMark/>
                </w:tcPr>
                <w:p w14:paraId="0E010498"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108" w:type="dxa"/>
                  <w:tcBorders>
                    <w:top w:val="single" w:sz="4" w:space="0" w:color="auto"/>
                    <w:left w:val="nil"/>
                    <w:bottom w:val="nil"/>
                    <w:right w:val="nil"/>
                  </w:tcBorders>
                  <w:shd w:val="clear" w:color="000000" w:fill="FFFFFF"/>
                  <w:noWrap/>
                  <w:vAlign w:val="bottom"/>
                  <w:hideMark/>
                </w:tcPr>
                <w:p w14:paraId="5819F85C"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14,952</w:t>
                  </w:r>
                </w:p>
              </w:tc>
              <w:tc>
                <w:tcPr>
                  <w:tcW w:w="279" w:type="dxa"/>
                  <w:tcBorders>
                    <w:top w:val="single" w:sz="4" w:space="0" w:color="auto"/>
                    <w:left w:val="nil"/>
                    <w:bottom w:val="nil"/>
                    <w:right w:val="nil"/>
                  </w:tcBorders>
                  <w:shd w:val="clear" w:color="000000" w:fill="FFFFFF"/>
                  <w:noWrap/>
                  <w:vAlign w:val="bottom"/>
                  <w:hideMark/>
                </w:tcPr>
                <w:p w14:paraId="7759C3A6" w14:textId="77777777" w:rsidR="003F3E04" w:rsidRPr="003F3E04" w:rsidRDefault="003F3E04" w:rsidP="003F3E04">
                  <w:pPr>
                    <w:rPr>
                      <w:rFonts w:ascii="Arial" w:hAnsi="Arial" w:cs="Arial"/>
                      <w:b/>
                      <w:bCs/>
                      <w:color w:val="000000"/>
                      <w:sz w:val="18"/>
                      <w:szCs w:val="18"/>
                      <w:lang w:eastAsia="en-GB"/>
                    </w:rPr>
                  </w:pPr>
                  <w:r w:rsidRPr="003F3E04">
                    <w:rPr>
                      <w:rFonts w:ascii="Arial" w:hAnsi="Arial" w:cs="Arial"/>
                      <w:b/>
                      <w:bCs/>
                      <w:color w:val="000000"/>
                      <w:sz w:val="18"/>
                      <w:szCs w:val="18"/>
                      <w:lang w:eastAsia="en-GB"/>
                    </w:rPr>
                    <w:t> </w:t>
                  </w:r>
                </w:p>
              </w:tc>
              <w:tc>
                <w:tcPr>
                  <w:tcW w:w="1380" w:type="dxa"/>
                  <w:tcBorders>
                    <w:top w:val="single" w:sz="4" w:space="0" w:color="auto"/>
                    <w:left w:val="nil"/>
                    <w:bottom w:val="nil"/>
                    <w:right w:val="nil"/>
                  </w:tcBorders>
                  <w:shd w:val="clear" w:color="000000" w:fill="FFFFFF"/>
                  <w:noWrap/>
                  <w:vAlign w:val="bottom"/>
                  <w:hideMark/>
                </w:tcPr>
                <w:p w14:paraId="49B3BC87" w14:textId="77777777" w:rsidR="003F3E04" w:rsidRPr="003F3E04" w:rsidRDefault="003F3E04" w:rsidP="003F3E04">
                  <w:pPr>
                    <w:jc w:val="right"/>
                    <w:rPr>
                      <w:rFonts w:ascii="Arial" w:hAnsi="Arial" w:cs="Arial"/>
                      <w:b/>
                      <w:bCs/>
                      <w:color w:val="000000"/>
                      <w:sz w:val="18"/>
                      <w:szCs w:val="18"/>
                      <w:lang w:eastAsia="en-GB"/>
                    </w:rPr>
                  </w:pPr>
                  <w:r w:rsidRPr="003F3E04">
                    <w:rPr>
                      <w:rFonts w:ascii="Arial" w:hAnsi="Arial" w:cs="Arial"/>
                      <w:b/>
                      <w:bCs/>
                      <w:color w:val="000000"/>
                      <w:sz w:val="18"/>
                      <w:szCs w:val="18"/>
                      <w:lang w:eastAsia="en-GB"/>
                    </w:rPr>
                    <w:t>15,300</w:t>
                  </w:r>
                </w:p>
              </w:tc>
              <w:tc>
                <w:tcPr>
                  <w:tcW w:w="1380" w:type="dxa"/>
                  <w:tcBorders>
                    <w:top w:val="nil"/>
                    <w:left w:val="nil"/>
                    <w:bottom w:val="nil"/>
                    <w:right w:val="nil"/>
                  </w:tcBorders>
                  <w:shd w:val="clear" w:color="000000" w:fill="FFFFFF"/>
                  <w:noWrap/>
                  <w:vAlign w:val="bottom"/>
                  <w:hideMark/>
                </w:tcPr>
                <w:p w14:paraId="0F545F63"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r>
            <w:tr w:rsidR="003F3E04" w:rsidRPr="003F3E04" w14:paraId="1BE1D999" w14:textId="77777777" w:rsidTr="008530D9">
              <w:trPr>
                <w:trHeight w:val="231"/>
              </w:trPr>
              <w:tc>
                <w:tcPr>
                  <w:tcW w:w="3718" w:type="dxa"/>
                  <w:tcBorders>
                    <w:top w:val="nil"/>
                    <w:left w:val="nil"/>
                    <w:bottom w:val="nil"/>
                    <w:right w:val="nil"/>
                  </w:tcBorders>
                  <w:shd w:val="clear" w:color="000000" w:fill="FFFFFF"/>
                  <w:noWrap/>
                  <w:vAlign w:val="bottom"/>
                  <w:hideMark/>
                </w:tcPr>
                <w:p w14:paraId="3FB93282"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lastRenderedPageBreak/>
                    <w:t> </w:t>
                  </w:r>
                </w:p>
              </w:tc>
              <w:tc>
                <w:tcPr>
                  <w:tcW w:w="1120" w:type="dxa"/>
                  <w:tcBorders>
                    <w:top w:val="nil"/>
                    <w:left w:val="nil"/>
                    <w:bottom w:val="nil"/>
                    <w:right w:val="nil"/>
                  </w:tcBorders>
                  <w:shd w:val="clear" w:color="000000" w:fill="FFFFFF"/>
                  <w:noWrap/>
                  <w:vAlign w:val="bottom"/>
                  <w:hideMark/>
                </w:tcPr>
                <w:p w14:paraId="3ED36BF6"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279" w:type="dxa"/>
                  <w:tcBorders>
                    <w:top w:val="nil"/>
                    <w:left w:val="nil"/>
                    <w:bottom w:val="nil"/>
                    <w:right w:val="nil"/>
                  </w:tcBorders>
                  <w:shd w:val="clear" w:color="000000" w:fill="FFFFFF"/>
                  <w:noWrap/>
                  <w:vAlign w:val="bottom"/>
                  <w:hideMark/>
                </w:tcPr>
                <w:p w14:paraId="4FE181D3"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108" w:type="dxa"/>
                  <w:tcBorders>
                    <w:top w:val="nil"/>
                    <w:left w:val="nil"/>
                    <w:bottom w:val="nil"/>
                    <w:right w:val="nil"/>
                  </w:tcBorders>
                  <w:shd w:val="clear" w:color="000000" w:fill="FFFFFF"/>
                  <w:noWrap/>
                  <w:vAlign w:val="bottom"/>
                  <w:hideMark/>
                </w:tcPr>
                <w:p w14:paraId="193E641B"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279" w:type="dxa"/>
                  <w:tcBorders>
                    <w:top w:val="nil"/>
                    <w:left w:val="nil"/>
                    <w:bottom w:val="nil"/>
                    <w:right w:val="nil"/>
                  </w:tcBorders>
                  <w:shd w:val="clear" w:color="000000" w:fill="FFFFFF"/>
                  <w:noWrap/>
                  <w:vAlign w:val="bottom"/>
                  <w:hideMark/>
                </w:tcPr>
                <w:p w14:paraId="09931B3B"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6B885B7B"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c>
                <w:tcPr>
                  <w:tcW w:w="1380" w:type="dxa"/>
                  <w:tcBorders>
                    <w:top w:val="nil"/>
                    <w:left w:val="nil"/>
                    <w:bottom w:val="nil"/>
                    <w:right w:val="nil"/>
                  </w:tcBorders>
                  <w:shd w:val="clear" w:color="000000" w:fill="FFFFFF"/>
                  <w:noWrap/>
                  <w:vAlign w:val="bottom"/>
                  <w:hideMark/>
                </w:tcPr>
                <w:p w14:paraId="692A6E99" w14:textId="77777777" w:rsidR="003F3E04" w:rsidRPr="003F3E04" w:rsidRDefault="003F3E04" w:rsidP="003F3E04">
                  <w:pPr>
                    <w:rPr>
                      <w:rFonts w:ascii="Arial" w:hAnsi="Arial" w:cs="Arial"/>
                      <w:color w:val="000000"/>
                      <w:sz w:val="18"/>
                      <w:szCs w:val="18"/>
                      <w:lang w:eastAsia="en-GB"/>
                    </w:rPr>
                  </w:pPr>
                  <w:r w:rsidRPr="003F3E04">
                    <w:rPr>
                      <w:rFonts w:ascii="Arial" w:hAnsi="Arial" w:cs="Arial"/>
                      <w:color w:val="000000"/>
                      <w:sz w:val="18"/>
                      <w:szCs w:val="18"/>
                      <w:lang w:eastAsia="en-GB"/>
                    </w:rPr>
                    <w:t> </w:t>
                  </w:r>
                </w:p>
              </w:tc>
            </w:tr>
          </w:tbl>
          <w:p w14:paraId="42657948" w14:textId="77777777" w:rsidR="00554F63" w:rsidRPr="00835D4F" w:rsidRDefault="00554F63" w:rsidP="00962E5A">
            <w:pPr>
              <w:jc w:val="both"/>
              <w:rPr>
                <w:rFonts w:ascii="Arial" w:hAnsi="Arial" w:cs="Arial"/>
                <w:b/>
                <w:bCs/>
                <w:color w:val="000000"/>
                <w:sz w:val="24"/>
                <w:szCs w:val="24"/>
              </w:rPr>
            </w:pPr>
          </w:p>
        </w:tc>
        <w:tc>
          <w:tcPr>
            <w:tcW w:w="1482" w:type="dxa"/>
            <w:tcBorders>
              <w:top w:val="nil"/>
              <w:left w:val="nil"/>
              <w:bottom w:val="nil"/>
              <w:right w:val="nil"/>
            </w:tcBorders>
            <w:shd w:val="clear" w:color="auto" w:fill="auto"/>
            <w:noWrap/>
            <w:vAlign w:val="bottom"/>
            <w:hideMark/>
          </w:tcPr>
          <w:p w14:paraId="49EA898F" w14:textId="77777777" w:rsidR="00835D4F" w:rsidRPr="00835D4F" w:rsidRDefault="00835D4F" w:rsidP="00E045A2">
            <w:pPr>
              <w:rPr>
                <w:rFonts w:ascii="Arial" w:hAnsi="Arial" w:cs="Arial"/>
                <w:color w:val="000000"/>
                <w:sz w:val="24"/>
                <w:szCs w:val="24"/>
              </w:rPr>
            </w:pPr>
          </w:p>
        </w:tc>
      </w:tr>
      <w:tr w:rsidR="00835D4F" w:rsidRPr="00835D4F" w14:paraId="02633CFC" w14:textId="77777777" w:rsidTr="008530D9">
        <w:trPr>
          <w:trHeight w:val="304"/>
        </w:trPr>
        <w:tc>
          <w:tcPr>
            <w:tcW w:w="5514" w:type="dxa"/>
            <w:tcBorders>
              <w:top w:val="nil"/>
              <w:left w:val="nil"/>
              <w:bottom w:val="nil"/>
              <w:right w:val="nil"/>
            </w:tcBorders>
            <w:shd w:val="clear" w:color="auto" w:fill="auto"/>
            <w:noWrap/>
            <w:vAlign w:val="center"/>
            <w:hideMark/>
          </w:tcPr>
          <w:p w14:paraId="7692BA9C" w14:textId="77777777" w:rsidR="00835D4F" w:rsidRPr="00835D4F" w:rsidRDefault="00835D4F" w:rsidP="00E045A2">
            <w:pPr>
              <w:rPr>
                <w:rFonts w:ascii="Arial" w:hAnsi="Arial" w:cs="Arial"/>
                <w:b/>
                <w:bCs/>
                <w:color w:val="000000"/>
                <w:sz w:val="24"/>
                <w:szCs w:val="24"/>
              </w:rPr>
            </w:pPr>
          </w:p>
        </w:tc>
        <w:tc>
          <w:tcPr>
            <w:tcW w:w="1895" w:type="dxa"/>
            <w:tcBorders>
              <w:top w:val="nil"/>
              <w:left w:val="nil"/>
              <w:bottom w:val="nil"/>
              <w:right w:val="nil"/>
            </w:tcBorders>
            <w:shd w:val="clear" w:color="auto" w:fill="auto"/>
            <w:noWrap/>
            <w:vAlign w:val="center"/>
            <w:hideMark/>
          </w:tcPr>
          <w:p w14:paraId="760DE6CF" w14:textId="77777777" w:rsidR="00835D4F" w:rsidRPr="00835D4F" w:rsidRDefault="00835D4F" w:rsidP="00E045A2">
            <w:pPr>
              <w:rPr>
                <w:rFonts w:ascii="Arial" w:hAnsi="Arial" w:cs="Arial"/>
                <w:b/>
                <w:bCs/>
                <w:color w:val="000000"/>
                <w:sz w:val="24"/>
                <w:szCs w:val="24"/>
              </w:rPr>
            </w:pPr>
          </w:p>
        </w:tc>
        <w:tc>
          <w:tcPr>
            <w:tcW w:w="2083" w:type="dxa"/>
            <w:tcBorders>
              <w:top w:val="nil"/>
              <w:left w:val="nil"/>
              <w:bottom w:val="nil"/>
              <w:right w:val="nil"/>
            </w:tcBorders>
            <w:shd w:val="clear" w:color="auto" w:fill="auto"/>
            <w:noWrap/>
            <w:vAlign w:val="center"/>
            <w:hideMark/>
          </w:tcPr>
          <w:p w14:paraId="0E5C8206" w14:textId="77777777" w:rsidR="00835D4F" w:rsidRPr="00835D4F" w:rsidRDefault="00835D4F" w:rsidP="00E045A2">
            <w:pPr>
              <w:rPr>
                <w:rFonts w:ascii="Arial" w:hAnsi="Arial" w:cs="Arial"/>
                <w:color w:val="000000"/>
                <w:sz w:val="24"/>
                <w:szCs w:val="24"/>
              </w:rPr>
            </w:pPr>
          </w:p>
        </w:tc>
        <w:tc>
          <w:tcPr>
            <w:tcW w:w="1482" w:type="dxa"/>
            <w:tcBorders>
              <w:top w:val="nil"/>
              <w:left w:val="nil"/>
              <w:bottom w:val="nil"/>
              <w:right w:val="nil"/>
            </w:tcBorders>
            <w:shd w:val="clear" w:color="auto" w:fill="auto"/>
            <w:noWrap/>
            <w:vAlign w:val="bottom"/>
            <w:hideMark/>
          </w:tcPr>
          <w:p w14:paraId="0DF4C62C" w14:textId="77777777" w:rsidR="00835D4F" w:rsidRPr="00835D4F" w:rsidRDefault="00835D4F" w:rsidP="00E045A2">
            <w:pPr>
              <w:rPr>
                <w:rFonts w:ascii="Arial" w:hAnsi="Arial" w:cs="Arial"/>
                <w:color w:val="000000"/>
                <w:sz w:val="24"/>
                <w:szCs w:val="24"/>
              </w:rPr>
            </w:pPr>
          </w:p>
        </w:tc>
      </w:tr>
    </w:tbl>
    <w:p w14:paraId="34274F76" w14:textId="77777777" w:rsidR="00902B91" w:rsidRPr="00466B53" w:rsidRDefault="00902B91" w:rsidP="005E4F16">
      <w:pPr>
        <w:outlineLvl w:val="0"/>
        <w:rPr>
          <w:rFonts w:ascii="Arial" w:hAnsi="Arial"/>
          <w:b/>
        </w:rPr>
      </w:pPr>
      <w:r w:rsidRPr="00466B53">
        <w:rPr>
          <w:rFonts w:ascii="Arial" w:hAnsi="Arial"/>
          <w:b/>
        </w:rPr>
        <w:t>Investment Strategy</w:t>
      </w:r>
    </w:p>
    <w:p w14:paraId="63203962" w14:textId="77777777" w:rsidR="00902B91" w:rsidRPr="00DA1987" w:rsidRDefault="00902B91" w:rsidP="005E4F16">
      <w:pPr>
        <w:rPr>
          <w:rFonts w:ascii="Arial" w:hAnsi="Arial"/>
          <w:sz w:val="24"/>
        </w:rPr>
      </w:pPr>
    </w:p>
    <w:p w14:paraId="66465B70" w14:textId="77777777" w:rsidR="00902B91" w:rsidRPr="00466B53" w:rsidRDefault="00902B91" w:rsidP="005E4F16">
      <w:pPr>
        <w:ind w:right="27"/>
        <w:jc w:val="both"/>
        <w:rPr>
          <w:rFonts w:ascii="Arial" w:hAnsi="Arial"/>
          <w:sz w:val="24"/>
        </w:rPr>
      </w:pPr>
      <w:r w:rsidRPr="00466B53">
        <w:rPr>
          <w:rFonts w:ascii="Arial" w:hAnsi="Arial"/>
          <w:sz w:val="24"/>
        </w:rPr>
        <w:t>The Strategic Aim of the Fund is to achieve the maximum return consistent with acceptable levels of risk and the long term nature of the Fund’s liabilities.</w:t>
      </w:r>
    </w:p>
    <w:p w14:paraId="342EB4AD" w14:textId="77777777" w:rsidR="00902B91" w:rsidRPr="00466B53" w:rsidRDefault="00902B91" w:rsidP="005E4F16">
      <w:pPr>
        <w:ind w:right="27"/>
        <w:jc w:val="both"/>
        <w:rPr>
          <w:rFonts w:ascii="Arial" w:hAnsi="Arial"/>
          <w:sz w:val="24"/>
        </w:rPr>
      </w:pPr>
    </w:p>
    <w:p w14:paraId="7ED61448" w14:textId="77777777" w:rsidR="00902B91" w:rsidRPr="00466B53" w:rsidRDefault="00902B91" w:rsidP="00D73D48">
      <w:pPr>
        <w:ind w:right="27"/>
        <w:jc w:val="both"/>
        <w:rPr>
          <w:rFonts w:ascii="Arial" w:hAnsi="Arial"/>
          <w:sz w:val="24"/>
        </w:rPr>
      </w:pPr>
      <w:r w:rsidRPr="00466B53">
        <w:rPr>
          <w:rFonts w:ascii="Arial" w:hAnsi="Arial"/>
          <w:sz w:val="24"/>
        </w:rPr>
        <w:t>Fund</w:t>
      </w:r>
      <w:r w:rsidR="00A3034A">
        <w:rPr>
          <w:rFonts w:ascii="Arial" w:hAnsi="Arial"/>
          <w:sz w:val="24"/>
        </w:rPr>
        <w:t xml:space="preserve"> monies</w:t>
      </w:r>
      <w:r w:rsidRPr="00466B53">
        <w:rPr>
          <w:rFonts w:ascii="Arial" w:hAnsi="Arial"/>
          <w:sz w:val="24"/>
        </w:rPr>
        <w:t xml:space="preserve"> that are not currently needed to meet pension and benefit payments are invested in approved securities and the Fund receives income from these investments. </w:t>
      </w:r>
      <w:r w:rsidR="00DA1987">
        <w:rPr>
          <w:rFonts w:ascii="Arial" w:hAnsi="Arial"/>
          <w:sz w:val="24"/>
        </w:rPr>
        <w:t xml:space="preserve"> </w:t>
      </w:r>
      <w:r w:rsidRPr="00466B53">
        <w:rPr>
          <w:rFonts w:ascii="Arial" w:hAnsi="Arial"/>
          <w:sz w:val="24"/>
        </w:rPr>
        <w:t>The powers to invest are contained within the Local Government Pension Scheme Regulations</w:t>
      </w:r>
      <w:r w:rsidR="00D73D48">
        <w:rPr>
          <w:rFonts w:ascii="Arial" w:hAnsi="Arial"/>
          <w:sz w:val="24"/>
        </w:rPr>
        <w:t>.</w:t>
      </w:r>
      <w:r w:rsidRPr="00466B53">
        <w:rPr>
          <w:rFonts w:ascii="Arial" w:hAnsi="Arial"/>
          <w:sz w:val="24"/>
        </w:rPr>
        <w:t xml:space="preserve"> </w:t>
      </w:r>
    </w:p>
    <w:p w14:paraId="75D4FA46" w14:textId="77777777" w:rsidR="00902B91" w:rsidRPr="00466B53" w:rsidRDefault="00902B91" w:rsidP="005E4F16">
      <w:pPr>
        <w:ind w:left="720" w:hanging="720"/>
        <w:rPr>
          <w:rFonts w:ascii="Arial" w:hAnsi="Arial"/>
          <w:sz w:val="24"/>
        </w:rPr>
      </w:pPr>
    </w:p>
    <w:p w14:paraId="069253D5" w14:textId="77777777" w:rsidR="00902B91" w:rsidRPr="00C2392A" w:rsidRDefault="00902B91" w:rsidP="005E4F16">
      <w:pPr>
        <w:ind w:left="720" w:hanging="720"/>
        <w:outlineLvl w:val="0"/>
        <w:rPr>
          <w:rFonts w:ascii="Arial" w:hAnsi="Arial"/>
          <w:b/>
        </w:rPr>
      </w:pPr>
      <w:r w:rsidRPr="00C2392A">
        <w:rPr>
          <w:rFonts w:ascii="Arial" w:hAnsi="Arial"/>
          <w:b/>
        </w:rPr>
        <w:t>Investment Fund Management</w:t>
      </w:r>
    </w:p>
    <w:p w14:paraId="36A6C45B" w14:textId="77777777" w:rsidR="00902B91" w:rsidRPr="00DA1987" w:rsidRDefault="00902B91" w:rsidP="005E4F16">
      <w:pPr>
        <w:ind w:left="720" w:hanging="720"/>
        <w:rPr>
          <w:rFonts w:ascii="Arial" w:hAnsi="Arial"/>
          <w:sz w:val="24"/>
        </w:rPr>
      </w:pPr>
    </w:p>
    <w:p w14:paraId="36C7B6D1" w14:textId="77777777" w:rsidR="00EB798B" w:rsidRPr="00EB798B" w:rsidRDefault="00EB798B" w:rsidP="005E4F16">
      <w:pPr>
        <w:ind w:right="27"/>
        <w:jc w:val="both"/>
        <w:rPr>
          <w:rFonts w:ascii="Arial" w:hAnsi="Arial" w:cs="Arial"/>
          <w:sz w:val="24"/>
          <w:szCs w:val="24"/>
        </w:rPr>
      </w:pPr>
      <w:r w:rsidRPr="00EB798B">
        <w:rPr>
          <w:rFonts w:ascii="Arial" w:hAnsi="Arial" w:cs="Arial"/>
          <w:sz w:val="24"/>
          <w:szCs w:val="24"/>
        </w:rPr>
        <w:t>The investment of the Fun</w:t>
      </w:r>
      <w:r w:rsidR="00466754">
        <w:rPr>
          <w:rFonts w:ascii="Arial" w:hAnsi="Arial" w:cs="Arial"/>
          <w:sz w:val="24"/>
          <w:szCs w:val="24"/>
        </w:rPr>
        <w:t xml:space="preserve">d is the responsibility of the Pension Fund </w:t>
      </w:r>
      <w:r w:rsidR="00EC6BB6">
        <w:rPr>
          <w:rFonts w:ascii="Arial" w:hAnsi="Arial" w:cs="Arial"/>
          <w:sz w:val="24"/>
          <w:szCs w:val="24"/>
        </w:rPr>
        <w:t>Committee</w:t>
      </w:r>
      <w:r w:rsidRPr="00EB798B">
        <w:rPr>
          <w:rFonts w:ascii="Arial" w:hAnsi="Arial" w:cs="Arial"/>
          <w:sz w:val="24"/>
          <w:szCs w:val="24"/>
        </w:rPr>
        <w:t xml:space="preserve">. The </w:t>
      </w:r>
      <w:r w:rsidR="00EC6BB6">
        <w:rPr>
          <w:rFonts w:ascii="Arial" w:hAnsi="Arial" w:cs="Arial"/>
          <w:sz w:val="24"/>
          <w:szCs w:val="24"/>
        </w:rPr>
        <w:t>Committee</w:t>
      </w:r>
      <w:r w:rsidRPr="00EB798B">
        <w:rPr>
          <w:rFonts w:ascii="Arial" w:hAnsi="Arial" w:cs="Arial"/>
          <w:sz w:val="24"/>
          <w:szCs w:val="24"/>
        </w:rPr>
        <w:t xml:space="preserve"> as at 31</w:t>
      </w:r>
      <w:r w:rsidRPr="00EB798B">
        <w:rPr>
          <w:rFonts w:ascii="Arial" w:hAnsi="Arial" w:cs="Arial"/>
          <w:sz w:val="24"/>
          <w:szCs w:val="24"/>
          <w:vertAlign w:val="superscript"/>
        </w:rPr>
        <w:t>st</w:t>
      </w:r>
      <w:r w:rsidRPr="00EB798B">
        <w:rPr>
          <w:rFonts w:ascii="Arial" w:hAnsi="Arial" w:cs="Arial"/>
          <w:sz w:val="24"/>
          <w:szCs w:val="24"/>
        </w:rPr>
        <w:t xml:space="preserve"> March 20</w:t>
      </w:r>
      <w:r w:rsidR="00E023BF">
        <w:rPr>
          <w:rFonts w:ascii="Arial" w:hAnsi="Arial" w:cs="Arial"/>
          <w:sz w:val="24"/>
          <w:szCs w:val="24"/>
        </w:rPr>
        <w:t>2</w:t>
      </w:r>
      <w:r w:rsidR="002469C4">
        <w:rPr>
          <w:rFonts w:ascii="Arial" w:hAnsi="Arial" w:cs="Arial"/>
          <w:sz w:val="24"/>
          <w:szCs w:val="24"/>
        </w:rPr>
        <w:t>2</w:t>
      </w:r>
      <w:r w:rsidR="00CA0426">
        <w:rPr>
          <w:rFonts w:ascii="Arial" w:hAnsi="Arial" w:cs="Arial"/>
          <w:sz w:val="24"/>
          <w:szCs w:val="24"/>
        </w:rPr>
        <w:t xml:space="preserve"> </w:t>
      </w:r>
      <w:r w:rsidR="007D13FB">
        <w:rPr>
          <w:rFonts w:ascii="Arial" w:hAnsi="Arial" w:cs="Arial"/>
          <w:sz w:val="24"/>
          <w:szCs w:val="24"/>
        </w:rPr>
        <w:t>comprised (Appendix 2):-</w:t>
      </w:r>
    </w:p>
    <w:p w14:paraId="26BD4F03" w14:textId="77777777" w:rsidR="00EB798B" w:rsidRPr="00EB798B" w:rsidRDefault="00EB798B" w:rsidP="005E4F16">
      <w:pPr>
        <w:ind w:right="27"/>
        <w:rPr>
          <w:rFonts w:ascii="Arial" w:hAnsi="Arial" w:cs="Arial"/>
          <w:sz w:val="24"/>
          <w:szCs w:val="24"/>
        </w:rPr>
      </w:pPr>
    </w:p>
    <w:p w14:paraId="478CECD2" w14:textId="77777777" w:rsidR="008A2917" w:rsidRPr="00F528AE" w:rsidRDefault="00954853" w:rsidP="009E72D7">
      <w:pPr>
        <w:numPr>
          <w:ilvl w:val="0"/>
          <w:numId w:val="1"/>
        </w:numPr>
        <w:tabs>
          <w:tab w:val="clear" w:pos="360"/>
          <w:tab w:val="num" w:pos="1080"/>
        </w:tabs>
        <w:ind w:left="1080" w:right="27"/>
        <w:jc w:val="both"/>
        <w:rPr>
          <w:rFonts w:ascii="Arial" w:hAnsi="Arial" w:cs="Arial"/>
          <w:sz w:val="24"/>
          <w:szCs w:val="24"/>
        </w:rPr>
      </w:pPr>
      <w:r w:rsidRPr="00F528AE">
        <w:rPr>
          <w:rFonts w:ascii="Arial" w:hAnsi="Arial" w:cs="Arial"/>
          <w:sz w:val="24"/>
          <w:szCs w:val="24"/>
        </w:rPr>
        <w:t>7</w:t>
      </w:r>
      <w:r w:rsidR="00EB798B" w:rsidRPr="00F528AE">
        <w:rPr>
          <w:rFonts w:ascii="Arial" w:hAnsi="Arial" w:cs="Arial"/>
          <w:sz w:val="24"/>
          <w:szCs w:val="24"/>
        </w:rPr>
        <w:t xml:space="preserve"> Council</w:t>
      </w:r>
      <w:r w:rsidR="00DB70B8" w:rsidRPr="00F528AE">
        <w:rPr>
          <w:rFonts w:ascii="Arial" w:hAnsi="Arial" w:cs="Arial"/>
          <w:sz w:val="24"/>
          <w:szCs w:val="24"/>
        </w:rPr>
        <w:t>lor</w:t>
      </w:r>
      <w:r w:rsidR="00EB798B" w:rsidRPr="00F528AE">
        <w:rPr>
          <w:rFonts w:ascii="Arial" w:hAnsi="Arial" w:cs="Arial"/>
          <w:sz w:val="24"/>
          <w:szCs w:val="24"/>
        </w:rPr>
        <w:t xml:space="preserve"> Members (one member from Neath Port Talbot CBC representing other scheme employers</w:t>
      </w:r>
      <w:r w:rsidR="00F528AE">
        <w:rPr>
          <w:rFonts w:ascii="Arial" w:hAnsi="Arial" w:cs="Arial"/>
          <w:sz w:val="24"/>
          <w:szCs w:val="24"/>
        </w:rPr>
        <w:t xml:space="preserve">) </w:t>
      </w:r>
      <w:r w:rsidR="00F528AE" w:rsidRPr="00F528AE">
        <w:rPr>
          <w:rFonts w:ascii="Arial" w:hAnsi="Arial" w:cs="Arial"/>
          <w:sz w:val="24"/>
          <w:szCs w:val="24"/>
        </w:rPr>
        <w:t>advised</w:t>
      </w:r>
      <w:r w:rsidR="008A2917" w:rsidRPr="00F528AE">
        <w:rPr>
          <w:rFonts w:ascii="Arial" w:hAnsi="Arial" w:cs="Arial"/>
          <w:sz w:val="24"/>
          <w:szCs w:val="24"/>
        </w:rPr>
        <w:t xml:space="preserve"> by:</w:t>
      </w:r>
    </w:p>
    <w:p w14:paraId="0466201D" w14:textId="77777777" w:rsidR="008A2917" w:rsidRPr="00EB798B" w:rsidRDefault="008A2917" w:rsidP="008A2917">
      <w:pPr>
        <w:ind w:left="1080" w:right="27"/>
        <w:jc w:val="both"/>
        <w:rPr>
          <w:rFonts w:ascii="Arial" w:hAnsi="Arial" w:cs="Arial"/>
          <w:sz w:val="24"/>
          <w:szCs w:val="24"/>
        </w:rPr>
      </w:pPr>
    </w:p>
    <w:p w14:paraId="5CEABA9F" w14:textId="77777777" w:rsidR="00EB798B" w:rsidRPr="00EB798B" w:rsidRDefault="00EB798B" w:rsidP="009E72D7">
      <w:pPr>
        <w:pStyle w:val="BodyText2"/>
        <w:numPr>
          <w:ilvl w:val="0"/>
          <w:numId w:val="1"/>
        </w:numPr>
        <w:tabs>
          <w:tab w:val="clear" w:pos="360"/>
          <w:tab w:val="num" w:pos="1080"/>
        </w:tabs>
        <w:ind w:left="1080" w:right="27"/>
        <w:rPr>
          <w:rFonts w:cs="Arial"/>
          <w:szCs w:val="24"/>
        </w:rPr>
      </w:pPr>
      <w:r w:rsidRPr="00EB798B">
        <w:rPr>
          <w:rFonts w:cs="Arial"/>
          <w:szCs w:val="24"/>
        </w:rPr>
        <w:t>Section 151 Officer</w:t>
      </w:r>
    </w:p>
    <w:p w14:paraId="3406478B" w14:textId="77777777" w:rsidR="00EB798B" w:rsidRPr="00EB798B" w:rsidRDefault="00F12073" w:rsidP="009E72D7">
      <w:pPr>
        <w:pStyle w:val="BodyText2"/>
        <w:numPr>
          <w:ilvl w:val="0"/>
          <w:numId w:val="1"/>
        </w:numPr>
        <w:tabs>
          <w:tab w:val="clear" w:pos="360"/>
          <w:tab w:val="num" w:pos="1080"/>
        </w:tabs>
        <w:ind w:left="1080" w:right="27"/>
        <w:rPr>
          <w:rFonts w:cs="Arial"/>
          <w:szCs w:val="24"/>
        </w:rPr>
      </w:pPr>
      <w:r>
        <w:rPr>
          <w:rFonts w:cs="Arial"/>
          <w:szCs w:val="24"/>
        </w:rPr>
        <w:t>Deputy Chief Finance Officer</w:t>
      </w:r>
    </w:p>
    <w:p w14:paraId="6FF37AE8" w14:textId="77777777" w:rsidR="006E24D5" w:rsidRPr="00EB798B" w:rsidRDefault="00C97D44" w:rsidP="009E72D7">
      <w:pPr>
        <w:numPr>
          <w:ilvl w:val="0"/>
          <w:numId w:val="1"/>
        </w:numPr>
        <w:tabs>
          <w:tab w:val="clear" w:pos="360"/>
          <w:tab w:val="num" w:pos="1080"/>
        </w:tabs>
        <w:ind w:left="1080" w:right="27"/>
        <w:rPr>
          <w:rFonts w:ascii="Arial" w:hAnsi="Arial" w:cs="Arial"/>
          <w:sz w:val="24"/>
          <w:szCs w:val="24"/>
        </w:rPr>
      </w:pPr>
      <w:r>
        <w:rPr>
          <w:rFonts w:ascii="Arial" w:hAnsi="Arial" w:cs="Arial"/>
          <w:sz w:val="24"/>
          <w:szCs w:val="24"/>
        </w:rPr>
        <w:t>Investment Consultants</w:t>
      </w:r>
    </w:p>
    <w:p w14:paraId="6ABF0732" w14:textId="77777777" w:rsidR="00C169CC" w:rsidRDefault="00C169CC" w:rsidP="005E4F16">
      <w:pPr>
        <w:ind w:right="27"/>
        <w:jc w:val="both"/>
        <w:rPr>
          <w:rFonts w:ascii="Arial" w:hAnsi="Arial" w:cs="Arial"/>
          <w:sz w:val="24"/>
          <w:szCs w:val="24"/>
        </w:rPr>
      </w:pPr>
    </w:p>
    <w:p w14:paraId="3D83FF2D" w14:textId="77777777" w:rsidR="00DA1987" w:rsidRDefault="00EB798B" w:rsidP="00C169CC">
      <w:pPr>
        <w:ind w:right="27"/>
        <w:jc w:val="both"/>
        <w:rPr>
          <w:rFonts w:ascii="Arial" w:hAnsi="Arial" w:cs="Arial"/>
          <w:sz w:val="24"/>
          <w:szCs w:val="24"/>
        </w:rPr>
      </w:pPr>
      <w:r w:rsidRPr="00EB798B">
        <w:rPr>
          <w:rFonts w:ascii="Arial" w:hAnsi="Arial" w:cs="Arial"/>
          <w:sz w:val="24"/>
          <w:szCs w:val="24"/>
        </w:rPr>
        <w:t xml:space="preserve">The </w:t>
      </w:r>
      <w:r w:rsidR="00954853">
        <w:rPr>
          <w:rFonts w:ascii="Arial" w:hAnsi="Arial" w:cs="Arial"/>
          <w:sz w:val="24"/>
          <w:szCs w:val="24"/>
        </w:rPr>
        <w:t>Committee</w:t>
      </w:r>
      <w:r w:rsidRPr="00EB798B">
        <w:rPr>
          <w:rFonts w:ascii="Arial" w:hAnsi="Arial" w:cs="Arial"/>
          <w:sz w:val="24"/>
          <w:szCs w:val="24"/>
        </w:rPr>
        <w:t xml:space="preserve">, after taking account of the views of the </w:t>
      </w:r>
      <w:r w:rsidR="00C97D44">
        <w:rPr>
          <w:rFonts w:ascii="Arial" w:hAnsi="Arial" w:cs="Arial"/>
          <w:sz w:val="24"/>
          <w:szCs w:val="24"/>
        </w:rPr>
        <w:t>investment consultants/advisors</w:t>
      </w:r>
      <w:r w:rsidRPr="00EB798B">
        <w:rPr>
          <w:rFonts w:ascii="Arial" w:hAnsi="Arial" w:cs="Arial"/>
          <w:sz w:val="24"/>
          <w:szCs w:val="24"/>
        </w:rPr>
        <w:t xml:space="preserve"> and appointed actuary to the Fund, is responsible for determining broad investment strategy and policy, with appointed professional fund managers undertaking the operational management of the assets.</w:t>
      </w:r>
    </w:p>
    <w:p w14:paraId="0BE13E69" w14:textId="77777777" w:rsidR="00C169CC" w:rsidRDefault="00C169CC" w:rsidP="005E4F16">
      <w:pPr>
        <w:ind w:right="27"/>
        <w:jc w:val="both"/>
        <w:rPr>
          <w:rFonts w:ascii="Arial" w:hAnsi="Arial"/>
          <w:sz w:val="24"/>
        </w:rPr>
      </w:pPr>
    </w:p>
    <w:p w14:paraId="5B240C8C" w14:textId="77777777" w:rsidR="00C825CB" w:rsidRDefault="00D71AB8" w:rsidP="005E4F16">
      <w:pPr>
        <w:ind w:right="27"/>
        <w:jc w:val="both"/>
        <w:rPr>
          <w:rFonts w:ascii="Arial" w:hAnsi="Arial"/>
          <w:sz w:val="24"/>
        </w:rPr>
      </w:pPr>
      <w:r>
        <w:rPr>
          <w:rFonts w:ascii="Arial" w:hAnsi="Arial"/>
          <w:sz w:val="24"/>
        </w:rPr>
        <w:t>The fund is regularly reviewed to</w:t>
      </w:r>
      <w:r w:rsidR="00C825CB">
        <w:rPr>
          <w:rFonts w:ascii="Arial" w:hAnsi="Arial"/>
          <w:sz w:val="24"/>
        </w:rPr>
        <w:t xml:space="preserve"> </w:t>
      </w:r>
      <w:r>
        <w:rPr>
          <w:rFonts w:ascii="Arial" w:hAnsi="Arial"/>
          <w:sz w:val="24"/>
        </w:rPr>
        <w:t>achieve</w:t>
      </w:r>
      <w:r w:rsidR="00C825CB">
        <w:rPr>
          <w:rFonts w:ascii="Arial" w:hAnsi="Arial"/>
          <w:sz w:val="24"/>
        </w:rPr>
        <w:t xml:space="preserve"> a structure </w:t>
      </w:r>
      <w:r>
        <w:rPr>
          <w:rFonts w:ascii="Arial" w:hAnsi="Arial"/>
          <w:sz w:val="24"/>
        </w:rPr>
        <w:t>which</w:t>
      </w:r>
      <w:r w:rsidR="00C825CB">
        <w:rPr>
          <w:rFonts w:ascii="Arial" w:hAnsi="Arial"/>
          <w:sz w:val="24"/>
        </w:rPr>
        <w:t xml:space="preserve"> efficiently and effectively </w:t>
      </w:r>
      <w:r>
        <w:rPr>
          <w:rFonts w:ascii="Arial" w:hAnsi="Arial"/>
          <w:sz w:val="24"/>
        </w:rPr>
        <w:t>meets</w:t>
      </w:r>
      <w:r w:rsidR="009836A4">
        <w:rPr>
          <w:rFonts w:ascii="Arial" w:hAnsi="Arial"/>
          <w:sz w:val="24"/>
        </w:rPr>
        <w:t xml:space="preserve"> the </w:t>
      </w:r>
      <w:r w:rsidR="00367967">
        <w:rPr>
          <w:rFonts w:ascii="Arial" w:hAnsi="Arial"/>
          <w:sz w:val="24"/>
        </w:rPr>
        <w:t>F</w:t>
      </w:r>
      <w:r w:rsidR="009836A4">
        <w:rPr>
          <w:rFonts w:ascii="Arial" w:hAnsi="Arial"/>
          <w:sz w:val="24"/>
        </w:rPr>
        <w:t>und’s objective</w:t>
      </w:r>
      <w:r>
        <w:rPr>
          <w:rFonts w:ascii="Arial" w:hAnsi="Arial"/>
          <w:sz w:val="24"/>
        </w:rPr>
        <w:t>.</w:t>
      </w:r>
    </w:p>
    <w:p w14:paraId="11023EDD" w14:textId="77777777" w:rsidR="001428E7" w:rsidRDefault="001428E7" w:rsidP="005E4F16">
      <w:pPr>
        <w:ind w:right="424"/>
        <w:jc w:val="both"/>
        <w:rPr>
          <w:rFonts w:ascii="Arial" w:hAnsi="Arial"/>
          <w:sz w:val="24"/>
        </w:rPr>
      </w:pPr>
    </w:p>
    <w:p w14:paraId="1E325C42" w14:textId="77777777" w:rsidR="00C825CB" w:rsidRDefault="00C825CB" w:rsidP="005E4F16">
      <w:pPr>
        <w:ind w:right="424"/>
        <w:jc w:val="both"/>
        <w:rPr>
          <w:rFonts w:ascii="Arial" w:hAnsi="Arial"/>
          <w:sz w:val="24"/>
        </w:rPr>
      </w:pPr>
      <w:r>
        <w:rPr>
          <w:rFonts w:ascii="Arial" w:hAnsi="Arial"/>
          <w:sz w:val="24"/>
        </w:rPr>
        <w:t xml:space="preserve">The </w:t>
      </w:r>
      <w:r w:rsidR="00367967">
        <w:rPr>
          <w:rFonts w:ascii="Arial" w:hAnsi="Arial"/>
          <w:sz w:val="24"/>
        </w:rPr>
        <w:t>F</w:t>
      </w:r>
      <w:r>
        <w:rPr>
          <w:rFonts w:ascii="Arial" w:hAnsi="Arial"/>
          <w:sz w:val="24"/>
        </w:rPr>
        <w:t>und’s current managers are:</w:t>
      </w:r>
    </w:p>
    <w:tbl>
      <w:tblPr>
        <w:tblW w:w="0" w:type="auto"/>
        <w:tblLook w:val="01E0" w:firstRow="1" w:lastRow="1" w:firstColumn="1" w:lastColumn="1" w:noHBand="0" w:noVBand="0"/>
      </w:tblPr>
      <w:tblGrid>
        <w:gridCol w:w="437"/>
        <w:gridCol w:w="9555"/>
        <w:gridCol w:w="231"/>
      </w:tblGrid>
      <w:tr w:rsidR="00E023BF" w:rsidRPr="00814920" w14:paraId="58243D6B" w14:textId="77777777" w:rsidTr="00E023BF">
        <w:trPr>
          <w:gridAfter w:val="2"/>
          <w:wAfter w:w="10002" w:type="dxa"/>
        </w:trPr>
        <w:tc>
          <w:tcPr>
            <w:tcW w:w="437" w:type="dxa"/>
            <w:shd w:val="clear" w:color="auto" w:fill="auto"/>
          </w:tcPr>
          <w:p w14:paraId="0D0A1DC1" w14:textId="77777777" w:rsidR="00E023BF" w:rsidRPr="00814920" w:rsidRDefault="00E023BF" w:rsidP="00814920">
            <w:pPr>
              <w:ind w:right="305"/>
              <w:jc w:val="both"/>
              <w:rPr>
                <w:rFonts w:ascii="Arial" w:hAnsi="Arial"/>
                <w:b/>
                <w:sz w:val="24"/>
              </w:rPr>
            </w:pPr>
          </w:p>
        </w:tc>
      </w:tr>
      <w:tr w:rsidR="0038783F" w:rsidRPr="00814920" w14:paraId="6BEC16EB" w14:textId="77777777" w:rsidTr="00E023BF">
        <w:tc>
          <w:tcPr>
            <w:tcW w:w="10002" w:type="dxa"/>
            <w:gridSpan w:val="2"/>
            <w:shd w:val="clear" w:color="auto" w:fill="auto"/>
          </w:tcPr>
          <w:p w14:paraId="01551694" w14:textId="77777777" w:rsidR="0038783F" w:rsidRPr="00814920" w:rsidRDefault="0038783F" w:rsidP="00814920">
            <w:pPr>
              <w:ind w:right="305"/>
              <w:jc w:val="both"/>
              <w:rPr>
                <w:rFonts w:ascii="Arial" w:hAnsi="Arial"/>
                <w:sz w:val="24"/>
              </w:rPr>
            </w:pPr>
          </w:p>
        </w:tc>
        <w:tc>
          <w:tcPr>
            <w:tcW w:w="437" w:type="dxa"/>
            <w:shd w:val="clear" w:color="auto" w:fill="auto"/>
          </w:tcPr>
          <w:p w14:paraId="384FE40A" w14:textId="77777777" w:rsidR="0038783F" w:rsidRPr="00814920" w:rsidRDefault="0038783F" w:rsidP="00814920">
            <w:pPr>
              <w:ind w:right="305"/>
              <w:jc w:val="both"/>
              <w:rPr>
                <w:rFonts w:ascii="Arial" w:hAnsi="Arial"/>
                <w:sz w:val="24"/>
              </w:rPr>
            </w:pPr>
          </w:p>
        </w:tc>
      </w:tr>
      <w:tr w:rsidR="0038783F" w:rsidRPr="00814920" w14:paraId="22730942" w14:textId="77777777" w:rsidTr="00E023BF">
        <w:tc>
          <w:tcPr>
            <w:tcW w:w="10002" w:type="dxa"/>
            <w:gridSpan w:val="2"/>
            <w:shd w:val="clear" w:color="auto" w:fill="auto"/>
          </w:tcPr>
          <w:tbl>
            <w:tblPr>
              <w:tblW w:w="9776" w:type="dxa"/>
              <w:tblLook w:val="04A0" w:firstRow="1" w:lastRow="0" w:firstColumn="1" w:lastColumn="0" w:noHBand="0" w:noVBand="1"/>
            </w:tblPr>
            <w:tblGrid>
              <w:gridCol w:w="3681"/>
              <w:gridCol w:w="6095"/>
            </w:tblGrid>
            <w:tr w:rsidR="00E023BF" w:rsidRPr="0009471A" w14:paraId="101CA639" w14:textId="77777777" w:rsidTr="001E0866">
              <w:trPr>
                <w:trHeight w:val="266"/>
              </w:trPr>
              <w:tc>
                <w:tcPr>
                  <w:tcW w:w="3681" w:type="dxa"/>
                  <w:shd w:val="clear" w:color="auto" w:fill="auto"/>
                </w:tcPr>
                <w:p w14:paraId="5B381F05" w14:textId="77777777" w:rsidR="00E023BF" w:rsidRPr="0009471A" w:rsidRDefault="00E023BF" w:rsidP="0009471A">
                  <w:pPr>
                    <w:ind w:right="305"/>
                    <w:jc w:val="both"/>
                    <w:rPr>
                      <w:rFonts w:ascii="Arial" w:hAnsi="Arial"/>
                      <w:b/>
                      <w:sz w:val="24"/>
                    </w:rPr>
                  </w:pPr>
                  <w:r w:rsidRPr="0009471A">
                    <w:rPr>
                      <w:rFonts w:ascii="Arial" w:hAnsi="Arial"/>
                      <w:b/>
                      <w:sz w:val="24"/>
                    </w:rPr>
                    <w:t>Asset Class</w:t>
                  </w:r>
                </w:p>
                <w:p w14:paraId="130AE127" w14:textId="77777777" w:rsidR="00EA4E06" w:rsidRPr="0009471A" w:rsidRDefault="00EA4E06" w:rsidP="0009471A">
                  <w:pPr>
                    <w:ind w:right="305"/>
                    <w:jc w:val="both"/>
                    <w:rPr>
                      <w:rFonts w:ascii="Arial" w:hAnsi="Arial"/>
                      <w:b/>
                      <w:sz w:val="24"/>
                    </w:rPr>
                  </w:pPr>
                </w:p>
              </w:tc>
              <w:tc>
                <w:tcPr>
                  <w:tcW w:w="6095" w:type="dxa"/>
                  <w:shd w:val="clear" w:color="auto" w:fill="auto"/>
                </w:tcPr>
                <w:p w14:paraId="236C62F2" w14:textId="77777777" w:rsidR="001E0866" w:rsidRPr="0009471A" w:rsidRDefault="00E023BF" w:rsidP="001E0866">
                  <w:pPr>
                    <w:ind w:right="305"/>
                    <w:jc w:val="both"/>
                    <w:rPr>
                      <w:rFonts w:ascii="Arial" w:hAnsi="Arial"/>
                      <w:b/>
                      <w:sz w:val="24"/>
                    </w:rPr>
                  </w:pPr>
                  <w:r w:rsidRPr="0009471A">
                    <w:rPr>
                      <w:rFonts w:ascii="Arial" w:hAnsi="Arial"/>
                      <w:b/>
                      <w:sz w:val="24"/>
                    </w:rPr>
                    <w:t>Manager</w:t>
                  </w:r>
                </w:p>
              </w:tc>
            </w:tr>
            <w:tr w:rsidR="00E023BF" w:rsidRPr="0009471A" w14:paraId="129D4AED" w14:textId="77777777" w:rsidTr="007A7B91">
              <w:tc>
                <w:tcPr>
                  <w:tcW w:w="3681" w:type="dxa"/>
                  <w:shd w:val="clear" w:color="auto" w:fill="auto"/>
                </w:tcPr>
                <w:p w14:paraId="3621970C" w14:textId="77777777" w:rsidR="00E023BF" w:rsidRPr="0009471A" w:rsidRDefault="00EA4E06" w:rsidP="0009471A">
                  <w:pPr>
                    <w:ind w:right="305"/>
                    <w:jc w:val="both"/>
                    <w:rPr>
                      <w:rFonts w:ascii="Arial" w:hAnsi="Arial"/>
                      <w:sz w:val="24"/>
                    </w:rPr>
                  </w:pPr>
                  <w:r w:rsidRPr="0009471A">
                    <w:rPr>
                      <w:rFonts w:ascii="Arial" w:hAnsi="Arial"/>
                      <w:sz w:val="24"/>
                    </w:rPr>
                    <w:t>Global Equities</w:t>
                  </w:r>
                </w:p>
              </w:tc>
              <w:tc>
                <w:tcPr>
                  <w:tcW w:w="6095" w:type="dxa"/>
                  <w:shd w:val="clear" w:color="auto" w:fill="auto"/>
                </w:tcPr>
                <w:p w14:paraId="41AC85FE" w14:textId="77777777" w:rsidR="00E023BF" w:rsidRPr="0009471A" w:rsidRDefault="003623C6" w:rsidP="003623C6">
                  <w:pPr>
                    <w:ind w:right="305"/>
                    <w:jc w:val="both"/>
                    <w:rPr>
                      <w:rFonts w:ascii="Arial" w:hAnsi="Arial"/>
                      <w:sz w:val="24"/>
                    </w:rPr>
                  </w:pPr>
                  <w:r>
                    <w:rPr>
                      <w:rFonts w:ascii="Arial" w:hAnsi="Arial"/>
                      <w:sz w:val="24"/>
                    </w:rPr>
                    <w:t xml:space="preserve">Russell Investments on behalf of </w:t>
                  </w:r>
                  <w:r w:rsidR="00EA4E06" w:rsidRPr="0009471A">
                    <w:rPr>
                      <w:rFonts w:ascii="Arial" w:hAnsi="Arial"/>
                      <w:sz w:val="24"/>
                    </w:rPr>
                    <w:t>Wales Pension Partnership &amp; Blackrock</w:t>
                  </w:r>
                </w:p>
              </w:tc>
            </w:tr>
            <w:tr w:rsidR="00E023BF" w:rsidRPr="0009471A" w14:paraId="563B25F3" w14:textId="77777777" w:rsidTr="007A7B91">
              <w:tc>
                <w:tcPr>
                  <w:tcW w:w="3681" w:type="dxa"/>
                  <w:shd w:val="clear" w:color="auto" w:fill="auto"/>
                </w:tcPr>
                <w:p w14:paraId="37501DEC" w14:textId="77777777" w:rsidR="00E023BF" w:rsidRPr="0009471A" w:rsidRDefault="00EA4E06" w:rsidP="0009471A">
                  <w:pPr>
                    <w:ind w:right="305"/>
                    <w:jc w:val="both"/>
                    <w:rPr>
                      <w:rFonts w:ascii="Arial" w:hAnsi="Arial"/>
                      <w:sz w:val="24"/>
                    </w:rPr>
                  </w:pPr>
                  <w:r w:rsidRPr="0009471A">
                    <w:rPr>
                      <w:rFonts w:ascii="Arial" w:hAnsi="Arial"/>
                      <w:sz w:val="24"/>
                    </w:rPr>
                    <w:t>Equity Protection Mandate</w:t>
                  </w:r>
                </w:p>
              </w:tc>
              <w:tc>
                <w:tcPr>
                  <w:tcW w:w="6095" w:type="dxa"/>
                  <w:shd w:val="clear" w:color="auto" w:fill="auto"/>
                </w:tcPr>
                <w:p w14:paraId="1798A693" w14:textId="77777777" w:rsidR="00E023BF" w:rsidRPr="0009471A" w:rsidRDefault="00EA4E06" w:rsidP="0009471A">
                  <w:pPr>
                    <w:ind w:right="305"/>
                    <w:jc w:val="both"/>
                    <w:rPr>
                      <w:rFonts w:ascii="Arial" w:hAnsi="Arial"/>
                      <w:sz w:val="24"/>
                    </w:rPr>
                  </w:pPr>
                  <w:r w:rsidRPr="0009471A">
                    <w:rPr>
                      <w:rFonts w:ascii="Arial" w:hAnsi="Arial"/>
                      <w:sz w:val="24"/>
                    </w:rPr>
                    <w:t>Russell Investments</w:t>
                  </w:r>
                </w:p>
              </w:tc>
            </w:tr>
            <w:tr w:rsidR="00E023BF" w:rsidRPr="0009471A" w14:paraId="0160BEAC" w14:textId="77777777" w:rsidTr="007A7B91">
              <w:tc>
                <w:tcPr>
                  <w:tcW w:w="3681" w:type="dxa"/>
                  <w:shd w:val="clear" w:color="auto" w:fill="auto"/>
                </w:tcPr>
                <w:p w14:paraId="362BBF3C" w14:textId="77777777" w:rsidR="00E023BF" w:rsidRPr="0009471A" w:rsidRDefault="00B1656D" w:rsidP="0009471A">
                  <w:pPr>
                    <w:ind w:right="305"/>
                    <w:jc w:val="both"/>
                    <w:rPr>
                      <w:rFonts w:ascii="Arial" w:hAnsi="Arial"/>
                      <w:sz w:val="24"/>
                    </w:rPr>
                  </w:pPr>
                  <w:r>
                    <w:rPr>
                      <w:rFonts w:ascii="Arial" w:hAnsi="Arial"/>
                      <w:sz w:val="24"/>
                    </w:rPr>
                    <w:t>Fixed Interest</w:t>
                  </w:r>
                </w:p>
              </w:tc>
              <w:tc>
                <w:tcPr>
                  <w:tcW w:w="6095" w:type="dxa"/>
                  <w:shd w:val="clear" w:color="auto" w:fill="auto"/>
                </w:tcPr>
                <w:p w14:paraId="4754201C" w14:textId="77777777" w:rsidR="00E023BF" w:rsidRPr="0009471A" w:rsidRDefault="003623C6" w:rsidP="003623C6">
                  <w:pPr>
                    <w:ind w:right="305"/>
                    <w:jc w:val="both"/>
                    <w:rPr>
                      <w:rFonts w:ascii="Arial" w:hAnsi="Arial"/>
                      <w:sz w:val="24"/>
                    </w:rPr>
                  </w:pPr>
                  <w:r>
                    <w:rPr>
                      <w:rFonts w:ascii="Arial" w:hAnsi="Arial"/>
                      <w:sz w:val="24"/>
                    </w:rPr>
                    <w:t xml:space="preserve">Russell Investments on behalf of </w:t>
                  </w:r>
                  <w:r w:rsidR="00B1656D">
                    <w:rPr>
                      <w:rFonts w:ascii="Arial" w:hAnsi="Arial"/>
                      <w:sz w:val="24"/>
                    </w:rPr>
                    <w:t>Wales Pension Partnership</w:t>
                  </w:r>
                  <w:r w:rsidR="003F3E04">
                    <w:rPr>
                      <w:rFonts w:ascii="Arial" w:hAnsi="Arial"/>
                      <w:sz w:val="24"/>
                    </w:rPr>
                    <w:t xml:space="preserve"> &amp;</w:t>
                  </w:r>
                  <w:r w:rsidR="00B1656D">
                    <w:rPr>
                      <w:rFonts w:ascii="Arial" w:hAnsi="Arial"/>
                      <w:sz w:val="24"/>
                    </w:rPr>
                    <w:t xml:space="preserve"> Blackrock</w:t>
                  </w:r>
                </w:p>
              </w:tc>
            </w:tr>
            <w:tr w:rsidR="00E023BF" w:rsidRPr="0009471A" w14:paraId="0325FDB1" w14:textId="77777777" w:rsidTr="007A7B91">
              <w:tc>
                <w:tcPr>
                  <w:tcW w:w="3681" w:type="dxa"/>
                  <w:shd w:val="clear" w:color="auto" w:fill="auto"/>
                </w:tcPr>
                <w:p w14:paraId="777F808E" w14:textId="77777777" w:rsidR="00E023BF" w:rsidRPr="0009471A" w:rsidRDefault="00EA4E06" w:rsidP="0009471A">
                  <w:pPr>
                    <w:ind w:right="305"/>
                    <w:jc w:val="both"/>
                    <w:rPr>
                      <w:rFonts w:ascii="Arial" w:hAnsi="Arial"/>
                      <w:sz w:val="24"/>
                    </w:rPr>
                  </w:pPr>
                  <w:r w:rsidRPr="0009471A">
                    <w:rPr>
                      <w:rFonts w:ascii="Arial" w:hAnsi="Arial"/>
                      <w:sz w:val="24"/>
                    </w:rPr>
                    <w:t>Fund of Hedge Funds</w:t>
                  </w:r>
                </w:p>
              </w:tc>
              <w:tc>
                <w:tcPr>
                  <w:tcW w:w="6095" w:type="dxa"/>
                  <w:shd w:val="clear" w:color="auto" w:fill="auto"/>
                </w:tcPr>
                <w:p w14:paraId="7173D101" w14:textId="77777777" w:rsidR="00E023BF" w:rsidRPr="0009471A" w:rsidRDefault="00EA4E06" w:rsidP="0009471A">
                  <w:pPr>
                    <w:ind w:right="305"/>
                    <w:jc w:val="both"/>
                    <w:rPr>
                      <w:rFonts w:ascii="Arial" w:hAnsi="Arial"/>
                      <w:sz w:val="24"/>
                    </w:rPr>
                  </w:pPr>
                  <w:r w:rsidRPr="0009471A">
                    <w:rPr>
                      <w:rFonts w:ascii="Arial" w:hAnsi="Arial"/>
                      <w:sz w:val="24"/>
                    </w:rPr>
                    <w:t>Blackrock &amp; EnTrustPermal</w:t>
                  </w:r>
                </w:p>
              </w:tc>
            </w:tr>
            <w:tr w:rsidR="00E023BF" w:rsidRPr="0009471A" w14:paraId="3CF2EB1E" w14:textId="77777777" w:rsidTr="007A7B91">
              <w:tc>
                <w:tcPr>
                  <w:tcW w:w="3681" w:type="dxa"/>
                  <w:shd w:val="clear" w:color="auto" w:fill="auto"/>
                </w:tcPr>
                <w:p w14:paraId="6382192F" w14:textId="77777777" w:rsidR="00E023BF" w:rsidRPr="0009471A" w:rsidRDefault="00EA4E06" w:rsidP="0009471A">
                  <w:pPr>
                    <w:ind w:right="305"/>
                    <w:jc w:val="both"/>
                    <w:rPr>
                      <w:rFonts w:ascii="Arial" w:hAnsi="Arial"/>
                      <w:sz w:val="24"/>
                    </w:rPr>
                  </w:pPr>
                  <w:r w:rsidRPr="0009471A">
                    <w:rPr>
                      <w:rFonts w:ascii="Arial" w:hAnsi="Arial"/>
                      <w:sz w:val="24"/>
                    </w:rPr>
                    <w:t>Fund of Private Equity Funds</w:t>
                  </w:r>
                </w:p>
              </w:tc>
              <w:tc>
                <w:tcPr>
                  <w:tcW w:w="6095" w:type="dxa"/>
                  <w:shd w:val="clear" w:color="auto" w:fill="auto"/>
                </w:tcPr>
                <w:p w14:paraId="110D0E86" w14:textId="77777777" w:rsidR="00E023BF" w:rsidRPr="0009471A" w:rsidRDefault="00EA4E06" w:rsidP="0009471A">
                  <w:pPr>
                    <w:ind w:right="305"/>
                    <w:jc w:val="both"/>
                    <w:rPr>
                      <w:rFonts w:ascii="Arial" w:hAnsi="Arial"/>
                      <w:sz w:val="24"/>
                    </w:rPr>
                  </w:pPr>
                  <w:r w:rsidRPr="0009471A">
                    <w:rPr>
                      <w:rFonts w:ascii="Arial" w:hAnsi="Arial"/>
                      <w:sz w:val="24"/>
                    </w:rPr>
                    <w:t>HarbourVest</w:t>
                  </w:r>
                  <w:r w:rsidR="00B1656D">
                    <w:rPr>
                      <w:rFonts w:ascii="Arial" w:hAnsi="Arial"/>
                      <w:sz w:val="24"/>
                    </w:rPr>
                    <w:t xml:space="preserve"> &amp; Blackstone</w:t>
                  </w:r>
                </w:p>
              </w:tc>
            </w:tr>
            <w:tr w:rsidR="00E023BF" w:rsidRPr="0009471A" w14:paraId="7A050575" w14:textId="77777777" w:rsidTr="007A7B91">
              <w:tc>
                <w:tcPr>
                  <w:tcW w:w="3681" w:type="dxa"/>
                  <w:shd w:val="clear" w:color="auto" w:fill="auto"/>
                </w:tcPr>
                <w:p w14:paraId="4E32BFD4" w14:textId="77777777" w:rsidR="00E023BF" w:rsidRPr="0009471A" w:rsidRDefault="00EA4E06" w:rsidP="0009471A">
                  <w:pPr>
                    <w:ind w:right="305"/>
                    <w:jc w:val="both"/>
                    <w:rPr>
                      <w:rFonts w:ascii="Arial" w:hAnsi="Arial"/>
                      <w:sz w:val="24"/>
                    </w:rPr>
                  </w:pPr>
                  <w:r w:rsidRPr="0009471A">
                    <w:rPr>
                      <w:rFonts w:ascii="Arial" w:hAnsi="Arial"/>
                      <w:sz w:val="24"/>
                    </w:rPr>
                    <w:t>European Property Fund</w:t>
                  </w:r>
                </w:p>
              </w:tc>
              <w:tc>
                <w:tcPr>
                  <w:tcW w:w="6095" w:type="dxa"/>
                  <w:shd w:val="clear" w:color="auto" w:fill="auto"/>
                </w:tcPr>
                <w:p w14:paraId="0BF6115E" w14:textId="77777777" w:rsidR="00E023BF" w:rsidRPr="0009471A" w:rsidRDefault="00EA4E06" w:rsidP="0009471A">
                  <w:pPr>
                    <w:ind w:right="305"/>
                    <w:jc w:val="both"/>
                    <w:rPr>
                      <w:rFonts w:ascii="Arial" w:hAnsi="Arial"/>
                      <w:sz w:val="24"/>
                    </w:rPr>
                  </w:pPr>
                  <w:r w:rsidRPr="0009471A">
                    <w:rPr>
                      <w:rFonts w:ascii="Arial" w:hAnsi="Arial"/>
                      <w:sz w:val="24"/>
                    </w:rPr>
                    <w:t>Invesco</w:t>
                  </w:r>
                </w:p>
              </w:tc>
            </w:tr>
            <w:tr w:rsidR="00E023BF" w:rsidRPr="0009471A" w14:paraId="6BD914DF" w14:textId="77777777" w:rsidTr="007A7B91">
              <w:tc>
                <w:tcPr>
                  <w:tcW w:w="3681" w:type="dxa"/>
                  <w:shd w:val="clear" w:color="auto" w:fill="auto"/>
                </w:tcPr>
                <w:p w14:paraId="2DAF5031" w14:textId="77777777" w:rsidR="00E023BF" w:rsidRPr="0009471A" w:rsidRDefault="00EA4E06" w:rsidP="0009471A">
                  <w:pPr>
                    <w:ind w:right="305"/>
                    <w:jc w:val="both"/>
                    <w:rPr>
                      <w:rFonts w:ascii="Arial" w:hAnsi="Arial"/>
                      <w:sz w:val="24"/>
                    </w:rPr>
                  </w:pPr>
                  <w:r w:rsidRPr="0009471A">
                    <w:rPr>
                      <w:rFonts w:ascii="Arial" w:hAnsi="Arial"/>
                      <w:sz w:val="24"/>
                    </w:rPr>
                    <w:t>Fund of Property Funds</w:t>
                  </w:r>
                </w:p>
              </w:tc>
              <w:tc>
                <w:tcPr>
                  <w:tcW w:w="6095" w:type="dxa"/>
                  <w:shd w:val="clear" w:color="auto" w:fill="auto"/>
                </w:tcPr>
                <w:p w14:paraId="39A436DA" w14:textId="77777777" w:rsidR="00E023BF" w:rsidRPr="0009471A" w:rsidRDefault="00EA4E06" w:rsidP="0009471A">
                  <w:pPr>
                    <w:ind w:right="305"/>
                    <w:jc w:val="both"/>
                    <w:rPr>
                      <w:rFonts w:ascii="Arial" w:hAnsi="Arial"/>
                      <w:sz w:val="24"/>
                    </w:rPr>
                  </w:pPr>
                  <w:r w:rsidRPr="0009471A">
                    <w:rPr>
                      <w:rFonts w:ascii="Arial" w:hAnsi="Arial"/>
                      <w:sz w:val="24"/>
                    </w:rPr>
                    <w:t>Partners</w:t>
                  </w:r>
                  <w:r w:rsidR="00DC017B">
                    <w:rPr>
                      <w:rFonts w:ascii="Arial" w:hAnsi="Arial"/>
                      <w:sz w:val="24"/>
                    </w:rPr>
                    <w:t xml:space="preserve"> Grp</w:t>
                  </w:r>
                  <w:r w:rsidRPr="0009471A">
                    <w:rPr>
                      <w:rFonts w:ascii="Arial" w:hAnsi="Arial"/>
                      <w:sz w:val="24"/>
                    </w:rPr>
                    <w:t xml:space="preserve"> &amp; Schroders Investment Management</w:t>
                  </w:r>
                </w:p>
              </w:tc>
            </w:tr>
            <w:tr w:rsidR="00E023BF" w:rsidRPr="0009471A" w14:paraId="71E09C53" w14:textId="77777777" w:rsidTr="007A7B91">
              <w:tc>
                <w:tcPr>
                  <w:tcW w:w="3681" w:type="dxa"/>
                  <w:shd w:val="clear" w:color="auto" w:fill="auto"/>
                </w:tcPr>
                <w:p w14:paraId="02029A63" w14:textId="77777777" w:rsidR="00E023BF" w:rsidRPr="0009471A" w:rsidRDefault="00EA4E06" w:rsidP="0009471A">
                  <w:pPr>
                    <w:ind w:right="305"/>
                    <w:jc w:val="both"/>
                    <w:rPr>
                      <w:rFonts w:ascii="Arial" w:hAnsi="Arial"/>
                      <w:sz w:val="24"/>
                    </w:rPr>
                  </w:pPr>
                  <w:r w:rsidRPr="0009471A">
                    <w:rPr>
                      <w:rFonts w:ascii="Arial" w:hAnsi="Arial"/>
                      <w:sz w:val="24"/>
                    </w:rPr>
                    <w:t>Infrastructure Funds</w:t>
                  </w:r>
                </w:p>
              </w:tc>
              <w:tc>
                <w:tcPr>
                  <w:tcW w:w="6095" w:type="dxa"/>
                  <w:shd w:val="clear" w:color="auto" w:fill="auto"/>
                </w:tcPr>
                <w:p w14:paraId="38E986AE" w14:textId="77777777" w:rsidR="00E023BF" w:rsidRPr="0009471A" w:rsidRDefault="00EA4E06" w:rsidP="00B1656D">
                  <w:pPr>
                    <w:ind w:right="305"/>
                    <w:jc w:val="both"/>
                    <w:rPr>
                      <w:rFonts w:ascii="Arial" w:hAnsi="Arial"/>
                      <w:sz w:val="24"/>
                    </w:rPr>
                  </w:pPr>
                  <w:r w:rsidRPr="0009471A">
                    <w:rPr>
                      <w:rFonts w:ascii="Arial" w:hAnsi="Arial"/>
                      <w:sz w:val="24"/>
                    </w:rPr>
                    <w:t>First S</w:t>
                  </w:r>
                  <w:r w:rsidR="00B1656D">
                    <w:rPr>
                      <w:rFonts w:ascii="Arial" w:hAnsi="Arial"/>
                      <w:sz w:val="24"/>
                    </w:rPr>
                    <w:t>entier</w:t>
                  </w:r>
                  <w:r w:rsidRPr="0009471A">
                    <w:rPr>
                      <w:rFonts w:ascii="Arial" w:hAnsi="Arial"/>
                      <w:sz w:val="24"/>
                    </w:rPr>
                    <w:t xml:space="preserve"> Investments &amp; Blackrock</w:t>
                  </w:r>
                </w:p>
              </w:tc>
            </w:tr>
            <w:tr w:rsidR="00EA4E06" w:rsidRPr="0009471A" w14:paraId="6B6124D1" w14:textId="77777777" w:rsidTr="007A7B91">
              <w:tc>
                <w:tcPr>
                  <w:tcW w:w="3681" w:type="dxa"/>
                  <w:shd w:val="clear" w:color="auto" w:fill="auto"/>
                </w:tcPr>
                <w:p w14:paraId="50DA0833" w14:textId="77777777" w:rsidR="00EA4E06" w:rsidRDefault="00EA4E06" w:rsidP="0009471A">
                  <w:pPr>
                    <w:ind w:right="305"/>
                    <w:jc w:val="both"/>
                    <w:rPr>
                      <w:rFonts w:ascii="Arial" w:hAnsi="Arial"/>
                      <w:sz w:val="24"/>
                    </w:rPr>
                  </w:pPr>
                  <w:r w:rsidRPr="0009471A">
                    <w:rPr>
                      <w:rFonts w:ascii="Arial" w:hAnsi="Arial"/>
                      <w:sz w:val="24"/>
                    </w:rPr>
                    <w:t>Fund of Private Debt</w:t>
                  </w:r>
                </w:p>
                <w:p w14:paraId="577963AB" w14:textId="77777777" w:rsidR="00B1656D" w:rsidRDefault="00B1656D" w:rsidP="0009471A">
                  <w:pPr>
                    <w:ind w:right="305"/>
                    <w:jc w:val="both"/>
                    <w:rPr>
                      <w:rFonts w:ascii="Arial" w:hAnsi="Arial"/>
                      <w:sz w:val="24"/>
                    </w:rPr>
                  </w:pPr>
                  <w:r>
                    <w:rPr>
                      <w:rFonts w:ascii="Arial" w:hAnsi="Arial"/>
                      <w:sz w:val="24"/>
                    </w:rPr>
                    <w:t>Residential Housing</w:t>
                  </w:r>
                </w:p>
                <w:p w14:paraId="66F17A79" w14:textId="77777777" w:rsidR="003F3E04" w:rsidRDefault="003F3E04" w:rsidP="0009471A">
                  <w:pPr>
                    <w:ind w:right="305"/>
                    <w:jc w:val="both"/>
                    <w:rPr>
                      <w:rFonts w:ascii="Arial" w:hAnsi="Arial"/>
                      <w:sz w:val="24"/>
                    </w:rPr>
                  </w:pPr>
                  <w:r>
                    <w:rPr>
                      <w:rFonts w:ascii="Arial" w:hAnsi="Arial"/>
                      <w:sz w:val="24"/>
                    </w:rPr>
                    <w:t>Timberland &amp; Farmland</w:t>
                  </w:r>
                </w:p>
                <w:p w14:paraId="58F46E9D" w14:textId="77777777" w:rsidR="00DC017B" w:rsidRDefault="00DC017B" w:rsidP="0009471A">
                  <w:pPr>
                    <w:ind w:right="305"/>
                    <w:jc w:val="both"/>
                    <w:rPr>
                      <w:rFonts w:ascii="Arial" w:hAnsi="Arial"/>
                      <w:sz w:val="24"/>
                    </w:rPr>
                  </w:pPr>
                  <w:r>
                    <w:rPr>
                      <w:rFonts w:ascii="Arial" w:hAnsi="Arial"/>
                      <w:sz w:val="24"/>
                    </w:rPr>
                    <w:lastRenderedPageBreak/>
                    <w:t xml:space="preserve">Liquidity </w:t>
                  </w:r>
                  <w:r w:rsidR="006D789A">
                    <w:rPr>
                      <w:rFonts w:ascii="Arial" w:hAnsi="Arial"/>
                      <w:sz w:val="24"/>
                    </w:rPr>
                    <w:t>Management</w:t>
                  </w:r>
                </w:p>
                <w:p w14:paraId="34446423" w14:textId="77777777" w:rsidR="00DC017B" w:rsidRPr="0009471A" w:rsidRDefault="00DC017B" w:rsidP="0009471A">
                  <w:pPr>
                    <w:ind w:right="305"/>
                    <w:jc w:val="both"/>
                    <w:rPr>
                      <w:rFonts w:ascii="Arial" w:hAnsi="Arial"/>
                      <w:sz w:val="24"/>
                    </w:rPr>
                  </w:pPr>
                </w:p>
              </w:tc>
              <w:tc>
                <w:tcPr>
                  <w:tcW w:w="6095" w:type="dxa"/>
                  <w:shd w:val="clear" w:color="auto" w:fill="auto"/>
                </w:tcPr>
                <w:p w14:paraId="3EC26A28" w14:textId="77777777" w:rsidR="00EA4E06" w:rsidRDefault="00EA4E06" w:rsidP="00B1656D">
                  <w:pPr>
                    <w:ind w:right="305"/>
                    <w:jc w:val="both"/>
                    <w:rPr>
                      <w:rFonts w:ascii="Arial" w:hAnsi="Arial"/>
                      <w:sz w:val="24"/>
                    </w:rPr>
                  </w:pPr>
                  <w:r w:rsidRPr="0009471A">
                    <w:rPr>
                      <w:rFonts w:ascii="Arial" w:hAnsi="Arial"/>
                      <w:sz w:val="24"/>
                    </w:rPr>
                    <w:lastRenderedPageBreak/>
                    <w:t>Alcentra</w:t>
                  </w:r>
                  <w:r w:rsidR="00B1656D">
                    <w:rPr>
                      <w:rFonts w:ascii="Arial" w:hAnsi="Arial"/>
                      <w:sz w:val="24"/>
                    </w:rPr>
                    <w:t>,</w:t>
                  </w:r>
                  <w:r w:rsidRPr="0009471A">
                    <w:rPr>
                      <w:rFonts w:ascii="Arial" w:hAnsi="Arial"/>
                      <w:sz w:val="24"/>
                    </w:rPr>
                    <w:t xml:space="preserve"> CVC</w:t>
                  </w:r>
                  <w:r w:rsidR="00B1656D">
                    <w:rPr>
                      <w:rFonts w:ascii="Arial" w:hAnsi="Arial"/>
                      <w:sz w:val="24"/>
                    </w:rPr>
                    <w:t xml:space="preserve"> </w:t>
                  </w:r>
                  <w:r w:rsidRPr="0009471A">
                    <w:rPr>
                      <w:rFonts w:ascii="Arial" w:hAnsi="Arial"/>
                      <w:sz w:val="24"/>
                    </w:rPr>
                    <w:t>Credit Partners</w:t>
                  </w:r>
                  <w:r w:rsidR="00B1656D">
                    <w:rPr>
                      <w:rFonts w:ascii="Arial" w:hAnsi="Arial"/>
                      <w:sz w:val="24"/>
                    </w:rPr>
                    <w:t>, Goldman Sachs</w:t>
                  </w:r>
                </w:p>
                <w:p w14:paraId="436F5965" w14:textId="77777777" w:rsidR="00B1656D" w:rsidRDefault="00B1656D" w:rsidP="00B1656D">
                  <w:pPr>
                    <w:ind w:right="305"/>
                    <w:jc w:val="both"/>
                    <w:rPr>
                      <w:rFonts w:ascii="Arial" w:hAnsi="Arial"/>
                      <w:sz w:val="24"/>
                    </w:rPr>
                  </w:pPr>
                  <w:r>
                    <w:rPr>
                      <w:rFonts w:ascii="Arial" w:hAnsi="Arial"/>
                      <w:sz w:val="24"/>
                    </w:rPr>
                    <w:t>BMO</w:t>
                  </w:r>
                  <w:r w:rsidR="003F3E04">
                    <w:rPr>
                      <w:rFonts w:ascii="Arial" w:hAnsi="Arial"/>
                      <w:sz w:val="24"/>
                    </w:rPr>
                    <w:t>, Man Group</w:t>
                  </w:r>
                </w:p>
                <w:p w14:paraId="21C561DE" w14:textId="77777777" w:rsidR="003F3E04" w:rsidRDefault="003F3E04" w:rsidP="00B1656D">
                  <w:pPr>
                    <w:ind w:right="305"/>
                    <w:jc w:val="both"/>
                    <w:rPr>
                      <w:rFonts w:ascii="Arial" w:hAnsi="Arial"/>
                      <w:sz w:val="24"/>
                    </w:rPr>
                  </w:pPr>
                  <w:r>
                    <w:rPr>
                      <w:rFonts w:ascii="Arial" w:hAnsi="Arial"/>
                      <w:sz w:val="24"/>
                    </w:rPr>
                    <w:t>Manulife</w:t>
                  </w:r>
                </w:p>
                <w:p w14:paraId="2C4843E3" w14:textId="77777777" w:rsidR="00E23135" w:rsidRPr="0009471A" w:rsidRDefault="00E23135" w:rsidP="00B1656D">
                  <w:pPr>
                    <w:ind w:right="305"/>
                    <w:jc w:val="both"/>
                    <w:rPr>
                      <w:rFonts w:ascii="Arial" w:hAnsi="Arial"/>
                      <w:sz w:val="24"/>
                    </w:rPr>
                  </w:pPr>
                  <w:r>
                    <w:rPr>
                      <w:rFonts w:ascii="Arial" w:hAnsi="Arial"/>
                      <w:sz w:val="24"/>
                    </w:rPr>
                    <w:lastRenderedPageBreak/>
                    <w:t>Fidante &amp; T Rowe Price</w:t>
                  </w:r>
                </w:p>
              </w:tc>
            </w:tr>
          </w:tbl>
          <w:p w14:paraId="08CE5F77" w14:textId="77777777" w:rsidR="0038783F" w:rsidRPr="00814920" w:rsidRDefault="0038783F" w:rsidP="00E67673">
            <w:pPr>
              <w:ind w:right="305"/>
              <w:jc w:val="both"/>
              <w:rPr>
                <w:rFonts w:ascii="Arial" w:hAnsi="Arial"/>
                <w:sz w:val="24"/>
              </w:rPr>
            </w:pPr>
          </w:p>
        </w:tc>
        <w:tc>
          <w:tcPr>
            <w:tcW w:w="437" w:type="dxa"/>
            <w:shd w:val="clear" w:color="auto" w:fill="auto"/>
          </w:tcPr>
          <w:p w14:paraId="7030FD51" w14:textId="77777777" w:rsidR="0038783F" w:rsidRPr="00814920" w:rsidRDefault="0038783F" w:rsidP="00E67673">
            <w:pPr>
              <w:ind w:right="305"/>
              <w:jc w:val="both"/>
              <w:rPr>
                <w:rFonts w:ascii="Arial" w:hAnsi="Arial"/>
                <w:sz w:val="24"/>
              </w:rPr>
            </w:pPr>
          </w:p>
        </w:tc>
      </w:tr>
    </w:tbl>
    <w:p w14:paraId="3236F421" w14:textId="77777777" w:rsidR="00E023BF" w:rsidRDefault="00B1656D" w:rsidP="005E4F16">
      <w:pPr>
        <w:outlineLvl w:val="0"/>
        <w:rPr>
          <w:rFonts w:ascii="Arial" w:hAnsi="Arial"/>
          <w:b/>
        </w:rPr>
      </w:pPr>
      <w:r>
        <w:rPr>
          <w:rFonts w:ascii="Arial" w:hAnsi="Arial"/>
          <w:b/>
        </w:rPr>
        <w:t xml:space="preserve"> </w:t>
      </w:r>
    </w:p>
    <w:p w14:paraId="014076F3" w14:textId="77777777" w:rsidR="00902B91" w:rsidRDefault="00902B91" w:rsidP="005E4F16">
      <w:pPr>
        <w:outlineLvl w:val="0"/>
        <w:rPr>
          <w:rFonts w:ascii="Arial" w:hAnsi="Arial"/>
          <w:b/>
        </w:rPr>
      </w:pPr>
      <w:r w:rsidRPr="004840A9">
        <w:rPr>
          <w:rFonts w:ascii="Arial" w:hAnsi="Arial"/>
          <w:b/>
        </w:rPr>
        <w:t>Valuation of Investments</w:t>
      </w:r>
    </w:p>
    <w:p w14:paraId="211FFD67" w14:textId="77777777" w:rsidR="0002134D" w:rsidRPr="0002134D" w:rsidRDefault="0002134D" w:rsidP="005E4F16">
      <w:pPr>
        <w:outlineLvl w:val="0"/>
        <w:rPr>
          <w:rFonts w:ascii="Arial" w:hAnsi="Arial"/>
          <w:sz w:val="24"/>
          <w:szCs w:val="24"/>
        </w:rPr>
      </w:pPr>
    </w:p>
    <w:p w14:paraId="634929F0" w14:textId="77777777" w:rsidR="00902B91" w:rsidRPr="00D66A79" w:rsidRDefault="00902B91" w:rsidP="005E4F16">
      <w:pPr>
        <w:jc w:val="both"/>
        <w:rPr>
          <w:rFonts w:ascii="Arial" w:hAnsi="Arial"/>
          <w:sz w:val="24"/>
        </w:rPr>
      </w:pPr>
      <w:r w:rsidRPr="00D66A79">
        <w:rPr>
          <w:rFonts w:ascii="Arial" w:hAnsi="Arial"/>
          <w:sz w:val="24"/>
        </w:rPr>
        <w:t xml:space="preserve">The value of the </w:t>
      </w:r>
      <w:r w:rsidR="00367967" w:rsidRPr="00D66A79">
        <w:rPr>
          <w:rFonts w:ascii="Arial" w:hAnsi="Arial"/>
          <w:sz w:val="24"/>
        </w:rPr>
        <w:t>F</w:t>
      </w:r>
      <w:r w:rsidRPr="00D66A79">
        <w:rPr>
          <w:rFonts w:ascii="Arial" w:hAnsi="Arial"/>
          <w:sz w:val="24"/>
        </w:rPr>
        <w:t>und’s investments</w:t>
      </w:r>
      <w:r w:rsidR="000D3B39" w:rsidRPr="00D66A79">
        <w:rPr>
          <w:rFonts w:ascii="Arial" w:hAnsi="Arial"/>
          <w:sz w:val="24"/>
        </w:rPr>
        <w:t xml:space="preserve"> of £</w:t>
      </w:r>
      <w:r w:rsidR="00B1656D" w:rsidRPr="00D66A79">
        <w:rPr>
          <w:rFonts w:ascii="Arial" w:hAnsi="Arial"/>
          <w:sz w:val="24"/>
        </w:rPr>
        <w:t>2,</w:t>
      </w:r>
      <w:r w:rsidR="00294515">
        <w:rPr>
          <w:rFonts w:ascii="Arial" w:hAnsi="Arial"/>
          <w:sz w:val="24"/>
        </w:rPr>
        <w:t>92</w:t>
      </w:r>
      <w:r w:rsidR="00172C61">
        <w:rPr>
          <w:rFonts w:ascii="Arial" w:hAnsi="Arial"/>
          <w:sz w:val="24"/>
        </w:rPr>
        <w:t>1.6</w:t>
      </w:r>
      <w:r w:rsidR="000D3B39" w:rsidRPr="00D66A79">
        <w:rPr>
          <w:rFonts w:ascii="Arial" w:hAnsi="Arial"/>
          <w:sz w:val="24"/>
        </w:rPr>
        <w:t>m</w:t>
      </w:r>
      <w:r w:rsidRPr="00D66A79">
        <w:rPr>
          <w:rFonts w:ascii="Arial" w:hAnsi="Arial"/>
          <w:sz w:val="24"/>
        </w:rPr>
        <w:t xml:space="preserve"> together with net asset</w:t>
      </w:r>
      <w:r w:rsidR="00797E01" w:rsidRPr="00D66A79">
        <w:rPr>
          <w:rFonts w:ascii="Arial" w:hAnsi="Arial"/>
          <w:sz w:val="24"/>
        </w:rPr>
        <w:t xml:space="preserve">s </w:t>
      </w:r>
      <w:r w:rsidR="000D3B39" w:rsidRPr="00D66A79">
        <w:rPr>
          <w:rFonts w:ascii="Arial" w:hAnsi="Arial"/>
          <w:sz w:val="24"/>
        </w:rPr>
        <w:t>totalling £</w:t>
      </w:r>
      <w:r w:rsidR="00294515">
        <w:rPr>
          <w:rFonts w:ascii="Arial" w:hAnsi="Arial"/>
          <w:sz w:val="24"/>
        </w:rPr>
        <w:t>2.</w:t>
      </w:r>
      <w:r w:rsidR="00172C61">
        <w:rPr>
          <w:rFonts w:ascii="Arial" w:hAnsi="Arial"/>
          <w:sz w:val="24"/>
        </w:rPr>
        <w:t>6</w:t>
      </w:r>
      <w:r w:rsidR="000D3B39" w:rsidRPr="00D66A79">
        <w:rPr>
          <w:rFonts w:ascii="Arial" w:hAnsi="Arial"/>
          <w:sz w:val="24"/>
        </w:rPr>
        <w:t xml:space="preserve">m </w:t>
      </w:r>
      <w:r w:rsidR="005C4424" w:rsidRPr="00D66A79">
        <w:rPr>
          <w:rFonts w:ascii="Arial" w:hAnsi="Arial"/>
          <w:sz w:val="24"/>
        </w:rPr>
        <w:t>increased</w:t>
      </w:r>
      <w:r w:rsidR="00797E01" w:rsidRPr="00D66A79">
        <w:rPr>
          <w:rFonts w:ascii="Arial" w:hAnsi="Arial"/>
          <w:sz w:val="24"/>
        </w:rPr>
        <w:t xml:space="preserve"> from £</w:t>
      </w:r>
      <w:r w:rsidR="00294515">
        <w:rPr>
          <w:rFonts w:ascii="Arial" w:hAnsi="Arial"/>
          <w:sz w:val="24"/>
        </w:rPr>
        <w:t>2,614.5</w:t>
      </w:r>
      <w:r w:rsidR="003E6E72" w:rsidRPr="00D66A79">
        <w:rPr>
          <w:rFonts w:ascii="Arial" w:hAnsi="Arial"/>
          <w:sz w:val="24"/>
        </w:rPr>
        <w:t>m</w:t>
      </w:r>
      <w:r w:rsidR="00797E01" w:rsidRPr="00D66A79">
        <w:rPr>
          <w:rFonts w:ascii="Arial" w:hAnsi="Arial"/>
          <w:sz w:val="24"/>
        </w:rPr>
        <w:t xml:space="preserve"> </w:t>
      </w:r>
      <w:r w:rsidR="0013440B" w:rsidRPr="00D66A79">
        <w:rPr>
          <w:rFonts w:ascii="Arial" w:hAnsi="Arial"/>
          <w:sz w:val="24"/>
        </w:rPr>
        <w:t>to £</w:t>
      </w:r>
      <w:r w:rsidR="005C4424" w:rsidRPr="00D66A79">
        <w:rPr>
          <w:rFonts w:ascii="Arial" w:hAnsi="Arial"/>
          <w:sz w:val="24"/>
        </w:rPr>
        <w:t>2</w:t>
      </w:r>
      <w:r w:rsidR="00F02CD7" w:rsidRPr="00D66A79">
        <w:rPr>
          <w:rFonts w:ascii="Arial" w:hAnsi="Arial"/>
          <w:sz w:val="24"/>
        </w:rPr>
        <w:t>,</w:t>
      </w:r>
      <w:r w:rsidR="00294515">
        <w:rPr>
          <w:rFonts w:ascii="Arial" w:hAnsi="Arial"/>
          <w:sz w:val="24"/>
        </w:rPr>
        <w:t>92</w:t>
      </w:r>
      <w:r w:rsidR="00172C61">
        <w:rPr>
          <w:rFonts w:ascii="Arial" w:hAnsi="Arial"/>
          <w:sz w:val="24"/>
        </w:rPr>
        <w:t>4.2</w:t>
      </w:r>
      <w:r w:rsidR="00321BF6" w:rsidRPr="00D66A79">
        <w:rPr>
          <w:rFonts w:ascii="Arial" w:hAnsi="Arial"/>
          <w:sz w:val="24"/>
        </w:rPr>
        <w:t>m</w:t>
      </w:r>
      <w:r w:rsidR="0013440B" w:rsidRPr="00D66A79">
        <w:rPr>
          <w:rFonts w:ascii="Arial" w:hAnsi="Arial"/>
          <w:sz w:val="24"/>
        </w:rPr>
        <w:t xml:space="preserve"> during </w:t>
      </w:r>
      <w:r w:rsidR="002469C4">
        <w:rPr>
          <w:rFonts w:ascii="Arial" w:hAnsi="Arial"/>
          <w:sz w:val="24"/>
        </w:rPr>
        <w:t>2021/22</w:t>
      </w:r>
    </w:p>
    <w:p w14:paraId="08DAD982" w14:textId="77777777" w:rsidR="00902B91" w:rsidRPr="00D66A79" w:rsidRDefault="00902B91" w:rsidP="005E4F16">
      <w:pPr>
        <w:rPr>
          <w:rFonts w:ascii="Arial" w:hAnsi="Arial"/>
          <w:sz w:val="24"/>
        </w:rPr>
      </w:pPr>
    </w:p>
    <w:p w14:paraId="4ED70F04" w14:textId="77777777" w:rsidR="00902B91" w:rsidRPr="00D66A79" w:rsidRDefault="00797E01" w:rsidP="005E4F16">
      <w:pPr>
        <w:rPr>
          <w:rFonts w:ascii="Arial" w:hAnsi="Arial"/>
          <w:sz w:val="24"/>
        </w:rPr>
      </w:pPr>
      <w:r w:rsidRPr="00D66A79">
        <w:rPr>
          <w:rFonts w:ascii="Arial" w:hAnsi="Arial"/>
          <w:sz w:val="24"/>
        </w:rPr>
        <w:t xml:space="preserve">The </w:t>
      </w:r>
      <w:r w:rsidR="005C4424" w:rsidRPr="00D66A79">
        <w:rPr>
          <w:rFonts w:ascii="Arial" w:hAnsi="Arial"/>
          <w:sz w:val="24"/>
        </w:rPr>
        <w:t>increase</w:t>
      </w:r>
      <w:r w:rsidRPr="00D66A79">
        <w:rPr>
          <w:rFonts w:ascii="Arial" w:hAnsi="Arial"/>
          <w:sz w:val="24"/>
        </w:rPr>
        <w:t xml:space="preserve"> of £</w:t>
      </w:r>
      <w:r w:rsidR="00294515">
        <w:rPr>
          <w:rFonts w:ascii="Arial" w:hAnsi="Arial"/>
          <w:sz w:val="24"/>
        </w:rPr>
        <w:t>3</w:t>
      </w:r>
      <w:r w:rsidR="00172C61">
        <w:rPr>
          <w:rFonts w:ascii="Arial" w:hAnsi="Arial"/>
          <w:sz w:val="24"/>
        </w:rPr>
        <w:t>09.7</w:t>
      </w:r>
      <w:r w:rsidR="00BD4B62" w:rsidRPr="00D66A79">
        <w:rPr>
          <w:rFonts w:ascii="Arial" w:hAnsi="Arial"/>
          <w:sz w:val="24"/>
        </w:rPr>
        <w:t>m</w:t>
      </w:r>
      <w:r w:rsidR="00902B91" w:rsidRPr="00D66A79">
        <w:rPr>
          <w:rFonts w:ascii="Arial" w:hAnsi="Arial"/>
          <w:sz w:val="24"/>
        </w:rPr>
        <w:t xml:space="preserve"> is comprised of two elements:</w:t>
      </w:r>
    </w:p>
    <w:p w14:paraId="2B67EE89" w14:textId="77777777" w:rsidR="00902B91" w:rsidRPr="00D66A79" w:rsidRDefault="00902B91" w:rsidP="005E4F16">
      <w:pPr>
        <w:rPr>
          <w:rFonts w:ascii="Arial" w:hAnsi="Arial"/>
          <w:sz w:val="24"/>
        </w:rPr>
      </w:pPr>
    </w:p>
    <w:tbl>
      <w:tblPr>
        <w:tblW w:w="4597" w:type="pct"/>
        <w:jc w:val="center"/>
        <w:tblLook w:val="0000" w:firstRow="0" w:lastRow="0" w:firstColumn="0" w:lastColumn="0" w:noHBand="0" w:noVBand="0"/>
      </w:tblPr>
      <w:tblGrid>
        <w:gridCol w:w="1395"/>
        <w:gridCol w:w="6301"/>
        <w:gridCol w:w="274"/>
        <w:gridCol w:w="1429"/>
      </w:tblGrid>
      <w:tr w:rsidR="00C04AF3" w:rsidRPr="00D66A79" w14:paraId="62C38419" w14:textId="77777777" w:rsidTr="008B437E">
        <w:trPr>
          <w:jc w:val="center"/>
        </w:trPr>
        <w:tc>
          <w:tcPr>
            <w:tcW w:w="742" w:type="pct"/>
          </w:tcPr>
          <w:p w14:paraId="4D36CEB1" w14:textId="77777777" w:rsidR="00C04AF3" w:rsidRPr="00D66A79" w:rsidRDefault="002469C4" w:rsidP="005E4F16">
            <w:pPr>
              <w:jc w:val="right"/>
              <w:rPr>
                <w:rFonts w:ascii="Arial" w:hAnsi="Arial"/>
                <w:b/>
                <w:sz w:val="24"/>
              </w:rPr>
            </w:pPr>
            <w:r>
              <w:rPr>
                <w:rFonts w:ascii="Arial" w:hAnsi="Arial"/>
                <w:b/>
                <w:sz w:val="24"/>
              </w:rPr>
              <w:t>2020/21</w:t>
            </w:r>
          </w:p>
          <w:p w14:paraId="4AA43CBC" w14:textId="77777777" w:rsidR="00C04AF3" w:rsidRPr="00D66A79" w:rsidRDefault="00C04AF3" w:rsidP="005E4F16">
            <w:pPr>
              <w:jc w:val="right"/>
              <w:rPr>
                <w:rFonts w:ascii="Arial" w:hAnsi="Arial"/>
                <w:sz w:val="24"/>
              </w:rPr>
            </w:pPr>
            <w:r w:rsidRPr="00D66A79">
              <w:rPr>
                <w:rFonts w:ascii="Arial" w:hAnsi="Arial"/>
                <w:b/>
                <w:sz w:val="24"/>
              </w:rPr>
              <w:t>£’000</w:t>
            </w:r>
          </w:p>
        </w:tc>
        <w:tc>
          <w:tcPr>
            <w:tcW w:w="3352" w:type="pct"/>
          </w:tcPr>
          <w:p w14:paraId="19BAC95F" w14:textId="77777777" w:rsidR="00C04AF3" w:rsidRPr="00D66A79" w:rsidRDefault="00C04AF3" w:rsidP="005E4F16">
            <w:pPr>
              <w:rPr>
                <w:rFonts w:ascii="Arial" w:hAnsi="Arial"/>
                <w:sz w:val="24"/>
              </w:rPr>
            </w:pPr>
          </w:p>
        </w:tc>
        <w:tc>
          <w:tcPr>
            <w:tcW w:w="146" w:type="pct"/>
          </w:tcPr>
          <w:p w14:paraId="2DCC0985" w14:textId="77777777" w:rsidR="00C04AF3" w:rsidRPr="00D66A79" w:rsidRDefault="00C04AF3" w:rsidP="005E4F16">
            <w:pPr>
              <w:jc w:val="center"/>
              <w:rPr>
                <w:rFonts w:ascii="Arial" w:hAnsi="Arial"/>
                <w:b/>
                <w:sz w:val="24"/>
              </w:rPr>
            </w:pPr>
          </w:p>
        </w:tc>
        <w:tc>
          <w:tcPr>
            <w:tcW w:w="760" w:type="pct"/>
          </w:tcPr>
          <w:p w14:paraId="0795FC27" w14:textId="77777777" w:rsidR="00C04AF3" w:rsidRPr="00D66A79" w:rsidRDefault="002469C4" w:rsidP="005E4F16">
            <w:pPr>
              <w:jc w:val="right"/>
              <w:rPr>
                <w:rFonts w:ascii="Arial" w:hAnsi="Arial"/>
                <w:b/>
                <w:sz w:val="24"/>
              </w:rPr>
            </w:pPr>
            <w:r>
              <w:rPr>
                <w:rFonts w:ascii="Arial" w:hAnsi="Arial"/>
                <w:b/>
                <w:sz w:val="24"/>
              </w:rPr>
              <w:t>2021/22</w:t>
            </w:r>
          </w:p>
          <w:p w14:paraId="1FF70690" w14:textId="77777777" w:rsidR="00C04AF3" w:rsidRPr="00D66A79" w:rsidRDefault="00C04AF3" w:rsidP="005E4F16">
            <w:pPr>
              <w:jc w:val="right"/>
              <w:rPr>
                <w:rFonts w:ascii="Arial" w:hAnsi="Arial"/>
                <w:sz w:val="24"/>
              </w:rPr>
            </w:pPr>
            <w:r w:rsidRPr="00D66A79">
              <w:rPr>
                <w:rFonts w:ascii="Arial" w:hAnsi="Arial"/>
                <w:b/>
                <w:sz w:val="24"/>
              </w:rPr>
              <w:t>£’000</w:t>
            </w:r>
          </w:p>
        </w:tc>
      </w:tr>
      <w:tr w:rsidR="002469C4" w:rsidRPr="00D66A79" w14:paraId="37DABC84" w14:textId="77777777" w:rsidTr="008B437E">
        <w:trPr>
          <w:jc w:val="center"/>
        </w:trPr>
        <w:tc>
          <w:tcPr>
            <w:tcW w:w="742" w:type="pct"/>
          </w:tcPr>
          <w:p w14:paraId="01AF9F5C" w14:textId="77777777" w:rsidR="002469C4" w:rsidRPr="00D66A79" w:rsidRDefault="002469C4" w:rsidP="002469C4">
            <w:pPr>
              <w:jc w:val="right"/>
              <w:rPr>
                <w:rFonts w:ascii="Arial" w:hAnsi="Arial"/>
                <w:color w:val="000000"/>
                <w:sz w:val="24"/>
              </w:rPr>
            </w:pPr>
            <w:r w:rsidRPr="00D66A79">
              <w:rPr>
                <w:rFonts w:ascii="Arial" w:hAnsi="Arial"/>
                <w:color w:val="000000"/>
                <w:sz w:val="24"/>
              </w:rPr>
              <w:t>623,579</w:t>
            </w:r>
          </w:p>
        </w:tc>
        <w:tc>
          <w:tcPr>
            <w:tcW w:w="3352" w:type="pct"/>
          </w:tcPr>
          <w:p w14:paraId="49812B97" w14:textId="77777777" w:rsidR="002469C4" w:rsidRPr="00D66A79" w:rsidRDefault="002469C4" w:rsidP="002469C4">
            <w:pPr>
              <w:rPr>
                <w:rFonts w:ascii="Arial" w:hAnsi="Arial"/>
                <w:sz w:val="24"/>
              </w:rPr>
            </w:pPr>
            <w:r w:rsidRPr="00D66A79">
              <w:rPr>
                <w:rFonts w:ascii="Arial" w:hAnsi="Arial"/>
                <w:sz w:val="24"/>
              </w:rPr>
              <w:t>Net Return on Investments</w:t>
            </w:r>
          </w:p>
        </w:tc>
        <w:tc>
          <w:tcPr>
            <w:tcW w:w="146" w:type="pct"/>
          </w:tcPr>
          <w:p w14:paraId="7B722F46" w14:textId="77777777" w:rsidR="002469C4" w:rsidRPr="00D66A79" w:rsidRDefault="002469C4" w:rsidP="002469C4">
            <w:pPr>
              <w:jc w:val="center"/>
              <w:rPr>
                <w:rFonts w:ascii="Arial" w:hAnsi="Arial"/>
                <w:sz w:val="24"/>
              </w:rPr>
            </w:pPr>
          </w:p>
        </w:tc>
        <w:tc>
          <w:tcPr>
            <w:tcW w:w="760" w:type="pct"/>
          </w:tcPr>
          <w:p w14:paraId="668C8517" w14:textId="77777777" w:rsidR="002469C4" w:rsidRPr="00D66A79" w:rsidRDefault="003F3E04" w:rsidP="002469C4">
            <w:pPr>
              <w:jc w:val="right"/>
              <w:rPr>
                <w:rFonts w:ascii="Arial" w:hAnsi="Arial"/>
                <w:color w:val="000000"/>
                <w:sz w:val="24"/>
              </w:rPr>
            </w:pPr>
            <w:r>
              <w:rPr>
                <w:rFonts w:ascii="Arial" w:hAnsi="Arial"/>
                <w:color w:val="000000"/>
                <w:sz w:val="24"/>
              </w:rPr>
              <w:t>30</w:t>
            </w:r>
            <w:r w:rsidR="00172C61">
              <w:rPr>
                <w:rFonts w:ascii="Arial" w:hAnsi="Arial"/>
                <w:color w:val="000000"/>
                <w:sz w:val="24"/>
              </w:rPr>
              <w:t>5</w:t>
            </w:r>
            <w:r>
              <w:rPr>
                <w:rFonts w:ascii="Arial" w:hAnsi="Arial"/>
                <w:color w:val="000000"/>
                <w:sz w:val="24"/>
              </w:rPr>
              <w:t>,</w:t>
            </w:r>
            <w:r w:rsidR="00172C61">
              <w:rPr>
                <w:rFonts w:ascii="Arial" w:hAnsi="Arial"/>
                <w:color w:val="000000"/>
                <w:sz w:val="24"/>
              </w:rPr>
              <w:t>071</w:t>
            </w:r>
          </w:p>
        </w:tc>
      </w:tr>
      <w:tr w:rsidR="002469C4" w:rsidRPr="00D66A79" w14:paraId="5F257330" w14:textId="77777777" w:rsidTr="004733EF">
        <w:trPr>
          <w:jc w:val="center"/>
        </w:trPr>
        <w:tc>
          <w:tcPr>
            <w:tcW w:w="742" w:type="pct"/>
          </w:tcPr>
          <w:p w14:paraId="5D7EE2C7" w14:textId="77777777" w:rsidR="002469C4" w:rsidRPr="00D66A79" w:rsidRDefault="002469C4" w:rsidP="002469C4">
            <w:pPr>
              <w:jc w:val="right"/>
              <w:rPr>
                <w:rFonts w:ascii="Arial" w:hAnsi="Arial"/>
                <w:color w:val="000000"/>
                <w:sz w:val="24"/>
              </w:rPr>
            </w:pPr>
            <w:r w:rsidRPr="00D66A79">
              <w:rPr>
                <w:rFonts w:ascii="Arial" w:hAnsi="Arial"/>
                <w:color w:val="000000"/>
                <w:sz w:val="24"/>
              </w:rPr>
              <w:t>2,854</w:t>
            </w:r>
          </w:p>
        </w:tc>
        <w:tc>
          <w:tcPr>
            <w:tcW w:w="3352" w:type="pct"/>
          </w:tcPr>
          <w:p w14:paraId="67CEC96D" w14:textId="77777777" w:rsidR="002469C4" w:rsidRPr="00D66A79" w:rsidRDefault="002469C4" w:rsidP="002469C4">
            <w:pPr>
              <w:rPr>
                <w:rFonts w:ascii="Arial" w:hAnsi="Arial"/>
                <w:sz w:val="24"/>
              </w:rPr>
            </w:pPr>
            <w:r w:rsidRPr="00D66A79">
              <w:rPr>
                <w:rFonts w:ascii="Arial" w:hAnsi="Arial"/>
                <w:sz w:val="24"/>
              </w:rPr>
              <w:t>Add Net additions from dealing with members</w:t>
            </w:r>
          </w:p>
        </w:tc>
        <w:tc>
          <w:tcPr>
            <w:tcW w:w="146" w:type="pct"/>
          </w:tcPr>
          <w:p w14:paraId="03125256" w14:textId="77777777" w:rsidR="002469C4" w:rsidRPr="00D66A79" w:rsidRDefault="002469C4" w:rsidP="002469C4">
            <w:pPr>
              <w:jc w:val="center"/>
              <w:rPr>
                <w:rFonts w:ascii="Arial" w:hAnsi="Arial"/>
                <w:sz w:val="24"/>
              </w:rPr>
            </w:pPr>
          </w:p>
        </w:tc>
        <w:tc>
          <w:tcPr>
            <w:tcW w:w="760" w:type="pct"/>
          </w:tcPr>
          <w:p w14:paraId="70ED6AC1" w14:textId="77777777" w:rsidR="002469C4" w:rsidRPr="00D66A79" w:rsidRDefault="003F3E04" w:rsidP="002469C4">
            <w:pPr>
              <w:jc w:val="right"/>
              <w:rPr>
                <w:rFonts w:ascii="Arial" w:hAnsi="Arial"/>
                <w:color w:val="000000"/>
                <w:sz w:val="24"/>
              </w:rPr>
            </w:pPr>
            <w:r>
              <w:rPr>
                <w:rFonts w:ascii="Arial" w:hAnsi="Arial"/>
                <w:color w:val="000000"/>
                <w:sz w:val="24"/>
              </w:rPr>
              <w:t>4,706</w:t>
            </w:r>
          </w:p>
        </w:tc>
      </w:tr>
      <w:tr w:rsidR="002469C4" w:rsidRPr="00D66A79" w14:paraId="578EAC90" w14:textId="77777777" w:rsidTr="004733EF">
        <w:trPr>
          <w:trHeight w:hRule="exact" w:val="200"/>
          <w:jc w:val="center"/>
        </w:trPr>
        <w:tc>
          <w:tcPr>
            <w:tcW w:w="742" w:type="pct"/>
            <w:tcBorders>
              <w:top w:val="single" w:sz="6" w:space="0" w:color="auto"/>
            </w:tcBorders>
          </w:tcPr>
          <w:p w14:paraId="3AC0D9C5" w14:textId="77777777" w:rsidR="002469C4" w:rsidRPr="00D66A79" w:rsidRDefault="002469C4" w:rsidP="002469C4">
            <w:pPr>
              <w:jc w:val="right"/>
              <w:rPr>
                <w:rFonts w:ascii="Arial" w:hAnsi="Arial"/>
                <w:color w:val="000000"/>
                <w:sz w:val="24"/>
              </w:rPr>
            </w:pPr>
          </w:p>
        </w:tc>
        <w:tc>
          <w:tcPr>
            <w:tcW w:w="3352" w:type="pct"/>
          </w:tcPr>
          <w:p w14:paraId="136F3289" w14:textId="77777777" w:rsidR="002469C4" w:rsidRPr="00D66A79" w:rsidRDefault="002469C4" w:rsidP="002469C4">
            <w:pPr>
              <w:rPr>
                <w:rFonts w:ascii="Arial" w:hAnsi="Arial"/>
                <w:sz w:val="24"/>
              </w:rPr>
            </w:pPr>
          </w:p>
        </w:tc>
        <w:tc>
          <w:tcPr>
            <w:tcW w:w="146" w:type="pct"/>
          </w:tcPr>
          <w:p w14:paraId="2BF26EB0" w14:textId="77777777" w:rsidR="002469C4" w:rsidRPr="00D66A79" w:rsidRDefault="002469C4" w:rsidP="002469C4">
            <w:pPr>
              <w:jc w:val="center"/>
              <w:rPr>
                <w:rFonts w:ascii="Arial" w:hAnsi="Arial"/>
                <w:sz w:val="24"/>
              </w:rPr>
            </w:pPr>
          </w:p>
        </w:tc>
        <w:tc>
          <w:tcPr>
            <w:tcW w:w="760" w:type="pct"/>
            <w:tcBorders>
              <w:top w:val="single" w:sz="6" w:space="0" w:color="auto"/>
            </w:tcBorders>
          </w:tcPr>
          <w:p w14:paraId="0E8D2344" w14:textId="77777777" w:rsidR="002469C4" w:rsidRPr="00D66A79" w:rsidRDefault="002469C4" w:rsidP="002469C4">
            <w:pPr>
              <w:jc w:val="right"/>
              <w:rPr>
                <w:rFonts w:ascii="Arial" w:hAnsi="Arial"/>
                <w:color w:val="000000"/>
                <w:sz w:val="24"/>
              </w:rPr>
            </w:pPr>
          </w:p>
        </w:tc>
      </w:tr>
      <w:tr w:rsidR="002469C4" w:rsidRPr="00117F66" w14:paraId="6A4808E2" w14:textId="77777777" w:rsidTr="004733EF">
        <w:trPr>
          <w:jc w:val="center"/>
        </w:trPr>
        <w:tc>
          <w:tcPr>
            <w:tcW w:w="742" w:type="pct"/>
            <w:tcBorders>
              <w:bottom w:val="double" w:sz="6" w:space="0" w:color="auto"/>
            </w:tcBorders>
          </w:tcPr>
          <w:p w14:paraId="177EE762" w14:textId="77777777" w:rsidR="002469C4" w:rsidRPr="00117F66" w:rsidRDefault="002469C4" w:rsidP="002469C4">
            <w:pPr>
              <w:jc w:val="right"/>
              <w:rPr>
                <w:rFonts w:ascii="Arial" w:hAnsi="Arial"/>
                <w:b/>
                <w:color w:val="000000"/>
                <w:sz w:val="24"/>
              </w:rPr>
            </w:pPr>
            <w:r w:rsidRPr="00D66A79">
              <w:rPr>
                <w:rFonts w:ascii="Arial" w:hAnsi="Arial"/>
                <w:b/>
                <w:color w:val="000000"/>
                <w:sz w:val="24"/>
              </w:rPr>
              <w:t>626,433</w:t>
            </w:r>
          </w:p>
        </w:tc>
        <w:tc>
          <w:tcPr>
            <w:tcW w:w="3352" w:type="pct"/>
          </w:tcPr>
          <w:p w14:paraId="7A7F509F" w14:textId="77777777" w:rsidR="002469C4" w:rsidRPr="00D66A79" w:rsidRDefault="002469C4" w:rsidP="002469C4">
            <w:pPr>
              <w:rPr>
                <w:rFonts w:ascii="Arial" w:hAnsi="Arial"/>
                <w:sz w:val="24"/>
              </w:rPr>
            </w:pPr>
          </w:p>
        </w:tc>
        <w:tc>
          <w:tcPr>
            <w:tcW w:w="146" w:type="pct"/>
          </w:tcPr>
          <w:p w14:paraId="0144E28B" w14:textId="77777777" w:rsidR="002469C4" w:rsidRPr="00D66A79" w:rsidRDefault="002469C4" w:rsidP="002469C4">
            <w:pPr>
              <w:jc w:val="right"/>
              <w:rPr>
                <w:rFonts w:ascii="Arial" w:hAnsi="Arial"/>
                <w:sz w:val="24"/>
              </w:rPr>
            </w:pPr>
          </w:p>
        </w:tc>
        <w:tc>
          <w:tcPr>
            <w:tcW w:w="760" w:type="pct"/>
            <w:tcBorders>
              <w:bottom w:val="double" w:sz="6" w:space="0" w:color="auto"/>
            </w:tcBorders>
          </w:tcPr>
          <w:p w14:paraId="4AB3AEDC" w14:textId="77777777" w:rsidR="002469C4" w:rsidRPr="00117F66" w:rsidRDefault="00172C61" w:rsidP="002469C4">
            <w:pPr>
              <w:jc w:val="right"/>
              <w:rPr>
                <w:rFonts w:ascii="Arial" w:hAnsi="Arial"/>
                <w:b/>
                <w:color w:val="000000"/>
                <w:sz w:val="24"/>
              </w:rPr>
            </w:pPr>
            <w:r>
              <w:rPr>
                <w:rFonts w:ascii="Arial" w:hAnsi="Arial"/>
                <w:b/>
                <w:color w:val="000000"/>
                <w:sz w:val="24"/>
              </w:rPr>
              <w:t>309,777</w:t>
            </w:r>
          </w:p>
        </w:tc>
      </w:tr>
    </w:tbl>
    <w:p w14:paraId="6889BF09" w14:textId="77777777" w:rsidR="00902B91" w:rsidRPr="00117F66" w:rsidRDefault="00902B91" w:rsidP="005E4F16">
      <w:pPr>
        <w:rPr>
          <w:rFonts w:ascii="Arial" w:hAnsi="Arial"/>
          <w:sz w:val="24"/>
        </w:rPr>
      </w:pPr>
    </w:p>
    <w:p w14:paraId="07729C8E" w14:textId="77777777" w:rsidR="00902B91" w:rsidRPr="004840A9" w:rsidRDefault="00902B91" w:rsidP="005E4F16">
      <w:pPr>
        <w:jc w:val="both"/>
        <w:outlineLvl w:val="0"/>
        <w:rPr>
          <w:rFonts w:ascii="Arial" w:hAnsi="Arial"/>
          <w:sz w:val="24"/>
        </w:rPr>
      </w:pPr>
      <w:r w:rsidRPr="00117F66">
        <w:rPr>
          <w:rFonts w:ascii="Arial" w:hAnsi="Arial"/>
          <w:sz w:val="24"/>
        </w:rPr>
        <w:t>The market value of the Fund’s investments over the past 10 years</w:t>
      </w:r>
      <w:r w:rsidRPr="004840A9">
        <w:rPr>
          <w:rFonts w:ascii="Arial" w:hAnsi="Arial"/>
          <w:sz w:val="24"/>
        </w:rPr>
        <w:t xml:space="preserve"> is illustrated in </w:t>
      </w:r>
      <w:r w:rsidRPr="00BB5481">
        <w:rPr>
          <w:rFonts w:ascii="Arial" w:hAnsi="Arial"/>
          <w:sz w:val="24"/>
        </w:rPr>
        <w:t>Appendix 3.</w:t>
      </w:r>
    </w:p>
    <w:p w14:paraId="52ECB6B9" w14:textId="77777777" w:rsidR="00902B91" w:rsidRDefault="00902B91" w:rsidP="005E4F16">
      <w:pPr>
        <w:rPr>
          <w:rFonts w:ascii="Arial" w:hAnsi="Arial"/>
          <w:sz w:val="24"/>
        </w:rPr>
      </w:pPr>
    </w:p>
    <w:p w14:paraId="5E2AA774" w14:textId="77777777" w:rsidR="00902B91" w:rsidRDefault="00902B91" w:rsidP="005E4F16">
      <w:pPr>
        <w:rPr>
          <w:rFonts w:ascii="Arial" w:hAnsi="Arial"/>
        </w:rPr>
      </w:pPr>
    </w:p>
    <w:p w14:paraId="2566FB96" w14:textId="77777777" w:rsidR="00F72205" w:rsidRPr="004840A9" w:rsidRDefault="00F72205" w:rsidP="00F72205">
      <w:pPr>
        <w:outlineLvl w:val="0"/>
        <w:rPr>
          <w:rFonts w:ascii="Arial" w:hAnsi="Arial"/>
          <w:b/>
        </w:rPr>
      </w:pPr>
      <w:r>
        <w:rPr>
          <w:rFonts w:ascii="Arial" w:hAnsi="Arial"/>
          <w:b/>
        </w:rPr>
        <w:t>D</w:t>
      </w:r>
      <w:r w:rsidRPr="004840A9">
        <w:rPr>
          <w:rFonts w:ascii="Arial" w:hAnsi="Arial"/>
          <w:b/>
        </w:rPr>
        <w:t>istribution of Investments</w:t>
      </w:r>
    </w:p>
    <w:p w14:paraId="7ACE794A" w14:textId="77777777" w:rsidR="00F72205" w:rsidRPr="004840A9" w:rsidRDefault="00F72205" w:rsidP="00F72205">
      <w:pPr>
        <w:rPr>
          <w:rFonts w:ascii="Arial" w:hAnsi="Arial"/>
          <w:sz w:val="24"/>
        </w:rPr>
      </w:pPr>
    </w:p>
    <w:p w14:paraId="5E0FF6E1" w14:textId="77777777" w:rsidR="00F72205" w:rsidRPr="004840A9" w:rsidRDefault="00F72205" w:rsidP="00F72205">
      <w:pPr>
        <w:jc w:val="both"/>
        <w:rPr>
          <w:rFonts w:ascii="Arial" w:hAnsi="Arial"/>
          <w:sz w:val="24"/>
        </w:rPr>
      </w:pPr>
      <w:r w:rsidRPr="004840A9">
        <w:rPr>
          <w:rFonts w:ascii="Arial" w:hAnsi="Arial"/>
          <w:sz w:val="24"/>
        </w:rPr>
        <w:t>The following table shows the distribution of the Fund’s investments at 31 March</w:t>
      </w:r>
      <w:r>
        <w:rPr>
          <w:rFonts w:ascii="Arial" w:hAnsi="Arial"/>
          <w:sz w:val="24"/>
        </w:rPr>
        <w:t xml:space="preserve"> 2022</w:t>
      </w:r>
      <w:r w:rsidRPr="004840A9">
        <w:rPr>
          <w:rFonts w:ascii="Arial" w:hAnsi="Arial"/>
          <w:sz w:val="24"/>
        </w:rPr>
        <w:t xml:space="preserve"> at Bid price </w:t>
      </w:r>
      <w:r>
        <w:rPr>
          <w:rFonts w:ascii="Arial" w:hAnsi="Arial"/>
          <w:sz w:val="24"/>
        </w:rPr>
        <w:t>Market Values.</w:t>
      </w:r>
    </w:p>
    <w:p w14:paraId="257EFE44" w14:textId="77777777" w:rsidR="00F72205" w:rsidRPr="004840A9" w:rsidRDefault="00F72205" w:rsidP="00F72205">
      <w:pPr>
        <w:rPr>
          <w:rFonts w:ascii="Arial" w:hAnsi="Arial"/>
        </w:rPr>
      </w:pPr>
    </w:p>
    <w:tbl>
      <w:tblPr>
        <w:tblW w:w="9821" w:type="dxa"/>
        <w:jc w:val="center"/>
        <w:tblBorders>
          <w:top w:val="single" w:sz="4" w:space="0" w:color="auto"/>
        </w:tblBorders>
        <w:tblLayout w:type="fixed"/>
        <w:tblLook w:val="0000" w:firstRow="0" w:lastRow="0" w:firstColumn="0" w:lastColumn="0" w:noHBand="0" w:noVBand="0"/>
      </w:tblPr>
      <w:tblGrid>
        <w:gridCol w:w="557"/>
        <w:gridCol w:w="1367"/>
        <w:gridCol w:w="236"/>
        <w:gridCol w:w="851"/>
        <w:gridCol w:w="676"/>
        <w:gridCol w:w="3463"/>
        <w:gridCol w:w="1418"/>
        <w:gridCol w:w="255"/>
        <w:gridCol w:w="998"/>
      </w:tblGrid>
      <w:tr w:rsidR="00F72205" w:rsidRPr="00117F66" w14:paraId="0F4EA538" w14:textId="77777777" w:rsidTr="008B01EC">
        <w:trPr>
          <w:jc w:val="center"/>
        </w:trPr>
        <w:tc>
          <w:tcPr>
            <w:tcW w:w="557" w:type="dxa"/>
            <w:tcBorders>
              <w:top w:val="nil"/>
            </w:tcBorders>
          </w:tcPr>
          <w:p w14:paraId="13ED3918" w14:textId="77777777" w:rsidR="00F72205" w:rsidRPr="00117F66" w:rsidRDefault="00F72205" w:rsidP="008B01EC">
            <w:pPr>
              <w:jc w:val="right"/>
              <w:rPr>
                <w:rFonts w:ascii="Arial" w:hAnsi="Arial"/>
                <w:sz w:val="24"/>
              </w:rPr>
            </w:pPr>
          </w:p>
        </w:tc>
        <w:tc>
          <w:tcPr>
            <w:tcW w:w="2454" w:type="dxa"/>
            <w:gridSpan w:val="3"/>
            <w:tcBorders>
              <w:top w:val="nil"/>
            </w:tcBorders>
          </w:tcPr>
          <w:p w14:paraId="0EB3FEA6" w14:textId="77777777" w:rsidR="00F72205" w:rsidRPr="00117F66" w:rsidRDefault="00F72205" w:rsidP="008B01EC">
            <w:pPr>
              <w:pStyle w:val="Heading3"/>
              <w:jc w:val="center"/>
            </w:pPr>
            <w:r w:rsidRPr="00117F66">
              <w:t>31 March 20</w:t>
            </w:r>
            <w:r>
              <w:t>21</w:t>
            </w:r>
          </w:p>
        </w:tc>
        <w:tc>
          <w:tcPr>
            <w:tcW w:w="676" w:type="dxa"/>
            <w:tcBorders>
              <w:top w:val="nil"/>
            </w:tcBorders>
          </w:tcPr>
          <w:p w14:paraId="2A3CF13C" w14:textId="77777777" w:rsidR="00F72205" w:rsidRPr="00117F66" w:rsidRDefault="00F72205" w:rsidP="008B01EC">
            <w:pPr>
              <w:jc w:val="right"/>
              <w:rPr>
                <w:rFonts w:ascii="Arial" w:hAnsi="Arial"/>
                <w:sz w:val="24"/>
              </w:rPr>
            </w:pPr>
          </w:p>
        </w:tc>
        <w:tc>
          <w:tcPr>
            <w:tcW w:w="3463" w:type="dxa"/>
            <w:tcBorders>
              <w:top w:val="nil"/>
            </w:tcBorders>
          </w:tcPr>
          <w:p w14:paraId="7EFF56D8" w14:textId="77777777" w:rsidR="00F72205" w:rsidRPr="00117F66" w:rsidRDefault="00F72205" w:rsidP="008B01EC">
            <w:pPr>
              <w:rPr>
                <w:rFonts w:ascii="Arial" w:hAnsi="Arial"/>
                <w:sz w:val="24"/>
              </w:rPr>
            </w:pPr>
          </w:p>
        </w:tc>
        <w:tc>
          <w:tcPr>
            <w:tcW w:w="2671" w:type="dxa"/>
            <w:gridSpan w:val="3"/>
            <w:tcBorders>
              <w:top w:val="nil"/>
            </w:tcBorders>
          </w:tcPr>
          <w:p w14:paraId="24B3AAAF" w14:textId="77777777" w:rsidR="00F72205" w:rsidRDefault="00F72205" w:rsidP="008B01EC">
            <w:pPr>
              <w:pStyle w:val="Heading3"/>
              <w:jc w:val="center"/>
            </w:pPr>
            <w:r w:rsidRPr="00117F66">
              <w:t xml:space="preserve">31 March </w:t>
            </w:r>
            <w:r>
              <w:t>2022</w:t>
            </w:r>
          </w:p>
          <w:p w14:paraId="1BA7CC20" w14:textId="77777777" w:rsidR="00F72205" w:rsidRPr="00315811" w:rsidRDefault="00F72205" w:rsidP="008B01EC"/>
        </w:tc>
      </w:tr>
      <w:tr w:rsidR="00F72205" w:rsidRPr="00117F66" w14:paraId="4E942DF0" w14:textId="77777777" w:rsidTr="008B01EC">
        <w:trPr>
          <w:jc w:val="center"/>
        </w:trPr>
        <w:tc>
          <w:tcPr>
            <w:tcW w:w="557" w:type="dxa"/>
          </w:tcPr>
          <w:p w14:paraId="572514A8" w14:textId="77777777" w:rsidR="00F72205" w:rsidRPr="00117F66" w:rsidRDefault="00F72205" w:rsidP="008B01EC">
            <w:pPr>
              <w:jc w:val="right"/>
              <w:rPr>
                <w:rFonts w:ascii="Arial" w:hAnsi="Arial"/>
                <w:sz w:val="24"/>
              </w:rPr>
            </w:pPr>
          </w:p>
        </w:tc>
        <w:tc>
          <w:tcPr>
            <w:tcW w:w="1367" w:type="dxa"/>
          </w:tcPr>
          <w:p w14:paraId="44965D87" w14:textId="77777777" w:rsidR="00F72205" w:rsidRDefault="00F72205" w:rsidP="008B01EC">
            <w:pPr>
              <w:jc w:val="right"/>
              <w:rPr>
                <w:rFonts w:ascii="Arial" w:hAnsi="Arial"/>
                <w:b/>
                <w:sz w:val="24"/>
              </w:rPr>
            </w:pPr>
            <w:r w:rsidRPr="00117F66">
              <w:rPr>
                <w:rFonts w:ascii="Arial" w:hAnsi="Arial"/>
                <w:b/>
                <w:sz w:val="24"/>
              </w:rPr>
              <w:t>£’000</w:t>
            </w:r>
          </w:p>
          <w:p w14:paraId="578EDE7B" w14:textId="77777777" w:rsidR="00F72205" w:rsidRPr="00117F66" w:rsidRDefault="00F72205" w:rsidP="008B01EC">
            <w:pPr>
              <w:jc w:val="right"/>
              <w:rPr>
                <w:rFonts w:ascii="Arial" w:hAnsi="Arial"/>
                <w:b/>
                <w:sz w:val="24"/>
              </w:rPr>
            </w:pPr>
          </w:p>
        </w:tc>
        <w:tc>
          <w:tcPr>
            <w:tcW w:w="236" w:type="dxa"/>
          </w:tcPr>
          <w:p w14:paraId="1EF9F7BE" w14:textId="77777777" w:rsidR="00F72205" w:rsidRPr="00117F66" w:rsidRDefault="00F72205" w:rsidP="008B01EC">
            <w:pPr>
              <w:jc w:val="right"/>
              <w:rPr>
                <w:rFonts w:ascii="Arial" w:hAnsi="Arial"/>
                <w:b/>
                <w:sz w:val="24"/>
              </w:rPr>
            </w:pPr>
          </w:p>
        </w:tc>
        <w:tc>
          <w:tcPr>
            <w:tcW w:w="851" w:type="dxa"/>
          </w:tcPr>
          <w:p w14:paraId="76A1EC71" w14:textId="77777777" w:rsidR="00F72205" w:rsidRPr="00117F66" w:rsidRDefault="00F72205" w:rsidP="008B01EC">
            <w:pPr>
              <w:jc w:val="right"/>
              <w:rPr>
                <w:rFonts w:ascii="Arial" w:hAnsi="Arial"/>
                <w:b/>
                <w:sz w:val="24"/>
              </w:rPr>
            </w:pPr>
            <w:r w:rsidRPr="00117F66">
              <w:rPr>
                <w:rFonts w:ascii="Arial" w:hAnsi="Arial"/>
                <w:b/>
                <w:sz w:val="24"/>
              </w:rPr>
              <w:t>%</w:t>
            </w:r>
          </w:p>
        </w:tc>
        <w:tc>
          <w:tcPr>
            <w:tcW w:w="676" w:type="dxa"/>
          </w:tcPr>
          <w:p w14:paraId="3CF8A2A3" w14:textId="77777777" w:rsidR="00F72205" w:rsidRPr="00117F66" w:rsidRDefault="00F72205" w:rsidP="008B01EC">
            <w:pPr>
              <w:jc w:val="right"/>
              <w:rPr>
                <w:rFonts w:ascii="Arial" w:hAnsi="Arial"/>
                <w:b/>
                <w:sz w:val="24"/>
              </w:rPr>
            </w:pPr>
          </w:p>
        </w:tc>
        <w:tc>
          <w:tcPr>
            <w:tcW w:w="3463" w:type="dxa"/>
          </w:tcPr>
          <w:p w14:paraId="29841D29" w14:textId="77777777" w:rsidR="00F72205" w:rsidRPr="00117F66" w:rsidRDefault="00F72205" w:rsidP="008B01EC">
            <w:pPr>
              <w:rPr>
                <w:rFonts w:ascii="Arial" w:hAnsi="Arial"/>
                <w:b/>
                <w:sz w:val="24"/>
              </w:rPr>
            </w:pPr>
          </w:p>
        </w:tc>
        <w:tc>
          <w:tcPr>
            <w:tcW w:w="1418" w:type="dxa"/>
          </w:tcPr>
          <w:p w14:paraId="4C5F6E7B" w14:textId="77777777" w:rsidR="00F72205" w:rsidRPr="00117F66" w:rsidRDefault="00F72205" w:rsidP="008B01EC">
            <w:pPr>
              <w:jc w:val="right"/>
              <w:rPr>
                <w:rFonts w:ascii="Arial" w:hAnsi="Arial"/>
                <w:b/>
                <w:sz w:val="24"/>
              </w:rPr>
            </w:pPr>
            <w:r w:rsidRPr="00117F66">
              <w:rPr>
                <w:rFonts w:ascii="Arial" w:hAnsi="Arial"/>
                <w:b/>
                <w:sz w:val="24"/>
              </w:rPr>
              <w:t>£’000</w:t>
            </w:r>
          </w:p>
        </w:tc>
        <w:tc>
          <w:tcPr>
            <w:tcW w:w="255" w:type="dxa"/>
          </w:tcPr>
          <w:p w14:paraId="041E548E" w14:textId="77777777" w:rsidR="00F72205" w:rsidRPr="00117F66" w:rsidRDefault="00F72205" w:rsidP="008B01EC">
            <w:pPr>
              <w:jc w:val="right"/>
              <w:rPr>
                <w:rFonts w:ascii="Arial" w:hAnsi="Arial"/>
                <w:b/>
                <w:sz w:val="24"/>
              </w:rPr>
            </w:pPr>
          </w:p>
        </w:tc>
        <w:tc>
          <w:tcPr>
            <w:tcW w:w="998" w:type="dxa"/>
          </w:tcPr>
          <w:p w14:paraId="1A9E8655" w14:textId="77777777" w:rsidR="00F72205" w:rsidRPr="00117F66" w:rsidRDefault="00F72205" w:rsidP="008B01EC">
            <w:pPr>
              <w:jc w:val="right"/>
              <w:rPr>
                <w:rFonts w:ascii="Arial" w:hAnsi="Arial"/>
                <w:b/>
                <w:sz w:val="24"/>
              </w:rPr>
            </w:pPr>
            <w:r w:rsidRPr="00117F66">
              <w:rPr>
                <w:rFonts w:ascii="Arial" w:hAnsi="Arial"/>
                <w:b/>
                <w:sz w:val="24"/>
              </w:rPr>
              <w:t>%</w:t>
            </w:r>
          </w:p>
        </w:tc>
      </w:tr>
      <w:tr w:rsidR="00F72205" w:rsidRPr="00117F66" w14:paraId="0E872A89" w14:textId="77777777" w:rsidTr="008B01EC">
        <w:trPr>
          <w:trHeight w:val="270"/>
          <w:jc w:val="center"/>
        </w:trPr>
        <w:tc>
          <w:tcPr>
            <w:tcW w:w="557" w:type="dxa"/>
          </w:tcPr>
          <w:p w14:paraId="25B33FD5" w14:textId="77777777" w:rsidR="00F72205" w:rsidRPr="00117F66" w:rsidRDefault="00F72205" w:rsidP="008B01EC">
            <w:pPr>
              <w:jc w:val="right"/>
              <w:rPr>
                <w:rFonts w:ascii="Arial" w:hAnsi="Arial"/>
                <w:sz w:val="24"/>
              </w:rPr>
            </w:pPr>
          </w:p>
        </w:tc>
        <w:tc>
          <w:tcPr>
            <w:tcW w:w="1367" w:type="dxa"/>
          </w:tcPr>
          <w:p w14:paraId="68A49A94" w14:textId="77777777" w:rsidR="00F72205" w:rsidRPr="00117F66" w:rsidRDefault="00F72205" w:rsidP="008B01EC">
            <w:pPr>
              <w:jc w:val="right"/>
              <w:rPr>
                <w:rFonts w:ascii="Arial" w:hAnsi="Arial"/>
                <w:sz w:val="24"/>
              </w:rPr>
            </w:pPr>
            <w:r>
              <w:rPr>
                <w:rFonts w:ascii="Arial" w:hAnsi="Arial"/>
                <w:sz w:val="24"/>
              </w:rPr>
              <w:t>230,537</w:t>
            </w:r>
          </w:p>
        </w:tc>
        <w:tc>
          <w:tcPr>
            <w:tcW w:w="236" w:type="dxa"/>
          </w:tcPr>
          <w:p w14:paraId="0DCB158E" w14:textId="77777777" w:rsidR="00F72205" w:rsidRPr="00117F66" w:rsidRDefault="00F72205" w:rsidP="008B01EC">
            <w:pPr>
              <w:jc w:val="right"/>
              <w:rPr>
                <w:rFonts w:ascii="Arial" w:hAnsi="Arial"/>
                <w:sz w:val="24"/>
              </w:rPr>
            </w:pPr>
          </w:p>
        </w:tc>
        <w:tc>
          <w:tcPr>
            <w:tcW w:w="851" w:type="dxa"/>
          </w:tcPr>
          <w:p w14:paraId="4306B0BE" w14:textId="77777777" w:rsidR="00F72205" w:rsidRPr="00117F66" w:rsidRDefault="00F72205" w:rsidP="008B01EC">
            <w:pPr>
              <w:jc w:val="right"/>
              <w:rPr>
                <w:rFonts w:ascii="Arial" w:hAnsi="Arial"/>
                <w:sz w:val="24"/>
              </w:rPr>
            </w:pPr>
            <w:r>
              <w:rPr>
                <w:rFonts w:ascii="Arial" w:hAnsi="Arial"/>
                <w:sz w:val="24"/>
              </w:rPr>
              <w:t>8.9</w:t>
            </w:r>
          </w:p>
        </w:tc>
        <w:tc>
          <w:tcPr>
            <w:tcW w:w="676" w:type="dxa"/>
          </w:tcPr>
          <w:p w14:paraId="72B73FCA" w14:textId="77777777" w:rsidR="00F72205" w:rsidRPr="00117F66" w:rsidRDefault="00F72205" w:rsidP="008B01EC">
            <w:pPr>
              <w:jc w:val="right"/>
              <w:rPr>
                <w:rFonts w:ascii="Arial" w:hAnsi="Arial"/>
                <w:sz w:val="24"/>
              </w:rPr>
            </w:pPr>
          </w:p>
        </w:tc>
        <w:tc>
          <w:tcPr>
            <w:tcW w:w="3463" w:type="dxa"/>
          </w:tcPr>
          <w:p w14:paraId="7B170F42" w14:textId="77777777" w:rsidR="00F72205" w:rsidRPr="00117F66" w:rsidRDefault="00F72205" w:rsidP="008B01EC">
            <w:pPr>
              <w:rPr>
                <w:rFonts w:ascii="Arial" w:hAnsi="Arial"/>
                <w:sz w:val="24"/>
              </w:rPr>
            </w:pPr>
            <w:r w:rsidRPr="00117F66">
              <w:rPr>
                <w:rFonts w:ascii="Arial" w:hAnsi="Arial"/>
                <w:sz w:val="24"/>
              </w:rPr>
              <w:t xml:space="preserve">Fixed Interest </w:t>
            </w:r>
            <w:r>
              <w:rPr>
                <w:rFonts w:ascii="Arial" w:hAnsi="Arial"/>
                <w:sz w:val="24"/>
              </w:rPr>
              <w:t>S</w:t>
            </w:r>
            <w:r w:rsidRPr="00117F66">
              <w:rPr>
                <w:rFonts w:ascii="Arial" w:hAnsi="Arial"/>
                <w:sz w:val="24"/>
              </w:rPr>
              <w:t>ecurities</w:t>
            </w:r>
          </w:p>
        </w:tc>
        <w:tc>
          <w:tcPr>
            <w:tcW w:w="1418" w:type="dxa"/>
          </w:tcPr>
          <w:p w14:paraId="3EB13FF4" w14:textId="77777777" w:rsidR="00F72205" w:rsidRPr="00117F66" w:rsidRDefault="00F72205" w:rsidP="008B01EC">
            <w:pPr>
              <w:jc w:val="right"/>
              <w:rPr>
                <w:rFonts w:ascii="Arial" w:hAnsi="Arial"/>
                <w:sz w:val="24"/>
              </w:rPr>
            </w:pPr>
            <w:r>
              <w:rPr>
                <w:rFonts w:ascii="Arial" w:hAnsi="Arial"/>
                <w:sz w:val="24"/>
              </w:rPr>
              <w:t>241,705</w:t>
            </w:r>
          </w:p>
        </w:tc>
        <w:tc>
          <w:tcPr>
            <w:tcW w:w="255" w:type="dxa"/>
          </w:tcPr>
          <w:p w14:paraId="30EF398D" w14:textId="77777777" w:rsidR="00F72205" w:rsidRPr="00117F66" w:rsidRDefault="00F72205" w:rsidP="008B01EC">
            <w:pPr>
              <w:jc w:val="right"/>
              <w:rPr>
                <w:rFonts w:ascii="Arial" w:hAnsi="Arial"/>
                <w:sz w:val="24"/>
              </w:rPr>
            </w:pPr>
          </w:p>
        </w:tc>
        <w:tc>
          <w:tcPr>
            <w:tcW w:w="998" w:type="dxa"/>
          </w:tcPr>
          <w:p w14:paraId="647F9BC1" w14:textId="77777777" w:rsidR="00F72205" w:rsidRPr="00117F66" w:rsidRDefault="00F72205" w:rsidP="008B01EC">
            <w:pPr>
              <w:jc w:val="right"/>
              <w:rPr>
                <w:rFonts w:ascii="Arial" w:hAnsi="Arial"/>
                <w:sz w:val="24"/>
              </w:rPr>
            </w:pPr>
            <w:r>
              <w:rPr>
                <w:rFonts w:ascii="Arial" w:hAnsi="Arial"/>
                <w:sz w:val="24"/>
              </w:rPr>
              <w:t>8.3</w:t>
            </w:r>
          </w:p>
        </w:tc>
      </w:tr>
      <w:tr w:rsidR="00F72205" w:rsidRPr="00117F66" w14:paraId="47B70DC3" w14:textId="77777777" w:rsidTr="008B01EC">
        <w:trPr>
          <w:jc w:val="center"/>
        </w:trPr>
        <w:tc>
          <w:tcPr>
            <w:tcW w:w="557" w:type="dxa"/>
          </w:tcPr>
          <w:p w14:paraId="72778110" w14:textId="77777777" w:rsidR="00F72205" w:rsidRPr="00117F66" w:rsidRDefault="00F72205" w:rsidP="008B01EC">
            <w:pPr>
              <w:jc w:val="right"/>
              <w:rPr>
                <w:rFonts w:ascii="Arial" w:hAnsi="Arial"/>
                <w:sz w:val="24"/>
              </w:rPr>
            </w:pPr>
          </w:p>
        </w:tc>
        <w:tc>
          <w:tcPr>
            <w:tcW w:w="1367" w:type="dxa"/>
          </w:tcPr>
          <w:p w14:paraId="6D9F44F6" w14:textId="77777777" w:rsidR="00F72205" w:rsidRPr="00117F66" w:rsidRDefault="00F72205" w:rsidP="008B01EC">
            <w:pPr>
              <w:jc w:val="right"/>
              <w:rPr>
                <w:rFonts w:ascii="Arial" w:hAnsi="Arial"/>
                <w:sz w:val="24"/>
              </w:rPr>
            </w:pPr>
            <w:r>
              <w:rPr>
                <w:rFonts w:ascii="Arial" w:hAnsi="Arial"/>
                <w:sz w:val="24"/>
              </w:rPr>
              <w:t>35,919</w:t>
            </w:r>
          </w:p>
        </w:tc>
        <w:tc>
          <w:tcPr>
            <w:tcW w:w="236" w:type="dxa"/>
          </w:tcPr>
          <w:p w14:paraId="12257ED7" w14:textId="77777777" w:rsidR="00F72205" w:rsidRPr="00117F66" w:rsidRDefault="00F72205" w:rsidP="008B01EC">
            <w:pPr>
              <w:jc w:val="right"/>
              <w:rPr>
                <w:rFonts w:ascii="Arial" w:hAnsi="Arial"/>
                <w:sz w:val="24"/>
              </w:rPr>
            </w:pPr>
          </w:p>
        </w:tc>
        <w:tc>
          <w:tcPr>
            <w:tcW w:w="851" w:type="dxa"/>
          </w:tcPr>
          <w:p w14:paraId="437FC01E" w14:textId="77777777" w:rsidR="00F72205" w:rsidRPr="00117F66" w:rsidRDefault="00F72205" w:rsidP="008B01EC">
            <w:pPr>
              <w:jc w:val="right"/>
              <w:rPr>
                <w:rFonts w:ascii="Arial" w:hAnsi="Arial"/>
                <w:sz w:val="24"/>
              </w:rPr>
            </w:pPr>
            <w:r>
              <w:rPr>
                <w:rFonts w:ascii="Arial" w:hAnsi="Arial"/>
                <w:sz w:val="24"/>
              </w:rPr>
              <w:t>1.4</w:t>
            </w:r>
          </w:p>
        </w:tc>
        <w:tc>
          <w:tcPr>
            <w:tcW w:w="676" w:type="dxa"/>
          </w:tcPr>
          <w:p w14:paraId="16FA19B7" w14:textId="77777777" w:rsidR="00F72205" w:rsidRPr="00117F66" w:rsidRDefault="00F72205" w:rsidP="008B01EC">
            <w:pPr>
              <w:jc w:val="right"/>
              <w:rPr>
                <w:rFonts w:ascii="Arial" w:hAnsi="Arial"/>
                <w:sz w:val="24"/>
              </w:rPr>
            </w:pPr>
          </w:p>
        </w:tc>
        <w:tc>
          <w:tcPr>
            <w:tcW w:w="3463" w:type="dxa"/>
          </w:tcPr>
          <w:p w14:paraId="13B93AA7" w14:textId="77777777" w:rsidR="00F72205" w:rsidRPr="00117F66" w:rsidRDefault="00F72205" w:rsidP="008B01EC">
            <w:pPr>
              <w:rPr>
                <w:rFonts w:ascii="Arial" w:hAnsi="Arial"/>
                <w:sz w:val="24"/>
              </w:rPr>
            </w:pPr>
            <w:r w:rsidRPr="00117F66">
              <w:rPr>
                <w:rFonts w:ascii="Arial" w:hAnsi="Arial"/>
                <w:sz w:val="24"/>
              </w:rPr>
              <w:t>Index Linked Securities</w:t>
            </w:r>
          </w:p>
        </w:tc>
        <w:tc>
          <w:tcPr>
            <w:tcW w:w="1418" w:type="dxa"/>
          </w:tcPr>
          <w:p w14:paraId="440BE2D9" w14:textId="77777777" w:rsidR="00F72205" w:rsidRPr="00117F66" w:rsidRDefault="00F72205" w:rsidP="008B01EC">
            <w:pPr>
              <w:jc w:val="right"/>
              <w:rPr>
                <w:rFonts w:ascii="Arial" w:hAnsi="Arial"/>
                <w:sz w:val="24"/>
              </w:rPr>
            </w:pPr>
            <w:r>
              <w:rPr>
                <w:rFonts w:ascii="Arial" w:hAnsi="Arial"/>
                <w:sz w:val="24"/>
              </w:rPr>
              <w:t>37,745</w:t>
            </w:r>
          </w:p>
        </w:tc>
        <w:tc>
          <w:tcPr>
            <w:tcW w:w="255" w:type="dxa"/>
          </w:tcPr>
          <w:p w14:paraId="170A71EE" w14:textId="77777777" w:rsidR="00F72205" w:rsidRPr="00117F66" w:rsidRDefault="00F72205" w:rsidP="008B01EC">
            <w:pPr>
              <w:jc w:val="right"/>
              <w:rPr>
                <w:rFonts w:ascii="Arial" w:hAnsi="Arial"/>
                <w:sz w:val="24"/>
              </w:rPr>
            </w:pPr>
          </w:p>
        </w:tc>
        <w:tc>
          <w:tcPr>
            <w:tcW w:w="998" w:type="dxa"/>
          </w:tcPr>
          <w:p w14:paraId="06C17BCD" w14:textId="77777777" w:rsidR="00F72205" w:rsidRPr="00117F66" w:rsidRDefault="00F72205" w:rsidP="008B01EC">
            <w:pPr>
              <w:jc w:val="right"/>
              <w:rPr>
                <w:rFonts w:ascii="Arial" w:hAnsi="Arial"/>
                <w:sz w:val="24"/>
              </w:rPr>
            </w:pPr>
            <w:r>
              <w:rPr>
                <w:rFonts w:ascii="Arial" w:hAnsi="Arial"/>
                <w:sz w:val="24"/>
              </w:rPr>
              <w:t>1.3</w:t>
            </w:r>
          </w:p>
        </w:tc>
      </w:tr>
      <w:tr w:rsidR="00F72205" w:rsidRPr="00117F66" w14:paraId="48DF8A84" w14:textId="77777777" w:rsidTr="008B01EC">
        <w:trPr>
          <w:jc w:val="center"/>
        </w:trPr>
        <w:tc>
          <w:tcPr>
            <w:tcW w:w="557" w:type="dxa"/>
          </w:tcPr>
          <w:p w14:paraId="5497C4B6" w14:textId="77777777" w:rsidR="00F72205" w:rsidRPr="00117F66" w:rsidRDefault="00F72205" w:rsidP="008B01EC">
            <w:pPr>
              <w:jc w:val="right"/>
              <w:rPr>
                <w:rFonts w:ascii="Arial" w:hAnsi="Arial"/>
                <w:sz w:val="24"/>
              </w:rPr>
            </w:pPr>
          </w:p>
        </w:tc>
        <w:tc>
          <w:tcPr>
            <w:tcW w:w="1367" w:type="dxa"/>
          </w:tcPr>
          <w:p w14:paraId="5D624FE9" w14:textId="77777777" w:rsidR="00F72205" w:rsidRDefault="00F72205" w:rsidP="008B01EC">
            <w:pPr>
              <w:jc w:val="right"/>
              <w:rPr>
                <w:rFonts w:ascii="Arial" w:hAnsi="Arial"/>
                <w:sz w:val="24"/>
              </w:rPr>
            </w:pPr>
            <w:r>
              <w:rPr>
                <w:rFonts w:ascii="Arial" w:hAnsi="Arial"/>
                <w:sz w:val="24"/>
              </w:rPr>
              <w:t>1,879,292</w:t>
            </w:r>
          </w:p>
        </w:tc>
        <w:tc>
          <w:tcPr>
            <w:tcW w:w="236" w:type="dxa"/>
          </w:tcPr>
          <w:p w14:paraId="1FA076A9" w14:textId="77777777" w:rsidR="00F72205" w:rsidRPr="00117F66" w:rsidRDefault="00F72205" w:rsidP="008B01EC">
            <w:pPr>
              <w:jc w:val="right"/>
              <w:rPr>
                <w:rFonts w:ascii="Arial" w:hAnsi="Arial"/>
                <w:sz w:val="24"/>
              </w:rPr>
            </w:pPr>
          </w:p>
        </w:tc>
        <w:tc>
          <w:tcPr>
            <w:tcW w:w="851" w:type="dxa"/>
          </w:tcPr>
          <w:p w14:paraId="69F50324" w14:textId="77777777" w:rsidR="00F72205" w:rsidRDefault="00F72205" w:rsidP="008B01EC">
            <w:pPr>
              <w:jc w:val="right"/>
              <w:rPr>
                <w:rFonts w:ascii="Arial" w:hAnsi="Arial"/>
                <w:sz w:val="24"/>
              </w:rPr>
            </w:pPr>
            <w:r>
              <w:rPr>
                <w:rFonts w:ascii="Arial" w:hAnsi="Arial"/>
                <w:sz w:val="24"/>
              </w:rPr>
              <w:t>72.0</w:t>
            </w:r>
          </w:p>
        </w:tc>
        <w:tc>
          <w:tcPr>
            <w:tcW w:w="676" w:type="dxa"/>
          </w:tcPr>
          <w:p w14:paraId="77865C6F" w14:textId="77777777" w:rsidR="00F72205" w:rsidRPr="00117F66" w:rsidRDefault="00F72205" w:rsidP="008B01EC">
            <w:pPr>
              <w:jc w:val="right"/>
              <w:rPr>
                <w:rFonts w:ascii="Arial" w:hAnsi="Arial"/>
                <w:sz w:val="24"/>
              </w:rPr>
            </w:pPr>
          </w:p>
        </w:tc>
        <w:tc>
          <w:tcPr>
            <w:tcW w:w="3463" w:type="dxa"/>
          </w:tcPr>
          <w:p w14:paraId="7894FECA" w14:textId="77777777" w:rsidR="00F72205" w:rsidRPr="00117F66" w:rsidRDefault="00F72205" w:rsidP="008B01EC">
            <w:pPr>
              <w:rPr>
                <w:rFonts w:ascii="Arial" w:hAnsi="Arial"/>
                <w:sz w:val="24"/>
              </w:rPr>
            </w:pPr>
            <w:r>
              <w:rPr>
                <w:rFonts w:ascii="Arial" w:hAnsi="Arial"/>
                <w:sz w:val="24"/>
              </w:rPr>
              <w:t>Global Equities</w:t>
            </w:r>
          </w:p>
        </w:tc>
        <w:tc>
          <w:tcPr>
            <w:tcW w:w="1418" w:type="dxa"/>
          </w:tcPr>
          <w:p w14:paraId="06FF7DF4" w14:textId="77777777" w:rsidR="00F72205" w:rsidRDefault="00F72205" w:rsidP="008B01EC">
            <w:pPr>
              <w:jc w:val="right"/>
              <w:rPr>
                <w:rFonts w:ascii="Arial" w:hAnsi="Arial"/>
                <w:sz w:val="24"/>
              </w:rPr>
            </w:pPr>
            <w:r>
              <w:rPr>
                <w:rFonts w:ascii="Arial" w:hAnsi="Arial"/>
                <w:sz w:val="24"/>
              </w:rPr>
              <w:t>2,079,114</w:t>
            </w:r>
          </w:p>
        </w:tc>
        <w:tc>
          <w:tcPr>
            <w:tcW w:w="255" w:type="dxa"/>
          </w:tcPr>
          <w:p w14:paraId="128FA2C8" w14:textId="77777777" w:rsidR="00F72205" w:rsidRPr="00117F66" w:rsidRDefault="00F72205" w:rsidP="008B01EC">
            <w:pPr>
              <w:jc w:val="right"/>
              <w:rPr>
                <w:rFonts w:ascii="Arial" w:hAnsi="Arial"/>
                <w:sz w:val="24"/>
              </w:rPr>
            </w:pPr>
          </w:p>
        </w:tc>
        <w:tc>
          <w:tcPr>
            <w:tcW w:w="998" w:type="dxa"/>
          </w:tcPr>
          <w:p w14:paraId="2B647B6B" w14:textId="77777777" w:rsidR="00F72205" w:rsidRDefault="00F72205" w:rsidP="008B01EC">
            <w:pPr>
              <w:jc w:val="right"/>
              <w:rPr>
                <w:rFonts w:ascii="Arial" w:hAnsi="Arial"/>
                <w:sz w:val="24"/>
              </w:rPr>
            </w:pPr>
            <w:r>
              <w:rPr>
                <w:rFonts w:ascii="Arial" w:hAnsi="Arial"/>
                <w:sz w:val="24"/>
              </w:rPr>
              <w:t>71.0</w:t>
            </w:r>
          </w:p>
        </w:tc>
      </w:tr>
      <w:tr w:rsidR="00F72205" w:rsidRPr="00117F66" w14:paraId="6274700B" w14:textId="77777777" w:rsidTr="008B01EC">
        <w:trPr>
          <w:jc w:val="center"/>
        </w:trPr>
        <w:tc>
          <w:tcPr>
            <w:tcW w:w="557" w:type="dxa"/>
          </w:tcPr>
          <w:p w14:paraId="42D1D134" w14:textId="77777777" w:rsidR="00F72205" w:rsidRPr="00117F66" w:rsidRDefault="00F72205" w:rsidP="008B01EC">
            <w:pPr>
              <w:jc w:val="right"/>
              <w:rPr>
                <w:rFonts w:ascii="Arial" w:hAnsi="Arial"/>
                <w:sz w:val="24"/>
              </w:rPr>
            </w:pPr>
          </w:p>
        </w:tc>
        <w:tc>
          <w:tcPr>
            <w:tcW w:w="1367" w:type="dxa"/>
          </w:tcPr>
          <w:p w14:paraId="06539D46" w14:textId="77777777" w:rsidR="00F72205" w:rsidRPr="00117F66" w:rsidRDefault="00F72205" w:rsidP="008B01EC">
            <w:pPr>
              <w:jc w:val="right"/>
              <w:rPr>
                <w:rFonts w:ascii="Arial" w:hAnsi="Arial"/>
                <w:sz w:val="24"/>
              </w:rPr>
            </w:pPr>
            <w:r>
              <w:rPr>
                <w:rFonts w:ascii="Arial" w:hAnsi="Arial"/>
                <w:sz w:val="24"/>
              </w:rPr>
              <w:t>96,274</w:t>
            </w:r>
          </w:p>
        </w:tc>
        <w:tc>
          <w:tcPr>
            <w:tcW w:w="236" w:type="dxa"/>
          </w:tcPr>
          <w:p w14:paraId="50C530B0" w14:textId="77777777" w:rsidR="00F72205" w:rsidRPr="00117F66" w:rsidRDefault="00F72205" w:rsidP="008B01EC">
            <w:pPr>
              <w:jc w:val="right"/>
              <w:rPr>
                <w:rFonts w:ascii="Arial" w:hAnsi="Arial"/>
                <w:sz w:val="24"/>
              </w:rPr>
            </w:pPr>
          </w:p>
        </w:tc>
        <w:tc>
          <w:tcPr>
            <w:tcW w:w="851" w:type="dxa"/>
          </w:tcPr>
          <w:p w14:paraId="37E9BADC" w14:textId="77777777" w:rsidR="00F72205" w:rsidRPr="00117F66" w:rsidRDefault="00F72205" w:rsidP="008B01EC">
            <w:pPr>
              <w:jc w:val="right"/>
              <w:rPr>
                <w:rFonts w:ascii="Arial" w:hAnsi="Arial"/>
                <w:sz w:val="24"/>
              </w:rPr>
            </w:pPr>
            <w:r>
              <w:rPr>
                <w:rFonts w:ascii="Arial" w:hAnsi="Arial"/>
                <w:sz w:val="24"/>
              </w:rPr>
              <w:t>3.7</w:t>
            </w:r>
          </w:p>
        </w:tc>
        <w:tc>
          <w:tcPr>
            <w:tcW w:w="676" w:type="dxa"/>
          </w:tcPr>
          <w:p w14:paraId="1CB26B7B" w14:textId="77777777" w:rsidR="00F72205" w:rsidRPr="00117F66" w:rsidRDefault="00F72205" w:rsidP="008B01EC">
            <w:pPr>
              <w:jc w:val="right"/>
              <w:rPr>
                <w:rFonts w:ascii="Arial" w:hAnsi="Arial"/>
                <w:sz w:val="24"/>
              </w:rPr>
            </w:pPr>
          </w:p>
        </w:tc>
        <w:tc>
          <w:tcPr>
            <w:tcW w:w="3463" w:type="dxa"/>
          </w:tcPr>
          <w:p w14:paraId="03D21432" w14:textId="77777777" w:rsidR="00F72205" w:rsidRPr="00117F66" w:rsidRDefault="00F72205" w:rsidP="008B01EC">
            <w:pPr>
              <w:rPr>
                <w:rFonts w:ascii="Arial" w:hAnsi="Arial"/>
                <w:sz w:val="24"/>
              </w:rPr>
            </w:pPr>
            <w:r w:rsidRPr="00117F66">
              <w:rPr>
                <w:rFonts w:ascii="Arial" w:hAnsi="Arial"/>
                <w:sz w:val="24"/>
              </w:rPr>
              <w:t>Property</w:t>
            </w:r>
          </w:p>
        </w:tc>
        <w:tc>
          <w:tcPr>
            <w:tcW w:w="1418" w:type="dxa"/>
          </w:tcPr>
          <w:p w14:paraId="2D5D72B8" w14:textId="77777777" w:rsidR="00F72205" w:rsidRPr="00117F66" w:rsidRDefault="00F72205" w:rsidP="008B01EC">
            <w:pPr>
              <w:jc w:val="right"/>
              <w:rPr>
                <w:rFonts w:ascii="Arial" w:hAnsi="Arial"/>
                <w:sz w:val="24"/>
              </w:rPr>
            </w:pPr>
            <w:r>
              <w:rPr>
                <w:rFonts w:ascii="Arial" w:hAnsi="Arial"/>
                <w:sz w:val="24"/>
              </w:rPr>
              <w:t>109,377</w:t>
            </w:r>
          </w:p>
        </w:tc>
        <w:tc>
          <w:tcPr>
            <w:tcW w:w="255" w:type="dxa"/>
          </w:tcPr>
          <w:p w14:paraId="7506CB4A" w14:textId="77777777" w:rsidR="00F72205" w:rsidRPr="00117F66" w:rsidRDefault="00F72205" w:rsidP="008B01EC">
            <w:pPr>
              <w:jc w:val="right"/>
              <w:rPr>
                <w:rFonts w:ascii="Arial" w:hAnsi="Arial"/>
                <w:sz w:val="24"/>
              </w:rPr>
            </w:pPr>
          </w:p>
        </w:tc>
        <w:tc>
          <w:tcPr>
            <w:tcW w:w="998" w:type="dxa"/>
          </w:tcPr>
          <w:p w14:paraId="20B1DCE8" w14:textId="77777777" w:rsidR="00F72205" w:rsidRPr="00117F66" w:rsidRDefault="00F72205" w:rsidP="008B01EC">
            <w:pPr>
              <w:jc w:val="right"/>
              <w:rPr>
                <w:rFonts w:ascii="Arial" w:hAnsi="Arial"/>
                <w:sz w:val="24"/>
              </w:rPr>
            </w:pPr>
            <w:r>
              <w:rPr>
                <w:rFonts w:ascii="Arial" w:hAnsi="Arial"/>
                <w:sz w:val="24"/>
              </w:rPr>
              <w:t>3.</w:t>
            </w:r>
            <w:r w:rsidR="008947F4">
              <w:rPr>
                <w:rFonts w:ascii="Arial" w:hAnsi="Arial"/>
                <w:sz w:val="24"/>
              </w:rPr>
              <w:t>8</w:t>
            </w:r>
          </w:p>
        </w:tc>
      </w:tr>
      <w:tr w:rsidR="00F72205" w:rsidRPr="00117F66" w14:paraId="4272B09E" w14:textId="77777777" w:rsidTr="008B01EC">
        <w:trPr>
          <w:jc w:val="center"/>
        </w:trPr>
        <w:tc>
          <w:tcPr>
            <w:tcW w:w="557" w:type="dxa"/>
          </w:tcPr>
          <w:p w14:paraId="27FB45F1" w14:textId="77777777" w:rsidR="00F72205" w:rsidRPr="00117F66" w:rsidRDefault="00F72205" w:rsidP="008B01EC">
            <w:pPr>
              <w:jc w:val="right"/>
              <w:rPr>
                <w:rFonts w:ascii="Arial" w:hAnsi="Arial"/>
                <w:sz w:val="24"/>
              </w:rPr>
            </w:pPr>
          </w:p>
        </w:tc>
        <w:tc>
          <w:tcPr>
            <w:tcW w:w="1367" w:type="dxa"/>
          </w:tcPr>
          <w:p w14:paraId="6DB6F043" w14:textId="77777777" w:rsidR="00F72205" w:rsidRPr="00117F66" w:rsidRDefault="00F72205" w:rsidP="008B01EC">
            <w:pPr>
              <w:jc w:val="right"/>
              <w:rPr>
                <w:rFonts w:ascii="Arial" w:hAnsi="Arial"/>
                <w:sz w:val="24"/>
              </w:rPr>
            </w:pPr>
            <w:r>
              <w:rPr>
                <w:rFonts w:ascii="Arial" w:hAnsi="Arial"/>
                <w:sz w:val="24"/>
              </w:rPr>
              <w:t>60,062</w:t>
            </w:r>
          </w:p>
        </w:tc>
        <w:tc>
          <w:tcPr>
            <w:tcW w:w="236" w:type="dxa"/>
          </w:tcPr>
          <w:p w14:paraId="1E2C1FA5" w14:textId="77777777" w:rsidR="00F72205" w:rsidRPr="00117F66" w:rsidRDefault="00F72205" w:rsidP="008B01EC">
            <w:pPr>
              <w:jc w:val="right"/>
              <w:rPr>
                <w:rFonts w:ascii="Arial" w:hAnsi="Arial"/>
                <w:sz w:val="24"/>
              </w:rPr>
            </w:pPr>
          </w:p>
        </w:tc>
        <w:tc>
          <w:tcPr>
            <w:tcW w:w="851" w:type="dxa"/>
          </w:tcPr>
          <w:p w14:paraId="1DC6C699" w14:textId="77777777" w:rsidR="00F72205" w:rsidRPr="00117F66" w:rsidRDefault="00F72205" w:rsidP="008B01EC">
            <w:pPr>
              <w:jc w:val="right"/>
              <w:rPr>
                <w:rFonts w:ascii="Arial" w:hAnsi="Arial"/>
                <w:sz w:val="24"/>
              </w:rPr>
            </w:pPr>
            <w:r>
              <w:rPr>
                <w:rFonts w:ascii="Arial" w:hAnsi="Arial"/>
                <w:sz w:val="24"/>
              </w:rPr>
              <w:t>2.3</w:t>
            </w:r>
          </w:p>
        </w:tc>
        <w:tc>
          <w:tcPr>
            <w:tcW w:w="676" w:type="dxa"/>
          </w:tcPr>
          <w:p w14:paraId="6DBDA443" w14:textId="77777777" w:rsidR="00F72205" w:rsidRPr="00117F66" w:rsidRDefault="00F72205" w:rsidP="008B01EC">
            <w:pPr>
              <w:jc w:val="right"/>
              <w:rPr>
                <w:rFonts w:ascii="Arial" w:hAnsi="Arial"/>
                <w:sz w:val="24"/>
              </w:rPr>
            </w:pPr>
          </w:p>
        </w:tc>
        <w:tc>
          <w:tcPr>
            <w:tcW w:w="3463" w:type="dxa"/>
          </w:tcPr>
          <w:p w14:paraId="1F537F86" w14:textId="77777777" w:rsidR="00F72205" w:rsidRPr="00117F66" w:rsidRDefault="00F72205" w:rsidP="008B01EC">
            <w:pPr>
              <w:rPr>
                <w:rFonts w:ascii="Arial" w:hAnsi="Arial"/>
                <w:sz w:val="24"/>
              </w:rPr>
            </w:pPr>
            <w:r w:rsidRPr="00117F66">
              <w:rPr>
                <w:rFonts w:ascii="Arial" w:hAnsi="Arial"/>
                <w:sz w:val="24"/>
              </w:rPr>
              <w:t>Hedge Funds</w:t>
            </w:r>
          </w:p>
        </w:tc>
        <w:tc>
          <w:tcPr>
            <w:tcW w:w="1418" w:type="dxa"/>
          </w:tcPr>
          <w:p w14:paraId="615001C8" w14:textId="77777777" w:rsidR="00F72205" w:rsidRPr="00117F66" w:rsidRDefault="00F72205" w:rsidP="008B01EC">
            <w:pPr>
              <w:jc w:val="right"/>
              <w:rPr>
                <w:rFonts w:ascii="Arial" w:hAnsi="Arial"/>
                <w:sz w:val="24"/>
              </w:rPr>
            </w:pPr>
            <w:r>
              <w:rPr>
                <w:rFonts w:ascii="Arial" w:hAnsi="Arial"/>
                <w:sz w:val="24"/>
              </w:rPr>
              <w:t>60,857</w:t>
            </w:r>
          </w:p>
        </w:tc>
        <w:tc>
          <w:tcPr>
            <w:tcW w:w="255" w:type="dxa"/>
          </w:tcPr>
          <w:p w14:paraId="55614825" w14:textId="77777777" w:rsidR="00F72205" w:rsidRPr="00117F66" w:rsidRDefault="00F72205" w:rsidP="008B01EC">
            <w:pPr>
              <w:jc w:val="right"/>
              <w:rPr>
                <w:rFonts w:ascii="Arial" w:hAnsi="Arial"/>
                <w:sz w:val="24"/>
              </w:rPr>
            </w:pPr>
          </w:p>
        </w:tc>
        <w:tc>
          <w:tcPr>
            <w:tcW w:w="998" w:type="dxa"/>
          </w:tcPr>
          <w:p w14:paraId="1019A243" w14:textId="77777777" w:rsidR="00F72205" w:rsidRPr="00117F66" w:rsidRDefault="00F72205" w:rsidP="008B01EC">
            <w:pPr>
              <w:jc w:val="right"/>
              <w:rPr>
                <w:rFonts w:ascii="Arial" w:hAnsi="Arial"/>
                <w:sz w:val="24"/>
              </w:rPr>
            </w:pPr>
            <w:r>
              <w:rPr>
                <w:rFonts w:ascii="Arial" w:hAnsi="Arial"/>
                <w:sz w:val="24"/>
              </w:rPr>
              <w:t>2.</w:t>
            </w:r>
            <w:r w:rsidR="008947F4">
              <w:rPr>
                <w:rFonts w:ascii="Arial" w:hAnsi="Arial"/>
                <w:sz w:val="24"/>
              </w:rPr>
              <w:t>0</w:t>
            </w:r>
          </w:p>
        </w:tc>
      </w:tr>
      <w:tr w:rsidR="00F72205" w:rsidRPr="005169AD" w14:paraId="487FB4DB" w14:textId="77777777" w:rsidTr="008B01EC">
        <w:trPr>
          <w:jc w:val="center"/>
        </w:trPr>
        <w:tc>
          <w:tcPr>
            <w:tcW w:w="557" w:type="dxa"/>
          </w:tcPr>
          <w:p w14:paraId="44EE73CA" w14:textId="77777777" w:rsidR="00F72205" w:rsidRPr="00117F66" w:rsidRDefault="00F72205" w:rsidP="008B01EC">
            <w:pPr>
              <w:jc w:val="right"/>
              <w:rPr>
                <w:rFonts w:ascii="Arial" w:hAnsi="Arial"/>
                <w:sz w:val="24"/>
              </w:rPr>
            </w:pPr>
          </w:p>
        </w:tc>
        <w:tc>
          <w:tcPr>
            <w:tcW w:w="1367" w:type="dxa"/>
          </w:tcPr>
          <w:p w14:paraId="0ADCF6C9" w14:textId="77777777" w:rsidR="00F72205" w:rsidRDefault="00F72205" w:rsidP="008B01EC">
            <w:pPr>
              <w:jc w:val="right"/>
              <w:rPr>
                <w:rFonts w:ascii="Arial" w:hAnsi="Arial"/>
                <w:sz w:val="24"/>
              </w:rPr>
            </w:pPr>
            <w:r>
              <w:rPr>
                <w:rFonts w:ascii="Arial" w:hAnsi="Arial"/>
                <w:sz w:val="24"/>
              </w:rPr>
              <w:t>146,891</w:t>
            </w:r>
          </w:p>
          <w:p w14:paraId="59F42DCC" w14:textId="77777777" w:rsidR="00F72205" w:rsidRDefault="00F72205" w:rsidP="008B01EC">
            <w:pPr>
              <w:jc w:val="right"/>
              <w:rPr>
                <w:rFonts w:ascii="Arial" w:hAnsi="Arial"/>
                <w:sz w:val="24"/>
              </w:rPr>
            </w:pPr>
            <w:r>
              <w:rPr>
                <w:rFonts w:ascii="Arial" w:hAnsi="Arial"/>
                <w:sz w:val="24"/>
              </w:rPr>
              <w:t>75,665</w:t>
            </w:r>
          </w:p>
          <w:p w14:paraId="078DCE78" w14:textId="77777777" w:rsidR="00F72205" w:rsidRDefault="00F72205" w:rsidP="008B01EC">
            <w:pPr>
              <w:jc w:val="right"/>
              <w:rPr>
                <w:rFonts w:ascii="Arial" w:hAnsi="Arial"/>
                <w:sz w:val="24"/>
              </w:rPr>
            </w:pPr>
            <w:r>
              <w:rPr>
                <w:rFonts w:ascii="Arial" w:hAnsi="Arial"/>
                <w:sz w:val="24"/>
              </w:rPr>
              <w:t>37,980</w:t>
            </w:r>
          </w:p>
          <w:p w14:paraId="66367F86" w14:textId="77777777" w:rsidR="00F72205" w:rsidRDefault="00F72205" w:rsidP="008B01EC">
            <w:pPr>
              <w:jc w:val="right"/>
              <w:rPr>
                <w:rFonts w:ascii="Arial" w:hAnsi="Arial"/>
                <w:sz w:val="24"/>
              </w:rPr>
            </w:pPr>
            <w:r>
              <w:rPr>
                <w:rFonts w:ascii="Arial" w:hAnsi="Arial"/>
                <w:sz w:val="24"/>
              </w:rPr>
              <w:t>0</w:t>
            </w:r>
          </w:p>
          <w:p w14:paraId="53C71EC8" w14:textId="77777777" w:rsidR="00F72205" w:rsidRDefault="00F72205" w:rsidP="008B01EC">
            <w:pPr>
              <w:jc w:val="right"/>
              <w:rPr>
                <w:rFonts w:ascii="Arial" w:hAnsi="Arial"/>
                <w:sz w:val="24"/>
              </w:rPr>
            </w:pPr>
            <w:r>
              <w:rPr>
                <w:rFonts w:ascii="Arial" w:hAnsi="Arial"/>
                <w:sz w:val="24"/>
              </w:rPr>
              <w:t>0</w:t>
            </w:r>
          </w:p>
          <w:p w14:paraId="18F4B61A" w14:textId="77777777" w:rsidR="00F72205" w:rsidRPr="00117F66" w:rsidRDefault="00F72205" w:rsidP="008B01EC">
            <w:pPr>
              <w:jc w:val="right"/>
              <w:rPr>
                <w:rFonts w:ascii="Arial" w:hAnsi="Arial"/>
                <w:sz w:val="24"/>
              </w:rPr>
            </w:pPr>
            <w:r>
              <w:rPr>
                <w:rFonts w:ascii="Arial" w:hAnsi="Arial"/>
                <w:sz w:val="24"/>
              </w:rPr>
              <w:t>2,637</w:t>
            </w:r>
          </w:p>
        </w:tc>
        <w:tc>
          <w:tcPr>
            <w:tcW w:w="236" w:type="dxa"/>
          </w:tcPr>
          <w:p w14:paraId="7EFAB5F2" w14:textId="77777777" w:rsidR="00F72205" w:rsidRPr="00117F66" w:rsidRDefault="00F72205" w:rsidP="008B01EC">
            <w:pPr>
              <w:jc w:val="right"/>
              <w:rPr>
                <w:rFonts w:ascii="Arial" w:hAnsi="Arial"/>
                <w:sz w:val="24"/>
              </w:rPr>
            </w:pPr>
          </w:p>
        </w:tc>
        <w:tc>
          <w:tcPr>
            <w:tcW w:w="851" w:type="dxa"/>
          </w:tcPr>
          <w:p w14:paraId="7322EF16" w14:textId="77777777" w:rsidR="00F72205" w:rsidRDefault="00F72205" w:rsidP="008B01EC">
            <w:pPr>
              <w:jc w:val="right"/>
              <w:rPr>
                <w:rFonts w:ascii="Arial" w:hAnsi="Arial"/>
                <w:sz w:val="24"/>
              </w:rPr>
            </w:pPr>
            <w:r>
              <w:rPr>
                <w:rFonts w:ascii="Arial" w:hAnsi="Arial"/>
                <w:sz w:val="24"/>
              </w:rPr>
              <w:t>5.6</w:t>
            </w:r>
          </w:p>
          <w:p w14:paraId="1E3B07AB" w14:textId="77777777" w:rsidR="00F72205" w:rsidRDefault="00F72205" w:rsidP="008B01EC">
            <w:pPr>
              <w:jc w:val="right"/>
              <w:rPr>
                <w:rFonts w:ascii="Arial" w:hAnsi="Arial"/>
                <w:sz w:val="24"/>
              </w:rPr>
            </w:pPr>
            <w:r>
              <w:rPr>
                <w:rFonts w:ascii="Arial" w:hAnsi="Arial"/>
                <w:sz w:val="24"/>
              </w:rPr>
              <w:t>2.9</w:t>
            </w:r>
          </w:p>
          <w:p w14:paraId="59A1FB85" w14:textId="77777777" w:rsidR="00F72205" w:rsidRDefault="00F72205" w:rsidP="008B01EC">
            <w:pPr>
              <w:jc w:val="right"/>
              <w:rPr>
                <w:rFonts w:ascii="Arial" w:hAnsi="Arial"/>
                <w:sz w:val="24"/>
              </w:rPr>
            </w:pPr>
            <w:r>
              <w:rPr>
                <w:rFonts w:ascii="Arial" w:hAnsi="Arial"/>
                <w:sz w:val="24"/>
              </w:rPr>
              <w:t>1.4</w:t>
            </w:r>
          </w:p>
          <w:p w14:paraId="363AF356" w14:textId="77777777" w:rsidR="00F72205" w:rsidRDefault="00F72205" w:rsidP="008B01EC">
            <w:pPr>
              <w:jc w:val="right"/>
              <w:rPr>
                <w:rFonts w:ascii="Arial" w:hAnsi="Arial"/>
                <w:sz w:val="24"/>
              </w:rPr>
            </w:pPr>
            <w:r>
              <w:rPr>
                <w:rFonts w:ascii="Arial" w:hAnsi="Arial"/>
                <w:sz w:val="24"/>
              </w:rPr>
              <w:t>0</w:t>
            </w:r>
          </w:p>
          <w:p w14:paraId="0E95F1CD" w14:textId="77777777" w:rsidR="00F72205" w:rsidRDefault="00F72205" w:rsidP="008B01EC">
            <w:pPr>
              <w:jc w:val="right"/>
              <w:rPr>
                <w:rFonts w:ascii="Arial" w:hAnsi="Arial"/>
                <w:sz w:val="24"/>
              </w:rPr>
            </w:pPr>
            <w:r>
              <w:rPr>
                <w:rFonts w:ascii="Arial" w:hAnsi="Arial"/>
                <w:sz w:val="24"/>
              </w:rPr>
              <w:t>0</w:t>
            </w:r>
          </w:p>
          <w:p w14:paraId="296A0ADC" w14:textId="77777777" w:rsidR="00F72205" w:rsidRPr="005169AD" w:rsidRDefault="00F72205" w:rsidP="008B01EC">
            <w:pPr>
              <w:jc w:val="right"/>
              <w:rPr>
                <w:rFonts w:ascii="Arial" w:hAnsi="Arial"/>
                <w:sz w:val="24"/>
              </w:rPr>
            </w:pPr>
            <w:r>
              <w:rPr>
                <w:rFonts w:ascii="Arial" w:hAnsi="Arial"/>
                <w:sz w:val="24"/>
              </w:rPr>
              <w:t>0.1</w:t>
            </w:r>
          </w:p>
        </w:tc>
        <w:tc>
          <w:tcPr>
            <w:tcW w:w="676" w:type="dxa"/>
          </w:tcPr>
          <w:p w14:paraId="642F550A" w14:textId="77777777" w:rsidR="00F72205" w:rsidRPr="00117F66" w:rsidRDefault="00F72205" w:rsidP="008B01EC">
            <w:pPr>
              <w:jc w:val="right"/>
              <w:rPr>
                <w:rFonts w:ascii="Arial" w:hAnsi="Arial"/>
                <w:sz w:val="24"/>
              </w:rPr>
            </w:pPr>
          </w:p>
        </w:tc>
        <w:tc>
          <w:tcPr>
            <w:tcW w:w="3463" w:type="dxa"/>
          </w:tcPr>
          <w:p w14:paraId="06DE468A" w14:textId="77777777" w:rsidR="00F72205" w:rsidRDefault="00F72205" w:rsidP="008B01EC">
            <w:pPr>
              <w:rPr>
                <w:rFonts w:ascii="Arial" w:hAnsi="Arial"/>
                <w:sz w:val="24"/>
              </w:rPr>
            </w:pPr>
            <w:r w:rsidRPr="00117F66">
              <w:rPr>
                <w:rFonts w:ascii="Arial" w:hAnsi="Arial"/>
                <w:sz w:val="24"/>
              </w:rPr>
              <w:t>Private Equity</w:t>
            </w:r>
          </w:p>
          <w:p w14:paraId="1844D0CF" w14:textId="77777777" w:rsidR="00F72205" w:rsidRDefault="00F72205" w:rsidP="008B01EC">
            <w:pPr>
              <w:rPr>
                <w:rFonts w:ascii="Arial" w:hAnsi="Arial"/>
                <w:sz w:val="24"/>
              </w:rPr>
            </w:pPr>
            <w:r>
              <w:rPr>
                <w:rFonts w:ascii="Arial" w:hAnsi="Arial"/>
                <w:sz w:val="24"/>
              </w:rPr>
              <w:t>Infrastructure</w:t>
            </w:r>
          </w:p>
          <w:p w14:paraId="230B6347" w14:textId="77777777" w:rsidR="00F72205" w:rsidRDefault="00F72205" w:rsidP="008B01EC">
            <w:pPr>
              <w:rPr>
                <w:rFonts w:ascii="Arial" w:hAnsi="Arial"/>
                <w:sz w:val="24"/>
              </w:rPr>
            </w:pPr>
            <w:r>
              <w:rPr>
                <w:rFonts w:ascii="Arial" w:hAnsi="Arial"/>
                <w:sz w:val="24"/>
              </w:rPr>
              <w:t>Private Debt</w:t>
            </w:r>
          </w:p>
          <w:p w14:paraId="06EC589D" w14:textId="77777777" w:rsidR="00F72205" w:rsidRDefault="00F72205" w:rsidP="008B01EC">
            <w:pPr>
              <w:rPr>
                <w:rFonts w:ascii="Arial" w:hAnsi="Arial"/>
                <w:sz w:val="24"/>
              </w:rPr>
            </w:pPr>
            <w:r>
              <w:rPr>
                <w:rFonts w:ascii="Arial" w:hAnsi="Arial"/>
                <w:sz w:val="24"/>
              </w:rPr>
              <w:t>Residential Housing</w:t>
            </w:r>
          </w:p>
          <w:p w14:paraId="34102CE4" w14:textId="77777777" w:rsidR="00F72205" w:rsidRDefault="00F72205" w:rsidP="008B01EC">
            <w:pPr>
              <w:rPr>
                <w:rFonts w:ascii="Arial" w:hAnsi="Arial"/>
                <w:sz w:val="24"/>
              </w:rPr>
            </w:pPr>
            <w:r>
              <w:rPr>
                <w:rFonts w:ascii="Arial" w:hAnsi="Arial"/>
                <w:sz w:val="24"/>
              </w:rPr>
              <w:t>Timberland &amp; Farmland</w:t>
            </w:r>
          </w:p>
          <w:p w14:paraId="6B9706F5" w14:textId="77777777" w:rsidR="00F72205" w:rsidRPr="00117F66" w:rsidRDefault="00F72205" w:rsidP="008B01EC">
            <w:pPr>
              <w:rPr>
                <w:rFonts w:ascii="Arial" w:hAnsi="Arial"/>
                <w:sz w:val="24"/>
              </w:rPr>
            </w:pPr>
            <w:r>
              <w:rPr>
                <w:rFonts w:ascii="Arial" w:hAnsi="Arial"/>
                <w:sz w:val="24"/>
              </w:rPr>
              <w:t>Derivatives</w:t>
            </w:r>
          </w:p>
        </w:tc>
        <w:tc>
          <w:tcPr>
            <w:tcW w:w="1418" w:type="dxa"/>
          </w:tcPr>
          <w:p w14:paraId="1BF2E6EF" w14:textId="77777777" w:rsidR="00F72205" w:rsidRDefault="00172C61" w:rsidP="008B01EC">
            <w:pPr>
              <w:jc w:val="right"/>
              <w:rPr>
                <w:rFonts w:ascii="Arial" w:hAnsi="Arial"/>
                <w:sz w:val="24"/>
              </w:rPr>
            </w:pPr>
            <w:r>
              <w:rPr>
                <w:rFonts w:ascii="Arial" w:hAnsi="Arial"/>
                <w:sz w:val="24"/>
              </w:rPr>
              <w:t>197,918</w:t>
            </w:r>
          </w:p>
          <w:p w14:paraId="5092111A" w14:textId="77777777" w:rsidR="00F72205" w:rsidRDefault="00F72205" w:rsidP="008B01EC">
            <w:pPr>
              <w:jc w:val="right"/>
              <w:rPr>
                <w:rFonts w:ascii="Arial" w:hAnsi="Arial"/>
                <w:sz w:val="24"/>
              </w:rPr>
            </w:pPr>
            <w:r>
              <w:rPr>
                <w:rFonts w:ascii="Arial" w:hAnsi="Arial"/>
                <w:sz w:val="24"/>
              </w:rPr>
              <w:t>86,613</w:t>
            </w:r>
          </w:p>
          <w:p w14:paraId="0EA6E7B8" w14:textId="77777777" w:rsidR="00F72205" w:rsidRDefault="00F72205" w:rsidP="008B01EC">
            <w:pPr>
              <w:jc w:val="right"/>
              <w:rPr>
                <w:rFonts w:ascii="Arial" w:hAnsi="Arial"/>
                <w:sz w:val="24"/>
              </w:rPr>
            </w:pPr>
            <w:r>
              <w:rPr>
                <w:rFonts w:ascii="Arial" w:hAnsi="Arial"/>
                <w:sz w:val="24"/>
              </w:rPr>
              <w:t>56,248</w:t>
            </w:r>
          </w:p>
          <w:p w14:paraId="34142615" w14:textId="77777777" w:rsidR="00F72205" w:rsidRDefault="00F72205" w:rsidP="008B01EC">
            <w:pPr>
              <w:jc w:val="right"/>
              <w:rPr>
                <w:rFonts w:ascii="Arial" w:hAnsi="Arial"/>
                <w:sz w:val="24"/>
              </w:rPr>
            </w:pPr>
            <w:r>
              <w:rPr>
                <w:rFonts w:ascii="Arial" w:hAnsi="Arial"/>
                <w:sz w:val="24"/>
              </w:rPr>
              <w:t>18,192</w:t>
            </w:r>
          </w:p>
          <w:p w14:paraId="0405BBDD" w14:textId="77777777" w:rsidR="00F72205" w:rsidRDefault="00F72205" w:rsidP="008B01EC">
            <w:pPr>
              <w:jc w:val="right"/>
              <w:rPr>
                <w:rFonts w:ascii="Arial" w:hAnsi="Arial"/>
                <w:sz w:val="24"/>
              </w:rPr>
            </w:pPr>
            <w:r>
              <w:rPr>
                <w:rFonts w:ascii="Arial" w:hAnsi="Arial"/>
                <w:sz w:val="24"/>
              </w:rPr>
              <w:t>133</w:t>
            </w:r>
          </w:p>
          <w:p w14:paraId="6B04C4A8" w14:textId="77777777" w:rsidR="00F72205" w:rsidRPr="00117F66" w:rsidRDefault="00F72205" w:rsidP="008B01EC">
            <w:pPr>
              <w:jc w:val="right"/>
              <w:rPr>
                <w:rFonts w:ascii="Arial" w:hAnsi="Arial"/>
                <w:sz w:val="24"/>
              </w:rPr>
            </w:pPr>
            <w:r>
              <w:rPr>
                <w:rFonts w:ascii="Arial" w:hAnsi="Arial"/>
                <w:sz w:val="24"/>
              </w:rPr>
              <w:t>1,632</w:t>
            </w:r>
          </w:p>
        </w:tc>
        <w:tc>
          <w:tcPr>
            <w:tcW w:w="255" w:type="dxa"/>
          </w:tcPr>
          <w:p w14:paraId="30F943CA" w14:textId="77777777" w:rsidR="00F72205" w:rsidRPr="00117F66" w:rsidRDefault="00F72205" w:rsidP="008B01EC">
            <w:pPr>
              <w:jc w:val="right"/>
              <w:rPr>
                <w:rFonts w:ascii="Arial" w:hAnsi="Arial"/>
                <w:sz w:val="24"/>
              </w:rPr>
            </w:pPr>
          </w:p>
        </w:tc>
        <w:tc>
          <w:tcPr>
            <w:tcW w:w="998" w:type="dxa"/>
          </w:tcPr>
          <w:p w14:paraId="65AA5F71" w14:textId="77777777" w:rsidR="00F72205" w:rsidRDefault="00F72205" w:rsidP="008B01EC">
            <w:pPr>
              <w:jc w:val="right"/>
              <w:rPr>
                <w:rFonts w:ascii="Arial" w:hAnsi="Arial"/>
                <w:sz w:val="24"/>
              </w:rPr>
            </w:pPr>
            <w:r>
              <w:rPr>
                <w:rFonts w:ascii="Arial" w:hAnsi="Arial"/>
                <w:sz w:val="24"/>
              </w:rPr>
              <w:t>6.</w:t>
            </w:r>
            <w:r w:rsidR="008947F4">
              <w:rPr>
                <w:rFonts w:ascii="Arial" w:hAnsi="Arial"/>
                <w:sz w:val="24"/>
              </w:rPr>
              <w:t>8</w:t>
            </w:r>
          </w:p>
          <w:p w14:paraId="541C61B1" w14:textId="77777777" w:rsidR="00F72205" w:rsidRDefault="00F72205" w:rsidP="008B01EC">
            <w:pPr>
              <w:jc w:val="right"/>
              <w:rPr>
                <w:rFonts w:ascii="Arial" w:hAnsi="Arial"/>
                <w:sz w:val="24"/>
              </w:rPr>
            </w:pPr>
            <w:r>
              <w:rPr>
                <w:rFonts w:ascii="Arial" w:hAnsi="Arial"/>
                <w:sz w:val="24"/>
              </w:rPr>
              <w:t>3.0</w:t>
            </w:r>
          </w:p>
          <w:p w14:paraId="5FDCB5DD" w14:textId="77777777" w:rsidR="00F72205" w:rsidRDefault="008947F4" w:rsidP="008B01EC">
            <w:pPr>
              <w:jc w:val="right"/>
              <w:rPr>
                <w:rFonts w:ascii="Arial" w:hAnsi="Arial"/>
                <w:sz w:val="24"/>
              </w:rPr>
            </w:pPr>
            <w:r>
              <w:rPr>
                <w:rFonts w:ascii="Arial" w:hAnsi="Arial"/>
                <w:sz w:val="24"/>
              </w:rPr>
              <w:t>2.0</w:t>
            </w:r>
          </w:p>
          <w:p w14:paraId="3139D513" w14:textId="77777777" w:rsidR="00F72205" w:rsidRDefault="00F72205" w:rsidP="008B01EC">
            <w:pPr>
              <w:jc w:val="right"/>
              <w:rPr>
                <w:rFonts w:ascii="Arial" w:hAnsi="Arial"/>
                <w:sz w:val="24"/>
              </w:rPr>
            </w:pPr>
            <w:r>
              <w:rPr>
                <w:rFonts w:ascii="Arial" w:hAnsi="Arial"/>
                <w:sz w:val="24"/>
              </w:rPr>
              <w:t>0.6</w:t>
            </w:r>
          </w:p>
          <w:p w14:paraId="12B00210" w14:textId="77777777" w:rsidR="00F72205" w:rsidRDefault="00F72205" w:rsidP="008B01EC">
            <w:pPr>
              <w:jc w:val="right"/>
              <w:rPr>
                <w:rFonts w:ascii="Arial" w:hAnsi="Arial"/>
                <w:sz w:val="24"/>
              </w:rPr>
            </w:pPr>
            <w:r>
              <w:rPr>
                <w:rFonts w:ascii="Arial" w:hAnsi="Arial"/>
                <w:sz w:val="24"/>
              </w:rPr>
              <w:t>0</w:t>
            </w:r>
          </w:p>
          <w:p w14:paraId="054BD038" w14:textId="77777777" w:rsidR="00F72205" w:rsidRPr="005169AD" w:rsidRDefault="00F72205" w:rsidP="008B01EC">
            <w:pPr>
              <w:jc w:val="right"/>
              <w:rPr>
                <w:rFonts w:ascii="Arial" w:hAnsi="Arial"/>
                <w:sz w:val="24"/>
              </w:rPr>
            </w:pPr>
            <w:r>
              <w:rPr>
                <w:rFonts w:ascii="Arial" w:hAnsi="Arial"/>
                <w:sz w:val="24"/>
              </w:rPr>
              <w:t>0.1</w:t>
            </w:r>
          </w:p>
        </w:tc>
      </w:tr>
      <w:tr w:rsidR="00F72205" w:rsidRPr="00117F66" w14:paraId="2CE1F50A" w14:textId="77777777" w:rsidTr="008B01EC">
        <w:trPr>
          <w:trHeight w:val="297"/>
          <w:jc w:val="center"/>
        </w:trPr>
        <w:tc>
          <w:tcPr>
            <w:tcW w:w="557" w:type="dxa"/>
          </w:tcPr>
          <w:p w14:paraId="664A1E75" w14:textId="77777777" w:rsidR="00F72205" w:rsidRPr="00117F66" w:rsidRDefault="00F72205" w:rsidP="008B01EC">
            <w:pPr>
              <w:jc w:val="right"/>
              <w:rPr>
                <w:rFonts w:ascii="Arial" w:hAnsi="Arial"/>
                <w:sz w:val="24"/>
              </w:rPr>
            </w:pPr>
          </w:p>
        </w:tc>
        <w:tc>
          <w:tcPr>
            <w:tcW w:w="1367" w:type="dxa"/>
            <w:tcBorders>
              <w:top w:val="nil"/>
              <w:bottom w:val="nil"/>
            </w:tcBorders>
          </w:tcPr>
          <w:p w14:paraId="447F53BB" w14:textId="77777777" w:rsidR="00F72205" w:rsidRPr="00117F66" w:rsidRDefault="00F72205" w:rsidP="008B01EC">
            <w:pPr>
              <w:jc w:val="right"/>
              <w:rPr>
                <w:rFonts w:ascii="Arial" w:hAnsi="Arial"/>
                <w:sz w:val="24"/>
              </w:rPr>
            </w:pPr>
            <w:r>
              <w:rPr>
                <w:rFonts w:ascii="Arial" w:hAnsi="Arial"/>
                <w:sz w:val="24"/>
              </w:rPr>
              <w:t>44,716</w:t>
            </w:r>
          </w:p>
        </w:tc>
        <w:tc>
          <w:tcPr>
            <w:tcW w:w="236" w:type="dxa"/>
            <w:tcBorders>
              <w:top w:val="nil"/>
              <w:bottom w:val="nil"/>
            </w:tcBorders>
          </w:tcPr>
          <w:p w14:paraId="63BC15FB" w14:textId="77777777" w:rsidR="00F72205" w:rsidRPr="00117F66" w:rsidRDefault="00F72205" w:rsidP="008B01EC">
            <w:pPr>
              <w:jc w:val="right"/>
              <w:rPr>
                <w:rFonts w:ascii="Arial" w:hAnsi="Arial"/>
                <w:sz w:val="24"/>
              </w:rPr>
            </w:pPr>
          </w:p>
        </w:tc>
        <w:tc>
          <w:tcPr>
            <w:tcW w:w="851" w:type="dxa"/>
            <w:tcBorders>
              <w:top w:val="nil"/>
              <w:bottom w:val="nil"/>
            </w:tcBorders>
          </w:tcPr>
          <w:p w14:paraId="41A43159" w14:textId="77777777" w:rsidR="00F72205" w:rsidRPr="00117F66" w:rsidRDefault="00F72205" w:rsidP="008B01EC">
            <w:pPr>
              <w:jc w:val="right"/>
              <w:rPr>
                <w:rFonts w:ascii="Arial" w:hAnsi="Arial"/>
                <w:sz w:val="24"/>
              </w:rPr>
            </w:pPr>
            <w:r>
              <w:rPr>
                <w:rFonts w:ascii="Arial" w:hAnsi="Arial"/>
                <w:sz w:val="24"/>
              </w:rPr>
              <w:t>1.7</w:t>
            </w:r>
          </w:p>
        </w:tc>
        <w:tc>
          <w:tcPr>
            <w:tcW w:w="676" w:type="dxa"/>
            <w:tcBorders>
              <w:top w:val="nil"/>
              <w:bottom w:val="nil"/>
            </w:tcBorders>
          </w:tcPr>
          <w:p w14:paraId="53060423" w14:textId="77777777" w:rsidR="00F72205" w:rsidRPr="00117F66" w:rsidRDefault="00F72205" w:rsidP="008B01EC">
            <w:pPr>
              <w:jc w:val="right"/>
              <w:rPr>
                <w:rFonts w:ascii="Arial" w:hAnsi="Arial"/>
                <w:sz w:val="24"/>
              </w:rPr>
            </w:pPr>
          </w:p>
        </w:tc>
        <w:tc>
          <w:tcPr>
            <w:tcW w:w="3463" w:type="dxa"/>
            <w:tcBorders>
              <w:top w:val="nil"/>
              <w:bottom w:val="nil"/>
            </w:tcBorders>
          </w:tcPr>
          <w:p w14:paraId="28D9A6A1" w14:textId="77777777" w:rsidR="00F72205" w:rsidRPr="00117F66" w:rsidRDefault="00F72205" w:rsidP="008B01EC">
            <w:pPr>
              <w:rPr>
                <w:rFonts w:ascii="Arial" w:hAnsi="Arial"/>
                <w:sz w:val="24"/>
              </w:rPr>
            </w:pPr>
            <w:r w:rsidRPr="00117F66">
              <w:rPr>
                <w:rFonts w:ascii="Arial" w:hAnsi="Arial"/>
                <w:sz w:val="24"/>
              </w:rPr>
              <w:t>Cash/Temporary Investments</w:t>
            </w:r>
          </w:p>
        </w:tc>
        <w:tc>
          <w:tcPr>
            <w:tcW w:w="1418" w:type="dxa"/>
            <w:tcBorders>
              <w:top w:val="nil"/>
              <w:bottom w:val="nil"/>
            </w:tcBorders>
          </w:tcPr>
          <w:p w14:paraId="40DA4841" w14:textId="77777777" w:rsidR="00F72205" w:rsidRPr="00117F66" w:rsidRDefault="00F72205" w:rsidP="008B01EC">
            <w:pPr>
              <w:jc w:val="right"/>
              <w:rPr>
                <w:rFonts w:ascii="Arial" w:hAnsi="Arial"/>
                <w:sz w:val="24"/>
              </w:rPr>
            </w:pPr>
            <w:r>
              <w:rPr>
                <w:rFonts w:ascii="Arial" w:hAnsi="Arial"/>
                <w:sz w:val="24"/>
              </w:rPr>
              <w:t>32,133</w:t>
            </w:r>
          </w:p>
        </w:tc>
        <w:tc>
          <w:tcPr>
            <w:tcW w:w="255" w:type="dxa"/>
            <w:tcBorders>
              <w:top w:val="nil"/>
              <w:bottom w:val="nil"/>
            </w:tcBorders>
          </w:tcPr>
          <w:p w14:paraId="1112B052" w14:textId="77777777" w:rsidR="00F72205" w:rsidRPr="00117F66" w:rsidRDefault="00F72205" w:rsidP="008B01EC">
            <w:pPr>
              <w:jc w:val="right"/>
              <w:rPr>
                <w:rFonts w:ascii="Arial" w:hAnsi="Arial"/>
                <w:sz w:val="24"/>
              </w:rPr>
            </w:pPr>
          </w:p>
        </w:tc>
        <w:tc>
          <w:tcPr>
            <w:tcW w:w="998" w:type="dxa"/>
            <w:tcBorders>
              <w:top w:val="nil"/>
              <w:bottom w:val="nil"/>
            </w:tcBorders>
          </w:tcPr>
          <w:p w14:paraId="1502F0F0" w14:textId="77777777" w:rsidR="00F72205" w:rsidRPr="00117F66" w:rsidRDefault="00F72205" w:rsidP="008B01EC">
            <w:pPr>
              <w:jc w:val="right"/>
              <w:rPr>
                <w:rFonts w:ascii="Arial" w:hAnsi="Arial"/>
                <w:sz w:val="24"/>
              </w:rPr>
            </w:pPr>
            <w:r>
              <w:rPr>
                <w:rFonts w:ascii="Arial" w:hAnsi="Arial"/>
                <w:sz w:val="24"/>
              </w:rPr>
              <w:t>1.1</w:t>
            </w:r>
          </w:p>
        </w:tc>
      </w:tr>
      <w:tr w:rsidR="00F72205" w:rsidRPr="00117F66" w14:paraId="694057DD" w14:textId="77777777" w:rsidTr="008B01EC">
        <w:trPr>
          <w:gridAfter w:val="8"/>
          <w:wAfter w:w="9264" w:type="dxa"/>
          <w:jc w:val="center"/>
        </w:trPr>
        <w:tc>
          <w:tcPr>
            <w:tcW w:w="557" w:type="dxa"/>
          </w:tcPr>
          <w:p w14:paraId="73824FE7" w14:textId="77777777" w:rsidR="00F72205" w:rsidRPr="00117F66" w:rsidRDefault="00F72205" w:rsidP="008B01EC">
            <w:pPr>
              <w:jc w:val="right"/>
              <w:rPr>
                <w:rFonts w:ascii="Arial" w:hAnsi="Arial"/>
                <w:sz w:val="24"/>
              </w:rPr>
            </w:pPr>
          </w:p>
        </w:tc>
      </w:tr>
      <w:tr w:rsidR="00F72205" w:rsidRPr="00117F66" w14:paraId="54561494" w14:textId="77777777" w:rsidTr="008B01EC">
        <w:trPr>
          <w:jc w:val="center"/>
        </w:trPr>
        <w:tc>
          <w:tcPr>
            <w:tcW w:w="557" w:type="dxa"/>
          </w:tcPr>
          <w:p w14:paraId="6477985E" w14:textId="77777777" w:rsidR="00F72205" w:rsidRPr="00117F66" w:rsidRDefault="00F72205" w:rsidP="008B01EC">
            <w:pPr>
              <w:jc w:val="right"/>
              <w:rPr>
                <w:rFonts w:ascii="Arial" w:hAnsi="Arial"/>
                <w:sz w:val="24"/>
              </w:rPr>
            </w:pPr>
          </w:p>
        </w:tc>
        <w:tc>
          <w:tcPr>
            <w:tcW w:w="1367" w:type="dxa"/>
            <w:tcBorders>
              <w:top w:val="single" w:sz="4" w:space="0" w:color="auto"/>
              <w:bottom w:val="single" w:sz="4" w:space="0" w:color="auto"/>
            </w:tcBorders>
          </w:tcPr>
          <w:p w14:paraId="5B1D3B3E" w14:textId="77777777" w:rsidR="00F72205" w:rsidRPr="00166860" w:rsidRDefault="00F72205" w:rsidP="008B01EC">
            <w:pPr>
              <w:jc w:val="right"/>
              <w:rPr>
                <w:rFonts w:ascii="Arial" w:hAnsi="Arial"/>
                <w:b/>
                <w:sz w:val="24"/>
              </w:rPr>
            </w:pPr>
            <w:r>
              <w:rPr>
                <w:rFonts w:ascii="Arial" w:hAnsi="Arial"/>
                <w:b/>
                <w:sz w:val="24"/>
              </w:rPr>
              <w:t>2,609,973</w:t>
            </w:r>
          </w:p>
        </w:tc>
        <w:tc>
          <w:tcPr>
            <w:tcW w:w="236" w:type="dxa"/>
          </w:tcPr>
          <w:p w14:paraId="0B76A559" w14:textId="77777777" w:rsidR="00F72205" w:rsidRPr="00166860" w:rsidRDefault="00F72205" w:rsidP="008B01EC">
            <w:pPr>
              <w:jc w:val="right"/>
              <w:rPr>
                <w:rFonts w:ascii="Arial" w:hAnsi="Arial"/>
                <w:b/>
                <w:sz w:val="24"/>
              </w:rPr>
            </w:pPr>
          </w:p>
        </w:tc>
        <w:tc>
          <w:tcPr>
            <w:tcW w:w="851" w:type="dxa"/>
            <w:tcBorders>
              <w:top w:val="single" w:sz="4" w:space="0" w:color="auto"/>
              <w:bottom w:val="single" w:sz="4" w:space="0" w:color="auto"/>
            </w:tcBorders>
          </w:tcPr>
          <w:p w14:paraId="61B2096B" w14:textId="77777777" w:rsidR="00F72205" w:rsidRPr="00166860" w:rsidRDefault="00F72205" w:rsidP="008B01EC">
            <w:pPr>
              <w:jc w:val="right"/>
              <w:rPr>
                <w:rFonts w:ascii="Arial" w:hAnsi="Arial"/>
                <w:b/>
                <w:sz w:val="24"/>
              </w:rPr>
            </w:pPr>
            <w:r w:rsidRPr="00166860">
              <w:rPr>
                <w:rFonts w:ascii="Arial" w:hAnsi="Arial"/>
                <w:b/>
                <w:sz w:val="24"/>
              </w:rPr>
              <w:t>100</w:t>
            </w:r>
          </w:p>
        </w:tc>
        <w:tc>
          <w:tcPr>
            <w:tcW w:w="676" w:type="dxa"/>
          </w:tcPr>
          <w:p w14:paraId="06202FA8" w14:textId="77777777" w:rsidR="00F72205" w:rsidRPr="00303045" w:rsidRDefault="00F72205" w:rsidP="008B01EC">
            <w:pPr>
              <w:jc w:val="right"/>
              <w:rPr>
                <w:rFonts w:ascii="Arial" w:hAnsi="Arial"/>
                <w:sz w:val="24"/>
                <w:highlight w:val="yellow"/>
              </w:rPr>
            </w:pPr>
          </w:p>
        </w:tc>
        <w:tc>
          <w:tcPr>
            <w:tcW w:w="3463" w:type="dxa"/>
          </w:tcPr>
          <w:p w14:paraId="1BD0F515" w14:textId="77777777" w:rsidR="00F72205" w:rsidRPr="00117F66" w:rsidRDefault="00F72205" w:rsidP="008B01EC">
            <w:pPr>
              <w:rPr>
                <w:rFonts w:ascii="Arial" w:hAnsi="Arial"/>
                <w:sz w:val="24"/>
              </w:rPr>
            </w:pPr>
          </w:p>
        </w:tc>
        <w:tc>
          <w:tcPr>
            <w:tcW w:w="1418" w:type="dxa"/>
            <w:tcBorders>
              <w:top w:val="single" w:sz="4" w:space="0" w:color="auto"/>
              <w:bottom w:val="single" w:sz="4" w:space="0" w:color="auto"/>
            </w:tcBorders>
          </w:tcPr>
          <w:p w14:paraId="3A56F12F" w14:textId="77777777" w:rsidR="00F72205" w:rsidRPr="00166860" w:rsidRDefault="00F72205" w:rsidP="008B01EC">
            <w:pPr>
              <w:jc w:val="right"/>
              <w:rPr>
                <w:rFonts w:ascii="Arial" w:hAnsi="Arial"/>
                <w:b/>
                <w:sz w:val="24"/>
              </w:rPr>
            </w:pPr>
            <w:r>
              <w:rPr>
                <w:rFonts w:ascii="Arial" w:hAnsi="Arial"/>
                <w:b/>
                <w:sz w:val="24"/>
              </w:rPr>
              <w:t>2,92</w:t>
            </w:r>
            <w:r w:rsidR="00172C61">
              <w:rPr>
                <w:rFonts w:ascii="Arial" w:hAnsi="Arial"/>
                <w:b/>
                <w:sz w:val="24"/>
              </w:rPr>
              <w:t>1</w:t>
            </w:r>
            <w:r>
              <w:rPr>
                <w:rFonts w:ascii="Arial" w:hAnsi="Arial"/>
                <w:b/>
                <w:sz w:val="24"/>
              </w:rPr>
              <w:t>,</w:t>
            </w:r>
            <w:r w:rsidR="00172C61">
              <w:rPr>
                <w:rFonts w:ascii="Arial" w:hAnsi="Arial"/>
                <w:b/>
                <w:sz w:val="24"/>
              </w:rPr>
              <w:t xml:space="preserve"> </w:t>
            </w:r>
            <w:r>
              <w:rPr>
                <w:rFonts w:ascii="Arial" w:hAnsi="Arial"/>
                <w:b/>
                <w:sz w:val="24"/>
              </w:rPr>
              <w:t>6</w:t>
            </w:r>
            <w:r w:rsidR="00172C61">
              <w:rPr>
                <w:rFonts w:ascii="Arial" w:hAnsi="Arial"/>
                <w:b/>
                <w:sz w:val="24"/>
              </w:rPr>
              <w:t>67</w:t>
            </w:r>
          </w:p>
        </w:tc>
        <w:tc>
          <w:tcPr>
            <w:tcW w:w="255" w:type="dxa"/>
          </w:tcPr>
          <w:p w14:paraId="346F67A6" w14:textId="77777777" w:rsidR="00F72205" w:rsidRPr="00166860" w:rsidRDefault="00F72205" w:rsidP="008B01EC">
            <w:pPr>
              <w:jc w:val="right"/>
              <w:rPr>
                <w:rFonts w:ascii="Arial" w:hAnsi="Arial"/>
                <w:b/>
                <w:sz w:val="24"/>
              </w:rPr>
            </w:pPr>
          </w:p>
        </w:tc>
        <w:tc>
          <w:tcPr>
            <w:tcW w:w="998" w:type="dxa"/>
            <w:tcBorders>
              <w:top w:val="single" w:sz="4" w:space="0" w:color="auto"/>
              <w:bottom w:val="single" w:sz="4" w:space="0" w:color="auto"/>
            </w:tcBorders>
          </w:tcPr>
          <w:p w14:paraId="30E82166" w14:textId="77777777" w:rsidR="00F72205" w:rsidRPr="00166860" w:rsidRDefault="00F72205" w:rsidP="008B01EC">
            <w:pPr>
              <w:jc w:val="right"/>
              <w:rPr>
                <w:rFonts w:ascii="Arial" w:hAnsi="Arial"/>
                <w:b/>
                <w:sz w:val="24"/>
              </w:rPr>
            </w:pPr>
            <w:r>
              <w:rPr>
                <w:rFonts w:ascii="Arial" w:hAnsi="Arial"/>
                <w:b/>
                <w:sz w:val="24"/>
              </w:rPr>
              <w:t>100</w:t>
            </w:r>
          </w:p>
        </w:tc>
      </w:tr>
      <w:tr w:rsidR="00F72205" w:rsidRPr="00117F66" w14:paraId="37EB3ED6" w14:textId="77777777" w:rsidTr="008B01EC">
        <w:trPr>
          <w:jc w:val="center"/>
        </w:trPr>
        <w:tc>
          <w:tcPr>
            <w:tcW w:w="557" w:type="dxa"/>
            <w:tcBorders>
              <w:bottom w:val="nil"/>
            </w:tcBorders>
          </w:tcPr>
          <w:p w14:paraId="05605965" w14:textId="77777777" w:rsidR="00F72205" w:rsidRPr="00117F66" w:rsidRDefault="00F72205" w:rsidP="008B01EC">
            <w:pPr>
              <w:jc w:val="right"/>
              <w:rPr>
                <w:rFonts w:ascii="Arial" w:hAnsi="Arial"/>
                <w:sz w:val="24"/>
              </w:rPr>
            </w:pPr>
          </w:p>
        </w:tc>
        <w:tc>
          <w:tcPr>
            <w:tcW w:w="1367" w:type="dxa"/>
            <w:tcBorders>
              <w:top w:val="single" w:sz="4" w:space="0" w:color="auto"/>
              <w:bottom w:val="nil"/>
            </w:tcBorders>
          </w:tcPr>
          <w:p w14:paraId="5C52332F" w14:textId="77777777" w:rsidR="00F72205" w:rsidRPr="00117F66" w:rsidRDefault="00F72205" w:rsidP="008B01EC">
            <w:pPr>
              <w:jc w:val="right"/>
              <w:rPr>
                <w:rFonts w:ascii="Arial" w:hAnsi="Arial"/>
                <w:sz w:val="24"/>
              </w:rPr>
            </w:pPr>
          </w:p>
        </w:tc>
        <w:tc>
          <w:tcPr>
            <w:tcW w:w="236" w:type="dxa"/>
            <w:tcBorders>
              <w:bottom w:val="nil"/>
            </w:tcBorders>
          </w:tcPr>
          <w:p w14:paraId="58827474" w14:textId="77777777" w:rsidR="00F72205" w:rsidRPr="00117F66" w:rsidRDefault="00F72205" w:rsidP="008B01EC">
            <w:pPr>
              <w:jc w:val="right"/>
              <w:rPr>
                <w:rFonts w:ascii="Arial" w:hAnsi="Arial"/>
                <w:sz w:val="24"/>
              </w:rPr>
            </w:pPr>
          </w:p>
        </w:tc>
        <w:tc>
          <w:tcPr>
            <w:tcW w:w="851" w:type="dxa"/>
            <w:tcBorders>
              <w:top w:val="single" w:sz="4" w:space="0" w:color="auto"/>
              <w:bottom w:val="nil"/>
            </w:tcBorders>
          </w:tcPr>
          <w:p w14:paraId="1FBA72F0" w14:textId="77777777" w:rsidR="00F72205" w:rsidRPr="00117F66" w:rsidRDefault="00F72205" w:rsidP="008B01EC">
            <w:pPr>
              <w:jc w:val="right"/>
              <w:rPr>
                <w:rFonts w:ascii="Arial" w:hAnsi="Arial"/>
                <w:sz w:val="24"/>
              </w:rPr>
            </w:pPr>
          </w:p>
        </w:tc>
        <w:tc>
          <w:tcPr>
            <w:tcW w:w="676" w:type="dxa"/>
            <w:tcBorders>
              <w:bottom w:val="nil"/>
            </w:tcBorders>
          </w:tcPr>
          <w:p w14:paraId="4ED83123" w14:textId="77777777" w:rsidR="00F72205" w:rsidRPr="00117F66" w:rsidRDefault="00F72205" w:rsidP="008B01EC">
            <w:pPr>
              <w:jc w:val="right"/>
              <w:rPr>
                <w:rFonts w:ascii="Arial" w:hAnsi="Arial"/>
                <w:sz w:val="24"/>
              </w:rPr>
            </w:pPr>
          </w:p>
        </w:tc>
        <w:tc>
          <w:tcPr>
            <w:tcW w:w="3463" w:type="dxa"/>
            <w:tcBorders>
              <w:bottom w:val="nil"/>
            </w:tcBorders>
          </w:tcPr>
          <w:p w14:paraId="56E1DE49" w14:textId="77777777" w:rsidR="00F72205" w:rsidRPr="00117F66" w:rsidRDefault="00F72205" w:rsidP="008B01EC">
            <w:pPr>
              <w:rPr>
                <w:rFonts w:ascii="Arial" w:hAnsi="Arial"/>
                <w:sz w:val="24"/>
              </w:rPr>
            </w:pPr>
          </w:p>
        </w:tc>
        <w:tc>
          <w:tcPr>
            <w:tcW w:w="1418" w:type="dxa"/>
            <w:tcBorders>
              <w:top w:val="single" w:sz="4" w:space="0" w:color="auto"/>
              <w:bottom w:val="nil"/>
            </w:tcBorders>
          </w:tcPr>
          <w:p w14:paraId="321976CE" w14:textId="77777777" w:rsidR="00F72205" w:rsidRPr="00117F66" w:rsidRDefault="00F72205" w:rsidP="008B01EC">
            <w:pPr>
              <w:jc w:val="right"/>
              <w:rPr>
                <w:rFonts w:ascii="Arial" w:hAnsi="Arial"/>
                <w:sz w:val="24"/>
              </w:rPr>
            </w:pPr>
          </w:p>
        </w:tc>
        <w:tc>
          <w:tcPr>
            <w:tcW w:w="255" w:type="dxa"/>
            <w:tcBorders>
              <w:bottom w:val="nil"/>
            </w:tcBorders>
          </w:tcPr>
          <w:p w14:paraId="15EF7FF9" w14:textId="77777777" w:rsidR="00F72205" w:rsidRPr="00117F66" w:rsidRDefault="00F72205" w:rsidP="008B01EC">
            <w:pPr>
              <w:jc w:val="right"/>
              <w:rPr>
                <w:rFonts w:ascii="Arial" w:hAnsi="Arial"/>
                <w:sz w:val="24"/>
              </w:rPr>
            </w:pPr>
          </w:p>
        </w:tc>
        <w:tc>
          <w:tcPr>
            <w:tcW w:w="998" w:type="dxa"/>
            <w:tcBorders>
              <w:top w:val="single" w:sz="4" w:space="0" w:color="auto"/>
              <w:bottom w:val="nil"/>
            </w:tcBorders>
          </w:tcPr>
          <w:p w14:paraId="200D43B5" w14:textId="77777777" w:rsidR="00F72205" w:rsidRPr="00117F66" w:rsidRDefault="00F72205" w:rsidP="008B01EC">
            <w:pPr>
              <w:jc w:val="right"/>
              <w:rPr>
                <w:rFonts w:ascii="Arial" w:hAnsi="Arial"/>
                <w:sz w:val="24"/>
              </w:rPr>
            </w:pPr>
          </w:p>
        </w:tc>
      </w:tr>
    </w:tbl>
    <w:p w14:paraId="56D6678A" w14:textId="77777777" w:rsidR="00F72205" w:rsidRPr="004840A9" w:rsidRDefault="00F72205" w:rsidP="005E4F16">
      <w:pPr>
        <w:rPr>
          <w:rFonts w:ascii="Arial" w:hAnsi="Arial"/>
        </w:rPr>
      </w:pPr>
    </w:p>
    <w:p w14:paraId="7A4F0421" w14:textId="17027924" w:rsidR="00201872" w:rsidRDefault="00516E75" w:rsidP="00D24E8D">
      <w:pPr>
        <w:rPr>
          <w:rFonts w:ascii="Arial" w:hAnsi="Arial"/>
          <w:sz w:val="24"/>
        </w:rPr>
      </w:pPr>
      <w:r>
        <w:rPr>
          <w:noProof/>
        </w:rPr>
        <w:lastRenderedPageBreak/>
        <w:drawing>
          <wp:inline distT="0" distB="0" distL="0" distR="0" wp14:anchorId="16276072" wp14:editId="1CAF9561">
            <wp:extent cx="4211955" cy="9344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1955" cy="9344025"/>
                    </a:xfrm>
                    <a:prstGeom prst="rect">
                      <a:avLst/>
                    </a:prstGeom>
                    <a:noFill/>
                    <a:ln>
                      <a:noFill/>
                    </a:ln>
                  </pic:spPr>
                </pic:pic>
              </a:graphicData>
            </a:graphic>
          </wp:inline>
        </w:drawing>
      </w:r>
    </w:p>
    <w:p w14:paraId="445E4E83" w14:textId="77777777" w:rsidR="00902B91" w:rsidRPr="00C46184" w:rsidRDefault="00902B91" w:rsidP="005E4F16">
      <w:pPr>
        <w:ind w:right="27"/>
        <w:jc w:val="both"/>
        <w:rPr>
          <w:rFonts w:ascii="Arial" w:hAnsi="Arial"/>
          <w:sz w:val="24"/>
        </w:rPr>
      </w:pPr>
      <w:r w:rsidRPr="00C46184">
        <w:rPr>
          <w:rFonts w:ascii="Arial" w:hAnsi="Arial"/>
          <w:sz w:val="24"/>
        </w:rPr>
        <w:lastRenderedPageBreak/>
        <w:t>A more detailed sector and geographical analysis of the distribution of the Fund’s investments is provided in Appendices 4(i)-(iii).</w:t>
      </w:r>
    </w:p>
    <w:p w14:paraId="70F6E069" w14:textId="77777777" w:rsidR="00902B91" w:rsidRPr="00540385" w:rsidRDefault="00902B91" w:rsidP="005E4F16">
      <w:pPr>
        <w:jc w:val="both"/>
        <w:rPr>
          <w:rFonts w:ascii="Arial" w:hAnsi="Arial"/>
          <w:sz w:val="24"/>
        </w:rPr>
      </w:pPr>
    </w:p>
    <w:p w14:paraId="4A0C20C4" w14:textId="77777777" w:rsidR="00902B91" w:rsidRPr="00F240EA" w:rsidRDefault="00902B91" w:rsidP="005E4F16">
      <w:pPr>
        <w:outlineLvl w:val="0"/>
        <w:rPr>
          <w:rFonts w:ascii="Arial" w:hAnsi="Arial"/>
          <w:b/>
        </w:rPr>
      </w:pPr>
      <w:r w:rsidRPr="00CF201B">
        <w:rPr>
          <w:rFonts w:ascii="Arial" w:hAnsi="Arial"/>
          <w:b/>
        </w:rPr>
        <w:t>Investment Returns</w:t>
      </w:r>
    </w:p>
    <w:p w14:paraId="4E51EC86" w14:textId="77777777" w:rsidR="00902B91" w:rsidRPr="008B777D" w:rsidRDefault="00902B91" w:rsidP="005E4F16">
      <w:pPr>
        <w:rPr>
          <w:rFonts w:ascii="Arial" w:hAnsi="Arial"/>
          <w:sz w:val="24"/>
        </w:rPr>
      </w:pPr>
    </w:p>
    <w:tbl>
      <w:tblPr>
        <w:tblW w:w="10470" w:type="dxa"/>
        <w:jc w:val="center"/>
        <w:tblLayout w:type="fixed"/>
        <w:tblLook w:val="0000" w:firstRow="0" w:lastRow="0" w:firstColumn="0" w:lastColumn="0" w:noHBand="0" w:noVBand="0"/>
      </w:tblPr>
      <w:tblGrid>
        <w:gridCol w:w="829"/>
        <w:gridCol w:w="698"/>
        <w:gridCol w:w="863"/>
        <w:gridCol w:w="583"/>
        <w:gridCol w:w="834"/>
        <w:gridCol w:w="584"/>
        <w:gridCol w:w="834"/>
        <w:gridCol w:w="867"/>
        <w:gridCol w:w="834"/>
        <w:gridCol w:w="445"/>
        <w:gridCol w:w="829"/>
        <w:gridCol w:w="447"/>
        <w:gridCol w:w="829"/>
        <w:gridCol w:w="160"/>
        <w:gridCol w:w="834"/>
      </w:tblGrid>
      <w:tr w:rsidR="00D17442" w:rsidRPr="00ED438B" w14:paraId="3B16828B" w14:textId="77777777" w:rsidTr="00D17442">
        <w:trPr>
          <w:gridBefore w:val="1"/>
          <w:wBefore w:w="829" w:type="dxa"/>
          <w:trHeight w:val="1545"/>
          <w:jc w:val="center"/>
        </w:trPr>
        <w:tc>
          <w:tcPr>
            <w:tcW w:w="1561" w:type="dxa"/>
            <w:gridSpan w:val="2"/>
          </w:tcPr>
          <w:p w14:paraId="37EBAB0B" w14:textId="77777777" w:rsidR="00CF201B" w:rsidRPr="008B777D" w:rsidRDefault="00CF201B" w:rsidP="005E4F16">
            <w:pPr>
              <w:jc w:val="center"/>
              <w:rPr>
                <w:rFonts w:ascii="Arial" w:hAnsi="Arial"/>
                <w:b/>
                <w:sz w:val="24"/>
              </w:rPr>
            </w:pPr>
          </w:p>
          <w:p w14:paraId="670DA115" w14:textId="77777777" w:rsidR="00CF201B" w:rsidRPr="008B777D" w:rsidRDefault="00CF201B" w:rsidP="005E4F16">
            <w:pPr>
              <w:jc w:val="center"/>
              <w:rPr>
                <w:rFonts w:ascii="Arial" w:hAnsi="Arial"/>
                <w:b/>
                <w:sz w:val="24"/>
              </w:rPr>
            </w:pPr>
          </w:p>
          <w:p w14:paraId="10E9858A" w14:textId="77777777" w:rsidR="00CF201B" w:rsidRPr="008B777D" w:rsidRDefault="00CF201B" w:rsidP="005E4F16">
            <w:pPr>
              <w:jc w:val="center"/>
              <w:rPr>
                <w:rFonts w:ascii="Arial" w:hAnsi="Arial"/>
                <w:b/>
                <w:sz w:val="24"/>
              </w:rPr>
            </w:pPr>
          </w:p>
        </w:tc>
        <w:tc>
          <w:tcPr>
            <w:tcW w:w="1417" w:type="dxa"/>
            <w:gridSpan w:val="2"/>
          </w:tcPr>
          <w:p w14:paraId="69B4A99D" w14:textId="77777777" w:rsidR="00CF201B" w:rsidRPr="00D17442" w:rsidRDefault="00CF201B" w:rsidP="00D17442">
            <w:pPr>
              <w:rPr>
                <w:rFonts w:ascii="Arial" w:hAnsi="Arial"/>
                <w:b/>
                <w:sz w:val="24"/>
                <w:szCs w:val="24"/>
              </w:rPr>
            </w:pPr>
          </w:p>
          <w:p w14:paraId="52DBEBDD" w14:textId="77777777" w:rsidR="00CF201B" w:rsidRPr="00D17442" w:rsidRDefault="00CF201B" w:rsidP="00D17442">
            <w:pPr>
              <w:rPr>
                <w:rFonts w:ascii="Arial" w:hAnsi="Arial"/>
                <w:b/>
                <w:sz w:val="24"/>
                <w:szCs w:val="24"/>
              </w:rPr>
            </w:pPr>
            <w:r w:rsidRPr="00D17442">
              <w:rPr>
                <w:rFonts w:ascii="Arial" w:hAnsi="Arial"/>
                <w:b/>
                <w:sz w:val="24"/>
                <w:szCs w:val="24"/>
              </w:rPr>
              <w:t>City &amp; County of Swansea</w:t>
            </w:r>
          </w:p>
          <w:p w14:paraId="59F4527A" w14:textId="77777777" w:rsidR="00CF201B" w:rsidRPr="00D17442" w:rsidRDefault="00CF201B" w:rsidP="00D17442">
            <w:pPr>
              <w:rPr>
                <w:rFonts w:ascii="Arial" w:hAnsi="Arial"/>
                <w:b/>
                <w:sz w:val="24"/>
                <w:szCs w:val="24"/>
              </w:rPr>
            </w:pPr>
            <w:r w:rsidRPr="00D17442">
              <w:rPr>
                <w:rFonts w:ascii="Arial" w:hAnsi="Arial"/>
                <w:b/>
                <w:sz w:val="24"/>
                <w:szCs w:val="24"/>
              </w:rPr>
              <w:t>Fund</w:t>
            </w:r>
          </w:p>
        </w:tc>
        <w:tc>
          <w:tcPr>
            <w:tcW w:w="1418" w:type="dxa"/>
            <w:gridSpan w:val="2"/>
          </w:tcPr>
          <w:p w14:paraId="0D0D0052" w14:textId="77777777" w:rsidR="00CF201B" w:rsidRPr="00D17442" w:rsidRDefault="00CF201B" w:rsidP="00D17442">
            <w:pPr>
              <w:pStyle w:val="Heading3"/>
              <w:jc w:val="left"/>
              <w:rPr>
                <w:szCs w:val="24"/>
              </w:rPr>
            </w:pPr>
          </w:p>
          <w:p w14:paraId="46D1EFC7" w14:textId="77777777" w:rsidR="00CF201B" w:rsidRPr="00D17442" w:rsidRDefault="00CF201B" w:rsidP="00D17442">
            <w:pPr>
              <w:pStyle w:val="Heading3"/>
              <w:jc w:val="left"/>
              <w:rPr>
                <w:szCs w:val="24"/>
              </w:rPr>
            </w:pPr>
            <w:r w:rsidRPr="00D17442">
              <w:rPr>
                <w:szCs w:val="24"/>
              </w:rPr>
              <w:t xml:space="preserve"> Local Authority</w:t>
            </w:r>
          </w:p>
          <w:p w14:paraId="7EE882A6" w14:textId="77777777" w:rsidR="00CF201B" w:rsidRPr="00D17442" w:rsidRDefault="00CF201B" w:rsidP="00D17442">
            <w:pPr>
              <w:rPr>
                <w:rFonts w:ascii="Arial" w:hAnsi="Arial"/>
                <w:b/>
                <w:sz w:val="24"/>
                <w:szCs w:val="24"/>
              </w:rPr>
            </w:pPr>
            <w:r w:rsidRPr="00D17442">
              <w:rPr>
                <w:rFonts w:ascii="Arial" w:hAnsi="Arial"/>
                <w:b/>
                <w:sz w:val="24"/>
                <w:szCs w:val="24"/>
              </w:rPr>
              <w:t>Average</w:t>
            </w:r>
          </w:p>
          <w:p w14:paraId="38E926F2" w14:textId="77777777" w:rsidR="00CF201B" w:rsidRPr="00D17442" w:rsidRDefault="00CF201B" w:rsidP="00D17442">
            <w:pPr>
              <w:rPr>
                <w:rFonts w:ascii="Arial" w:hAnsi="Arial"/>
                <w:b/>
                <w:sz w:val="24"/>
                <w:szCs w:val="24"/>
              </w:rPr>
            </w:pPr>
            <w:r w:rsidRPr="00D17442">
              <w:rPr>
                <w:rFonts w:ascii="Arial" w:hAnsi="Arial"/>
                <w:b/>
                <w:sz w:val="24"/>
                <w:szCs w:val="24"/>
              </w:rPr>
              <w:t xml:space="preserve">Fund </w:t>
            </w:r>
          </w:p>
        </w:tc>
        <w:tc>
          <w:tcPr>
            <w:tcW w:w="1701" w:type="dxa"/>
            <w:gridSpan w:val="2"/>
          </w:tcPr>
          <w:p w14:paraId="6387E981" w14:textId="77777777" w:rsidR="00CF201B" w:rsidRPr="00D17442" w:rsidRDefault="00CF201B" w:rsidP="00D17442">
            <w:pPr>
              <w:rPr>
                <w:rFonts w:ascii="Arial" w:hAnsi="Arial"/>
                <w:b/>
                <w:sz w:val="24"/>
                <w:szCs w:val="24"/>
              </w:rPr>
            </w:pPr>
          </w:p>
          <w:p w14:paraId="7015E0AA" w14:textId="77777777" w:rsidR="00CF201B" w:rsidRPr="00D17442" w:rsidRDefault="00CF201B" w:rsidP="00D17442">
            <w:pPr>
              <w:rPr>
                <w:rFonts w:ascii="Arial" w:hAnsi="Arial"/>
                <w:b/>
                <w:sz w:val="24"/>
                <w:szCs w:val="24"/>
              </w:rPr>
            </w:pPr>
            <w:r w:rsidRPr="00D17442">
              <w:rPr>
                <w:rFonts w:ascii="Arial" w:hAnsi="Arial"/>
                <w:b/>
                <w:sz w:val="24"/>
                <w:szCs w:val="24"/>
              </w:rPr>
              <w:t>Relative Performance</w:t>
            </w:r>
          </w:p>
        </w:tc>
        <w:tc>
          <w:tcPr>
            <w:tcW w:w="1274" w:type="dxa"/>
            <w:gridSpan w:val="2"/>
          </w:tcPr>
          <w:p w14:paraId="1258BBB1" w14:textId="77777777" w:rsidR="00CF201B" w:rsidRPr="00D17442" w:rsidRDefault="00CF201B" w:rsidP="00D17442">
            <w:pPr>
              <w:rPr>
                <w:rFonts w:ascii="Arial" w:hAnsi="Arial"/>
                <w:b/>
                <w:sz w:val="24"/>
                <w:szCs w:val="24"/>
              </w:rPr>
            </w:pPr>
          </w:p>
          <w:p w14:paraId="7125385C" w14:textId="77777777" w:rsidR="00CF201B" w:rsidRPr="00D17442" w:rsidRDefault="00CF201B" w:rsidP="00D17442">
            <w:pPr>
              <w:rPr>
                <w:rFonts w:ascii="Arial" w:hAnsi="Arial"/>
                <w:b/>
                <w:sz w:val="24"/>
                <w:szCs w:val="24"/>
              </w:rPr>
            </w:pPr>
            <w:r w:rsidRPr="00D17442">
              <w:rPr>
                <w:rFonts w:ascii="Arial" w:hAnsi="Arial"/>
                <w:b/>
                <w:sz w:val="24"/>
                <w:szCs w:val="24"/>
              </w:rPr>
              <w:t>Peer Group Ranking</w:t>
            </w:r>
          </w:p>
        </w:tc>
        <w:tc>
          <w:tcPr>
            <w:tcW w:w="1276" w:type="dxa"/>
            <w:gridSpan w:val="2"/>
          </w:tcPr>
          <w:p w14:paraId="3BF01111" w14:textId="77777777" w:rsidR="00CF201B" w:rsidRPr="00D17442" w:rsidRDefault="00CF201B" w:rsidP="00D17442">
            <w:pPr>
              <w:rPr>
                <w:rFonts w:ascii="Arial" w:hAnsi="Arial"/>
                <w:b/>
                <w:sz w:val="24"/>
                <w:szCs w:val="24"/>
              </w:rPr>
            </w:pPr>
          </w:p>
          <w:p w14:paraId="03CB8588" w14:textId="77777777" w:rsidR="00CF201B" w:rsidRPr="00D17442" w:rsidRDefault="00CF201B" w:rsidP="00D17442">
            <w:pPr>
              <w:rPr>
                <w:rFonts w:ascii="Arial" w:hAnsi="Arial"/>
                <w:b/>
                <w:sz w:val="24"/>
                <w:szCs w:val="24"/>
              </w:rPr>
            </w:pPr>
            <w:r w:rsidRPr="00D17442">
              <w:rPr>
                <w:rFonts w:ascii="Arial" w:hAnsi="Arial"/>
                <w:b/>
                <w:sz w:val="24"/>
                <w:szCs w:val="24"/>
              </w:rPr>
              <w:t>Average</w:t>
            </w:r>
          </w:p>
          <w:p w14:paraId="31CE6968" w14:textId="77777777" w:rsidR="00CF201B" w:rsidRPr="00D17442" w:rsidRDefault="00CF201B" w:rsidP="00D17442">
            <w:pPr>
              <w:rPr>
                <w:rFonts w:ascii="Arial" w:hAnsi="Arial"/>
                <w:b/>
                <w:sz w:val="24"/>
                <w:szCs w:val="24"/>
              </w:rPr>
            </w:pPr>
            <w:r w:rsidRPr="00D17442">
              <w:rPr>
                <w:rFonts w:ascii="Arial" w:hAnsi="Arial"/>
                <w:b/>
                <w:sz w:val="24"/>
                <w:szCs w:val="24"/>
              </w:rPr>
              <w:t>Earnings Increase</w:t>
            </w:r>
          </w:p>
        </w:tc>
        <w:tc>
          <w:tcPr>
            <w:tcW w:w="994" w:type="dxa"/>
            <w:gridSpan w:val="2"/>
          </w:tcPr>
          <w:p w14:paraId="56AE7AB2" w14:textId="77777777" w:rsidR="00CF201B" w:rsidRPr="00D17442" w:rsidRDefault="00CF201B" w:rsidP="00D17442">
            <w:pPr>
              <w:rPr>
                <w:rFonts w:ascii="Arial" w:hAnsi="Arial"/>
                <w:b/>
                <w:sz w:val="24"/>
                <w:szCs w:val="24"/>
              </w:rPr>
            </w:pPr>
          </w:p>
          <w:p w14:paraId="7EA5D62D" w14:textId="77777777" w:rsidR="00CF201B" w:rsidRPr="00D17442" w:rsidRDefault="00CF201B" w:rsidP="00D17442">
            <w:pPr>
              <w:pStyle w:val="Heading3"/>
              <w:jc w:val="left"/>
              <w:rPr>
                <w:szCs w:val="24"/>
              </w:rPr>
            </w:pPr>
            <w:r w:rsidRPr="00D17442">
              <w:rPr>
                <w:szCs w:val="24"/>
              </w:rPr>
              <w:t>RPI*</w:t>
            </w:r>
          </w:p>
        </w:tc>
      </w:tr>
      <w:tr w:rsidR="00CF201B" w:rsidRPr="00ED438B" w14:paraId="5F03655E" w14:textId="77777777" w:rsidTr="00D17442">
        <w:trPr>
          <w:gridAfter w:val="1"/>
          <w:wAfter w:w="834" w:type="dxa"/>
          <w:trHeight w:val="406"/>
          <w:jc w:val="center"/>
        </w:trPr>
        <w:tc>
          <w:tcPr>
            <w:tcW w:w="1527" w:type="dxa"/>
            <w:gridSpan w:val="2"/>
          </w:tcPr>
          <w:p w14:paraId="699AF49F" w14:textId="77777777" w:rsidR="00CF201B" w:rsidRPr="00ED438B" w:rsidRDefault="00CF201B" w:rsidP="005E4F16">
            <w:pPr>
              <w:jc w:val="center"/>
              <w:rPr>
                <w:rFonts w:ascii="Arial" w:hAnsi="Arial"/>
                <w:sz w:val="24"/>
              </w:rPr>
            </w:pPr>
          </w:p>
        </w:tc>
        <w:tc>
          <w:tcPr>
            <w:tcW w:w="1446" w:type="dxa"/>
            <w:gridSpan w:val="2"/>
          </w:tcPr>
          <w:p w14:paraId="78A767B4" w14:textId="77777777" w:rsidR="00CF201B" w:rsidRPr="00ED438B" w:rsidRDefault="00CF201B" w:rsidP="00D17442">
            <w:pPr>
              <w:rPr>
                <w:rFonts w:ascii="Arial" w:hAnsi="Arial"/>
                <w:sz w:val="24"/>
              </w:rPr>
            </w:pPr>
            <w:r w:rsidRPr="00ED438B">
              <w:rPr>
                <w:rFonts w:ascii="Arial" w:hAnsi="Arial"/>
                <w:sz w:val="24"/>
              </w:rPr>
              <w:t>%</w:t>
            </w:r>
          </w:p>
        </w:tc>
        <w:tc>
          <w:tcPr>
            <w:tcW w:w="1418" w:type="dxa"/>
            <w:gridSpan w:val="2"/>
          </w:tcPr>
          <w:p w14:paraId="49424C77" w14:textId="77777777" w:rsidR="00CF201B" w:rsidRPr="00ED438B" w:rsidRDefault="00CF201B" w:rsidP="00D17442">
            <w:pPr>
              <w:rPr>
                <w:rFonts w:ascii="Arial" w:hAnsi="Arial"/>
                <w:sz w:val="24"/>
              </w:rPr>
            </w:pPr>
            <w:r w:rsidRPr="00ED438B">
              <w:rPr>
                <w:rFonts w:ascii="Arial" w:hAnsi="Arial"/>
                <w:sz w:val="24"/>
              </w:rPr>
              <w:t>%</w:t>
            </w:r>
          </w:p>
        </w:tc>
        <w:tc>
          <w:tcPr>
            <w:tcW w:w="1701" w:type="dxa"/>
            <w:gridSpan w:val="2"/>
          </w:tcPr>
          <w:p w14:paraId="0F7C569D" w14:textId="77777777" w:rsidR="00CF201B" w:rsidRPr="000A22AB" w:rsidRDefault="00BB5481" w:rsidP="00D17442">
            <w:pPr>
              <w:rPr>
                <w:rFonts w:ascii="Arial" w:hAnsi="Arial"/>
                <w:sz w:val="24"/>
              </w:rPr>
            </w:pPr>
            <w:r>
              <w:rPr>
                <w:rFonts w:ascii="Arial" w:hAnsi="Arial"/>
                <w:sz w:val="24"/>
              </w:rPr>
              <w:t>%</w:t>
            </w:r>
          </w:p>
        </w:tc>
        <w:tc>
          <w:tcPr>
            <w:tcW w:w="1279" w:type="dxa"/>
            <w:gridSpan w:val="2"/>
          </w:tcPr>
          <w:p w14:paraId="30136F4C" w14:textId="77777777" w:rsidR="00CF201B" w:rsidRPr="000A22AB" w:rsidRDefault="00CF201B" w:rsidP="00D17442">
            <w:pPr>
              <w:rPr>
                <w:rFonts w:ascii="Arial" w:hAnsi="Arial"/>
                <w:sz w:val="24"/>
              </w:rPr>
            </w:pPr>
          </w:p>
        </w:tc>
        <w:tc>
          <w:tcPr>
            <w:tcW w:w="1276" w:type="dxa"/>
            <w:gridSpan w:val="2"/>
          </w:tcPr>
          <w:p w14:paraId="74A17B2A" w14:textId="77777777" w:rsidR="00CF201B" w:rsidRPr="000A22AB" w:rsidRDefault="00CF201B" w:rsidP="00D17442">
            <w:pPr>
              <w:rPr>
                <w:rFonts w:ascii="Arial" w:hAnsi="Arial"/>
                <w:sz w:val="24"/>
              </w:rPr>
            </w:pPr>
            <w:r w:rsidRPr="000A22AB">
              <w:rPr>
                <w:rFonts w:ascii="Arial" w:hAnsi="Arial"/>
                <w:sz w:val="24"/>
              </w:rPr>
              <w:t>%</w:t>
            </w:r>
          </w:p>
        </w:tc>
        <w:tc>
          <w:tcPr>
            <w:tcW w:w="989" w:type="dxa"/>
            <w:gridSpan w:val="2"/>
          </w:tcPr>
          <w:p w14:paraId="71FF022D" w14:textId="77777777" w:rsidR="00CF201B" w:rsidRPr="000A22AB" w:rsidRDefault="00CF201B" w:rsidP="00D17442">
            <w:pPr>
              <w:rPr>
                <w:rFonts w:ascii="Arial" w:hAnsi="Arial"/>
                <w:sz w:val="24"/>
              </w:rPr>
            </w:pPr>
            <w:r w:rsidRPr="000A22AB">
              <w:rPr>
                <w:rFonts w:ascii="Arial" w:hAnsi="Arial"/>
                <w:sz w:val="24"/>
              </w:rPr>
              <w:t>%</w:t>
            </w:r>
          </w:p>
        </w:tc>
      </w:tr>
      <w:tr w:rsidR="0075435B" w:rsidRPr="00ED438B" w14:paraId="2CFA334D" w14:textId="77777777" w:rsidTr="00D17442">
        <w:trPr>
          <w:gridAfter w:val="1"/>
          <w:wAfter w:w="834" w:type="dxa"/>
          <w:jc w:val="center"/>
        </w:trPr>
        <w:tc>
          <w:tcPr>
            <w:tcW w:w="1527" w:type="dxa"/>
            <w:gridSpan w:val="2"/>
          </w:tcPr>
          <w:p w14:paraId="2054AC14" w14:textId="77777777" w:rsidR="0075435B" w:rsidRPr="0075435B" w:rsidRDefault="0075435B" w:rsidP="00D17442">
            <w:pPr>
              <w:rPr>
                <w:rFonts w:ascii="Arial" w:hAnsi="Arial"/>
                <w:color w:val="000000"/>
                <w:sz w:val="24"/>
                <w:highlight w:val="yellow"/>
              </w:rPr>
            </w:pPr>
            <w:r w:rsidRPr="00BB5481">
              <w:rPr>
                <w:rFonts w:ascii="Arial" w:hAnsi="Arial"/>
                <w:color w:val="000000"/>
                <w:sz w:val="24"/>
              </w:rPr>
              <w:t>2021/22</w:t>
            </w:r>
          </w:p>
        </w:tc>
        <w:tc>
          <w:tcPr>
            <w:tcW w:w="1446" w:type="dxa"/>
            <w:gridSpan w:val="2"/>
          </w:tcPr>
          <w:p w14:paraId="6B5A4870" w14:textId="77777777" w:rsidR="0075435B" w:rsidRDefault="00BB5481" w:rsidP="00D17442">
            <w:pPr>
              <w:rPr>
                <w:rFonts w:ascii="Arial" w:hAnsi="Arial"/>
                <w:color w:val="000000"/>
                <w:sz w:val="24"/>
              </w:rPr>
            </w:pPr>
            <w:r>
              <w:rPr>
                <w:rFonts w:ascii="Arial" w:hAnsi="Arial"/>
                <w:color w:val="000000"/>
                <w:sz w:val="24"/>
              </w:rPr>
              <w:t>10.7</w:t>
            </w:r>
          </w:p>
        </w:tc>
        <w:tc>
          <w:tcPr>
            <w:tcW w:w="1418" w:type="dxa"/>
            <w:gridSpan w:val="2"/>
          </w:tcPr>
          <w:p w14:paraId="0199F457" w14:textId="77777777" w:rsidR="0075435B" w:rsidRDefault="00BB5481" w:rsidP="00D17442">
            <w:pPr>
              <w:rPr>
                <w:rFonts w:ascii="Arial" w:hAnsi="Arial"/>
                <w:color w:val="000000"/>
                <w:sz w:val="24"/>
              </w:rPr>
            </w:pPr>
            <w:r>
              <w:rPr>
                <w:rFonts w:ascii="Arial" w:hAnsi="Arial"/>
                <w:color w:val="000000"/>
                <w:sz w:val="24"/>
              </w:rPr>
              <w:t>8.6</w:t>
            </w:r>
          </w:p>
        </w:tc>
        <w:tc>
          <w:tcPr>
            <w:tcW w:w="1701" w:type="dxa"/>
            <w:gridSpan w:val="2"/>
          </w:tcPr>
          <w:p w14:paraId="0A3F66A1" w14:textId="77777777" w:rsidR="0075435B" w:rsidRDefault="00BB5481" w:rsidP="00D17442">
            <w:pPr>
              <w:rPr>
                <w:rFonts w:ascii="Arial" w:hAnsi="Arial"/>
                <w:sz w:val="24"/>
              </w:rPr>
            </w:pPr>
            <w:r>
              <w:rPr>
                <w:rFonts w:ascii="Arial" w:hAnsi="Arial"/>
                <w:sz w:val="24"/>
              </w:rPr>
              <w:t>+2.1</w:t>
            </w:r>
          </w:p>
        </w:tc>
        <w:tc>
          <w:tcPr>
            <w:tcW w:w="1279" w:type="dxa"/>
            <w:gridSpan w:val="2"/>
          </w:tcPr>
          <w:p w14:paraId="3D50EABB" w14:textId="77777777" w:rsidR="0075435B" w:rsidRDefault="00BB5481" w:rsidP="00D17442">
            <w:pPr>
              <w:rPr>
                <w:rFonts w:ascii="Arial" w:hAnsi="Arial"/>
                <w:sz w:val="24"/>
              </w:rPr>
            </w:pPr>
            <w:r>
              <w:rPr>
                <w:rFonts w:ascii="Arial" w:hAnsi="Arial"/>
                <w:sz w:val="24"/>
              </w:rPr>
              <w:t>12</w:t>
            </w:r>
            <w:r w:rsidRPr="00F240EA">
              <w:rPr>
                <w:rFonts w:ascii="Arial" w:hAnsi="Arial"/>
                <w:sz w:val="16"/>
                <w:szCs w:val="16"/>
              </w:rPr>
              <w:t>th</w:t>
            </w:r>
          </w:p>
        </w:tc>
        <w:tc>
          <w:tcPr>
            <w:tcW w:w="1276" w:type="dxa"/>
            <w:gridSpan w:val="2"/>
          </w:tcPr>
          <w:p w14:paraId="6449EEC5" w14:textId="77777777" w:rsidR="0075435B" w:rsidRPr="00B67979" w:rsidRDefault="00C408DF" w:rsidP="00D17442">
            <w:pPr>
              <w:rPr>
                <w:rFonts w:ascii="Arial" w:hAnsi="Arial"/>
                <w:sz w:val="24"/>
              </w:rPr>
            </w:pPr>
            <w:r>
              <w:rPr>
                <w:rFonts w:ascii="Arial" w:hAnsi="Arial"/>
                <w:sz w:val="24"/>
              </w:rPr>
              <w:t>7.0</w:t>
            </w:r>
          </w:p>
        </w:tc>
        <w:tc>
          <w:tcPr>
            <w:tcW w:w="989" w:type="dxa"/>
            <w:gridSpan w:val="2"/>
          </w:tcPr>
          <w:p w14:paraId="0359F434" w14:textId="77777777" w:rsidR="0075435B" w:rsidRPr="00B67979" w:rsidRDefault="00BC1C6A" w:rsidP="00D17442">
            <w:pPr>
              <w:rPr>
                <w:rFonts w:ascii="Arial" w:hAnsi="Arial"/>
                <w:sz w:val="24"/>
              </w:rPr>
            </w:pPr>
            <w:r>
              <w:rPr>
                <w:rFonts w:ascii="Arial" w:hAnsi="Arial"/>
                <w:sz w:val="24"/>
              </w:rPr>
              <w:t>9.0</w:t>
            </w:r>
          </w:p>
        </w:tc>
      </w:tr>
      <w:tr w:rsidR="00AA5115" w:rsidRPr="00ED438B" w14:paraId="1B0A8FDA" w14:textId="77777777" w:rsidTr="00D17442">
        <w:trPr>
          <w:gridAfter w:val="1"/>
          <w:wAfter w:w="834" w:type="dxa"/>
          <w:jc w:val="center"/>
        </w:trPr>
        <w:tc>
          <w:tcPr>
            <w:tcW w:w="1527" w:type="dxa"/>
            <w:gridSpan w:val="2"/>
          </w:tcPr>
          <w:p w14:paraId="158EE498" w14:textId="77777777" w:rsidR="00AA5115" w:rsidRDefault="00AA5115" w:rsidP="00D17442">
            <w:pPr>
              <w:rPr>
                <w:rFonts w:ascii="Arial" w:hAnsi="Arial"/>
                <w:color w:val="000000"/>
                <w:sz w:val="24"/>
              </w:rPr>
            </w:pPr>
            <w:r>
              <w:rPr>
                <w:rFonts w:ascii="Arial" w:hAnsi="Arial"/>
                <w:color w:val="000000"/>
                <w:sz w:val="24"/>
              </w:rPr>
              <w:t>2020/21</w:t>
            </w:r>
          </w:p>
        </w:tc>
        <w:tc>
          <w:tcPr>
            <w:tcW w:w="1446" w:type="dxa"/>
            <w:gridSpan w:val="2"/>
          </w:tcPr>
          <w:p w14:paraId="25E469F8" w14:textId="77777777" w:rsidR="00AA5115" w:rsidRDefault="00AA5115" w:rsidP="00D17442">
            <w:pPr>
              <w:rPr>
                <w:rFonts w:ascii="Arial" w:hAnsi="Arial"/>
                <w:color w:val="000000"/>
                <w:sz w:val="24"/>
              </w:rPr>
            </w:pPr>
            <w:r>
              <w:rPr>
                <w:rFonts w:ascii="Arial" w:hAnsi="Arial"/>
                <w:color w:val="000000"/>
                <w:sz w:val="24"/>
              </w:rPr>
              <w:t>3</w:t>
            </w:r>
            <w:r w:rsidR="00C006D5">
              <w:rPr>
                <w:rFonts w:ascii="Arial" w:hAnsi="Arial"/>
                <w:color w:val="000000"/>
                <w:sz w:val="24"/>
              </w:rPr>
              <w:t>1.1</w:t>
            </w:r>
          </w:p>
        </w:tc>
        <w:tc>
          <w:tcPr>
            <w:tcW w:w="1418" w:type="dxa"/>
            <w:gridSpan w:val="2"/>
          </w:tcPr>
          <w:p w14:paraId="46C22543" w14:textId="77777777" w:rsidR="00AA5115" w:rsidRDefault="00AA5115" w:rsidP="00D17442">
            <w:pPr>
              <w:rPr>
                <w:rFonts w:ascii="Arial" w:hAnsi="Arial"/>
                <w:color w:val="000000"/>
                <w:sz w:val="24"/>
              </w:rPr>
            </w:pPr>
            <w:r>
              <w:rPr>
                <w:rFonts w:ascii="Arial" w:hAnsi="Arial"/>
                <w:color w:val="000000"/>
                <w:sz w:val="24"/>
              </w:rPr>
              <w:t>22.8</w:t>
            </w:r>
          </w:p>
        </w:tc>
        <w:tc>
          <w:tcPr>
            <w:tcW w:w="1701" w:type="dxa"/>
            <w:gridSpan w:val="2"/>
          </w:tcPr>
          <w:p w14:paraId="211C50D6" w14:textId="77777777" w:rsidR="00AA5115" w:rsidRDefault="00CA0369" w:rsidP="00D17442">
            <w:pPr>
              <w:rPr>
                <w:rFonts w:ascii="Arial" w:hAnsi="Arial"/>
                <w:sz w:val="24"/>
              </w:rPr>
            </w:pPr>
            <w:r>
              <w:rPr>
                <w:rFonts w:ascii="Arial" w:hAnsi="Arial"/>
                <w:sz w:val="24"/>
              </w:rPr>
              <w:t>+</w:t>
            </w:r>
            <w:r w:rsidR="00C006D5">
              <w:rPr>
                <w:rFonts w:ascii="Arial" w:hAnsi="Arial"/>
                <w:sz w:val="24"/>
              </w:rPr>
              <w:t>8.3</w:t>
            </w:r>
          </w:p>
        </w:tc>
        <w:tc>
          <w:tcPr>
            <w:tcW w:w="1279" w:type="dxa"/>
            <w:gridSpan w:val="2"/>
          </w:tcPr>
          <w:p w14:paraId="5655DEE2" w14:textId="77777777" w:rsidR="00AA5115" w:rsidRDefault="00C006D5" w:rsidP="00D17442">
            <w:pPr>
              <w:rPr>
                <w:rFonts w:ascii="Arial" w:hAnsi="Arial"/>
                <w:sz w:val="24"/>
              </w:rPr>
            </w:pPr>
            <w:r>
              <w:rPr>
                <w:rFonts w:ascii="Arial" w:hAnsi="Arial"/>
                <w:sz w:val="24"/>
              </w:rPr>
              <w:t>8</w:t>
            </w:r>
            <w:r w:rsidR="00AA5115" w:rsidRPr="00F240EA">
              <w:rPr>
                <w:rFonts w:ascii="Arial" w:hAnsi="Arial"/>
                <w:sz w:val="16"/>
                <w:szCs w:val="16"/>
              </w:rPr>
              <w:t>th</w:t>
            </w:r>
          </w:p>
        </w:tc>
        <w:tc>
          <w:tcPr>
            <w:tcW w:w="1276" w:type="dxa"/>
            <w:gridSpan w:val="2"/>
          </w:tcPr>
          <w:p w14:paraId="37546655" w14:textId="77777777" w:rsidR="00AA5115" w:rsidRPr="00B67979" w:rsidRDefault="00B64984" w:rsidP="00D17442">
            <w:pPr>
              <w:rPr>
                <w:rFonts w:ascii="Arial" w:hAnsi="Arial"/>
                <w:sz w:val="24"/>
              </w:rPr>
            </w:pPr>
            <w:r w:rsidRPr="00B67979">
              <w:rPr>
                <w:rFonts w:ascii="Arial" w:hAnsi="Arial"/>
                <w:sz w:val="24"/>
              </w:rPr>
              <w:t>4.3</w:t>
            </w:r>
          </w:p>
        </w:tc>
        <w:tc>
          <w:tcPr>
            <w:tcW w:w="989" w:type="dxa"/>
            <w:gridSpan w:val="2"/>
          </w:tcPr>
          <w:p w14:paraId="3BE6A9BD" w14:textId="77777777" w:rsidR="00AA5115" w:rsidRPr="00B67979" w:rsidRDefault="000B444F" w:rsidP="00D17442">
            <w:pPr>
              <w:rPr>
                <w:rFonts w:ascii="Arial" w:hAnsi="Arial"/>
                <w:sz w:val="24"/>
              </w:rPr>
            </w:pPr>
            <w:r w:rsidRPr="00B67979">
              <w:rPr>
                <w:rFonts w:ascii="Arial" w:hAnsi="Arial"/>
                <w:sz w:val="24"/>
              </w:rPr>
              <w:t>1.5</w:t>
            </w:r>
          </w:p>
        </w:tc>
      </w:tr>
      <w:tr w:rsidR="0031607C" w:rsidRPr="00ED438B" w14:paraId="26FFA0A6" w14:textId="77777777" w:rsidTr="00D17442">
        <w:trPr>
          <w:gridAfter w:val="1"/>
          <w:wAfter w:w="834" w:type="dxa"/>
          <w:jc w:val="center"/>
        </w:trPr>
        <w:tc>
          <w:tcPr>
            <w:tcW w:w="1527" w:type="dxa"/>
            <w:gridSpan w:val="2"/>
          </w:tcPr>
          <w:p w14:paraId="7F3D7003" w14:textId="77777777" w:rsidR="0031607C" w:rsidRDefault="0031607C" w:rsidP="00D17442">
            <w:pPr>
              <w:rPr>
                <w:rFonts w:ascii="Arial" w:hAnsi="Arial"/>
                <w:color w:val="000000"/>
                <w:sz w:val="24"/>
              </w:rPr>
            </w:pPr>
            <w:r>
              <w:rPr>
                <w:rFonts w:ascii="Arial" w:hAnsi="Arial"/>
                <w:color w:val="000000"/>
                <w:sz w:val="24"/>
              </w:rPr>
              <w:t>2019/20</w:t>
            </w:r>
          </w:p>
        </w:tc>
        <w:tc>
          <w:tcPr>
            <w:tcW w:w="1446" w:type="dxa"/>
            <w:gridSpan w:val="2"/>
          </w:tcPr>
          <w:p w14:paraId="72FF30C7" w14:textId="77777777" w:rsidR="0031607C" w:rsidRDefault="0031607C" w:rsidP="00D17442">
            <w:pPr>
              <w:rPr>
                <w:rFonts w:ascii="Arial" w:hAnsi="Arial"/>
                <w:color w:val="000000"/>
                <w:sz w:val="24"/>
              </w:rPr>
            </w:pPr>
            <w:r>
              <w:rPr>
                <w:rFonts w:ascii="Arial" w:hAnsi="Arial"/>
                <w:color w:val="000000"/>
                <w:sz w:val="24"/>
              </w:rPr>
              <w:t>-4.5</w:t>
            </w:r>
          </w:p>
        </w:tc>
        <w:tc>
          <w:tcPr>
            <w:tcW w:w="1418" w:type="dxa"/>
            <w:gridSpan w:val="2"/>
          </w:tcPr>
          <w:p w14:paraId="42FF2EB7" w14:textId="77777777" w:rsidR="0031607C" w:rsidRDefault="0031607C" w:rsidP="00D17442">
            <w:pPr>
              <w:rPr>
                <w:rFonts w:ascii="Arial" w:hAnsi="Arial"/>
                <w:color w:val="000000"/>
                <w:sz w:val="24"/>
              </w:rPr>
            </w:pPr>
            <w:r>
              <w:rPr>
                <w:rFonts w:ascii="Arial" w:hAnsi="Arial"/>
                <w:color w:val="000000"/>
                <w:sz w:val="24"/>
              </w:rPr>
              <w:t>-4.8</w:t>
            </w:r>
          </w:p>
        </w:tc>
        <w:tc>
          <w:tcPr>
            <w:tcW w:w="1701" w:type="dxa"/>
            <w:gridSpan w:val="2"/>
          </w:tcPr>
          <w:p w14:paraId="52AFF606" w14:textId="77777777" w:rsidR="0031607C" w:rsidRDefault="00CA0369" w:rsidP="00D17442">
            <w:pPr>
              <w:rPr>
                <w:rFonts w:ascii="Arial" w:hAnsi="Arial"/>
                <w:sz w:val="24"/>
              </w:rPr>
            </w:pPr>
            <w:r>
              <w:rPr>
                <w:rFonts w:ascii="Arial" w:hAnsi="Arial"/>
                <w:sz w:val="24"/>
              </w:rPr>
              <w:t>+</w:t>
            </w:r>
            <w:r w:rsidR="0031607C">
              <w:rPr>
                <w:rFonts w:ascii="Arial" w:hAnsi="Arial"/>
                <w:sz w:val="24"/>
              </w:rPr>
              <w:t>0.3</w:t>
            </w:r>
          </w:p>
        </w:tc>
        <w:tc>
          <w:tcPr>
            <w:tcW w:w="1279" w:type="dxa"/>
            <w:gridSpan w:val="2"/>
          </w:tcPr>
          <w:p w14:paraId="437E3253" w14:textId="77777777" w:rsidR="0031607C" w:rsidRDefault="008D739E" w:rsidP="00D17442">
            <w:pPr>
              <w:rPr>
                <w:rFonts w:ascii="Arial" w:hAnsi="Arial"/>
                <w:sz w:val="24"/>
              </w:rPr>
            </w:pPr>
            <w:r>
              <w:rPr>
                <w:rFonts w:ascii="Arial" w:hAnsi="Arial"/>
                <w:sz w:val="24"/>
              </w:rPr>
              <w:t>45</w:t>
            </w:r>
            <w:r w:rsidRPr="00F240EA">
              <w:rPr>
                <w:rFonts w:ascii="Arial" w:hAnsi="Arial"/>
                <w:sz w:val="16"/>
                <w:szCs w:val="16"/>
              </w:rPr>
              <w:t>th</w:t>
            </w:r>
          </w:p>
        </w:tc>
        <w:tc>
          <w:tcPr>
            <w:tcW w:w="1276" w:type="dxa"/>
            <w:gridSpan w:val="2"/>
          </w:tcPr>
          <w:p w14:paraId="5B5D7471" w14:textId="77777777" w:rsidR="0031607C" w:rsidRPr="00B67979" w:rsidRDefault="00016F26" w:rsidP="00D17442">
            <w:pPr>
              <w:rPr>
                <w:rFonts w:ascii="Arial" w:hAnsi="Arial"/>
                <w:sz w:val="24"/>
              </w:rPr>
            </w:pPr>
            <w:r w:rsidRPr="00B67979">
              <w:rPr>
                <w:rFonts w:ascii="Arial" w:hAnsi="Arial"/>
                <w:sz w:val="24"/>
              </w:rPr>
              <w:t>2.3</w:t>
            </w:r>
          </w:p>
        </w:tc>
        <w:tc>
          <w:tcPr>
            <w:tcW w:w="989" w:type="dxa"/>
            <w:gridSpan w:val="2"/>
          </w:tcPr>
          <w:p w14:paraId="2B48E82C" w14:textId="77777777" w:rsidR="0031607C" w:rsidRPr="00B67979" w:rsidRDefault="000B444F" w:rsidP="00D17442">
            <w:pPr>
              <w:rPr>
                <w:rFonts w:ascii="Arial" w:hAnsi="Arial"/>
                <w:sz w:val="24"/>
              </w:rPr>
            </w:pPr>
            <w:r w:rsidRPr="00B67979">
              <w:rPr>
                <w:rFonts w:ascii="Arial" w:hAnsi="Arial"/>
                <w:sz w:val="24"/>
              </w:rPr>
              <w:t>2.6</w:t>
            </w:r>
          </w:p>
        </w:tc>
      </w:tr>
      <w:tr w:rsidR="00A32F2B" w:rsidRPr="00ED438B" w14:paraId="67160E0D" w14:textId="77777777" w:rsidTr="00D17442">
        <w:trPr>
          <w:gridAfter w:val="1"/>
          <w:wAfter w:w="834" w:type="dxa"/>
          <w:jc w:val="center"/>
        </w:trPr>
        <w:tc>
          <w:tcPr>
            <w:tcW w:w="1527" w:type="dxa"/>
            <w:gridSpan w:val="2"/>
          </w:tcPr>
          <w:p w14:paraId="37C2D0C7" w14:textId="77777777" w:rsidR="00A32F2B" w:rsidRPr="00CF201B" w:rsidRDefault="00A32F2B" w:rsidP="00D17442">
            <w:pPr>
              <w:rPr>
                <w:rFonts w:ascii="Arial" w:hAnsi="Arial"/>
                <w:color w:val="000000"/>
                <w:sz w:val="24"/>
              </w:rPr>
            </w:pPr>
            <w:r>
              <w:rPr>
                <w:rFonts w:ascii="Arial" w:hAnsi="Arial"/>
                <w:color w:val="000000"/>
                <w:sz w:val="24"/>
              </w:rPr>
              <w:t>2018/19</w:t>
            </w:r>
          </w:p>
        </w:tc>
        <w:tc>
          <w:tcPr>
            <w:tcW w:w="1446" w:type="dxa"/>
            <w:gridSpan w:val="2"/>
          </w:tcPr>
          <w:p w14:paraId="47D03F47" w14:textId="77777777" w:rsidR="00A32F2B" w:rsidRPr="00CF201B" w:rsidRDefault="00A32F2B" w:rsidP="00D17442">
            <w:pPr>
              <w:rPr>
                <w:rFonts w:ascii="Arial" w:hAnsi="Arial"/>
                <w:color w:val="000000"/>
                <w:sz w:val="24"/>
              </w:rPr>
            </w:pPr>
            <w:r>
              <w:rPr>
                <w:rFonts w:ascii="Arial" w:hAnsi="Arial"/>
                <w:color w:val="000000"/>
                <w:sz w:val="24"/>
              </w:rPr>
              <w:t>6.1</w:t>
            </w:r>
          </w:p>
        </w:tc>
        <w:tc>
          <w:tcPr>
            <w:tcW w:w="1418" w:type="dxa"/>
            <w:gridSpan w:val="2"/>
          </w:tcPr>
          <w:p w14:paraId="1B187098" w14:textId="77777777" w:rsidR="00A32F2B" w:rsidRPr="00CF201B" w:rsidRDefault="00A32F2B" w:rsidP="00D17442">
            <w:pPr>
              <w:rPr>
                <w:rFonts w:ascii="Arial" w:hAnsi="Arial"/>
                <w:color w:val="000000"/>
                <w:sz w:val="24"/>
              </w:rPr>
            </w:pPr>
            <w:r>
              <w:rPr>
                <w:rFonts w:ascii="Arial" w:hAnsi="Arial"/>
                <w:color w:val="000000"/>
                <w:sz w:val="24"/>
              </w:rPr>
              <w:t>6.6</w:t>
            </w:r>
          </w:p>
        </w:tc>
        <w:tc>
          <w:tcPr>
            <w:tcW w:w="1701" w:type="dxa"/>
            <w:gridSpan w:val="2"/>
          </w:tcPr>
          <w:p w14:paraId="13A43CFB" w14:textId="77777777" w:rsidR="00A32F2B" w:rsidRPr="00CF201B" w:rsidRDefault="00A32F2B" w:rsidP="00D17442">
            <w:pPr>
              <w:rPr>
                <w:rFonts w:ascii="Arial" w:hAnsi="Arial"/>
                <w:sz w:val="24"/>
              </w:rPr>
            </w:pPr>
            <w:r>
              <w:rPr>
                <w:rFonts w:ascii="Arial" w:hAnsi="Arial"/>
                <w:sz w:val="24"/>
              </w:rPr>
              <w:t>-0.5</w:t>
            </w:r>
          </w:p>
        </w:tc>
        <w:tc>
          <w:tcPr>
            <w:tcW w:w="1279" w:type="dxa"/>
            <w:gridSpan w:val="2"/>
          </w:tcPr>
          <w:p w14:paraId="1EC420C8" w14:textId="77777777" w:rsidR="00A32F2B" w:rsidRDefault="00A32F2B" w:rsidP="00D17442">
            <w:pPr>
              <w:rPr>
                <w:rFonts w:ascii="Arial" w:hAnsi="Arial"/>
                <w:sz w:val="24"/>
              </w:rPr>
            </w:pPr>
            <w:r>
              <w:rPr>
                <w:rFonts w:ascii="Arial" w:hAnsi="Arial"/>
                <w:sz w:val="24"/>
              </w:rPr>
              <w:t>52</w:t>
            </w:r>
            <w:r w:rsidRPr="00ED438B">
              <w:rPr>
                <w:rFonts w:ascii="Arial" w:hAnsi="Arial"/>
                <w:sz w:val="24"/>
                <w:vertAlign w:val="superscript"/>
              </w:rPr>
              <w:t>nd</w:t>
            </w:r>
          </w:p>
        </w:tc>
        <w:tc>
          <w:tcPr>
            <w:tcW w:w="1276" w:type="dxa"/>
            <w:gridSpan w:val="2"/>
          </w:tcPr>
          <w:p w14:paraId="652A69F4" w14:textId="77777777" w:rsidR="00A32F2B" w:rsidRDefault="00016F26" w:rsidP="00D17442">
            <w:pPr>
              <w:rPr>
                <w:rFonts w:ascii="Arial" w:hAnsi="Arial"/>
                <w:sz w:val="24"/>
              </w:rPr>
            </w:pPr>
            <w:r>
              <w:rPr>
                <w:rFonts w:ascii="Arial" w:hAnsi="Arial"/>
                <w:sz w:val="24"/>
              </w:rPr>
              <w:t>3.3</w:t>
            </w:r>
          </w:p>
        </w:tc>
        <w:tc>
          <w:tcPr>
            <w:tcW w:w="989" w:type="dxa"/>
            <w:gridSpan w:val="2"/>
          </w:tcPr>
          <w:p w14:paraId="272F928E" w14:textId="77777777" w:rsidR="00A32F2B" w:rsidRDefault="00580301" w:rsidP="00D17442">
            <w:pPr>
              <w:rPr>
                <w:rFonts w:ascii="Arial" w:hAnsi="Arial"/>
                <w:sz w:val="24"/>
              </w:rPr>
            </w:pPr>
            <w:r>
              <w:rPr>
                <w:rFonts w:ascii="Arial" w:hAnsi="Arial"/>
                <w:sz w:val="24"/>
              </w:rPr>
              <w:t>2.44</w:t>
            </w:r>
          </w:p>
        </w:tc>
      </w:tr>
      <w:tr w:rsidR="00CF201B" w:rsidRPr="00ED438B" w14:paraId="75452B39" w14:textId="77777777" w:rsidTr="00D17442">
        <w:trPr>
          <w:gridAfter w:val="1"/>
          <w:wAfter w:w="834" w:type="dxa"/>
          <w:jc w:val="center"/>
        </w:trPr>
        <w:tc>
          <w:tcPr>
            <w:tcW w:w="1527" w:type="dxa"/>
            <w:gridSpan w:val="2"/>
          </w:tcPr>
          <w:p w14:paraId="5425F8F7" w14:textId="77777777" w:rsidR="00CF201B" w:rsidRPr="00CF201B" w:rsidRDefault="00CF201B" w:rsidP="00D17442">
            <w:pPr>
              <w:rPr>
                <w:rFonts w:ascii="Arial" w:hAnsi="Arial"/>
                <w:color w:val="000000"/>
                <w:sz w:val="24"/>
              </w:rPr>
            </w:pPr>
            <w:r w:rsidRPr="00CF201B">
              <w:rPr>
                <w:rFonts w:ascii="Arial" w:hAnsi="Arial"/>
                <w:color w:val="000000"/>
                <w:sz w:val="24"/>
              </w:rPr>
              <w:t>2017/18</w:t>
            </w:r>
          </w:p>
        </w:tc>
        <w:tc>
          <w:tcPr>
            <w:tcW w:w="1446" w:type="dxa"/>
            <w:gridSpan w:val="2"/>
          </w:tcPr>
          <w:p w14:paraId="4FCCF951" w14:textId="77777777" w:rsidR="00CF201B" w:rsidRPr="00CF201B" w:rsidRDefault="00CF201B" w:rsidP="00D17442">
            <w:pPr>
              <w:rPr>
                <w:rFonts w:ascii="Arial" w:hAnsi="Arial"/>
                <w:color w:val="000000"/>
                <w:sz w:val="24"/>
              </w:rPr>
            </w:pPr>
            <w:r w:rsidRPr="00CF201B">
              <w:rPr>
                <w:rFonts w:ascii="Arial" w:hAnsi="Arial"/>
                <w:color w:val="000000"/>
                <w:sz w:val="24"/>
              </w:rPr>
              <w:t>2.8</w:t>
            </w:r>
          </w:p>
        </w:tc>
        <w:tc>
          <w:tcPr>
            <w:tcW w:w="1418" w:type="dxa"/>
            <w:gridSpan w:val="2"/>
          </w:tcPr>
          <w:p w14:paraId="05856D40" w14:textId="77777777" w:rsidR="00CF201B" w:rsidRPr="00CF201B" w:rsidRDefault="00CF201B" w:rsidP="00D17442">
            <w:pPr>
              <w:rPr>
                <w:rFonts w:ascii="Arial" w:hAnsi="Arial"/>
                <w:color w:val="000000"/>
                <w:sz w:val="24"/>
              </w:rPr>
            </w:pPr>
            <w:r w:rsidRPr="00CF201B">
              <w:rPr>
                <w:rFonts w:ascii="Arial" w:hAnsi="Arial"/>
                <w:color w:val="000000"/>
                <w:sz w:val="24"/>
              </w:rPr>
              <w:t>4.5</w:t>
            </w:r>
          </w:p>
        </w:tc>
        <w:tc>
          <w:tcPr>
            <w:tcW w:w="1701" w:type="dxa"/>
            <w:gridSpan w:val="2"/>
          </w:tcPr>
          <w:p w14:paraId="6ABCD50A" w14:textId="77777777" w:rsidR="00CF201B" w:rsidRPr="00CF201B" w:rsidRDefault="00CF201B" w:rsidP="00D17442">
            <w:pPr>
              <w:rPr>
                <w:rFonts w:ascii="Arial" w:hAnsi="Arial"/>
                <w:sz w:val="24"/>
              </w:rPr>
            </w:pPr>
            <w:r w:rsidRPr="00CF201B">
              <w:rPr>
                <w:rFonts w:ascii="Arial" w:hAnsi="Arial"/>
                <w:sz w:val="24"/>
              </w:rPr>
              <w:t>-1.7</w:t>
            </w:r>
          </w:p>
        </w:tc>
        <w:tc>
          <w:tcPr>
            <w:tcW w:w="1279" w:type="dxa"/>
            <w:gridSpan w:val="2"/>
          </w:tcPr>
          <w:p w14:paraId="6945C196" w14:textId="77777777" w:rsidR="0052624E" w:rsidRPr="00CF201B" w:rsidRDefault="0052624E" w:rsidP="00D17442">
            <w:pPr>
              <w:rPr>
                <w:rFonts w:ascii="Arial" w:hAnsi="Arial"/>
                <w:sz w:val="24"/>
              </w:rPr>
            </w:pPr>
            <w:r>
              <w:rPr>
                <w:rFonts w:ascii="Arial" w:hAnsi="Arial"/>
                <w:sz w:val="24"/>
              </w:rPr>
              <w:t>58</w:t>
            </w:r>
            <w:r w:rsidRPr="00F240EA">
              <w:rPr>
                <w:rFonts w:ascii="Arial" w:hAnsi="Arial"/>
                <w:sz w:val="16"/>
                <w:szCs w:val="16"/>
              </w:rPr>
              <w:t>th</w:t>
            </w:r>
          </w:p>
        </w:tc>
        <w:tc>
          <w:tcPr>
            <w:tcW w:w="1276" w:type="dxa"/>
            <w:gridSpan w:val="2"/>
          </w:tcPr>
          <w:p w14:paraId="34209958" w14:textId="77777777" w:rsidR="00CF201B" w:rsidRPr="00D879DE" w:rsidRDefault="00FF0571" w:rsidP="00D17442">
            <w:pPr>
              <w:rPr>
                <w:rFonts w:ascii="Arial" w:hAnsi="Arial"/>
                <w:sz w:val="24"/>
              </w:rPr>
            </w:pPr>
            <w:r>
              <w:rPr>
                <w:rFonts w:ascii="Arial" w:hAnsi="Arial"/>
                <w:sz w:val="24"/>
              </w:rPr>
              <w:t>2.6</w:t>
            </w:r>
          </w:p>
        </w:tc>
        <w:tc>
          <w:tcPr>
            <w:tcW w:w="989" w:type="dxa"/>
            <w:gridSpan w:val="2"/>
          </w:tcPr>
          <w:p w14:paraId="61A7967D" w14:textId="77777777" w:rsidR="00CF201B" w:rsidRPr="00D879DE" w:rsidRDefault="00B57259" w:rsidP="00D17442">
            <w:pPr>
              <w:rPr>
                <w:rFonts w:ascii="Arial" w:hAnsi="Arial"/>
                <w:sz w:val="24"/>
              </w:rPr>
            </w:pPr>
            <w:r>
              <w:rPr>
                <w:rFonts w:ascii="Arial" w:hAnsi="Arial"/>
                <w:sz w:val="24"/>
              </w:rPr>
              <w:t>3.3</w:t>
            </w:r>
          </w:p>
        </w:tc>
      </w:tr>
      <w:tr w:rsidR="00CF201B" w:rsidRPr="00ED438B" w14:paraId="6F175004" w14:textId="77777777" w:rsidTr="00D17442">
        <w:trPr>
          <w:gridAfter w:val="1"/>
          <w:wAfter w:w="834" w:type="dxa"/>
          <w:jc w:val="center"/>
        </w:trPr>
        <w:tc>
          <w:tcPr>
            <w:tcW w:w="1527" w:type="dxa"/>
            <w:gridSpan w:val="2"/>
          </w:tcPr>
          <w:p w14:paraId="79982689" w14:textId="77777777" w:rsidR="00CF201B" w:rsidRPr="00386FCE" w:rsidRDefault="00CF201B" w:rsidP="00D17442">
            <w:pPr>
              <w:rPr>
                <w:rFonts w:ascii="Arial" w:hAnsi="Arial"/>
                <w:color w:val="000000"/>
                <w:sz w:val="24"/>
              </w:rPr>
            </w:pPr>
            <w:r w:rsidRPr="00386FCE">
              <w:rPr>
                <w:rFonts w:ascii="Arial" w:hAnsi="Arial"/>
                <w:color w:val="000000"/>
                <w:sz w:val="24"/>
              </w:rPr>
              <w:t>2016/17</w:t>
            </w:r>
          </w:p>
          <w:p w14:paraId="5D0B4749" w14:textId="77777777" w:rsidR="00CF201B" w:rsidRPr="00386FCE" w:rsidRDefault="00CF201B" w:rsidP="00D17442">
            <w:pPr>
              <w:rPr>
                <w:rFonts w:ascii="Arial" w:hAnsi="Arial"/>
                <w:color w:val="000000"/>
                <w:sz w:val="24"/>
                <w:highlight w:val="yellow"/>
              </w:rPr>
            </w:pPr>
            <w:r w:rsidRPr="00386FCE">
              <w:rPr>
                <w:rFonts w:ascii="Arial" w:hAnsi="Arial"/>
                <w:color w:val="000000"/>
                <w:sz w:val="24"/>
              </w:rPr>
              <w:t>2015/16</w:t>
            </w:r>
          </w:p>
        </w:tc>
        <w:tc>
          <w:tcPr>
            <w:tcW w:w="1446" w:type="dxa"/>
            <w:gridSpan w:val="2"/>
          </w:tcPr>
          <w:p w14:paraId="14BA9C8E" w14:textId="77777777" w:rsidR="00CF201B" w:rsidRDefault="00CF201B" w:rsidP="00D17442">
            <w:pPr>
              <w:rPr>
                <w:rFonts w:ascii="Arial" w:hAnsi="Arial"/>
                <w:color w:val="000000"/>
                <w:sz w:val="24"/>
              </w:rPr>
            </w:pPr>
            <w:r>
              <w:rPr>
                <w:rFonts w:ascii="Arial" w:hAnsi="Arial"/>
                <w:color w:val="000000"/>
                <w:sz w:val="24"/>
              </w:rPr>
              <w:t>22.0</w:t>
            </w:r>
          </w:p>
          <w:p w14:paraId="5614AFAD" w14:textId="77777777" w:rsidR="00CF201B" w:rsidRDefault="00CF201B" w:rsidP="00D17442">
            <w:pPr>
              <w:rPr>
                <w:rFonts w:ascii="Arial" w:hAnsi="Arial"/>
                <w:color w:val="000000"/>
                <w:sz w:val="24"/>
              </w:rPr>
            </w:pPr>
            <w:r>
              <w:rPr>
                <w:rFonts w:ascii="Arial" w:hAnsi="Arial"/>
                <w:color w:val="000000"/>
                <w:sz w:val="24"/>
              </w:rPr>
              <w:t>-1.7</w:t>
            </w:r>
          </w:p>
        </w:tc>
        <w:tc>
          <w:tcPr>
            <w:tcW w:w="1418" w:type="dxa"/>
            <w:gridSpan w:val="2"/>
          </w:tcPr>
          <w:p w14:paraId="72A4739C" w14:textId="77777777" w:rsidR="00CF201B" w:rsidRDefault="00CF201B" w:rsidP="00D17442">
            <w:pPr>
              <w:rPr>
                <w:rFonts w:ascii="Arial" w:hAnsi="Arial"/>
                <w:color w:val="000000"/>
                <w:sz w:val="24"/>
              </w:rPr>
            </w:pPr>
            <w:r>
              <w:rPr>
                <w:rFonts w:ascii="Arial" w:hAnsi="Arial"/>
                <w:color w:val="000000"/>
                <w:sz w:val="24"/>
              </w:rPr>
              <w:t>21.4</w:t>
            </w:r>
          </w:p>
          <w:p w14:paraId="29F419DD" w14:textId="77777777" w:rsidR="00CF201B" w:rsidRDefault="00CF201B" w:rsidP="00D17442">
            <w:pPr>
              <w:rPr>
                <w:rFonts w:ascii="Arial" w:hAnsi="Arial"/>
                <w:color w:val="000000"/>
                <w:sz w:val="24"/>
              </w:rPr>
            </w:pPr>
            <w:r>
              <w:rPr>
                <w:rFonts w:ascii="Arial" w:hAnsi="Arial"/>
                <w:color w:val="000000"/>
                <w:sz w:val="24"/>
              </w:rPr>
              <w:t>0.3</w:t>
            </w:r>
          </w:p>
        </w:tc>
        <w:tc>
          <w:tcPr>
            <w:tcW w:w="1701" w:type="dxa"/>
            <w:gridSpan w:val="2"/>
          </w:tcPr>
          <w:p w14:paraId="1491063C" w14:textId="77777777" w:rsidR="00CF201B" w:rsidRDefault="00CF201B" w:rsidP="00D17442">
            <w:pPr>
              <w:rPr>
                <w:rFonts w:ascii="Arial" w:hAnsi="Arial"/>
                <w:sz w:val="24"/>
              </w:rPr>
            </w:pPr>
            <w:r>
              <w:rPr>
                <w:rFonts w:ascii="Arial" w:hAnsi="Arial"/>
                <w:sz w:val="24"/>
              </w:rPr>
              <w:t>+0.6</w:t>
            </w:r>
          </w:p>
          <w:p w14:paraId="1AA8E233" w14:textId="77777777" w:rsidR="00CF201B" w:rsidRDefault="00CF201B" w:rsidP="00D17442">
            <w:pPr>
              <w:rPr>
                <w:rFonts w:ascii="Arial" w:hAnsi="Arial"/>
                <w:sz w:val="24"/>
              </w:rPr>
            </w:pPr>
            <w:r>
              <w:rPr>
                <w:rFonts w:ascii="Arial" w:hAnsi="Arial"/>
                <w:sz w:val="24"/>
              </w:rPr>
              <w:t>-2.0</w:t>
            </w:r>
          </w:p>
        </w:tc>
        <w:tc>
          <w:tcPr>
            <w:tcW w:w="1279" w:type="dxa"/>
            <w:gridSpan w:val="2"/>
          </w:tcPr>
          <w:p w14:paraId="5BFA6D0E" w14:textId="77777777" w:rsidR="00CF201B" w:rsidRDefault="00CF201B" w:rsidP="00D17442">
            <w:pPr>
              <w:rPr>
                <w:rFonts w:ascii="Arial" w:hAnsi="Arial"/>
                <w:sz w:val="24"/>
              </w:rPr>
            </w:pPr>
            <w:r>
              <w:rPr>
                <w:rFonts w:ascii="Arial" w:hAnsi="Arial"/>
                <w:sz w:val="24"/>
              </w:rPr>
              <w:t>27</w:t>
            </w:r>
            <w:r w:rsidRPr="00F240EA">
              <w:rPr>
                <w:rFonts w:ascii="Arial" w:hAnsi="Arial"/>
                <w:sz w:val="16"/>
                <w:szCs w:val="16"/>
              </w:rPr>
              <w:t>th</w:t>
            </w:r>
            <w:r>
              <w:rPr>
                <w:rFonts w:ascii="Arial" w:hAnsi="Arial"/>
                <w:sz w:val="24"/>
              </w:rPr>
              <w:t xml:space="preserve"> </w:t>
            </w:r>
          </w:p>
          <w:p w14:paraId="3136AA92" w14:textId="77777777" w:rsidR="00CF201B" w:rsidRDefault="00CF201B" w:rsidP="00D17442">
            <w:pPr>
              <w:rPr>
                <w:rFonts w:ascii="Arial" w:hAnsi="Arial"/>
                <w:sz w:val="24"/>
              </w:rPr>
            </w:pPr>
            <w:r>
              <w:rPr>
                <w:rFonts w:ascii="Arial" w:hAnsi="Arial"/>
                <w:sz w:val="24"/>
              </w:rPr>
              <w:t>72</w:t>
            </w:r>
            <w:r w:rsidRPr="00ED438B">
              <w:rPr>
                <w:rFonts w:ascii="Arial" w:hAnsi="Arial"/>
                <w:sz w:val="24"/>
                <w:vertAlign w:val="superscript"/>
              </w:rPr>
              <w:t>nd</w:t>
            </w:r>
          </w:p>
        </w:tc>
        <w:tc>
          <w:tcPr>
            <w:tcW w:w="1276" w:type="dxa"/>
            <w:gridSpan w:val="2"/>
          </w:tcPr>
          <w:p w14:paraId="193A7FE1" w14:textId="77777777" w:rsidR="00CF201B" w:rsidRDefault="00CF201B" w:rsidP="00D17442">
            <w:pPr>
              <w:rPr>
                <w:rFonts w:ascii="Arial" w:hAnsi="Arial"/>
                <w:sz w:val="24"/>
              </w:rPr>
            </w:pPr>
            <w:r>
              <w:rPr>
                <w:rFonts w:ascii="Arial" w:hAnsi="Arial"/>
                <w:sz w:val="24"/>
              </w:rPr>
              <w:t>2.6</w:t>
            </w:r>
          </w:p>
          <w:p w14:paraId="7448903C" w14:textId="77777777" w:rsidR="00CF201B" w:rsidRDefault="00CF201B" w:rsidP="00D17442">
            <w:pPr>
              <w:rPr>
                <w:rFonts w:ascii="Arial" w:hAnsi="Arial"/>
                <w:sz w:val="24"/>
              </w:rPr>
            </w:pPr>
            <w:r>
              <w:rPr>
                <w:rFonts w:ascii="Arial" w:hAnsi="Arial"/>
                <w:sz w:val="24"/>
              </w:rPr>
              <w:t>2.2</w:t>
            </w:r>
          </w:p>
        </w:tc>
        <w:tc>
          <w:tcPr>
            <w:tcW w:w="989" w:type="dxa"/>
            <w:gridSpan w:val="2"/>
          </w:tcPr>
          <w:p w14:paraId="1ED2422A" w14:textId="77777777" w:rsidR="00CF201B" w:rsidRDefault="00CF201B" w:rsidP="00D17442">
            <w:pPr>
              <w:rPr>
                <w:rFonts w:ascii="Arial" w:hAnsi="Arial"/>
                <w:sz w:val="24"/>
              </w:rPr>
            </w:pPr>
            <w:r>
              <w:rPr>
                <w:rFonts w:ascii="Arial" w:hAnsi="Arial"/>
                <w:sz w:val="24"/>
              </w:rPr>
              <w:t>3.14</w:t>
            </w:r>
          </w:p>
          <w:p w14:paraId="0340FC2F" w14:textId="77777777" w:rsidR="00CF201B" w:rsidRDefault="00CF201B" w:rsidP="00D17442">
            <w:pPr>
              <w:rPr>
                <w:rFonts w:ascii="Arial" w:hAnsi="Arial"/>
                <w:sz w:val="24"/>
              </w:rPr>
            </w:pPr>
            <w:r>
              <w:rPr>
                <w:rFonts w:ascii="Arial" w:hAnsi="Arial"/>
                <w:sz w:val="24"/>
              </w:rPr>
              <w:t>1.6</w:t>
            </w:r>
          </w:p>
        </w:tc>
      </w:tr>
      <w:tr w:rsidR="00CF201B" w:rsidRPr="00ED438B" w14:paraId="3C8AEA93" w14:textId="77777777" w:rsidTr="00D17442">
        <w:trPr>
          <w:gridAfter w:val="1"/>
          <w:wAfter w:w="834" w:type="dxa"/>
          <w:jc w:val="center"/>
        </w:trPr>
        <w:tc>
          <w:tcPr>
            <w:tcW w:w="1527" w:type="dxa"/>
            <w:gridSpan w:val="2"/>
          </w:tcPr>
          <w:p w14:paraId="6C65AB74" w14:textId="77777777" w:rsidR="00CF201B" w:rsidRPr="00ED438B" w:rsidRDefault="00CF201B" w:rsidP="00D17442">
            <w:pPr>
              <w:rPr>
                <w:rFonts w:ascii="Arial" w:hAnsi="Arial"/>
                <w:color w:val="000000"/>
                <w:sz w:val="24"/>
              </w:rPr>
            </w:pPr>
            <w:r>
              <w:rPr>
                <w:rFonts w:ascii="Arial" w:hAnsi="Arial"/>
                <w:color w:val="000000"/>
                <w:sz w:val="24"/>
              </w:rPr>
              <w:t>2014/15</w:t>
            </w:r>
          </w:p>
          <w:p w14:paraId="136F779B" w14:textId="77777777" w:rsidR="00CF201B" w:rsidRPr="00ED438B" w:rsidRDefault="00CF201B" w:rsidP="00D17442">
            <w:pPr>
              <w:rPr>
                <w:rFonts w:ascii="Arial" w:hAnsi="Arial"/>
                <w:color w:val="000000"/>
                <w:sz w:val="24"/>
              </w:rPr>
            </w:pPr>
            <w:r w:rsidRPr="00ED438B">
              <w:rPr>
                <w:rFonts w:ascii="Arial" w:hAnsi="Arial"/>
                <w:color w:val="000000"/>
                <w:sz w:val="24"/>
              </w:rPr>
              <w:t>2013/14</w:t>
            </w:r>
          </w:p>
        </w:tc>
        <w:tc>
          <w:tcPr>
            <w:tcW w:w="1446" w:type="dxa"/>
            <w:gridSpan w:val="2"/>
          </w:tcPr>
          <w:p w14:paraId="364C2F87" w14:textId="77777777" w:rsidR="00CF201B" w:rsidRPr="00ED438B" w:rsidRDefault="00CF201B" w:rsidP="00D17442">
            <w:pPr>
              <w:rPr>
                <w:rFonts w:ascii="Arial" w:hAnsi="Arial"/>
                <w:color w:val="000000"/>
                <w:sz w:val="24"/>
              </w:rPr>
            </w:pPr>
            <w:r>
              <w:rPr>
                <w:rFonts w:ascii="Arial" w:hAnsi="Arial"/>
                <w:color w:val="000000"/>
                <w:sz w:val="24"/>
              </w:rPr>
              <w:t>10.8</w:t>
            </w:r>
          </w:p>
          <w:p w14:paraId="23C82D0E" w14:textId="77777777" w:rsidR="00CF201B" w:rsidRPr="00ED438B" w:rsidRDefault="00CF201B" w:rsidP="00D17442">
            <w:pPr>
              <w:rPr>
                <w:rFonts w:ascii="Arial" w:hAnsi="Arial"/>
                <w:color w:val="000000"/>
                <w:sz w:val="24"/>
              </w:rPr>
            </w:pPr>
            <w:r w:rsidRPr="00ED438B">
              <w:rPr>
                <w:rFonts w:ascii="Arial" w:hAnsi="Arial"/>
                <w:color w:val="000000"/>
                <w:sz w:val="24"/>
              </w:rPr>
              <w:t>7.2</w:t>
            </w:r>
          </w:p>
        </w:tc>
        <w:tc>
          <w:tcPr>
            <w:tcW w:w="1418" w:type="dxa"/>
            <w:gridSpan w:val="2"/>
          </w:tcPr>
          <w:p w14:paraId="517531D9" w14:textId="77777777" w:rsidR="00CF201B" w:rsidRPr="00ED438B" w:rsidRDefault="00CF201B" w:rsidP="00D17442">
            <w:pPr>
              <w:rPr>
                <w:rFonts w:ascii="Arial" w:hAnsi="Arial"/>
                <w:color w:val="000000"/>
                <w:sz w:val="24"/>
              </w:rPr>
            </w:pPr>
            <w:r>
              <w:rPr>
                <w:rFonts w:ascii="Arial" w:hAnsi="Arial"/>
                <w:color w:val="000000"/>
                <w:sz w:val="24"/>
              </w:rPr>
              <w:t>13.2</w:t>
            </w:r>
          </w:p>
          <w:p w14:paraId="180641C7" w14:textId="77777777" w:rsidR="00CF201B" w:rsidRPr="00ED438B" w:rsidRDefault="00CF201B" w:rsidP="00D17442">
            <w:pPr>
              <w:rPr>
                <w:rFonts w:ascii="Arial" w:hAnsi="Arial"/>
                <w:color w:val="000000"/>
                <w:sz w:val="24"/>
              </w:rPr>
            </w:pPr>
            <w:r w:rsidRPr="00ED438B">
              <w:rPr>
                <w:rFonts w:ascii="Arial" w:hAnsi="Arial"/>
                <w:color w:val="000000"/>
                <w:sz w:val="24"/>
              </w:rPr>
              <w:t>6.3</w:t>
            </w:r>
          </w:p>
        </w:tc>
        <w:tc>
          <w:tcPr>
            <w:tcW w:w="1701" w:type="dxa"/>
            <w:gridSpan w:val="2"/>
          </w:tcPr>
          <w:p w14:paraId="43163101" w14:textId="77777777" w:rsidR="00CF201B" w:rsidRPr="00ED438B" w:rsidRDefault="00CF201B" w:rsidP="00D17442">
            <w:pPr>
              <w:rPr>
                <w:rFonts w:ascii="Arial" w:hAnsi="Arial"/>
                <w:sz w:val="24"/>
              </w:rPr>
            </w:pPr>
            <w:r>
              <w:rPr>
                <w:rFonts w:ascii="Arial" w:hAnsi="Arial"/>
                <w:sz w:val="24"/>
              </w:rPr>
              <w:t>-2.4</w:t>
            </w:r>
          </w:p>
          <w:p w14:paraId="4562D8AB" w14:textId="77777777" w:rsidR="00CF201B" w:rsidRPr="00ED438B" w:rsidRDefault="00CF201B" w:rsidP="00D17442">
            <w:pPr>
              <w:rPr>
                <w:rFonts w:ascii="Arial" w:hAnsi="Arial"/>
                <w:sz w:val="24"/>
              </w:rPr>
            </w:pPr>
            <w:r>
              <w:rPr>
                <w:rFonts w:ascii="Arial" w:hAnsi="Arial"/>
                <w:sz w:val="24"/>
              </w:rPr>
              <w:t>+</w:t>
            </w:r>
            <w:r w:rsidRPr="00ED438B">
              <w:rPr>
                <w:rFonts w:ascii="Arial" w:hAnsi="Arial"/>
                <w:sz w:val="24"/>
              </w:rPr>
              <w:t>0.9</w:t>
            </w:r>
          </w:p>
        </w:tc>
        <w:tc>
          <w:tcPr>
            <w:tcW w:w="1279" w:type="dxa"/>
            <w:gridSpan w:val="2"/>
          </w:tcPr>
          <w:p w14:paraId="7C1EE1C6" w14:textId="77777777" w:rsidR="00CF201B" w:rsidRDefault="00CF201B" w:rsidP="00D17442">
            <w:pPr>
              <w:rPr>
                <w:rFonts w:ascii="Arial" w:hAnsi="Arial"/>
                <w:sz w:val="24"/>
                <w:vertAlign w:val="superscript"/>
              </w:rPr>
            </w:pPr>
            <w:r>
              <w:rPr>
                <w:rFonts w:ascii="Arial" w:hAnsi="Arial"/>
                <w:sz w:val="24"/>
              </w:rPr>
              <w:t>89</w:t>
            </w:r>
            <w:r w:rsidRPr="00ED438B">
              <w:rPr>
                <w:rFonts w:ascii="Arial" w:hAnsi="Arial"/>
                <w:sz w:val="24"/>
                <w:vertAlign w:val="superscript"/>
              </w:rPr>
              <w:t>th</w:t>
            </w:r>
          </w:p>
          <w:p w14:paraId="47C857F9" w14:textId="77777777" w:rsidR="00CF201B" w:rsidRPr="00ED438B" w:rsidRDefault="00CF201B" w:rsidP="00D17442">
            <w:pPr>
              <w:rPr>
                <w:rFonts w:ascii="Arial" w:hAnsi="Arial"/>
                <w:sz w:val="24"/>
              </w:rPr>
            </w:pPr>
            <w:r>
              <w:rPr>
                <w:rFonts w:ascii="Arial" w:hAnsi="Arial"/>
                <w:sz w:val="24"/>
              </w:rPr>
              <w:t>35</w:t>
            </w:r>
            <w:r w:rsidRPr="00ED438B">
              <w:rPr>
                <w:rFonts w:ascii="Arial" w:hAnsi="Arial"/>
                <w:sz w:val="24"/>
                <w:vertAlign w:val="superscript"/>
              </w:rPr>
              <w:t>th</w:t>
            </w:r>
            <w:r>
              <w:rPr>
                <w:rFonts w:ascii="Arial" w:hAnsi="Arial"/>
                <w:sz w:val="24"/>
              </w:rPr>
              <w:t xml:space="preserve"> </w:t>
            </w:r>
            <w:r w:rsidRPr="00ED438B">
              <w:rPr>
                <w:rFonts w:ascii="Arial" w:hAnsi="Arial"/>
                <w:sz w:val="24"/>
              </w:rPr>
              <w:t xml:space="preserve"> </w:t>
            </w:r>
          </w:p>
        </w:tc>
        <w:tc>
          <w:tcPr>
            <w:tcW w:w="1276" w:type="dxa"/>
            <w:gridSpan w:val="2"/>
          </w:tcPr>
          <w:p w14:paraId="6BE3CCC9" w14:textId="77777777" w:rsidR="00CF201B" w:rsidRPr="00ED438B" w:rsidRDefault="00CF201B" w:rsidP="00D17442">
            <w:pPr>
              <w:rPr>
                <w:rFonts w:ascii="Arial" w:hAnsi="Arial"/>
                <w:sz w:val="24"/>
              </w:rPr>
            </w:pPr>
            <w:r>
              <w:rPr>
                <w:rFonts w:ascii="Arial" w:hAnsi="Arial"/>
                <w:sz w:val="24"/>
              </w:rPr>
              <w:t>4.4</w:t>
            </w:r>
          </w:p>
          <w:p w14:paraId="1D34395A" w14:textId="77777777" w:rsidR="00CF201B" w:rsidRPr="00ED438B" w:rsidRDefault="00CF201B" w:rsidP="00D17442">
            <w:pPr>
              <w:rPr>
                <w:rFonts w:ascii="Arial" w:hAnsi="Arial"/>
                <w:sz w:val="24"/>
              </w:rPr>
            </w:pPr>
            <w:r w:rsidRPr="00ED438B">
              <w:rPr>
                <w:rFonts w:ascii="Arial" w:hAnsi="Arial"/>
                <w:sz w:val="24"/>
              </w:rPr>
              <w:t>1.9</w:t>
            </w:r>
          </w:p>
        </w:tc>
        <w:tc>
          <w:tcPr>
            <w:tcW w:w="989" w:type="dxa"/>
            <w:gridSpan w:val="2"/>
          </w:tcPr>
          <w:p w14:paraId="7788EEC2" w14:textId="77777777" w:rsidR="00CF201B" w:rsidRPr="00ED438B" w:rsidRDefault="00CF201B" w:rsidP="00D17442">
            <w:pPr>
              <w:rPr>
                <w:rFonts w:ascii="Arial" w:hAnsi="Arial"/>
                <w:sz w:val="24"/>
              </w:rPr>
            </w:pPr>
            <w:r>
              <w:rPr>
                <w:rFonts w:ascii="Arial" w:hAnsi="Arial"/>
                <w:sz w:val="24"/>
              </w:rPr>
              <w:t>0.9</w:t>
            </w:r>
          </w:p>
          <w:p w14:paraId="5B3C8A1A" w14:textId="77777777" w:rsidR="00CF201B" w:rsidRPr="00ED438B" w:rsidRDefault="00CF201B" w:rsidP="00D17442">
            <w:pPr>
              <w:rPr>
                <w:rFonts w:ascii="Arial" w:hAnsi="Arial"/>
                <w:sz w:val="24"/>
              </w:rPr>
            </w:pPr>
            <w:r w:rsidRPr="00ED438B">
              <w:rPr>
                <w:rFonts w:ascii="Arial" w:hAnsi="Arial"/>
                <w:sz w:val="24"/>
              </w:rPr>
              <w:t>2.45</w:t>
            </w:r>
          </w:p>
        </w:tc>
      </w:tr>
      <w:tr w:rsidR="00CF201B" w:rsidRPr="00ED438B" w14:paraId="25D85A44" w14:textId="77777777" w:rsidTr="00D17442">
        <w:trPr>
          <w:gridAfter w:val="1"/>
          <w:wAfter w:w="834" w:type="dxa"/>
          <w:jc w:val="center"/>
        </w:trPr>
        <w:tc>
          <w:tcPr>
            <w:tcW w:w="1527" w:type="dxa"/>
            <w:gridSpan w:val="2"/>
          </w:tcPr>
          <w:p w14:paraId="3855EF28" w14:textId="77777777" w:rsidR="00CF201B" w:rsidRPr="00ED438B" w:rsidRDefault="00CF201B" w:rsidP="00D17442">
            <w:pPr>
              <w:rPr>
                <w:rFonts w:ascii="Arial" w:hAnsi="Arial"/>
                <w:color w:val="000000"/>
                <w:sz w:val="24"/>
              </w:rPr>
            </w:pPr>
            <w:r w:rsidRPr="00ED438B">
              <w:rPr>
                <w:rFonts w:ascii="Arial" w:hAnsi="Arial"/>
                <w:color w:val="000000"/>
                <w:sz w:val="24"/>
              </w:rPr>
              <w:t>2012/13</w:t>
            </w:r>
          </w:p>
        </w:tc>
        <w:tc>
          <w:tcPr>
            <w:tcW w:w="1446" w:type="dxa"/>
            <w:gridSpan w:val="2"/>
          </w:tcPr>
          <w:p w14:paraId="53C49EA2" w14:textId="77777777" w:rsidR="00CF201B" w:rsidRPr="00ED438B" w:rsidRDefault="00CF201B" w:rsidP="00D17442">
            <w:pPr>
              <w:rPr>
                <w:rFonts w:ascii="Arial" w:hAnsi="Arial"/>
                <w:color w:val="000000"/>
                <w:sz w:val="24"/>
              </w:rPr>
            </w:pPr>
            <w:r w:rsidRPr="00ED438B">
              <w:rPr>
                <w:rFonts w:ascii="Arial" w:hAnsi="Arial"/>
                <w:color w:val="000000"/>
                <w:sz w:val="24"/>
              </w:rPr>
              <w:t>13.7</w:t>
            </w:r>
          </w:p>
        </w:tc>
        <w:tc>
          <w:tcPr>
            <w:tcW w:w="1418" w:type="dxa"/>
            <w:gridSpan w:val="2"/>
          </w:tcPr>
          <w:p w14:paraId="3906832B" w14:textId="77777777" w:rsidR="00CF201B" w:rsidRPr="00ED438B" w:rsidRDefault="00CF201B" w:rsidP="00D17442">
            <w:pPr>
              <w:rPr>
                <w:rFonts w:ascii="Arial" w:hAnsi="Arial"/>
                <w:color w:val="000000"/>
                <w:sz w:val="24"/>
              </w:rPr>
            </w:pPr>
            <w:r w:rsidRPr="00ED438B">
              <w:rPr>
                <w:rFonts w:ascii="Arial" w:hAnsi="Arial"/>
                <w:color w:val="000000"/>
                <w:sz w:val="24"/>
              </w:rPr>
              <w:t>13.7</w:t>
            </w:r>
          </w:p>
        </w:tc>
        <w:tc>
          <w:tcPr>
            <w:tcW w:w="1701" w:type="dxa"/>
            <w:gridSpan w:val="2"/>
          </w:tcPr>
          <w:p w14:paraId="49E2EC0D" w14:textId="77777777" w:rsidR="00CF201B" w:rsidRPr="00ED438B" w:rsidRDefault="00CF201B" w:rsidP="00D17442">
            <w:pPr>
              <w:rPr>
                <w:rFonts w:ascii="Arial" w:hAnsi="Arial"/>
                <w:sz w:val="24"/>
              </w:rPr>
            </w:pPr>
            <w:r w:rsidRPr="00ED438B">
              <w:rPr>
                <w:rFonts w:ascii="Arial" w:hAnsi="Arial"/>
                <w:sz w:val="24"/>
              </w:rPr>
              <w:t>-0.1</w:t>
            </w:r>
          </w:p>
        </w:tc>
        <w:tc>
          <w:tcPr>
            <w:tcW w:w="1279" w:type="dxa"/>
            <w:gridSpan w:val="2"/>
          </w:tcPr>
          <w:p w14:paraId="218689FD" w14:textId="77777777" w:rsidR="00CF201B" w:rsidRPr="00ED438B" w:rsidRDefault="00CF201B" w:rsidP="00D17442">
            <w:pPr>
              <w:rPr>
                <w:rFonts w:ascii="Arial" w:hAnsi="Arial"/>
                <w:sz w:val="24"/>
              </w:rPr>
            </w:pPr>
            <w:r w:rsidRPr="00ED438B">
              <w:rPr>
                <w:rFonts w:ascii="Arial" w:hAnsi="Arial"/>
                <w:sz w:val="24"/>
              </w:rPr>
              <w:t>43</w:t>
            </w:r>
            <w:r w:rsidRPr="00ED438B">
              <w:rPr>
                <w:rFonts w:ascii="Arial" w:hAnsi="Arial"/>
                <w:sz w:val="24"/>
                <w:vertAlign w:val="superscript"/>
              </w:rPr>
              <w:t>rd</w:t>
            </w:r>
          </w:p>
        </w:tc>
        <w:tc>
          <w:tcPr>
            <w:tcW w:w="1276" w:type="dxa"/>
            <w:gridSpan w:val="2"/>
          </w:tcPr>
          <w:p w14:paraId="41686B87" w14:textId="77777777" w:rsidR="00CF201B" w:rsidRPr="00ED438B" w:rsidRDefault="00CF201B" w:rsidP="00D17442">
            <w:pPr>
              <w:rPr>
                <w:rFonts w:ascii="Arial" w:hAnsi="Arial"/>
                <w:sz w:val="24"/>
              </w:rPr>
            </w:pPr>
            <w:r w:rsidRPr="00ED438B">
              <w:rPr>
                <w:rFonts w:ascii="Arial" w:hAnsi="Arial"/>
                <w:sz w:val="24"/>
              </w:rPr>
              <w:t>-0.7</w:t>
            </w:r>
          </w:p>
        </w:tc>
        <w:tc>
          <w:tcPr>
            <w:tcW w:w="989" w:type="dxa"/>
            <w:gridSpan w:val="2"/>
          </w:tcPr>
          <w:p w14:paraId="5DF1F1DC" w14:textId="77777777" w:rsidR="00CF201B" w:rsidRPr="00ED438B" w:rsidRDefault="00CF201B" w:rsidP="00D17442">
            <w:pPr>
              <w:rPr>
                <w:rFonts w:ascii="Arial" w:hAnsi="Arial"/>
                <w:sz w:val="24"/>
              </w:rPr>
            </w:pPr>
            <w:r w:rsidRPr="00ED438B">
              <w:rPr>
                <w:rFonts w:ascii="Arial" w:hAnsi="Arial"/>
                <w:sz w:val="24"/>
              </w:rPr>
              <w:t>3.28</w:t>
            </w:r>
          </w:p>
        </w:tc>
      </w:tr>
      <w:tr w:rsidR="00CF201B" w:rsidRPr="00ED438B" w14:paraId="731F2377" w14:textId="77777777" w:rsidTr="00D17442">
        <w:trPr>
          <w:gridAfter w:val="1"/>
          <w:wAfter w:w="834" w:type="dxa"/>
          <w:jc w:val="center"/>
        </w:trPr>
        <w:tc>
          <w:tcPr>
            <w:tcW w:w="1527" w:type="dxa"/>
            <w:gridSpan w:val="2"/>
          </w:tcPr>
          <w:p w14:paraId="780BB845" w14:textId="77777777" w:rsidR="00CF201B" w:rsidRPr="00ED438B" w:rsidRDefault="00CF201B" w:rsidP="00D17442">
            <w:pPr>
              <w:rPr>
                <w:rFonts w:ascii="Arial" w:hAnsi="Arial"/>
                <w:sz w:val="24"/>
              </w:rPr>
            </w:pPr>
            <w:r w:rsidRPr="00ED438B">
              <w:rPr>
                <w:rFonts w:ascii="Arial" w:hAnsi="Arial"/>
                <w:sz w:val="24"/>
              </w:rPr>
              <w:t>2011/12</w:t>
            </w:r>
          </w:p>
        </w:tc>
        <w:tc>
          <w:tcPr>
            <w:tcW w:w="1446" w:type="dxa"/>
            <w:gridSpan w:val="2"/>
          </w:tcPr>
          <w:p w14:paraId="74A91989" w14:textId="77777777" w:rsidR="00CF201B" w:rsidRPr="00ED438B" w:rsidRDefault="00CF201B" w:rsidP="00D17442">
            <w:pPr>
              <w:rPr>
                <w:rFonts w:ascii="Arial" w:hAnsi="Arial"/>
                <w:sz w:val="24"/>
              </w:rPr>
            </w:pPr>
            <w:r w:rsidRPr="00ED438B">
              <w:rPr>
                <w:rFonts w:ascii="Arial" w:hAnsi="Arial"/>
                <w:sz w:val="24"/>
              </w:rPr>
              <w:t>0.6</w:t>
            </w:r>
          </w:p>
        </w:tc>
        <w:tc>
          <w:tcPr>
            <w:tcW w:w="1418" w:type="dxa"/>
            <w:gridSpan w:val="2"/>
          </w:tcPr>
          <w:p w14:paraId="1645A152" w14:textId="77777777" w:rsidR="00CF201B" w:rsidRPr="00ED438B" w:rsidRDefault="00CF201B" w:rsidP="00D17442">
            <w:pPr>
              <w:rPr>
                <w:rFonts w:ascii="Arial" w:hAnsi="Arial"/>
                <w:sz w:val="24"/>
              </w:rPr>
            </w:pPr>
            <w:r w:rsidRPr="00ED438B">
              <w:rPr>
                <w:rFonts w:ascii="Arial" w:hAnsi="Arial"/>
                <w:sz w:val="24"/>
              </w:rPr>
              <w:t>2.6</w:t>
            </w:r>
          </w:p>
        </w:tc>
        <w:tc>
          <w:tcPr>
            <w:tcW w:w="1701" w:type="dxa"/>
            <w:gridSpan w:val="2"/>
          </w:tcPr>
          <w:p w14:paraId="084A86B5" w14:textId="77777777" w:rsidR="00CF201B" w:rsidRPr="00ED438B" w:rsidRDefault="00CF201B" w:rsidP="00D17442">
            <w:pPr>
              <w:rPr>
                <w:rFonts w:ascii="Arial" w:hAnsi="Arial"/>
                <w:sz w:val="24"/>
              </w:rPr>
            </w:pPr>
            <w:r w:rsidRPr="00ED438B">
              <w:rPr>
                <w:rFonts w:ascii="Arial" w:hAnsi="Arial"/>
                <w:sz w:val="24"/>
              </w:rPr>
              <w:t>-2.0</w:t>
            </w:r>
          </w:p>
        </w:tc>
        <w:tc>
          <w:tcPr>
            <w:tcW w:w="1279" w:type="dxa"/>
            <w:gridSpan w:val="2"/>
          </w:tcPr>
          <w:p w14:paraId="2E1E7EE9" w14:textId="77777777" w:rsidR="00CF201B" w:rsidRPr="00ED438B" w:rsidRDefault="00CF201B" w:rsidP="00D17442">
            <w:pPr>
              <w:rPr>
                <w:rFonts w:ascii="Arial" w:hAnsi="Arial"/>
                <w:sz w:val="24"/>
              </w:rPr>
            </w:pPr>
            <w:r w:rsidRPr="00ED438B">
              <w:rPr>
                <w:rFonts w:ascii="Arial" w:hAnsi="Arial"/>
                <w:sz w:val="24"/>
              </w:rPr>
              <w:t>92</w:t>
            </w:r>
            <w:r w:rsidRPr="00ED438B">
              <w:rPr>
                <w:rFonts w:ascii="Arial" w:hAnsi="Arial"/>
                <w:sz w:val="24"/>
                <w:vertAlign w:val="superscript"/>
              </w:rPr>
              <w:t>nd</w:t>
            </w:r>
          </w:p>
        </w:tc>
        <w:tc>
          <w:tcPr>
            <w:tcW w:w="1276" w:type="dxa"/>
            <w:gridSpan w:val="2"/>
          </w:tcPr>
          <w:p w14:paraId="62F76A1D" w14:textId="77777777" w:rsidR="00CF201B" w:rsidRPr="00ED438B" w:rsidRDefault="00CF201B" w:rsidP="00D17442">
            <w:pPr>
              <w:rPr>
                <w:rFonts w:ascii="Arial" w:hAnsi="Arial"/>
                <w:sz w:val="24"/>
              </w:rPr>
            </w:pPr>
            <w:r w:rsidRPr="00ED438B">
              <w:rPr>
                <w:rFonts w:ascii="Arial" w:hAnsi="Arial"/>
                <w:sz w:val="24"/>
              </w:rPr>
              <w:t>0.8</w:t>
            </w:r>
          </w:p>
        </w:tc>
        <w:tc>
          <w:tcPr>
            <w:tcW w:w="989" w:type="dxa"/>
            <w:gridSpan w:val="2"/>
          </w:tcPr>
          <w:p w14:paraId="48AEC096" w14:textId="77777777" w:rsidR="00CF201B" w:rsidRPr="00ED438B" w:rsidRDefault="00CF201B" w:rsidP="00D17442">
            <w:pPr>
              <w:rPr>
                <w:rFonts w:ascii="Arial" w:hAnsi="Arial"/>
                <w:sz w:val="24"/>
              </w:rPr>
            </w:pPr>
            <w:r w:rsidRPr="00ED438B">
              <w:rPr>
                <w:rFonts w:ascii="Arial" w:hAnsi="Arial"/>
                <w:sz w:val="24"/>
              </w:rPr>
              <w:t>3.6</w:t>
            </w:r>
          </w:p>
        </w:tc>
      </w:tr>
      <w:tr w:rsidR="00CF201B" w:rsidRPr="00ED438B" w14:paraId="181CC74B" w14:textId="77777777" w:rsidTr="00D17442">
        <w:trPr>
          <w:gridAfter w:val="1"/>
          <w:wAfter w:w="834" w:type="dxa"/>
          <w:jc w:val="center"/>
        </w:trPr>
        <w:tc>
          <w:tcPr>
            <w:tcW w:w="1527" w:type="dxa"/>
            <w:gridSpan w:val="2"/>
          </w:tcPr>
          <w:p w14:paraId="0CA0786E" w14:textId="77777777" w:rsidR="00CF201B" w:rsidRPr="00ED438B" w:rsidRDefault="00CF201B" w:rsidP="00D17442">
            <w:pPr>
              <w:rPr>
                <w:rFonts w:ascii="Arial" w:hAnsi="Arial"/>
                <w:sz w:val="24"/>
              </w:rPr>
            </w:pPr>
            <w:r w:rsidRPr="00ED438B">
              <w:rPr>
                <w:rFonts w:ascii="Arial" w:hAnsi="Arial"/>
                <w:sz w:val="24"/>
              </w:rPr>
              <w:t>2010/11</w:t>
            </w:r>
          </w:p>
        </w:tc>
        <w:tc>
          <w:tcPr>
            <w:tcW w:w="1446" w:type="dxa"/>
            <w:gridSpan w:val="2"/>
          </w:tcPr>
          <w:p w14:paraId="0338D288" w14:textId="77777777" w:rsidR="00CF201B" w:rsidRPr="00ED438B" w:rsidRDefault="00CF201B" w:rsidP="00D17442">
            <w:pPr>
              <w:rPr>
                <w:rFonts w:ascii="Arial" w:hAnsi="Arial"/>
                <w:sz w:val="24"/>
              </w:rPr>
            </w:pPr>
            <w:r w:rsidRPr="00ED438B">
              <w:rPr>
                <w:rFonts w:ascii="Arial" w:hAnsi="Arial"/>
                <w:sz w:val="24"/>
              </w:rPr>
              <w:t>7.9</w:t>
            </w:r>
          </w:p>
        </w:tc>
        <w:tc>
          <w:tcPr>
            <w:tcW w:w="1418" w:type="dxa"/>
            <w:gridSpan w:val="2"/>
          </w:tcPr>
          <w:p w14:paraId="35F15238" w14:textId="77777777" w:rsidR="00CF201B" w:rsidRPr="00ED438B" w:rsidRDefault="00CF201B" w:rsidP="00D17442">
            <w:pPr>
              <w:rPr>
                <w:rFonts w:ascii="Arial" w:hAnsi="Arial"/>
                <w:sz w:val="24"/>
              </w:rPr>
            </w:pPr>
            <w:r w:rsidRPr="00ED438B">
              <w:rPr>
                <w:rFonts w:ascii="Arial" w:hAnsi="Arial"/>
                <w:sz w:val="24"/>
              </w:rPr>
              <w:t>7.9</w:t>
            </w:r>
          </w:p>
        </w:tc>
        <w:tc>
          <w:tcPr>
            <w:tcW w:w="1701" w:type="dxa"/>
            <w:gridSpan w:val="2"/>
          </w:tcPr>
          <w:p w14:paraId="05EC0BA3" w14:textId="77777777" w:rsidR="00CF201B" w:rsidRPr="00ED438B" w:rsidRDefault="00CF201B" w:rsidP="00D17442">
            <w:pPr>
              <w:rPr>
                <w:rFonts w:ascii="Arial" w:hAnsi="Arial"/>
                <w:sz w:val="24"/>
              </w:rPr>
            </w:pPr>
            <w:r w:rsidRPr="00ED438B">
              <w:rPr>
                <w:rFonts w:ascii="Arial" w:hAnsi="Arial"/>
                <w:sz w:val="24"/>
              </w:rPr>
              <w:t>0.0</w:t>
            </w:r>
          </w:p>
        </w:tc>
        <w:tc>
          <w:tcPr>
            <w:tcW w:w="1279" w:type="dxa"/>
            <w:gridSpan w:val="2"/>
          </w:tcPr>
          <w:p w14:paraId="4B8715CD" w14:textId="77777777" w:rsidR="00CF201B" w:rsidRPr="00ED438B" w:rsidRDefault="00CF201B" w:rsidP="00D17442">
            <w:pPr>
              <w:rPr>
                <w:rFonts w:ascii="Arial" w:hAnsi="Arial"/>
                <w:sz w:val="24"/>
              </w:rPr>
            </w:pPr>
            <w:r w:rsidRPr="00ED438B">
              <w:rPr>
                <w:rFonts w:ascii="Arial" w:hAnsi="Arial"/>
                <w:sz w:val="24"/>
              </w:rPr>
              <w:t xml:space="preserve"> 51</w:t>
            </w:r>
            <w:r w:rsidRPr="00ED438B">
              <w:rPr>
                <w:rFonts w:ascii="Arial" w:hAnsi="Arial"/>
                <w:sz w:val="24"/>
                <w:vertAlign w:val="superscript"/>
              </w:rPr>
              <w:t>st</w:t>
            </w:r>
          </w:p>
        </w:tc>
        <w:tc>
          <w:tcPr>
            <w:tcW w:w="1276" w:type="dxa"/>
            <w:gridSpan w:val="2"/>
          </w:tcPr>
          <w:p w14:paraId="185C2C0C" w14:textId="77777777" w:rsidR="00CF201B" w:rsidRPr="00ED438B" w:rsidRDefault="00CF201B" w:rsidP="00D17442">
            <w:pPr>
              <w:rPr>
                <w:rFonts w:ascii="Arial" w:hAnsi="Arial"/>
                <w:sz w:val="24"/>
              </w:rPr>
            </w:pPr>
            <w:r w:rsidRPr="00ED438B">
              <w:rPr>
                <w:rFonts w:ascii="Arial" w:hAnsi="Arial"/>
                <w:sz w:val="24"/>
              </w:rPr>
              <w:t>2.2</w:t>
            </w:r>
          </w:p>
        </w:tc>
        <w:tc>
          <w:tcPr>
            <w:tcW w:w="989" w:type="dxa"/>
            <w:gridSpan w:val="2"/>
          </w:tcPr>
          <w:p w14:paraId="23128248" w14:textId="77777777" w:rsidR="00CF201B" w:rsidRPr="00ED438B" w:rsidRDefault="00CF201B" w:rsidP="00D17442">
            <w:pPr>
              <w:rPr>
                <w:rFonts w:ascii="Arial" w:hAnsi="Arial"/>
                <w:sz w:val="24"/>
              </w:rPr>
            </w:pPr>
            <w:r w:rsidRPr="00ED438B">
              <w:rPr>
                <w:rFonts w:ascii="Arial" w:hAnsi="Arial"/>
                <w:sz w:val="24"/>
              </w:rPr>
              <w:t>5.3</w:t>
            </w:r>
          </w:p>
        </w:tc>
      </w:tr>
    </w:tbl>
    <w:p w14:paraId="2316587F" w14:textId="77777777" w:rsidR="00902B91" w:rsidRPr="008B777D" w:rsidRDefault="00902B91" w:rsidP="005E4F16">
      <w:pPr>
        <w:jc w:val="center"/>
        <w:rPr>
          <w:rFonts w:ascii="Arial" w:hAnsi="Arial"/>
          <w:sz w:val="20"/>
        </w:rPr>
      </w:pPr>
      <w:r w:rsidRPr="00ED438B">
        <w:rPr>
          <w:rFonts w:ascii="Arial" w:hAnsi="Arial"/>
          <w:sz w:val="20"/>
        </w:rPr>
        <w:t xml:space="preserve">                                                                                                                </w:t>
      </w:r>
    </w:p>
    <w:p w14:paraId="2B4DC838" w14:textId="77777777" w:rsidR="00902B91" w:rsidRPr="008B777D" w:rsidRDefault="00902B91" w:rsidP="005E4F16">
      <w:pPr>
        <w:rPr>
          <w:rFonts w:ascii="Arial" w:hAnsi="Arial"/>
          <w:sz w:val="24"/>
        </w:rPr>
      </w:pPr>
    </w:p>
    <w:p w14:paraId="6206DC24" w14:textId="77777777" w:rsidR="0022165C" w:rsidRDefault="0022165C" w:rsidP="005E4F16">
      <w:pPr>
        <w:jc w:val="both"/>
        <w:rPr>
          <w:rFonts w:ascii="Arial" w:hAnsi="Arial"/>
          <w:sz w:val="24"/>
        </w:rPr>
      </w:pPr>
    </w:p>
    <w:p w14:paraId="3C383C14" w14:textId="77777777" w:rsidR="00902B91" w:rsidRDefault="00902B91" w:rsidP="005E4F16">
      <w:pPr>
        <w:jc w:val="both"/>
        <w:rPr>
          <w:rFonts w:ascii="Arial" w:hAnsi="Arial"/>
          <w:sz w:val="24"/>
        </w:rPr>
      </w:pPr>
      <w:r w:rsidRPr="008B777D">
        <w:rPr>
          <w:rFonts w:ascii="Arial" w:hAnsi="Arial"/>
          <w:sz w:val="24"/>
        </w:rPr>
        <w:t xml:space="preserve">The annual returns on the City and County of Swansea Fund compared with the Local Authority average </w:t>
      </w:r>
      <w:r w:rsidR="00011C34">
        <w:rPr>
          <w:rFonts w:ascii="Arial" w:hAnsi="Arial"/>
          <w:sz w:val="24"/>
        </w:rPr>
        <w:t xml:space="preserve">and against the Fund specific benchmark </w:t>
      </w:r>
      <w:r w:rsidRPr="008B777D">
        <w:rPr>
          <w:rFonts w:ascii="Arial" w:hAnsi="Arial"/>
          <w:sz w:val="24"/>
        </w:rPr>
        <w:t xml:space="preserve">are illustrated </w:t>
      </w:r>
      <w:r w:rsidR="00AD171A">
        <w:rPr>
          <w:rFonts w:ascii="Arial" w:hAnsi="Arial"/>
          <w:sz w:val="24"/>
        </w:rPr>
        <w:t>above</w:t>
      </w:r>
      <w:r w:rsidR="00CB1BB5">
        <w:rPr>
          <w:rFonts w:ascii="Arial" w:hAnsi="Arial"/>
          <w:sz w:val="24"/>
        </w:rPr>
        <w:t>.</w:t>
      </w:r>
    </w:p>
    <w:p w14:paraId="54658D6D" w14:textId="77777777" w:rsidR="00540385" w:rsidRDefault="00540385" w:rsidP="005E4F16">
      <w:pPr>
        <w:jc w:val="both"/>
        <w:rPr>
          <w:rFonts w:ascii="Arial" w:hAnsi="Arial"/>
          <w:sz w:val="24"/>
        </w:rPr>
      </w:pPr>
    </w:p>
    <w:p w14:paraId="56EF7759" w14:textId="77777777" w:rsidR="009E7280" w:rsidRDefault="009E7280" w:rsidP="005E4F16">
      <w:pPr>
        <w:rPr>
          <w:rFonts w:ascii="Arial" w:hAnsi="Arial"/>
          <w:b/>
          <w:szCs w:val="28"/>
        </w:rPr>
      </w:pPr>
    </w:p>
    <w:p w14:paraId="3BC268A0" w14:textId="77777777" w:rsidR="00141F23" w:rsidRDefault="00141F23" w:rsidP="005E4F16">
      <w:pPr>
        <w:rPr>
          <w:rFonts w:ascii="Arial" w:hAnsi="Arial"/>
          <w:b/>
          <w:szCs w:val="28"/>
        </w:rPr>
      </w:pPr>
    </w:p>
    <w:p w14:paraId="2C348D0E" w14:textId="77777777" w:rsidR="009E7280" w:rsidRDefault="009E7280" w:rsidP="005E4F16">
      <w:pPr>
        <w:rPr>
          <w:rFonts w:ascii="Arial" w:hAnsi="Arial"/>
          <w:b/>
          <w:szCs w:val="28"/>
        </w:rPr>
      </w:pPr>
    </w:p>
    <w:p w14:paraId="77141E23" w14:textId="77777777" w:rsidR="009E7280" w:rsidRDefault="009E7280" w:rsidP="005E4F16">
      <w:pPr>
        <w:rPr>
          <w:rFonts w:ascii="Arial" w:hAnsi="Arial"/>
          <w:b/>
          <w:szCs w:val="28"/>
        </w:rPr>
      </w:pPr>
    </w:p>
    <w:p w14:paraId="59D50C90" w14:textId="77777777" w:rsidR="009E7280" w:rsidRDefault="009E7280" w:rsidP="005E4F16">
      <w:pPr>
        <w:rPr>
          <w:rFonts w:ascii="Arial" w:hAnsi="Arial"/>
          <w:b/>
          <w:szCs w:val="28"/>
        </w:rPr>
      </w:pPr>
    </w:p>
    <w:p w14:paraId="5D4FE739" w14:textId="77777777" w:rsidR="009E7280" w:rsidRDefault="009E7280" w:rsidP="005E4F16">
      <w:pPr>
        <w:rPr>
          <w:rFonts w:ascii="Arial" w:hAnsi="Arial"/>
          <w:b/>
          <w:szCs w:val="28"/>
        </w:rPr>
      </w:pPr>
    </w:p>
    <w:p w14:paraId="5D6659A9" w14:textId="77777777" w:rsidR="009E7280" w:rsidRDefault="009E7280" w:rsidP="005E4F16">
      <w:pPr>
        <w:rPr>
          <w:rFonts w:ascii="Arial" w:hAnsi="Arial"/>
          <w:b/>
          <w:szCs w:val="28"/>
        </w:rPr>
      </w:pPr>
    </w:p>
    <w:p w14:paraId="3A8A8E13" w14:textId="77777777" w:rsidR="009E7280" w:rsidRDefault="009E7280" w:rsidP="005E4F16">
      <w:pPr>
        <w:rPr>
          <w:rFonts w:ascii="Arial" w:hAnsi="Arial"/>
          <w:b/>
          <w:szCs w:val="28"/>
        </w:rPr>
      </w:pPr>
    </w:p>
    <w:p w14:paraId="70793508" w14:textId="77777777" w:rsidR="009E7280" w:rsidRDefault="009E7280" w:rsidP="005E4F16">
      <w:pPr>
        <w:rPr>
          <w:rFonts w:ascii="Arial" w:hAnsi="Arial"/>
          <w:b/>
          <w:szCs w:val="28"/>
        </w:rPr>
      </w:pPr>
    </w:p>
    <w:p w14:paraId="74F474B5" w14:textId="77777777" w:rsidR="006B4CD8" w:rsidRDefault="006B4CD8" w:rsidP="005E4F16">
      <w:pPr>
        <w:rPr>
          <w:rFonts w:ascii="Arial" w:hAnsi="Arial"/>
          <w:b/>
          <w:szCs w:val="28"/>
        </w:rPr>
      </w:pPr>
    </w:p>
    <w:p w14:paraId="612E26E2" w14:textId="77777777" w:rsidR="006B4CD8" w:rsidRDefault="006B4CD8" w:rsidP="005E4F16">
      <w:pPr>
        <w:rPr>
          <w:rFonts w:ascii="Arial" w:hAnsi="Arial"/>
          <w:b/>
          <w:szCs w:val="28"/>
        </w:rPr>
      </w:pPr>
    </w:p>
    <w:p w14:paraId="429691EE" w14:textId="77777777" w:rsidR="00FE12E2" w:rsidRDefault="00FE12E2" w:rsidP="005E4F16">
      <w:pPr>
        <w:rPr>
          <w:rFonts w:ascii="Arial" w:hAnsi="Arial"/>
          <w:b/>
          <w:szCs w:val="28"/>
        </w:rPr>
      </w:pPr>
    </w:p>
    <w:p w14:paraId="25692B88" w14:textId="77777777" w:rsidR="00EB08F1" w:rsidRDefault="00EB08F1" w:rsidP="005E4F16">
      <w:pPr>
        <w:rPr>
          <w:rFonts w:ascii="Arial" w:hAnsi="Arial"/>
          <w:b/>
          <w:szCs w:val="28"/>
        </w:rPr>
      </w:pPr>
    </w:p>
    <w:p w14:paraId="4EB7D29A" w14:textId="77777777" w:rsidR="00580301" w:rsidRDefault="00580301" w:rsidP="005E4F16">
      <w:pPr>
        <w:rPr>
          <w:rFonts w:ascii="Arial" w:hAnsi="Arial"/>
          <w:b/>
          <w:szCs w:val="28"/>
        </w:rPr>
      </w:pPr>
    </w:p>
    <w:p w14:paraId="7D1741BF" w14:textId="77777777" w:rsidR="004B323B" w:rsidRDefault="004B323B" w:rsidP="005E4F16">
      <w:pPr>
        <w:rPr>
          <w:rFonts w:ascii="Arial" w:hAnsi="Arial"/>
          <w:b/>
          <w:szCs w:val="28"/>
        </w:rPr>
      </w:pPr>
    </w:p>
    <w:p w14:paraId="00423A7F" w14:textId="77777777" w:rsidR="00580301" w:rsidRDefault="00580301" w:rsidP="005E4F16">
      <w:pPr>
        <w:rPr>
          <w:rFonts w:ascii="Arial" w:hAnsi="Arial"/>
          <w:b/>
          <w:szCs w:val="28"/>
        </w:rPr>
      </w:pPr>
    </w:p>
    <w:p w14:paraId="07CAC23A" w14:textId="77777777" w:rsidR="009E7280" w:rsidRDefault="009E7280" w:rsidP="005E4F16">
      <w:pPr>
        <w:rPr>
          <w:rFonts w:ascii="Arial" w:hAnsi="Arial"/>
          <w:b/>
          <w:szCs w:val="28"/>
        </w:rPr>
      </w:pPr>
    </w:p>
    <w:p w14:paraId="0889E55F" w14:textId="77777777" w:rsidR="00B60A8B" w:rsidRPr="00FE12E2" w:rsidRDefault="00B60A8B" w:rsidP="005E4F16">
      <w:pPr>
        <w:rPr>
          <w:rFonts w:ascii="Arial" w:hAnsi="Arial"/>
          <w:b/>
          <w:szCs w:val="28"/>
        </w:rPr>
      </w:pPr>
      <w:r w:rsidRPr="00FE12E2">
        <w:rPr>
          <w:rFonts w:ascii="Arial" w:hAnsi="Arial"/>
          <w:b/>
          <w:szCs w:val="28"/>
        </w:rPr>
        <w:lastRenderedPageBreak/>
        <w:t>Market Commentary</w:t>
      </w:r>
      <w:r w:rsidR="00511300" w:rsidRPr="00FE12E2">
        <w:rPr>
          <w:rFonts w:ascii="Arial" w:hAnsi="Arial"/>
          <w:b/>
          <w:szCs w:val="28"/>
        </w:rPr>
        <w:t>- Local Authority Universe</w:t>
      </w:r>
    </w:p>
    <w:p w14:paraId="2D311524" w14:textId="77777777" w:rsidR="00B67979" w:rsidRDefault="00B67979" w:rsidP="005E4F16">
      <w:pPr>
        <w:rPr>
          <w:rFonts w:ascii="Arial" w:hAnsi="Arial"/>
          <w:b/>
          <w:szCs w:val="28"/>
        </w:rPr>
      </w:pPr>
    </w:p>
    <w:p w14:paraId="4F04D408" w14:textId="77777777" w:rsidR="0095610F" w:rsidRDefault="0095610F" w:rsidP="005E4F16">
      <w:pPr>
        <w:rPr>
          <w:rFonts w:ascii="Arial" w:hAnsi="Arial"/>
          <w:b/>
          <w:szCs w:val="28"/>
        </w:rPr>
      </w:pPr>
    </w:p>
    <w:p w14:paraId="07471492" w14:textId="77777777" w:rsidR="0095610F" w:rsidRDefault="0095610F" w:rsidP="005E4F16">
      <w:pPr>
        <w:rPr>
          <w:rFonts w:ascii="Arial" w:hAnsi="Arial"/>
          <w:bCs/>
          <w:sz w:val="24"/>
          <w:szCs w:val="24"/>
        </w:rPr>
      </w:pPr>
      <w:r w:rsidRPr="0095610F">
        <w:rPr>
          <w:rFonts w:ascii="Arial" w:hAnsi="Arial"/>
          <w:bCs/>
          <w:sz w:val="24"/>
          <w:szCs w:val="24"/>
        </w:rPr>
        <w:t xml:space="preserve">Last </w:t>
      </w:r>
      <w:r>
        <w:rPr>
          <w:rFonts w:ascii="Arial" w:hAnsi="Arial"/>
          <w:bCs/>
          <w:sz w:val="24"/>
          <w:szCs w:val="24"/>
        </w:rPr>
        <w:t>year the average fund returned 8.6%, with 50% of Funds delivering a return between 6% and 10%. Developed equities performed well until the first quarter of 2022 when the Ukraine war and fear of resulting inflation weighed heavily and markets fell.</w:t>
      </w:r>
    </w:p>
    <w:p w14:paraId="4CECDA76" w14:textId="77777777" w:rsidR="0095610F" w:rsidRDefault="0095610F" w:rsidP="005E4F16">
      <w:pPr>
        <w:rPr>
          <w:rFonts w:ascii="Arial" w:hAnsi="Arial"/>
          <w:bCs/>
          <w:sz w:val="24"/>
          <w:szCs w:val="24"/>
        </w:rPr>
      </w:pPr>
    </w:p>
    <w:p w14:paraId="3585CE43" w14:textId="77777777" w:rsidR="0095610F" w:rsidRDefault="0095610F" w:rsidP="005E4F16">
      <w:pPr>
        <w:rPr>
          <w:rFonts w:ascii="Arial" w:hAnsi="Arial"/>
          <w:bCs/>
          <w:sz w:val="24"/>
          <w:szCs w:val="24"/>
        </w:rPr>
      </w:pPr>
      <w:r>
        <w:rPr>
          <w:rFonts w:ascii="Arial" w:hAnsi="Arial"/>
          <w:bCs/>
          <w:sz w:val="24"/>
          <w:szCs w:val="24"/>
        </w:rPr>
        <w:t>Over the twelve months however, developed markets were positive. Emerging markets, battered by a strong US Dollar and the continuing impact of COVID were the worst performing of all asset classes.</w:t>
      </w:r>
    </w:p>
    <w:p w14:paraId="6946C1AB" w14:textId="77777777" w:rsidR="003507C7" w:rsidRDefault="003507C7" w:rsidP="005E4F16">
      <w:pPr>
        <w:rPr>
          <w:rFonts w:ascii="Arial" w:hAnsi="Arial"/>
          <w:bCs/>
          <w:sz w:val="24"/>
          <w:szCs w:val="24"/>
        </w:rPr>
      </w:pPr>
    </w:p>
    <w:p w14:paraId="5A80BB73" w14:textId="77777777" w:rsidR="003507C7" w:rsidRDefault="003507C7" w:rsidP="005E4F16">
      <w:pPr>
        <w:rPr>
          <w:rFonts w:ascii="Arial" w:hAnsi="Arial"/>
          <w:bCs/>
          <w:sz w:val="24"/>
          <w:szCs w:val="24"/>
        </w:rPr>
      </w:pPr>
      <w:r>
        <w:rPr>
          <w:rFonts w:ascii="Arial" w:hAnsi="Arial"/>
          <w:bCs/>
          <w:sz w:val="24"/>
          <w:szCs w:val="24"/>
        </w:rPr>
        <w:t>Bond markets delivered negative results for the year, only inflation linked and private debt making it into positive territory.</w:t>
      </w:r>
    </w:p>
    <w:p w14:paraId="17A40E0F" w14:textId="77777777" w:rsidR="003507C7" w:rsidRDefault="003507C7" w:rsidP="005E4F16">
      <w:pPr>
        <w:rPr>
          <w:rFonts w:ascii="Arial" w:hAnsi="Arial"/>
          <w:bCs/>
          <w:sz w:val="24"/>
          <w:szCs w:val="24"/>
        </w:rPr>
      </w:pPr>
    </w:p>
    <w:p w14:paraId="0BBC22C7" w14:textId="77777777" w:rsidR="003507C7" w:rsidRDefault="003507C7" w:rsidP="005E4F16">
      <w:pPr>
        <w:rPr>
          <w:rFonts w:ascii="Arial" w:hAnsi="Arial"/>
          <w:bCs/>
          <w:sz w:val="24"/>
          <w:szCs w:val="24"/>
        </w:rPr>
      </w:pPr>
      <w:r>
        <w:rPr>
          <w:rFonts w:ascii="Arial" w:hAnsi="Arial"/>
          <w:bCs/>
          <w:sz w:val="24"/>
          <w:szCs w:val="24"/>
        </w:rPr>
        <w:t>Strong results were delivered from the alternative assets. Private equity once again delivering outstanding returns. Property too continued to do well, returning almost 18%.</w:t>
      </w:r>
    </w:p>
    <w:p w14:paraId="4B8EF127" w14:textId="77777777" w:rsidR="003507C7" w:rsidRDefault="003507C7" w:rsidP="005E4F16">
      <w:pPr>
        <w:rPr>
          <w:rFonts w:ascii="Arial" w:hAnsi="Arial"/>
          <w:bCs/>
          <w:sz w:val="24"/>
          <w:szCs w:val="24"/>
        </w:rPr>
      </w:pPr>
    </w:p>
    <w:p w14:paraId="45C63C3C" w14:textId="77777777" w:rsidR="003507C7" w:rsidRPr="0095610F" w:rsidRDefault="003507C7" w:rsidP="005E4F16">
      <w:pPr>
        <w:rPr>
          <w:rFonts w:ascii="Arial" w:hAnsi="Arial"/>
          <w:bCs/>
          <w:sz w:val="24"/>
          <w:szCs w:val="24"/>
        </w:rPr>
      </w:pPr>
    </w:p>
    <w:p w14:paraId="6101A62F" w14:textId="77777777" w:rsidR="00A72B2E" w:rsidRPr="003507C7" w:rsidRDefault="00A72B2E" w:rsidP="005E4F16">
      <w:pPr>
        <w:rPr>
          <w:rFonts w:ascii="Arial" w:hAnsi="Arial"/>
          <w:b/>
          <w:szCs w:val="28"/>
        </w:rPr>
      </w:pPr>
      <w:r w:rsidRPr="003507C7">
        <w:rPr>
          <w:rFonts w:ascii="Arial" w:hAnsi="Arial"/>
          <w:b/>
          <w:szCs w:val="28"/>
        </w:rPr>
        <w:t>Fund Performance</w:t>
      </w:r>
    </w:p>
    <w:p w14:paraId="1751317E" w14:textId="77777777" w:rsidR="00A72B2E" w:rsidRPr="003507C7" w:rsidRDefault="00A72B2E" w:rsidP="005E4F16">
      <w:pPr>
        <w:rPr>
          <w:rFonts w:ascii="Arial" w:hAnsi="Arial"/>
          <w:b/>
          <w:szCs w:val="28"/>
        </w:rPr>
      </w:pPr>
    </w:p>
    <w:p w14:paraId="20E46F24" w14:textId="77777777" w:rsidR="00F74626" w:rsidRPr="003507C7" w:rsidRDefault="000C0258" w:rsidP="00F74626">
      <w:pPr>
        <w:rPr>
          <w:rFonts w:ascii="Arial" w:hAnsi="Arial"/>
          <w:sz w:val="24"/>
          <w:szCs w:val="24"/>
        </w:rPr>
      </w:pPr>
      <w:r w:rsidRPr="003507C7">
        <w:rPr>
          <w:rFonts w:ascii="Arial" w:hAnsi="Arial"/>
          <w:sz w:val="24"/>
          <w:szCs w:val="24"/>
        </w:rPr>
        <w:t>City &amp; County of Swansea Pension Fund</w:t>
      </w:r>
      <w:r w:rsidR="00F74626" w:rsidRPr="003507C7">
        <w:rPr>
          <w:rFonts w:ascii="Arial" w:hAnsi="Arial"/>
          <w:sz w:val="24"/>
          <w:szCs w:val="24"/>
        </w:rPr>
        <w:t xml:space="preserve"> returned </w:t>
      </w:r>
      <w:r w:rsidR="003507C7">
        <w:rPr>
          <w:rFonts w:ascii="Arial" w:hAnsi="Arial"/>
          <w:sz w:val="24"/>
          <w:szCs w:val="24"/>
        </w:rPr>
        <w:t>10.7</w:t>
      </w:r>
      <w:r w:rsidR="00260070" w:rsidRPr="003507C7">
        <w:rPr>
          <w:rFonts w:ascii="Arial" w:hAnsi="Arial"/>
          <w:sz w:val="24"/>
          <w:szCs w:val="24"/>
        </w:rPr>
        <w:t>% f</w:t>
      </w:r>
      <w:r w:rsidR="00F74626" w:rsidRPr="003507C7">
        <w:rPr>
          <w:rFonts w:ascii="Arial" w:hAnsi="Arial"/>
          <w:sz w:val="24"/>
          <w:szCs w:val="24"/>
        </w:rPr>
        <w:t xml:space="preserve">or the year, which was </w:t>
      </w:r>
      <w:r w:rsidR="00260070" w:rsidRPr="003507C7">
        <w:rPr>
          <w:rFonts w:ascii="Arial" w:hAnsi="Arial"/>
          <w:sz w:val="24"/>
          <w:szCs w:val="24"/>
        </w:rPr>
        <w:t xml:space="preserve">well </w:t>
      </w:r>
      <w:r w:rsidR="00F74626" w:rsidRPr="003507C7">
        <w:rPr>
          <w:rFonts w:ascii="Arial" w:hAnsi="Arial"/>
          <w:sz w:val="24"/>
          <w:szCs w:val="24"/>
        </w:rPr>
        <w:t xml:space="preserve">above the local authority universe benchmark of </w:t>
      </w:r>
      <w:r w:rsidR="003507C7">
        <w:rPr>
          <w:rFonts w:ascii="Arial" w:hAnsi="Arial"/>
          <w:sz w:val="24"/>
          <w:szCs w:val="24"/>
        </w:rPr>
        <w:t>8.6</w:t>
      </w:r>
      <w:r w:rsidR="00F74626" w:rsidRPr="003507C7">
        <w:rPr>
          <w:rFonts w:ascii="Arial" w:hAnsi="Arial"/>
          <w:sz w:val="24"/>
          <w:szCs w:val="24"/>
        </w:rPr>
        <w:t xml:space="preserve">% and </w:t>
      </w:r>
      <w:r w:rsidR="008A2917" w:rsidRPr="003507C7">
        <w:rPr>
          <w:rFonts w:ascii="Arial" w:hAnsi="Arial"/>
          <w:sz w:val="24"/>
          <w:szCs w:val="24"/>
        </w:rPr>
        <w:t xml:space="preserve">placing the </w:t>
      </w:r>
      <w:r w:rsidR="00A55336">
        <w:rPr>
          <w:rFonts w:ascii="Arial" w:hAnsi="Arial"/>
          <w:sz w:val="24"/>
          <w:szCs w:val="24"/>
        </w:rPr>
        <w:t xml:space="preserve">fund in </w:t>
      </w:r>
      <w:r w:rsidR="003507C7">
        <w:rPr>
          <w:rFonts w:ascii="Arial" w:hAnsi="Arial"/>
          <w:sz w:val="24"/>
          <w:szCs w:val="24"/>
        </w:rPr>
        <w:t>12</w:t>
      </w:r>
      <w:r w:rsidR="00C006D5" w:rsidRPr="003507C7">
        <w:rPr>
          <w:rFonts w:ascii="Arial" w:hAnsi="Arial"/>
          <w:sz w:val="24"/>
          <w:szCs w:val="24"/>
        </w:rPr>
        <w:t>th</w:t>
      </w:r>
      <w:r w:rsidR="00BA2AE2" w:rsidRPr="003507C7">
        <w:rPr>
          <w:rFonts w:ascii="Arial" w:hAnsi="Arial"/>
          <w:sz w:val="24"/>
          <w:szCs w:val="24"/>
        </w:rPr>
        <w:t xml:space="preserve"> </w:t>
      </w:r>
      <w:r w:rsidR="007E4B15" w:rsidRPr="003507C7">
        <w:rPr>
          <w:rFonts w:ascii="Arial" w:hAnsi="Arial"/>
          <w:sz w:val="24"/>
          <w:szCs w:val="24"/>
        </w:rPr>
        <w:t>p</w:t>
      </w:r>
      <w:r w:rsidR="000871F7">
        <w:rPr>
          <w:rFonts w:ascii="Arial" w:hAnsi="Arial"/>
          <w:sz w:val="24"/>
          <w:szCs w:val="24"/>
        </w:rPr>
        <w:t>lace</w:t>
      </w:r>
      <w:r w:rsidR="007E4B15" w:rsidRPr="003507C7">
        <w:rPr>
          <w:rFonts w:ascii="Arial" w:hAnsi="Arial"/>
          <w:sz w:val="24"/>
          <w:szCs w:val="24"/>
        </w:rPr>
        <w:t xml:space="preserve"> </w:t>
      </w:r>
      <w:r w:rsidR="00AE27DF">
        <w:rPr>
          <w:rFonts w:ascii="Arial" w:hAnsi="Arial"/>
          <w:sz w:val="24"/>
          <w:szCs w:val="24"/>
        </w:rPr>
        <w:t>in the Local Authority Universe</w:t>
      </w:r>
      <w:r w:rsidR="00F74626" w:rsidRPr="003507C7">
        <w:rPr>
          <w:rFonts w:ascii="Arial" w:hAnsi="Arial"/>
          <w:sz w:val="24"/>
          <w:szCs w:val="24"/>
        </w:rPr>
        <w:t xml:space="preserve">. </w:t>
      </w:r>
      <w:r w:rsidR="003507C7">
        <w:rPr>
          <w:rFonts w:ascii="Arial" w:hAnsi="Arial"/>
          <w:sz w:val="24"/>
          <w:szCs w:val="24"/>
        </w:rPr>
        <w:t>Over three years the fund returned 11% against a benchmark of 8.3%, placing the fund in 2</w:t>
      </w:r>
      <w:r w:rsidR="00E26883">
        <w:rPr>
          <w:rFonts w:ascii="Arial" w:hAnsi="Arial"/>
          <w:sz w:val="24"/>
          <w:szCs w:val="24"/>
        </w:rPr>
        <w:t>nd</w:t>
      </w:r>
      <w:r w:rsidR="003507C7">
        <w:rPr>
          <w:rFonts w:ascii="Arial" w:hAnsi="Arial"/>
          <w:sz w:val="24"/>
          <w:szCs w:val="24"/>
        </w:rPr>
        <w:t xml:space="preserve"> place</w:t>
      </w:r>
      <w:r w:rsidR="00AE27DF">
        <w:rPr>
          <w:rFonts w:ascii="Arial" w:hAnsi="Arial"/>
          <w:sz w:val="24"/>
          <w:szCs w:val="24"/>
        </w:rPr>
        <w:t xml:space="preserve"> overall</w:t>
      </w:r>
      <w:r w:rsidR="00A55336">
        <w:rPr>
          <w:rFonts w:ascii="Arial" w:hAnsi="Arial"/>
          <w:sz w:val="24"/>
          <w:szCs w:val="24"/>
        </w:rPr>
        <w:t xml:space="preserve"> out of ALL LGPS funds and top decile over 5 and 10 years.</w:t>
      </w:r>
    </w:p>
    <w:p w14:paraId="76886CAD" w14:textId="77777777" w:rsidR="006A6204" w:rsidRPr="003507C7" w:rsidRDefault="006A6204" w:rsidP="00F74626">
      <w:pPr>
        <w:rPr>
          <w:rFonts w:ascii="Arial" w:hAnsi="Arial"/>
          <w:sz w:val="24"/>
          <w:szCs w:val="24"/>
        </w:rPr>
      </w:pPr>
    </w:p>
    <w:p w14:paraId="6ABE1651" w14:textId="77777777" w:rsidR="003507C7" w:rsidRDefault="006A6204" w:rsidP="00046687">
      <w:pPr>
        <w:jc w:val="both"/>
        <w:rPr>
          <w:rFonts w:ascii="Arial" w:hAnsi="Arial"/>
          <w:sz w:val="24"/>
          <w:szCs w:val="24"/>
        </w:rPr>
      </w:pPr>
      <w:r w:rsidRPr="003507C7">
        <w:rPr>
          <w:rFonts w:ascii="Arial" w:hAnsi="Arial"/>
          <w:sz w:val="24"/>
          <w:szCs w:val="24"/>
        </w:rPr>
        <w:t xml:space="preserve">The Fund </w:t>
      </w:r>
      <w:r w:rsidR="00A55336">
        <w:rPr>
          <w:rFonts w:ascii="Arial" w:hAnsi="Arial"/>
          <w:sz w:val="24"/>
          <w:szCs w:val="24"/>
        </w:rPr>
        <w:t>is actively looking to reduce its equity overweight which has served it well during these last few years</w:t>
      </w:r>
      <w:r w:rsidR="000871F7">
        <w:rPr>
          <w:rFonts w:ascii="Arial" w:hAnsi="Arial"/>
          <w:sz w:val="24"/>
          <w:szCs w:val="24"/>
        </w:rPr>
        <w:t>. This was further enhanced by strong results from the equity managers, ranking in the top dec</w:t>
      </w:r>
      <w:r w:rsidR="00A55336">
        <w:rPr>
          <w:rFonts w:ascii="Arial" w:hAnsi="Arial"/>
          <w:sz w:val="24"/>
          <w:szCs w:val="24"/>
        </w:rPr>
        <w:t>ile, with the active equity protection put into place serving it well during the pandemic and in Q1 2022.</w:t>
      </w:r>
    </w:p>
    <w:p w14:paraId="196B09CE" w14:textId="77777777" w:rsidR="00A55336" w:rsidRDefault="00A55336" w:rsidP="00046687">
      <w:pPr>
        <w:jc w:val="both"/>
        <w:rPr>
          <w:rFonts w:ascii="Arial" w:hAnsi="Arial"/>
          <w:sz w:val="24"/>
          <w:szCs w:val="24"/>
        </w:rPr>
      </w:pPr>
    </w:p>
    <w:p w14:paraId="3A63D849" w14:textId="77777777" w:rsidR="00A55336" w:rsidRDefault="00A55336" w:rsidP="00046687">
      <w:pPr>
        <w:jc w:val="both"/>
        <w:rPr>
          <w:rFonts w:ascii="Arial" w:hAnsi="Arial"/>
          <w:sz w:val="24"/>
          <w:szCs w:val="24"/>
        </w:rPr>
      </w:pPr>
      <w:r>
        <w:rPr>
          <w:rFonts w:ascii="Arial" w:hAnsi="Arial"/>
          <w:sz w:val="24"/>
          <w:szCs w:val="24"/>
        </w:rPr>
        <w:t xml:space="preserve">The fund continues to re-allocate these growth assets into yielding </w:t>
      </w:r>
      <w:r w:rsidR="00A66876">
        <w:rPr>
          <w:rFonts w:ascii="Arial" w:hAnsi="Arial"/>
          <w:sz w:val="24"/>
          <w:szCs w:val="24"/>
        </w:rPr>
        <w:t xml:space="preserve">real </w:t>
      </w:r>
      <w:r>
        <w:rPr>
          <w:rFonts w:ascii="Arial" w:hAnsi="Arial"/>
          <w:sz w:val="24"/>
          <w:szCs w:val="24"/>
        </w:rPr>
        <w:t xml:space="preserve">assets </w:t>
      </w:r>
      <w:r w:rsidR="00DF761F">
        <w:rPr>
          <w:rFonts w:ascii="Arial" w:hAnsi="Arial"/>
          <w:sz w:val="24"/>
          <w:szCs w:val="24"/>
        </w:rPr>
        <w:t>such as</w:t>
      </w:r>
      <w:r w:rsidR="00A66876">
        <w:rPr>
          <w:rFonts w:ascii="Arial" w:hAnsi="Arial"/>
          <w:sz w:val="24"/>
          <w:szCs w:val="24"/>
        </w:rPr>
        <w:t xml:space="preserve">  infrastructure, housing</w:t>
      </w:r>
      <w:r w:rsidR="00DF761F">
        <w:rPr>
          <w:rFonts w:ascii="Arial" w:hAnsi="Arial"/>
          <w:sz w:val="24"/>
          <w:szCs w:val="24"/>
        </w:rPr>
        <w:t>,</w:t>
      </w:r>
      <w:r w:rsidR="00A66876">
        <w:rPr>
          <w:rFonts w:ascii="Arial" w:hAnsi="Arial"/>
          <w:sz w:val="24"/>
          <w:szCs w:val="24"/>
        </w:rPr>
        <w:t xml:space="preserve"> property</w:t>
      </w:r>
      <w:r w:rsidR="00DF761F">
        <w:rPr>
          <w:rFonts w:ascii="Arial" w:hAnsi="Arial"/>
          <w:sz w:val="24"/>
          <w:szCs w:val="24"/>
        </w:rPr>
        <w:t xml:space="preserve"> and</w:t>
      </w:r>
      <w:r w:rsidR="00A66876">
        <w:rPr>
          <w:rFonts w:ascii="Arial" w:hAnsi="Arial"/>
          <w:sz w:val="24"/>
          <w:szCs w:val="24"/>
        </w:rPr>
        <w:t xml:space="preserve"> private debt.</w:t>
      </w:r>
    </w:p>
    <w:p w14:paraId="236D480E" w14:textId="77777777" w:rsidR="003507C7" w:rsidRDefault="003507C7" w:rsidP="00046687">
      <w:pPr>
        <w:jc w:val="both"/>
        <w:rPr>
          <w:rFonts w:ascii="Arial" w:hAnsi="Arial"/>
          <w:sz w:val="24"/>
          <w:szCs w:val="24"/>
        </w:rPr>
      </w:pPr>
    </w:p>
    <w:p w14:paraId="32720B44" w14:textId="77777777" w:rsidR="003507C7" w:rsidRDefault="003507C7" w:rsidP="00046687">
      <w:pPr>
        <w:jc w:val="both"/>
        <w:rPr>
          <w:rFonts w:ascii="Arial" w:hAnsi="Arial"/>
          <w:sz w:val="24"/>
          <w:szCs w:val="24"/>
          <w:highlight w:val="yellow"/>
        </w:rPr>
      </w:pPr>
    </w:p>
    <w:p w14:paraId="5C2702CC" w14:textId="77777777" w:rsidR="000871F7" w:rsidRDefault="000871F7" w:rsidP="00046687">
      <w:pPr>
        <w:jc w:val="both"/>
        <w:rPr>
          <w:rFonts w:ascii="Arial" w:hAnsi="Arial"/>
          <w:sz w:val="24"/>
          <w:szCs w:val="24"/>
          <w:highlight w:val="yellow"/>
        </w:rPr>
      </w:pPr>
    </w:p>
    <w:p w14:paraId="5FA336CE" w14:textId="77777777" w:rsidR="000871F7" w:rsidRDefault="000871F7" w:rsidP="00046687">
      <w:pPr>
        <w:jc w:val="both"/>
        <w:rPr>
          <w:rFonts w:ascii="Arial" w:hAnsi="Arial"/>
          <w:sz w:val="24"/>
          <w:szCs w:val="24"/>
          <w:highlight w:val="yellow"/>
        </w:rPr>
      </w:pPr>
    </w:p>
    <w:p w14:paraId="137A6FDB" w14:textId="77777777" w:rsidR="000871F7" w:rsidRDefault="000871F7" w:rsidP="00046687">
      <w:pPr>
        <w:jc w:val="both"/>
        <w:rPr>
          <w:rFonts w:ascii="Arial" w:hAnsi="Arial"/>
          <w:sz w:val="24"/>
          <w:szCs w:val="24"/>
          <w:highlight w:val="yellow"/>
        </w:rPr>
      </w:pPr>
    </w:p>
    <w:p w14:paraId="5B21D111" w14:textId="77777777" w:rsidR="003507C7" w:rsidRDefault="003507C7" w:rsidP="00046687">
      <w:pPr>
        <w:jc w:val="both"/>
        <w:rPr>
          <w:rFonts w:ascii="Arial" w:hAnsi="Arial"/>
          <w:sz w:val="24"/>
          <w:szCs w:val="24"/>
          <w:highlight w:val="yellow"/>
        </w:rPr>
      </w:pPr>
    </w:p>
    <w:p w14:paraId="3B5E4EF8" w14:textId="77777777" w:rsidR="003507C7" w:rsidRDefault="003507C7" w:rsidP="00046687">
      <w:pPr>
        <w:jc w:val="both"/>
        <w:rPr>
          <w:rFonts w:ascii="Arial" w:hAnsi="Arial"/>
          <w:sz w:val="24"/>
          <w:szCs w:val="24"/>
          <w:highlight w:val="yellow"/>
        </w:rPr>
      </w:pPr>
    </w:p>
    <w:p w14:paraId="2C08591C" w14:textId="77777777" w:rsidR="003507C7" w:rsidRDefault="003507C7" w:rsidP="00046687">
      <w:pPr>
        <w:jc w:val="both"/>
        <w:rPr>
          <w:rFonts w:ascii="Arial" w:hAnsi="Arial"/>
          <w:sz w:val="24"/>
          <w:szCs w:val="24"/>
          <w:highlight w:val="yellow"/>
        </w:rPr>
      </w:pPr>
    </w:p>
    <w:p w14:paraId="574F58EB" w14:textId="77777777" w:rsidR="003507C7" w:rsidRDefault="003507C7" w:rsidP="00046687">
      <w:pPr>
        <w:jc w:val="both"/>
        <w:rPr>
          <w:rFonts w:ascii="Arial" w:hAnsi="Arial"/>
          <w:sz w:val="24"/>
          <w:szCs w:val="24"/>
          <w:highlight w:val="yellow"/>
        </w:rPr>
      </w:pPr>
    </w:p>
    <w:p w14:paraId="1A130FBB" w14:textId="77777777" w:rsidR="003507C7" w:rsidRDefault="003507C7" w:rsidP="00046687">
      <w:pPr>
        <w:jc w:val="both"/>
        <w:rPr>
          <w:rFonts w:ascii="Arial" w:hAnsi="Arial"/>
          <w:sz w:val="24"/>
          <w:szCs w:val="24"/>
          <w:highlight w:val="yellow"/>
        </w:rPr>
      </w:pPr>
    </w:p>
    <w:p w14:paraId="684F4309" w14:textId="77777777" w:rsidR="003507C7" w:rsidRDefault="003507C7" w:rsidP="00046687">
      <w:pPr>
        <w:jc w:val="both"/>
        <w:rPr>
          <w:rFonts w:ascii="Arial" w:hAnsi="Arial"/>
          <w:sz w:val="24"/>
          <w:szCs w:val="24"/>
          <w:highlight w:val="yellow"/>
        </w:rPr>
      </w:pPr>
    </w:p>
    <w:p w14:paraId="43CBA2C3" w14:textId="77777777" w:rsidR="003507C7" w:rsidRDefault="003507C7" w:rsidP="00046687">
      <w:pPr>
        <w:jc w:val="both"/>
        <w:rPr>
          <w:rFonts w:ascii="Arial" w:hAnsi="Arial"/>
          <w:sz w:val="24"/>
          <w:szCs w:val="24"/>
          <w:highlight w:val="yellow"/>
        </w:rPr>
      </w:pPr>
    </w:p>
    <w:p w14:paraId="762FDB4B" w14:textId="77777777" w:rsidR="003507C7" w:rsidRDefault="003507C7" w:rsidP="00046687">
      <w:pPr>
        <w:jc w:val="both"/>
        <w:rPr>
          <w:rFonts w:ascii="Arial" w:hAnsi="Arial"/>
          <w:sz w:val="24"/>
          <w:szCs w:val="24"/>
          <w:highlight w:val="yellow"/>
        </w:rPr>
      </w:pPr>
    </w:p>
    <w:p w14:paraId="24FCBEE3" w14:textId="77777777" w:rsidR="003507C7" w:rsidRDefault="003507C7" w:rsidP="00046687">
      <w:pPr>
        <w:jc w:val="both"/>
        <w:rPr>
          <w:rFonts w:ascii="Arial" w:hAnsi="Arial"/>
          <w:sz w:val="24"/>
          <w:szCs w:val="24"/>
          <w:highlight w:val="yellow"/>
        </w:rPr>
      </w:pPr>
    </w:p>
    <w:p w14:paraId="0F33E103" w14:textId="77777777" w:rsidR="003507C7" w:rsidRDefault="003507C7" w:rsidP="00046687">
      <w:pPr>
        <w:jc w:val="both"/>
        <w:rPr>
          <w:rFonts w:ascii="Arial" w:hAnsi="Arial"/>
          <w:sz w:val="24"/>
          <w:szCs w:val="24"/>
          <w:highlight w:val="yellow"/>
        </w:rPr>
      </w:pPr>
    </w:p>
    <w:p w14:paraId="544BDBB2" w14:textId="77777777" w:rsidR="003507C7" w:rsidRDefault="003507C7" w:rsidP="00046687">
      <w:pPr>
        <w:jc w:val="both"/>
        <w:rPr>
          <w:rFonts w:ascii="Arial" w:hAnsi="Arial"/>
          <w:sz w:val="24"/>
          <w:szCs w:val="24"/>
          <w:highlight w:val="yellow"/>
        </w:rPr>
      </w:pPr>
    </w:p>
    <w:p w14:paraId="7D3830EC" w14:textId="77777777" w:rsidR="003507C7" w:rsidRPr="0075435B" w:rsidRDefault="003507C7" w:rsidP="00046687">
      <w:pPr>
        <w:jc w:val="both"/>
        <w:rPr>
          <w:rFonts w:ascii="Arial" w:hAnsi="Arial"/>
          <w:sz w:val="24"/>
          <w:szCs w:val="24"/>
          <w:highlight w:val="yellow"/>
        </w:rPr>
      </w:pPr>
    </w:p>
    <w:p w14:paraId="6FB9D833" w14:textId="77777777" w:rsidR="008D739E" w:rsidRDefault="008D739E" w:rsidP="00046687">
      <w:pPr>
        <w:jc w:val="both"/>
        <w:rPr>
          <w:rFonts w:ascii="Arial" w:hAnsi="Arial"/>
          <w:b/>
          <w:szCs w:val="28"/>
        </w:rPr>
      </w:pPr>
    </w:p>
    <w:p w14:paraId="47A81024" w14:textId="77777777" w:rsidR="00FE12E2" w:rsidRDefault="00FE12E2" w:rsidP="00046687">
      <w:pPr>
        <w:jc w:val="both"/>
        <w:rPr>
          <w:rFonts w:ascii="Arial" w:hAnsi="Arial"/>
          <w:b/>
          <w:szCs w:val="28"/>
        </w:rPr>
      </w:pPr>
    </w:p>
    <w:p w14:paraId="15801969" w14:textId="77777777" w:rsidR="008D739E" w:rsidRDefault="008D739E" w:rsidP="00046687">
      <w:pPr>
        <w:jc w:val="both"/>
        <w:rPr>
          <w:rFonts w:ascii="Arial" w:hAnsi="Arial"/>
          <w:b/>
          <w:szCs w:val="28"/>
        </w:rPr>
      </w:pPr>
    </w:p>
    <w:p w14:paraId="6E5B8CEF" w14:textId="77777777" w:rsidR="00F74626" w:rsidRDefault="00C97D44" w:rsidP="00046687">
      <w:pPr>
        <w:jc w:val="both"/>
        <w:rPr>
          <w:rFonts w:ascii="Arial" w:hAnsi="Arial"/>
          <w:b/>
          <w:szCs w:val="28"/>
        </w:rPr>
      </w:pPr>
      <w:r w:rsidRPr="000C0258">
        <w:rPr>
          <w:rFonts w:ascii="Arial" w:hAnsi="Arial"/>
          <w:b/>
          <w:szCs w:val="28"/>
        </w:rPr>
        <w:t>Environmental Social Governance (ESG) Policy Implementation</w:t>
      </w:r>
    </w:p>
    <w:p w14:paraId="493AAB14" w14:textId="77777777" w:rsidR="00C97D44" w:rsidRDefault="00C97D44" w:rsidP="00046687">
      <w:pPr>
        <w:jc w:val="both"/>
        <w:rPr>
          <w:rFonts w:ascii="Arial" w:hAnsi="Arial"/>
          <w:b/>
          <w:szCs w:val="28"/>
        </w:rPr>
      </w:pPr>
    </w:p>
    <w:p w14:paraId="6AC1FAA6" w14:textId="77777777" w:rsidR="00D52401" w:rsidRDefault="00D52401" w:rsidP="00D52401">
      <w:pPr>
        <w:jc w:val="both"/>
        <w:rPr>
          <w:rFonts w:ascii="Arial" w:hAnsi="Arial" w:cs="Arial"/>
          <w:sz w:val="24"/>
          <w:szCs w:val="24"/>
        </w:rPr>
      </w:pPr>
      <w:r>
        <w:rPr>
          <w:rFonts w:ascii="Arial" w:hAnsi="Arial" w:cs="Arial"/>
          <w:sz w:val="24"/>
          <w:szCs w:val="24"/>
        </w:rPr>
        <w:t>As part of its Net Zero Carbon journey, in November 2021, the Pension Committee approved the following :</w:t>
      </w:r>
    </w:p>
    <w:p w14:paraId="2EB9B116" w14:textId="77777777" w:rsidR="00D52401" w:rsidRDefault="00D52401" w:rsidP="00D52401">
      <w:pPr>
        <w:jc w:val="both"/>
        <w:rPr>
          <w:rFonts w:ascii="Arial" w:hAnsi="Arial" w:cs="Arial"/>
          <w:sz w:val="24"/>
          <w:szCs w:val="24"/>
        </w:rPr>
      </w:pPr>
    </w:p>
    <w:p w14:paraId="24CB595C" w14:textId="77777777" w:rsidR="00D52401" w:rsidRDefault="00D52401" w:rsidP="00D52401">
      <w:pPr>
        <w:jc w:val="both"/>
        <w:rPr>
          <w:rFonts w:ascii="Arial" w:hAnsi="Arial" w:cs="Arial"/>
          <w:sz w:val="24"/>
          <w:szCs w:val="24"/>
        </w:rPr>
      </w:pPr>
      <w:r w:rsidRPr="00843B0F">
        <w:rPr>
          <w:rFonts w:ascii="Arial" w:hAnsi="Arial" w:cs="Arial"/>
          <w:sz w:val="24"/>
          <w:szCs w:val="24"/>
        </w:rPr>
        <w:t>- A commitment to achieve a net zero carbon position in its investment portfolio by 2037</w:t>
      </w:r>
    </w:p>
    <w:p w14:paraId="282FD306" w14:textId="77777777" w:rsidR="00D52401" w:rsidRPr="00843B0F" w:rsidRDefault="00D52401" w:rsidP="00D52401">
      <w:pPr>
        <w:jc w:val="both"/>
        <w:rPr>
          <w:rFonts w:ascii="Arial" w:hAnsi="Arial" w:cs="Arial"/>
          <w:sz w:val="24"/>
          <w:szCs w:val="24"/>
        </w:rPr>
      </w:pPr>
    </w:p>
    <w:p w14:paraId="4DBF5449" w14:textId="77777777" w:rsidR="00D52401" w:rsidRDefault="00D52401" w:rsidP="00D52401">
      <w:pPr>
        <w:jc w:val="both"/>
        <w:rPr>
          <w:rFonts w:ascii="Arial" w:hAnsi="Arial" w:cs="Arial"/>
          <w:sz w:val="24"/>
          <w:szCs w:val="24"/>
        </w:rPr>
      </w:pPr>
      <w:r w:rsidRPr="00843B0F">
        <w:rPr>
          <w:rFonts w:ascii="Arial" w:hAnsi="Arial" w:cs="Arial"/>
          <w:sz w:val="24"/>
          <w:szCs w:val="24"/>
        </w:rPr>
        <w:t>- The adoption of the Fund's Responsible Investment Beliefs to underpin the Fund's actions on climate risk</w:t>
      </w:r>
    </w:p>
    <w:p w14:paraId="40115CD2" w14:textId="77777777" w:rsidR="00D52401" w:rsidRPr="00843B0F" w:rsidRDefault="00D52401" w:rsidP="00D52401">
      <w:pPr>
        <w:jc w:val="both"/>
        <w:rPr>
          <w:rFonts w:ascii="Arial" w:hAnsi="Arial" w:cs="Arial"/>
          <w:sz w:val="24"/>
          <w:szCs w:val="24"/>
        </w:rPr>
      </w:pPr>
    </w:p>
    <w:p w14:paraId="7522B822" w14:textId="77777777" w:rsidR="00D52401" w:rsidRDefault="00D52401" w:rsidP="00D52401">
      <w:pPr>
        <w:jc w:val="both"/>
        <w:rPr>
          <w:rFonts w:ascii="Arial" w:hAnsi="Arial" w:cs="Arial"/>
          <w:sz w:val="24"/>
          <w:szCs w:val="24"/>
        </w:rPr>
      </w:pPr>
      <w:r w:rsidRPr="00843B0F">
        <w:rPr>
          <w:rFonts w:ascii="Arial" w:hAnsi="Arial" w:cs="Arial"/>
          <w:sz w:val="24"/>
          <w:szCs w:val="24"/>
        </w:rPr>
        <w:t>- The climate actions of the Fund to be developed across three key areas ('3- dimensions') to give greater balance between:</w:t>
      </w:r>
    </w:p>
    <w:p w14:paraId="4FFED401" w14:textId="77777777" w:rsidR="00D52401" w:rsidRPr="00843B0F" w:rsidRDefault="00D52401" w:rsidP="00D52401">
      <w:pPr>
        <w:jc w:val="both"/>
        <w:rPr>
          <w:rFonts w:ascii="Arial" w:hAnsi="Arial" w:cs="Arial"/>
          <w:sz w:val="24"/>
          <w:szCs w:val="24"/>
        </w:rPr>
      </w:pPr>
    </w:p>
    <w:p w14:paraId="7E181AAD" w14:textId="77777777" w:rsidR="00D52401" w:rsidRPr="00843B0F" w:rsidRDefault="00D52401" w:rsidP="00D52401">
      <w:pPr>
        <w:jc w:val="both"/>
        <w:rPr>
          <w:rFonts w:ascii="Arial" w:hAnsi="Arial" w:cs="Arial"/>
          <w:sz w:val="24"/>
          <w:szCs w:val="24"/>
        </w:rPr>
      </w:pPr>
      <w:r w:rsidRPr="00843B0F">
        <w:rPr>
          <w:rFonts w:ascii="Arial" w:hAnsi="Arial" w:cs="Arial"/>
          <w:sz w:val="24"/>
          <w:szCs w:val="24"/>
        </w:rPr>
        <w:t>1. Carbon and other ESG metrics (both backward and forward looking)</w:t>
      </w:r>
    </w:p>
    <w:p w14:paraId="7DC469C3" w14:textId="77777777" w:rsidR="00D52401" w:rsidRPr="00843B0F" w:rsidRDefault="00D52401" w:rsidP="00D52401">
      <w:pPr>
        <w:jc w:val="both"/>
        <w:rPr>
          <w:rFonts w:ascii="Arial" w:hAnsi="Arial" w:cs="Arial"/>
          <w:sz w:val="24"/>
          <w:szCs w:val="24"/>
        </w:rPr>
      </w:pPr>
      <w:r w:rsidRPr="00843B0F">
        <w:rPr>
          <w:rFonts w:ascii="Arial" w:hAnsi="Arial" w:cs="Arial"/>
          <w:sz w:val="24"/>
          <w:szCs w:val="24"/>
        </w:rPr>
        <w:t xml:space="preserve">2. Opportunities that will benefit from the transition to a lower carbon </w:t>
      </w:r>
      <w:r>
        <w:rPr>
          <w:rFonts w:ascii="Arial" w:hAnsi="Arial" w:cs="Arial"/>
          <w:sz w:val="24"/>
          <w:szCs w:val="24"/>
        </w:rPr>
        <w:t>e</w:t>
      </w:r>
      <w:r w:rsidRPr="00843B0F">
        <w:rPr>
          <w:rFonts w:ascii="Arial" w:hAnsi="Arial" w:cs="Arial"/>
          <w:sz w:val="24"/>
          <w:szCs w:val="24"/>
        </w:rPr>
        <w:t xml:space="preserve">conomy </w:t>
      </w:r>
    </w:p>
    <w:p w14:paraId="731A550C" w14:textId="77777777" w:rsidR="00D52401" w:rsidRDefault="00D52401" w:rsidP="00D52401">
      <w:pPr>
        <w:jc w:val="both"/>
        <w:rPr>
          <w:rFonts w:ascii="Arial" w:hAnsi="Arial" w:cs="Arial"/>
          <w:sz w:val="24"/>
          <w:szCs w:val="24"/>
        </w:rPr>
      </w:pPr>
      <w:r w:rsidRPr="00843B0F">
        <w:rPr>
          <w:rFonts w:ascii="Arial" w:hAnsi="Arial" w:cs="Arial"/>
          <w:sz w:val="24"/>
          <w:szCs w:val="24"/>
        </w:rPr>
        <w:t>3.</w:t>
      </w:r>
      <w:r>
        <w:rPr>
          <w:rFonts w:ascii="Arial" w:hAnsi="Arial" w:cs="Arial"/>
          <w:sz w:val="24"/>
          <w:szCs w:val="24"/>
        </w:rPr>
        <w:t xml:space="preserve"> </w:t>
      </w:r>
      <w:r w:rsidRPr="00843B0F">
        <w:rPr>
          <w:rFonts w:ascii="Arial" w:hAnsi="Arial" w:cs="Arial"/>
          <w:sz w:val="24"/>
          <w:szCs w:val="24"/>
        </w:rPr>
        <w:t>Engagement activities focussed on climate, and encouraging best practice amongst</w:t>
      </w:r>
    </w:p>
    <w:p w14:paraId="543DAD43" w14:textId="77777777" w:rsidR="00D52401" w:rsidRPr="00843B0F" w:rsidRDefault="00D52401" w:rsidP="00D52401">
      <w:pPr>
        <w:jc w:val="both"/>
        <w:rPr>
          <w:rFonts w:ascii="Arial" w:hAnsi="Arial" w:cs="Arial"/>
          <w:sz w:val="24"/>
          <w:szCs w:val="24"/>
        </w:rPr>
      </w:pPr>
      <w:r>
        <w:rPr>
          <w:rFonts w:ascii="Arial" w:hAnsi="Arial" w:cs="Arial"/>
          <w:sz w:val="24"/>
          <w:szCs w:val="24"/>
        </w:rPr>
        <w:t xml:space="preserve">   </w:t>
      </w:r>
      <w:r w:rsidRPr="00843B0F">
        <w:rPr>
          <w:rFonts w:ascii="Arial" w:hAnsi="Arial" w:cs="Arial"/>
          <w:sz w:val="24"/>
          <w:szCs w:val="24"/>
        </w:rPr>
        <w:t xml:space="preserve"> fund managers, investee companies and other investors.</w:t>
      </w:r>
    </w:p>
    <w:p w14:paraId="5D2CBF93" w14:textId="77777777" w:rsidR="00D52401" w:rsidRPr="00B93A93" w:rsidRDefault="00D52401" w:rsidP="00D52401">
      <w:pPr>
        <w:jc w:val="both"/>
        <w:rPr>
          <w:rFonts w:ascii="Arial" w:hAnsi="Arial" w:cs="Arial"/>
          <w:sz w:val="24"/>
          <w:szCs w:val="24"/>
        </w:rPr>
      </w:pPr>
    </w:p>
    <w:p w14:paraId="18BE5B3F" w14:textId="77777777" w:rsidR="00C97D44" w:rsidRPr="000C0258" w:rsidRDefault="00C97D44" w:rsidP="00046687">
      <w:pPr>
        <w:jc w:val="both"/>
        <w:rPr>
          <w:rFonts w:ascii="Arial" w:hAnsi="Arial"/>
          <w:sz w:val="24"/>
          <w:szCs w:val="24"/>
        </w:rPr>
      </w:pPr>
      <w:r w:rsidRPr="000C0258">
        <w:rPr>
          <w:rFonts w:ascii="Arial" w:hAnsi="Arial"/>
          <w:sz w:val="24"/>
          <w:szCs w:val="24"/>
        </w:rPr>
        <w:t>In continuing to implement the Fund’s ESG policy</w:t>
      </w:r>
      <w:r w:rsidR="000C0258" w:rsidRPr="000C0258">
        <w:rPr>
          <w:rFonts w:ascii="Arial" w:hAnsi="Arial"/>
          <w:sz w:val="24"/>
          <w:szCs w:val="24"/>
        </w:rPr>
        <w:t xml:space="preserve"> and</w:t>
      </w:r>
      <w:r w:rsidRPr="000C0258">
        <w:rPr>
          <w:rFonts w:ascii="Arial" w:hAnsi="Arial"/>
          <w:sz w:val="24"/>
          <w:szCs w:val="24"/>
        </w:rPr>
        <w:t xml:space="preserve"> as part of the re-allocation of approx</w:t>
      </w:r>
      <w:r w:rsidR="008D739E" w:rsidRPr="000C0258">
        <w:rPr>
          <w:rFonts w:ascii="Arial" w:hAnsi="Arial"/>
          <w:sz w:val="24"/>
          <w:szCs w:val="24"/>
        </w:rPr>
        <w:t>imately</w:t>
      </w:r>
      <w:r w:rsidRPr="000C0258">
        <w:rPr>
          <w:rFonts w:ascii="Arial" w:hAnsi="Arial"/>
          <w:sz w:val="24"/>
          <w:szCs w:val="24"/>
        </w:rPr>
        <w:t xml:space="preserve"> 10% of growth assets into yielding assets, the fund made a £30m commitment to the Blackrock Global Renewable Energy Infrastructure </w:t>
      </w:r>
      <w:r w:rsidR="007B6386">
        <w:rPr>
          <w:rFonts w:ascii="Arial" w:hAnsi="Arial"/>
          <w:sz w:val="24"/>
          <w:szCs w:val="24"/>
        </w:rPr>
        <w:t>F</w:t>
      </w:r>
      <w:r w:rsidRPr="000C0258">
        <w:rPr>
          <w:rFonts w:ascii="Arial" w:hAnsi="Arial"/>
          <w:sz w:val="24"/>
          <w:szCs w:val="24"/>
        </w:rPr>
        <w:t>und</w:t>
      </w:r>
      <w:r w:rsidR="000C0258">
        <w:rPr>
          <w:rFonts w:ascii="Arial" w:hAnsi="Arial"/>
          <w:sz w:val="24"/>
          <w:szCs w:val="24"/>
        </w:rPr>
        <w:t xml:space="preserve"> in March 20</w:t>
      </w:r>
      <w:r w:rsidR="007B6386">
        <w:rPr>
          <w:rFonts w:ascii="Arial" w:hAnsi="Arial"/>
          <w:sz w:val="24"/>
          <w:szCs w:val="24"/>
        </w:rPr>
        <w:t>20</w:t>
      </w:r>
      <w:r w:rsidR="000C0258">
        <w:rPr>
          <w:rFonts w:ascii="Arial" w:hAnsi="Arial"/>
          <w:sz w:val="24"/>
          <w:szCs w:val="24"/>
        </w:rPr>
        <w:t xml:space="preserve"> and deployed </w:t>
      </w:r>
      <w:r w:rsidR="007B6386">
        <w:rPr>
          <w:rFonts w:ascii="Arial" w:hAnsi="Arial"/>
          <w:sz w:val="24"/>
          <w:szCs w:val="24"/>
        </w:rPr>
        <w:t xml:space="preserve">£3m of </w:t>
      </w:r>
      <w:r w:rsidR="000C0258">
        <w:rPr>
          <w:rFonts w:ascii="Arial" w:hAnsi="Arial"/>
          <w:sz w:val="24"/>
          <w:szCs w:val="24"/>
        </w:rPr>
        <w:t xml:space="preserve">capital to this fund </w:t>
      </w:r>
      <w:r w:rsidR="0075435B">
        <w:rPr>
          <w:rFonts w:ascii="Arial" w:hAnsi="Arial"/>
          <w:sz w:val="24"/>
          <w:szCs w:val="24"/>
        </w:rPr>
        <w:t>in</w:t>
      </w:r>
      <w:r w:rsidR="000C0258">
        <w:rPr>
          <w:rFonts w:ascii="Arial" w:hAnsi="Arial"/>
          <w:sz w:val="24"/>
          <w:szCs w:val="24"/>
        </w:rPr>
        <w:t xml:space="preserve"> 2020/21. The</w:t>
      </w:r>
      <w:r w:rsidRPr="000C0258">
        <w:rPr>
          <w:rFonts w:ascii="Arial" w:hAnsi="Arial"/>
          <w:sz w:val="24"/>
          <w:szCs w:val="24"/>
        </w:rPr>
        <w:t xml:space="preserve"> previously appointed infrastructure manager First</w:t>
      </w:r>
      <w:r w:rsidR="00BE239F">
        <w:rPr>
          <w:rFonts w:ascii="Arial" w:hAnsi="Arial"/>
          <w:sz w:val="24"/>
          <w:szCs w:val="24"/>
        </w:rPr>
        <w:t xml:space="preserve"> </w:t>
      </w:r>
      <w:r w:rsidRPr="000C0258">
        <w:rPr>
          <w:rFonts w:ascii="Arial" w:hAnsi="Arial"/>
          <w:sz w:val="24"/>
          <w:szCs w:val="24"/>
        </w:rPr>
        <w:t>S</w:t>
      </w:r>
      <w:r w:rsidR="000C0258">
        <w:rPr>
          <w:rFonts w:ascii="Arial" w:hAnsi="Arial"/>
          <w:sz w:val="24"/>
          <w:szCs w:val="24"/>
        </w:rPr>
        <w:t>entier</w:t>
      </w:r>
      <w:r w:rsidRPr="000C0258">
        <w:rPr>
          <w:rFonts w:ascii="Arial" w:hAnsi="Arial"/>
          <w:sz w:val="24"/>
          <w:szCs w:val="24"/>
        </w:rPr>
        <w:t xml:space="preserve"> continues to deploy assets into renewable energy infrastructure</w:t>
      </w:r>
      <w:r w:rsidR="000C0258">
        <w:rPr>
          <w:rFonts w:ascii="Arial" w:hAnsi="Arial"/>
          <w:sz w:val="24"/>
          <w:szCs w:val="24"/>
        </w:rPr>
        <w:t xml:space="preserve">, the whole commitment amount of </w:t>
      </w:r>
      <w:r w:rsidR="007B6386">
        <w:rPr>
          <w:rFonts w:ascii="Arial" w:hAnsi="Arial"/>
          <w:sz w:val="24"/>
          <w:szCs w:val="24"/>
        </w:rPr>
        <w:t>£65</w:t>
      </w:r>
      <w:r w:rsidR="000C0258">
        <w:rPr>
          <w:rFonts w:ascii="Arial" w:hAnsi="Arial"/>
          <w:sz w:val="24"/>
          <w:szCs w:val="24"/>
        </w:rPr>
        <w:t>m has now been deployed</w:t>
      </w:r>
      <w:r w:rsidRPr="000C0258">
        <w:rPr>
          <w:rFonts w:ascii="Arial" w:hAnsi="Arial"/>
          <w:sz w:val="24"/>
          <w:szCs w:val="24"/>
        </w:rPr>
        <w:t xml:space="preserve">. </w:t>
      </w:r>
    </w:p>
    <w:p w14:paraId="59BF487E" w14:textId="77777777" w:rsidR="00C97D44" w:rsidRPr="00B70333" w:rsidRDefault="00C97D44" w:rsidP="00046687">
      <w:pPr>
        <w:jc w:val="both"/>
        <w:rPr>
          <w:rFonts w:ascii="Arial" w:hAnsi="Arial"/>
          <w:sz w:val="24"/>
          <w:szCs w:val="24"/>
          <w:highlight w:val="yellow"/>
        </w:rPr>
      </w:pPr>
    </w:p>
    <w:p w14:paraId="1A4CE3FD" w14:textId="77777777" w:rsidR="00C97D44" w:rsidRDefault="007B6386" w:rsidP="00046687">
      <w:pPr>
        <w:jc w:val="both"/>
        <w:rPr>
          <w:rFonts w:ascii="Arial" w:hAnsi="Arial"/>
          <w:sz w:val="24"/>
          <w:szCs w:val="24"/>
        </w:rPr>
      </w:pPr>
      <w:r>
        <w:rPr>
          <w:rFonts w:ascii="Arial" w:hAnsi="Arial"/>
          <w:sz w:val="24"/>
          <w:szCs w:val="24"/>
        </w:rPr>
        <w:t>The fund has</w:t>
      </w:r>
      <w:r w:rsidR="00C97D44" w:rsidRPr="000C0258">
        <w:rPr>
          <w:rFonts w:ascii="Arial" w:hAnsi="Arial"/>
          <w:sz w:val="24"/>
          <w:szCs w:val="24"/>
        </w:rPr>
        <w:t xml:space="preserve"> also made commitments</w:t>
      </w:r>
      <w:r w:rsidR="0075435B">
        <w:rPr>
          <w:rFonts w:ascii="Arial" w:hAnsi="Arial"/>
          <w:sz w:val="24"/>
          <w:szCs w:val="24"/>
        </w:rPr>
        <w:t xml:space="preserve"> totalling £60m</w:t>
      </w:r>
      <w:r w:rsidR="00C97D44" w:rsidRPr="000C0258">
        <w:rPr>
          <w:rFonts w:ascii="Arial" w:hAnsi="Arial"/>
          <w:sz w:val="24"/>
          <w:szCs w:val="24"/>
        </w:rPr>
        <w:t xml:space="preserve"> to </w:t>
      </w:r>
      <w:r w:rsidR="008D739E" w:rsidRPr="000C0258">
        <w:rPr>
          <w:rFonts w:ascii="Arial" w:hAnsi="Arial"/>
          <w:sz w:val="24"/>
          <w:szCs w:val="24"/>
        </w:rPr>
        <w:t>two</w:t>
      </w:r>
      <w:r w:rsidR="00C97D44" w:rsidRPr="000C0258">
        <w:rPr>
          <w:rFonts w:ascii="Arial" w:hAnsi="Arial"/>
          <w:sz w:val="24"/>
          <w:szCs w:val="24"/>
        </w:rPr>
        <w:t xml:space="preserve"> residential community housing funds which seek to deploy mixed tenure housing schemes with the aim of providing affordable rented housing in the Community.</w:t>
      </w:r>
      <w:r w:rsidR="0075435B">
        <w:rPr>
          <w:rFonts w:ascii="Arial" w:hAnsi="Arial"/>
          <w:sz w:val="24"/>
          <w:szCs w:val="24"/>
        </w:rPr>
        <w:t xml:space="preserve"> Man Group has drawn down £18m capital in 2021/22, BMO is yet unfunded but is likely to drawdown capital in 2022/23.</w:t>
      </w:r>
    </w:p>
    <w:p w14:paraId="12D32F10" w14:textId="77777777" w:rsidR="0075435B" w:rsidRDefault="0075435B" w:rsidP="00046687">
      <w:pPr>
        <w:jc w:val="both"/>
        <w:rPr>
          <w:rFonts w:ascii="Arial" w:hAnsi="Arial"/>
          <w:sz w:val="24"/>
          <w:szCs w:val="24"/>
        </w:rPr>
      </w:pPr>
    </w:p>
    <w:p w14:paraId="4AC13D99" w14:textId="77777777" w:rsidR="0075435B" w:rsidRPr="00987809" w:rsidRDefault="0075435B" w:rsidP="00046687">
      <w:pPr>
        <w:jc w:val="both"/>
        <w:rPr>
          <w:rFonts w:ascii="Arial" w:hAnsi="Arial" w:cs="Arial"/>
          <w:sz w:val="24"/>
          <w:szCs w:val="24"/>
        </w:rPr>
      </w:pPr>
      <w:r w:rsidRPr="00987809">
        <w:rPr>
          <w:rFonts w:ascii="Arial" w:hAnsi="Arial" w:cs="Arial"/>
          <w:sz w:val="24"/>
          <w:szCs w:val="24"/>
        </w:rPr>
        <w:t xml:space="preserve">A new </w:t>
      </w:r>
      <w:r w:rsidR="00987809" w:rsidRPr="00987809">
        <w:rPr>
          <w:rFonts w:ascii="Arial" w:hAnsi="Arial" w:cs="Arial"/>
          <w:sz w:val="24"/>
          <w:szCs w:val="24"/>
        </w:rPr>
        <w:t>venture for the fund</w:t>
      </w:r>
      <w:r w:rsidRPr="00987809">
        <w:rPr>
          <w:rFonts w:ascii="Arial" w:hAnsi="Arial" w:cs="Arial"/>
          <w:sz w:val="24"/>
          <w:szCs w:val="24"/>
        </w:rPr>
        <w:t xml:space="preserve"> in 2021/22 was </w:t>
      </w:r>
      <w:r w:rsidR="00987809" w:rsidRPr="00987809">
        <w:rPr>
          <w:rFonts w:ascii="Arial" w:hAnsi="Arial" w:cs="Arial"/>
          <w:sz w:val="24"/>
          <w:szCs w:val="24"/>
        </w:rPr>
        <w:t>a commitment</w:t>
      </w:r>
      <w:r w:rsidR="007D4371">
        <w:rPr>
          <w:rFonts w:ascii="Arial" w:hAnsi="Arial" w:cs="Arial"/>
          <w:sz w:val="24"/>
          <w:szCs w:val="24"/>
        </w:rPr>
        <w:t xml:space="preserve"> of £50m</w:t>
      </w:r>
      <w:r w:rsidR="00987809" w:rsidRPr="00987809">
        <w:rPr>
          <w:rFonts w:ascii="Arial" w:hAnsi="Arial" w:cs="Arial"/>
          <w:sz w:val="24"/>
          <w:szCs w:val="24"/>
        </w:rPr>
        <w:t xml:space="preserve"> to the Hancock Timberland &amp; Farmland Fund (HTFF) with Manulife. The fund strives to make appropriate investments in water supplies and infrastructure as part of farmland investments with a focus on long term stewardship and conservation. Timberland and agriculture demonstrates significant potential to reduce greenhouse gases and to boost carbon storage.</w:t>
      </w:r>
    </w:p>
    <w:p w14:paraId="7264E6AD" w14:textId="77777777" w:rsidR="008F6FF5" w:rsidRDefault="008F6FF5" w:rsidP="00386FCE">
      <w:pPr>
        <w:jc w:val="center"/>
        <w:rPr>
          <w:rFonts w:ascii="Arial" w:hAnsi="Arial"/>
          <w:b/>
        </w:rPr>
      </w:pPr>
    </w:p>
    <w:p w14:paraId="23F281B8" w14:textId="77777777" w:rsidR="00D52401" w:rsidRPr="00B93A93" w:rsidRDefault="00D52401" w:rsidP="00D52401">
      <w:pPr>
        <w:jc w:val="both"/>
        <w:rPr>
          <w:rFonts w:ascii="Arial" w:hAnsi="Arial" w:cs="Arial"/>
          <w:sz w:val="24"/>
          <w:szCs w:val="24"/>
        </w:rPr>
      </w:pPr>
      <w:r w:rsidRPr="00B93A93">
        <w:rPr>
          <w:rFonts w:ascii="Arial" w:hAnsi="Arial" w:cs="Arial"/>
          <w:sz w:val="24"/>
          <w:szCs w:val="24"/>
        </w:rPr>
        <w:t>City &amp; County of Swansea Pension Fund policy on Environment &amp; Social Governance Policy can be found at Appendix 11.</w:t>
      </w:r>
    </w:p>
    <w:p w14:paraId="296747E3" w14:textId="77777777" w:rsidR="00D52401" w:rsidRDefault="00D52401" w:rsidP="00D52401">
      <w:pPr>
        <w:jc w:val="both"/>
        <w:rPr>
          <w:rFonts w:ascii="Arial" w:hAnsi="Arial" w:cs="Arial"/>
          <w:sz w:val="24"/>
          <w:szCs w:val="24"/>
        </w:rPr>
      </w:pPr>
    </w:p>
    <w:p w14:paraId="7A3D9359" w14:textId="77777777" w:rsidR="008D739E" w:rsidRDefault="00987809" w:rsidP="00386FCE">
      <w:pPr>
        <w:jc w:val="center"/>
        <w:rPr>
          <w:rFonts w:ascii="Arial" w:hAnsi="Arial"/>
          <w:b/>
        </w:rPr>
      </w:pPr>
      <w:r>
        <w:t xml:space="preserve"> </w:t>
      </w:r>
    </w:p>
    <w:p w14:paraId="274AACE7" w14:textId="77777777" w:rsidR="008D739E" w:rsidRDefault="008D739E" w:rsidP="00386FCE">
      <w:pPr>
        <w:jc w:val="center"/>
        <w:rPr>
          <w:rFonts w:ascii="Arial" w:hAnsi="Arial"/>
          <w:b/>
        </w:rPr>
      </w:pPr>
    </w:p>
    <w:p w14:paraId="76D7DF39" w14:textId="77777777" w:rsidR="008D739E" w:rsidRDefault="008D739E" w:rsidP="00386FCE">
      <w:pPr>
        <w:jc w:val="center"/>
        <w:rPr>
          <w:rFonts w:ascii="Arial" w:hAnsi="Arial"/>
          <w:b/>
        </w:rPr>
      </w:pPr>
    </w:p>
    <w:p w14:paraId="529B8E95" w14:textId="77777777" w:rsidR="008D739E" w:rsidRDefault="008D739E" w:rsidP="00386FCE">
      <w:pPr>
        <w:jc w:val="center"/>
        <w:rPr>
          <w:rFonts w:ascii="Arial" w:hAnsi="Arial"/>
          <w:b/>
        </w:rPr>
      </w:pPr>
    </w:p>
    <w:p w14:paraId="34B9D427" w14:textId="77777777" w:rsidR="008D739E" w:rsidRDefault="008D739E" w:rsidP="00386FCE">
      <w:pPr>
        <w:jc w:val="center"/>
        <w:rPr>
          <w:rFonts w:ascii="Arial" w:hAnsi="Arial"/>
          <w:b/>
        </w:rPr>
      </w:pPr>
    </w:p>
    <w:p w14:paraId="580CB6D4" w14:textId="77777777" w:rsidR="008D739E" w:rsidRDefault="008D739E" w:rsidP="00386FCE">
      <w:pPr>
        <w:jc w:val="center"/>
        <w:rPr>
          <w:rFonts w:ascii="Arial" w:hAnsi="Arial"/>
          <w:b/>
        </w:rPr>
      </w:pPr>
    </w:p>
    <w:p w14:paraId="7ACEDAF9" w14:textId="77777777" w:rsidR="008D739E" w:rsidRDefault="008D739E" w:rsidP="00386FCE">
      <w:pPr>
        <w:jc w:val="center"/>
        <w:rPr>
          <w:rFonts w:ascii="Arial" w:hAnsi="Arial"/>
          <w:b/>
        </w:rPr>
      </w:pPr>
    </w:p>
    <w:p w14:paraId="6CB37B3D" w14:textId="77777777" w:rsidR="00902B91" w:rsidRPr="00243137" w:rsidRDefault="00902B91" w:rsidP="00386FCE">
      <w:pPr>
        <w:jc w:val="center"/>
        <w:rPr>
          <w:rFonts w:ascii="Arial" w:hAnsi="Arial"/>
          <w:b/>
        </w:rPr>
      </w:pPr>
      <w:r w:rsidRPr="00243137">
        <w:rPr>
          <w:rFonts w:ascii="Arial" w:hAnsi="Arial"/>
          <w:b/>
        </w:rPr>
        <w:t>PART D</w:t>
      </w:r>
    </w:p>
    <w:p w14:paraId="3C8BCBDF" w14:textId="77777777" w:rsidR="00902B91" w:rsidRPr="00540385" w:rsidRDefault="00902B91" w:rsidP="00386FCE">
      <w:pPr>
        <w:jc w:val="center"/>
        <w:rPr>
          <w:rFonts w:ascii="Arial" w:hAnsi="Arial"/>
          <w:sz w:val="24"/>
          <w:szCs w:val="24"/>
        </w:rPr>
      </w:pPr>
    </w:p>
    <w:p w14:paraId="5A18F577" w14:textId="77777777" w:rsidR="006145F2" w:rsidRDefault="00902B91" w:rsidP="00386FCE">
      <w:pPr>
        <w:jc w:val="center"/>
        <w:outlineLvl w:val="0"/>
        <w:rPr>
          <w:rFonts w:ascii="Arial" w:hAnsi="Arial"/>
          <w:b/>
        </w:rPr>
      </w:pPr>
      <w:r w:rsidRPr="00BC369C">
        <w:rPr>
          <w:rFonts w:ascii="Arial" w:hAnsi="Arial"/>
          <w:b/>
        </w:rPr>
        <w:t>ACTUARIAL REPORT</w:t>
      </w:r>
    </w:p>
    <w:p w14:paraId="0A8DACB4" w14:textId="77777777" w:rsidR="004636B7" w:rsidRPr="00243137" w:rsidRDefault="004636B7" w:rsidP="00386FCE">
      <w:pPr>
        <w:jc w:val="center"/>
        <w:outlineLvl w:val="0"/>
        <w:rPr>
          <w:rFonts w:ascii="Arial" w:hAnsi="Arial"/>
          <w:b/>
        </w:rPr>
      </w:pPr>
    </w:p>
    <w:p w14:paraId="78271A07" w14:textId="77777777" w:rsidR="008724DA" w:rsidRPr="0073699C" w:rsidRDefault="008724DA" w:rsidP="008724DA">
      <w:pPr>
        <w:pStyle w:val="Heading2"/>
        <w:shd w:val="clear" w:color="auto" w:fill="FFFFFF"/>
        <w:tabs>
          <w:tab w:val="left" w:pos="1985"/>
        </w:tabs>
        <w:spacing w:after="60"/>
        <w:rPr>
          <w:sz w:val="30"/>
          <w:szCs w:val="30"/>
        </w:rPr>
      </w:pPr>
      <w:r w:rsidRPr="0073699C">
        <w:rPr>
          <w:sz w:val="30"/>
          <w:szCs w:val="30"/>
        </w:rPr>
        <w:t>City &amp; County of Swansea Pension Fund</w:t>
      </w:r>
    </w:p>
    <w:p w14:paraId="0F1E77EE" w14:textId="77777777" w:rsidR="008724DA" w:rsidRPr="0073699C" w:rsidRDefault="008724DA" w:rsidP="008724DA">
      <w:pPr>
        <w:pStyle w:val="Heading2"/>
        <w:shd w:val="clear" w:color="auto" w:fill="FFFFFF"/>
        <w:spacing w:after="60"/>
        <w:rPr>
          <w:sz w:val="30"/>
          <w:szCs w:val="30"/>
        </w:rPr>
      </w:pPr>
      <w:r w:rsidRPr="0073699C">
        <w:rPr>
          <w:sz w:val="30"/>
          <w:szCs w:val="30"/>
        </w:rPr>
        <w:t>Statement of the Actuary for the year ended 31 March 202</w:t>
      </w:r>
      <w:r>
        <w:rPr>
          <w:sz w:val="30"/>
          <w:szCs w:val="30"/>
        </w:rPr>
        <w:t>2</w:t>
      </w:r>
    </w:p>
    <w:p w14:paraId="1EEBA2D4" w14:textId="77777777" w:rsidR="008724DA" w:rsidRPr="0073699C" w:rsidRDefault="008724DA" w:rsidP="008724DA">
      <w:pPr>
        <w:pStyle w:val="Heading3"/>
        <w:shd w:val="clear" w:color="auto" w:fill="FFFFFF"/>
        <w:spacing w:after="80"/>
        <w:jc w:val="left"/>
        <w:rPr>
          <w:sz w:val="20"/>
        </w:rPr>
      </w:pPr>
      <w:r w:rsidRPr="0073699C">
        <w:rPr>
          <w:sz w:val="20"/>
        </w:rPr>
        <w:t>Introduction</w:t>
      </w:r>
    </w:p>
    <w:p w14:paraId="50D26FCA" w14:textId="77777777" w:rsidR="008724DA" w:rsidRPr="0073699C" w:rsidRDefault="008724DA" w:rsidP="008724DA">
      <w:pPr>
        <w:pStyle w:val="BodyText"/>
        <w:shd w:val="clear" w:color="auto" w:fill="FFFFFF"/>
        <w:spacing w:after="120"/>
        <w:jc w:val="left"/>
        <w:rPr>
          <w:rFonts w:cs="Arial"/>
          <w:sz w:val="20"/>
        </w:rPr>
      </w:pPr>
      <w:r w:rsidRPr="0073699C">
        <w:rPr>
          <w:rFonts w:cs="Arial"/>
          <w:sz w:val="20"/>
        </w:rPr>
        <w:t xml:space="preserve">The Scheme Regulations require that a full actuarial valuation is carried out every third year. The purpose of this is to establish that the City &amp; County of Swansea Pension Fund (the Fund) is able to meet its liabilities to past and present contributors and to review employer contribution rates. The last full actuarial investigation into the financial position of the Fund was completed as at 31 March 2019 by Aon, in accordance with Regulation 62 of the Local Government Pension Scheme Regulations 2013. </w:t>
      </w:r>
    </w:p>
    <w:p w14:paraId="34176AE1" w14:textId="77777777" w:rsidR="008724DA" w:rsidRPr="0073699C" w:rsidRDefault="008724DA" w:rsidP="008724DA">
      <w:pPr>
        <w:pStyle w:val="Heading3"/>
        <w:spacing w:before="120" w:after="80"/>
        <w:jc w:val="left"/>
        <w:rPr>
          <w:sz w:val="20"/>
        </w:rPr>
      </w:pPr>
      <w:r w:rsidRPr="0073699C">
        <w:rPr>
          <w:sz w:val="20"/>
        </w:rPr>
        <w:t>Actuarial Position</w:t>
      </w:r>
    </w:p>
    <w:p w14:paraId="016C130F" w14:textId="77777777" w:rsidR="008724DA" w:rsidRPr="0073699C" w:rsidRDefault="008724DA" w:rsidP="0073304A">
      <w:pPr>
        <w:numPr>
          <w:ilvl w:val="0"/>
          <w:numId w:val="72"/>
        </w:numPr>
        <w:spacing w:after="120"/>
        <w:rPr>
          <w:rFonts w:ascii="Arial" w:hAnsi="Arial" w:cs="Arial"/>
          <w:sz w:val="20"/>
        </w:rPr>
      </w:pPr>
      <w:r w:rsidRPr="0073699C">
        <w:rPr>
          <w:rFonts w:ascii="Arial" w:hAnsi="Arial" w:cs="Arial"/>
          <w:sz w:val="20"/>
        </w:rPr>
        <w:t xml:space="preserve">The valuation as at 31 March 2019 showed that the funding level of the Fund had increased since the previous valuation with the market value of the Fund’s assets as at 31 March 2019 (of £2,044.0M) covering 91.5% of the liabilities allowing, in the case of pre- 1 April 2014 membership for current contributors to the Fund, for future increases in pensionable pay, and for other membership for future pension revaluation and increases. </w:t>
      </w:r>
    </w:p>
    <w:p w14:paraId="2A23C758" w14:textId="77777777" w:rsidR="008724DA" w:rsidRPr="0073699C" w:rsidRDefault="008724DA" w:rsidP="0073304A">
      <w:pPr>
        <w:numPr>
          <w:ilvl w:val="0"/>
          <w:numId w:val="72"/>
        </w:numPr>
        <w:spacing w:after="120"/>
        <w:rPr>
          <w:rFonts w:ascii="Arial" w:hAnsi="Arial" w:cs="Arial"/>
          <w:sz w:val="20"/>
        </w:rPr>
      </w:pPr>
      <w:bookmarkStart w:id="5" w:name="_Hlk38957836"/>
      <w:r w:rsidRPr="0073699C">
        <w:rPr>
          <w:rFonts w:ascii="Arial" w:hAnsi="Arial" w:cs="Arial"/>
          <w:sz w:val="20"/>
        </w:rPr>
        <w:t>The valuation also showed that the aggregate level of contributions required to be paid by participating employers with effect from 1 April 2020 was:</w:t>
      </w:r>
    </w:p>
    <w:p w14:paraId="39A34AD8" w14:textId="77777777" w:rsidR="008724DA" w:rsidRPr="0073699C" w:rsidRDefault="008724DA" w:rsidP="0073304A">
      <w:pPr>
        <w:numPr>
          <w:ilvl w:val="0"/>
          <w:numId w:val="73"/>
        </w:numPr>
        <w:tabs>
          <w:tab w:val="clear" w:pos="1455"/>
        </w:tabs>
        <w:spacing w:after="120"/>
        <w:ind w:left="1080"/>
        <w:rPr>
          <w:rFonts w:ascii="Arial" w:hAnsi="Arial" w:cs="Arial"/>
          <w:sz w:val="20"/>
        </w:rPr>
      </w:pPr>
      <w:r w:rsidRPr="0073699C">
        <w:rPr>
          <w:rFonts w:ascii="Arial" w:hAnsi="Arial" w:cs="Arial"/>
          <w:sz w:val="20"/>
        </w:rPr>
        <w:t xml:space="preserve">20.2% p.a.of pensionable pay. </w:t>
      </w:r>
      <w:bookmarkStart w:id="6" w:name="_Hlk38957933"/>
      <w:r w:rsidRPr="0073699C">
        <w:rPr>
          <w:rFonts w:ascii="Arial" w:hAnsi="Arial" w:cs="Arial"/>
          <w:sz w:val="20"/>
        </w:rPr>
        <w:t>This is the rate calculated as being sufficient, together with contributions paid by members, to meet the liabilities arising in respect of service after the valuation date</w:t>
      </w:r>
      <w:bookmarkEnd w:id="6"/>
      <w:r w:rsidRPr="0073699C">
        <w:rPr>
          <w:rFonts w:ascii="Arial" w:hAnsi="Arial" w:cs="Arial"/>
          <w:sz w:val="20"/>
        </w:rPr>
        <w:t xml:space="preserve"> (the primary rate),</w:t>
      </w:r>
    </w:p>
    <w:p w14:paraId="487B1793" w14:textId="77777777" w:rsidR="008724DA" w:rsidRPr="0073699C" w:rsidRDefault="008724DA" w:rsidP="008724DA">
      <w:pPr>
        <w:tabs>
          <w:tab w:val="num" w:pos="1080"/>
        </w:tabs>
        <w:spacing w:after="120"/>
        <w:ind w:left="720"/>
        <w:rPr>
          <w:rFonts w:ascii="Arial" w:hAnsi="Arial" w:cs="Arial"/>
          <w:sz w:val="20"/>
        </w:rPr>
      </w:pPr>
      <w:r w:rsidRPr="0073699C">
        <w:rPr>
          <w:rFonts w:ascii="Arial" w:hAnsi="Arial" w:cs="Arial"/>
          <w:b/>
          <w:sz w:val="20"/>
        </w:rPr>
        <w:t>Plus</w:t>
      </w:r>
    </w:p>
    <w:p w14:paraId="35442F21" w14:textId="77777777" w:rsidR="008724DA" w:rsidRPr="0073699C" w:rsidRDefault="008724DA" w:rsidP="0073304A">
      <w:pPr>
        <w:numPr>
          <w:ilvl w:val="0"/>
          <w:numId w:val="73"/>
        </w:numPr>
        <w:tabs>
          <w:tab w:val="clear" w:pos="1455"/>
        </w:tabs>
        <w:spacing w:after="120"/>
        <w:ind w:left="1080"/>
        <w:rPr>
          <w:rFonts w:ascii="Arial" w:hAnsi="Arial" w:cs="Arial"/>
          <w:sz w:val="20"/>
        </w:rPr>
      </w:pPr>
      <w:r w:rsidRPr="0073699C">
        <w:rPr>
          <w:rFonts w:ascii="Arial" w:hAnsi="Arial" w:cs="Arial"/>
          <w:sz w:val="20"/>
        </w:rPr>
        <w:t>an allowance of 1.5% p.a. of pensionable pay for McCloud and cost management – see paragraph 9 below,</w:t>
      </w:r>
    </w:p>
    <w:p w14:paraId="13D0DED5" w14:textId="77777777" w:rsidR="008724DA" w:rsidRPr="0073699C" w:rsidRDefault="008724DA" w:rsidP="008724DA">
      <w:pPr>
        <w:tabs>
          <w:tab w:val="num" w:pos="1080"/>
        </w:tabs>
        <w:spacing w:after="120"/>
        <w:ind w:left="720"/>
        <w:rPr>
          <w:rFonts w:ascii="Arial" w:hAnsi="Arial" w:cs="Arial"/>
          <w:sz w:val="20"/>
        </w:rPr>
      </w:pPr>
      <w:r w:rsidRPr="0073699C">
        <w:rPr>
          <w:rFonts w:ascii="Arial" w:hAnsi="Arial" w:cs="Arial"/>
          <w:b/>
          <w:sz w:val="20"/>
        </w:rPr>
        <w:t>Plus</w:t>
      </w:r>
    </w:p>
    <w:p w14:paraId="4F013CB0" w14:textId="77777777" w:rsidR="008724DA" w:rsidRPr="0073699C" w:rsidRDefault="008724DA" w:rsidP="0073304A">
      <w:pPr>
        <w:numPr>
          <w:ilvl w:val="0"/>
          <w:numId w:val="74"/>
        </w:numPr>
        <w:tabs>
          <w:tab w:val="clear" w:pos="1455"/>
        </w:tabs>
        <w:spacing w:after="120"/>
        <w:ind w:left="1080"/>
        <w:rPr>
          <w:rFonts w:ascii="Arial" w:hAnsi="Arial" w:cs="Arial"/>
          <w:sz w:val="20"/>
        </w:rPr>
      </w:pPr>
      <w:r w:rsidRPr="0073699C">
        <w:rPr>
          <w:rFonts w:ascii="Arial" w:hAnsi="Arial" w:cs="Arial"/>
          <w:sz w:val="20"/>
        </w:rPr>
        <w:t>Monetary amounts to restore the assets to 100% of the liabilities in respect of service prior to the valuation date over a recovery period of 19 years from 1 April 2020, equivalent to 3.3% p.a. of pensionable pay (or £10.3M in 2020/21, and increasing by 3.6% p.a. thereafter), which together with the allowance above comprises the secondary rate.</w:t>
      </w:r>
    </w:p>
    <w:bookmarkEnd w:id="5"/>
    <w:p w14:paraId="7D820553" w14:textId="77777777" w:rsidR="008724DA" w:rsidRPr="0073699C" w:rsidRDefault="008724DA" w:rsidP="0073304A">
      <w:pPr>
        <w:numPr>
          <w:ilvl w:val="0"/>
          <w:numId w:val="72"/>
        </w:numPr>
        <w:spacing w:after="120"/>
        <w:rPr>
          <w:rFonts w:ascii="Arial" w:hAnsi="Arial" w:cs="Arial"/>
          <w:sz w:val="20"/>
        </w:rPr>
      </w:pPr>
      <w:r w:rsidRPr="0073699C">
        <w:rPr>
          <w:rFonts w:ascii="Arial" w:hAnsi="Arial" w:cs="Arial"/>
          <w:sz w:val="20"/>
        </w:rPr>
        <w:t>In practice, each individual employer's or group of employers' position is assessed separately taking into account other factors (see note 4 below) and contributions are set out in Aon's report dated 31 March 2020 (the "actuarial valuation report"). In addition to the contributions certified, payments to cover additional liabilities arising from early retirements (other than ill-health retirements) will be made to the Fund by the employers.</w:t>
      </w:r>
      <w:r w:rsidRPr="0073699C">
        <w:rPr>
          <w:rFonts w:ascii="Arial" w:hAnsi="Arial" w:cs="Arial"/>
          <w:sz w:val="20"/>
        </w:rPr>
        <w:br/>
      </w:r>
      <w:r w:rsidRPr="0073699C">
        <w:rPr>
          <w:rFonts w:ascii="Arial" w:hAnsi="Arial" w:cs="Arial"/>
          <w:sz w:val="20"/>
        </w:rPr>
        <w:br/>
        <w:t xml:space="preserve">Total contributions payable by all employers over the </w:t>
      </w:r>
      <w:r>
        <w:rPr>
          <w:rFonts w:ascii="Arial" w:hAnsi="Arial" w:cs="Arial"/>
          <w:sz w:val="20"/>
        </w:rPr>
        <w:t>three</w:t>
      </w:r>
      <w:r w:rsidRPr="0073699C">
        <w:rPr>
          <w:rFonts w:ascii="Arial" w:hAnsi="Arial" w:cs="Arial"/>
          <w:sz w:val="20"/>
        </w:rPr>
        <w:t xml:space="preserve"> years to </w:t>
      </w:r>
      <w:r w:rsidRPr="00BC4185">
        <w:rPr>
          <w:rFonts w:ascii="Arial" w:hAnsi="Arial" w:cs="Arial"/>
          <w:sz w:val="20"/>
        </w:rPr>
        <w:t>31 March 202</w:t>
      </w:r>
      <w:r>
        <w:rPr>
          <w:rFonts w:ascii="Arial" w:hAnsi="Arial" w:cs="Arial"/>
          <w:sz w:val="20"/>
        </w:rPr>
        <w:t>3</w:t>
      </w:r>
      <w:r w:rsidRPr="0073699C">
        <w:rPr>
          <w:rFonts w:ascii="Arial" w:hAnsi="Arial" w:cs="Arial"/>
          <w:sz w:val="20"/>
        </w:rPr>
        <w:t xml:space="preserve"> are estimated to be:</w:t>
      </w:r>
      <w:r w:rsidRPr="0073699C">
        <w:rPr>
          <w:rFonts w:ascii="Arial" w:hAnsi="Arial" w:cs="Arial"/>
          <w:sz w:val="20"/>
        </w:rPr>
        <w:br/>
      </w:r>
    </w:p>
    <w:tbl>
      <w:tblPr>
        <w:tblW w:w="7893" w:type="dxa"/>
        <w:tblInd w:w="612" w:type="dxa"/>
        <w:tblBorders>
          <w:bottom w:val="single" w:sz="4" w:space="0" w:color="C0504D"/>
          <w:insideH w:val="single" w:sz="4" w:space="0" w:color="C0504D"/>
        </w:tblBorders>
        <w:tblLook w:val="04A0" w:firstRow="1" w:lastRow="0" w:firstColumn="1" w:lastColumn="0" w:noHBand="0" w:noVBand="1"/>
      </w:tblPr>
      <w:tblGrid>
        <w:gridCol w:w="2631"/>
        <w:gridCol w:w="2631"/>
        <w:gridCol w:w="2631"/>
      </w:tblGrid>
      <w:tr w:rsidR="008724DA" w:rsidRPr="0073699C" w14:paraId="046918BD" w14:textId="77777777" w:rsidTr="0075192A">
        <w:trPr>
          <w:trHeight w:val="323"/>
        </w:trPr>
        <w:tc>
          <w:tcPr>
            <w:tcW w:w="0" w:type="dxa"/>
            <w:tcBorders>
              <w:top w:val="single" w:sz="12" w:space="0" w:color="auto"/>
              <w:bottom w:val="single" w:sz="12" w:space="0" w:color="auto"/>
            </w:tcBorders>
            <w:shd w:val="clear" w:color="auto" w:fill="auto"/>
          </w:tcPr>
          <w:p w14:paraId="001335BF" w14:textId="77777777" w:rsidR="008724DA" w:rsidRPr="0075192A" w:rsidRDefault="008724DA" w:rsidP="0075192A">
            <w:pPr>
              <w:pStyle w:val="ClarityBody"/>
              <w:spacing w:after="0"/>
              <w:jc w:val="center"/>
              <w:rPr>
                <w:b/>
                <w:szCs w:val="22"/>
                <w:lang w:val="en-US"/>
              </w:rPr>
            </w:pPr>
            <w:r w:rsidRPr="0075192A">
              <w:rPr>
                <w:b/>
                <w:szCs w:val="22"/>
                <w:lang w:val="en-US"/>
              </w:rPr>
              <w:t>Year from 1 April</w:t>
            </w:r>
          </w:p>
        </w:tc>
        <w:tc>
          <w:tcPr>
            <w:tcW w:w="0" w:type="dxa"/>
            <w:tcBorders>
              <w:top w:val="single" w:sz="12" w:space="0" w:color="auto"/>
              <w:bottom w:val="single" w:sz="12" w:space="0" w:color="auto"/>
            </w:tcBorders>
            <w:shd w:val="clear" w:color="auto" w:fill="auto"/>
          </w:tcPr>
          <w:p w14:paraId="7C0185C6" w14:textId="77777777" w:rsidR="008724DA" w:rsidRPr="0075192A" w:rsidRDefault="008724DA" w:rsidP="0075192A">
            <w:pPr>
              <w:pStyle w:val="ClarityBody"/>
              <w:spacing w:after="0"/>
              <w:jc w:val="center"/>
              <w:rPr>
                <w:b/>
                <w:szCs w:val="22"/>
                <w:lang w:val="en-US"/>
              </w:rPr>
            </w:pPr>
            <w:r w:rsidRPr="0075192A">
              <w:rPr>
                <w:b/>
                <w:szCs w:val="22"/>
                <w:lang w:val="en-US"/>
              </w:rPr>
              <w:t>% of pensionable pay</w:t>
            </w:r>
          </w:p>
        </w:tc>
        <w:tc>
          <w:tcPr>
            <w:tcW w:w="0" w:type="dxa"/>
            <w:tcBorders>
              <w:top w:val="single" w:sz="12" w:space="0" w:color="auto"/>
              <w:bottom w:val="single" w:sz="12" w:space="0" w:color="auto"/>
            </w:tcBorders>
            <w:shd w:val="clear" w:color="auto" w:fill="auto"/>
          </w:tcPr>
          <w:p w14:paraId="6175EF45" w14:textId="77777777" w:rsidR="008724DA" w:rsidRPr="0075192A" w:rsidRDefault="008724DA" w:rsidP="0075192A">
            <w:pPr>
              <w:pStyle w:val="ClarityBody"/>
              <w:spacing w:after="0"/>
              <w:jc w:val="center"/>
              <w:rPr>
                <w:b/>
                <w:szCs w:val="22"/>
                <w:lang w:val="en-US"/>
              </w:rPr>
            </w:pPr>
            <w:r w:rsidRPr="0075192A">
              <w:rPr>
                <w:b/>
                <w:szCs w:val="22"/>
                <w:lang w:val="en-US"/>
              </w:rPr>
              <w:t>Plus total contribution amount (£M)</w:t>
            </w:r>
          </w:p>
        </w:tc>
      </w:tr>
      <w:tr w:rsidR="008724DA" w:rsidRPr="0073699C" w14:paraId="5E4CB7AF" w14:textId="77777777" w:rsidTr="0075192A">
        <w:trPr>
          <w:trHeight w:val="322"/>
        </w:trPr>
        <w:tc>
          <w:tcPr>
            <w:tcW w:w="2631" w:type="dxa"/>
            <w:tcBorders>
              <w:top w:val="single" w:sz="12" w:space="0" w:color="auto"/>
              <w:bottom w:val="single" w:sz="4" w:space="0" w:color="auto"/>
            </w:tcBorders>
            <w:shd w:val="clear" w:color="auto" w:fill="auto"/>
          </w:tcPr>
          <w:p w14:paraId="4EE6C900" w14:textId="77777777" w:rsidR="008724DA" w:rsidRPr="0075192A" w:rsidRDefault="008724DA" w:rsidP="0075192A">
            <w:pPr>
              <w:pStyle w:val="ClarityBody"/>
              <w:spacing w:after="0"/>
              <w:jc w:val="center"/>
              <w:rPr>
                <w:szCs w:val="22"/>
                <w:lang w:val="en-US"/>
              </w:rPr>
            </w:pPr>
            <w:r w:rsidRPr="0075192A">
              <w:rPr>
                <w:szCs w:val="22"/>
                <w:lang w:val="en-US"/>
              </w:rPr>
              <w:t>2020</w:t>
            </w:r>
          </w:p>
        </w:tc>
        <w:tc>
          <w:tcPr>
            <w:tcW w:w="2631" w:type="dxa"/>
            <w:tcBorders>
              <w:top w:val="single" w:sz="12" w:space="0" w:color="auto"/>
              <w:bottom w:val="single" w:sz="4" w:space="0" w:color="auto"/>
            </w:tcBorders>
            <w:shd w:val="clear" w:color="auto" w:fill="auto"/>
          </w:tcPr>
          <w:p w14:paraId="06B9E3A3" w14:textId="77777777" w:rsidR="008724DA" w:rsidRPr="0075192A" w:rsidRDefault="008724DA" w:rsidP="0075192A">
            <w:pPr>
              <w:pStyle w:val="ClarityBody"/>
              <w:spacing w:after="0"/>
              <w:jc w:val="center"/>
              <w:rPr>
                <w:szCs w:val="22"/>
                <w:lang w:val="en-US"/>
              </w:rPr>
            </w:pPr>
            <w:r w:rsidRPr="0075192A">
              <w:rPr>
                <w:szCs w:val="22"/>
                <w:lang w:val="en-US"/>
              </w:rPr>
              <w:t>25.1</w:t>
            </w:r>
          </w:p>
        </w:tc>
        <w:tc>
          <w:tcPr>
            <w:tcW w:w="2631" w:type="dxa"/>
            <w:tcBorders>
              <w:top w:val="single" w:sz="12" w:space="0" w:color="auto"/>
              <w:bottom w:val="single" w:sz="4" w:space="0" w:color="auto"/>
            </w:tcBorders>
            <w:shd w:val="clear" w:color="auto" w:fill="auto"/>
          </w:tcPr>
          <w:p w14:paraId="245EA781" w14:textId="77777777" w:rsidR="008724DA" w:rsidRPr="0075192A" w:rsidRDefault="008724DA" w:rsidP="0075192A">
            <w:pPr>
              <w:pStyle w:val="ClarityBody"/>
              <w:spacing w:after="0"/>
              <w:jc w:val="center"/>
              <w:rPr>
                <w:szCs w:val="22"/>
                <w:lang w:val="en-US"/>
              </w:rPr>
            </w:pPr>
            <w:r w:rsidRPr="0075192A">
              <w:rPr>
                <w:szCs w:val="22"/>
                <w:lang w:val="en-US"/>
              </w:rPr>
              <w:t>0.57</w:t>
            </w:r>
          </w:p>
        </w:tc>
      </w:tr>
      <w:tr w:rsidR="008724DA" w:rsidRPr="0073699C" w14:paraId="37EB8547" w14:textId="77777777" w:rsidTr="0075192A">
        <w:trPr>
          <w:trHeight w:val="322"/>
        </w:trPr>
        <w:tc>
          <w:tcPr>
            <w:tcW w:w="2631" w:type="dxa"/>
            <w:tcBorders>
              <w:top w:val="single" w:sz="4" w:space="0" w:color="auto"/>
              <w:bottom w:val="single" w:sz="4" w:space="0" w:color="auto"/>
            </w:tcBorders>
            <w:shd w:val="clear" w:color="auto" w:fill="auto"/>
          </w:tcPr>
          <w:p w14:paraId="402F9AC7" w14:textId="77777777" w:rsidR="008724DA" w:rsidRPr="0075192A" w:rsidRDefault="008724DA" w:rsidP="0075192A">
            <w:pPr>
              <w:pStyle w:val="ClarityBody"/>
              <w:spacing w:after="0"/>
              <w:jc w:val="center"/>
              <w:rPr>
                <w:szCs w:val="22"/>
                <w:lang w:val="en-US"/>
              </w:rPr>
            </w:pPr>
            <w:r w:rsidRPr="0075192A">
              <w:rPr>
                <w:szCs w:val="22"/>
                <w:lang w:val="en-US"/>
              </w:rPr>
              <w:t>2021</w:t>
            </w:r>
          </w:p>
        </w:tc>
        <w:tc>
          <w:tcPr>
            <w:tcW w:w="2631" w:type="dxa"/>
            <w:tcBorders>
              <w:top w:val="single" w:sz="4" w:space="0" w:color="auto"/>
              <w:bottom w:val="single" w:sz="4" w:space="0" w:color="auto"/>
            </w:tcBorders>
            <w:shd w:val="clear" w:color="auto" w:fill="auto"/>
          </w:tcPr>
          <w:p w14:paraId="7D5194D6" w14:textId="77777777" w:rsidR="008724DA" w:rsidRPr="0075192A" w:rsidRDefault="008724DA" w:rsidP="0075192A">
            <w:pPr>
              <w:pStyle w:val="ClarityBody"/>
              <w:spacing w:after="0"/>
              <w:jc w:val="center"/>
              <w:rPr>
                <w:szCs w:val="22"/>
                <w:lang w:val="en-US"/>
              </w:rPr>
            </w:pPr>
            <w:r w:rsidRPr="0075192A">
              <w:rPr>
                <w:szCs w:val="22"/>
                <w:lang w:val="en-US"/>
              </w:rPr>
              <w:t>25.0</w:t>
            </w:r>
          </w:p>
        </w:tc>
        <w:tc>
          <w:tcPr>
            <w:tcW w:w="2631" w:type="dxa"/>
            <w:tcBorders>
              <w:top w:val="single" w:sz="4" w:space="0" w:color="auto"/>
              <w:bottom w:val="single" w:sz="4" w:space="0" w:color="auto"/>
            </w:tcBorders>
            <w:shd w:val="clear" w:color="auto" w:fill="auto"/>
          </w:tcPr>
          <w:p w14:paraId="3DC7E00F" w14:textId="77777777" w:rsidR="008724DA" w:rsidRPr="0075192A" w:rsidRDefault="008724DA" w:rsidP="0075192A">
            <w:pPr>
              <w:pStyle w:val="ClarityBody"/>
              <w:spacing w:after="0"/>
              <w:jc w:val="center"/>
              <w:rPr>
                <w:szCs w:val="22"/>
                <w:lang w:val="en-US"/>
              </w:rPr>
            </w:pPr>
            <w:r w:rsidRPr="0075192A">
              <w:rPr>
                <w:szCs w:val="22"/>
                <w:lang w:val="en-US"/>
              </w:rPr>
              <w:t>0.58</w:t>
            </w:r>
          </w:p>
        </w:tc>
      </w:tr>
      <w:tr w:rsidR="008724DA" w:rsidRPr="0073699C" w14:paraId="6825B526" w14:textId="77777777" w:rsidTr="0075192A">
        <w:trPr>
          <w:trHeight w:val="323"/>
        </w:trPr>
        <w:tc>
          <w:tcPr>
            <w:tcW w:w="2631" w:type="dxa"/>
            <w:tcBorders>
              <w:top w:val="single" w:sz="4" w:space="0" w:color="auto"/>
              <w:bottom w:val="single" w:sz="4" w:space="0" w:color="auto"/>
            </w:tcBorders>
            <w:shd w:val="clear" w:color="auto" w:fill="auto"/>
          </w:tcPr>
          <w:p w14:paraId="6164C8DC" w14:textId="77777777" w:rsidR="008724DA" w:rsidRPr="0075192A" w:rsidRDefault="008724DA" w:rsidP="0075192A">
            <w:pPr>
              <w:pStyle w:val="ClarityBody"/>
              <w:spacing w:after="0"/>
              <w:jc w:val="center"/>
              <w:rPr>
                <w:szCs w:val="22"/>
                <w:lang w:val="en-US"/>
              </w:rPr>
            </w:pPr>
            <w:r w:rsidRPr="0075192A">
              <w:rPr>
                <w:szCs w:val="22"/>
                <w:lang w:val="en-US"/>
              </w:rPr>
              <w:t>2022</w:t>
            </w:r>
          </w:p>
        </w:tc>
        <w:tc>
          <w:tcPr>
            <w:tcW w:w="2631" w:type="dxa"/>
            <w:tcBorders>
              <w:top w:val="single" w:sz="4" w:space="0" w:color="auto"/>
              <w:bottom w:val="single" w:sz="4" w:space="0" w:color="auto"/>
            </w:tcBorders>
            <w:shd w:val="clear" w:color="auto" w:fill="auto"/>
          </w:tcPr>
          <w:p w14:paraId="727A987B" w14:textId="77777777" w:rsidR="008724DA" w:rsidRPr="0075192A" w:rsidRDefault="008724DA" w:rsidP="0075192A">
            <w:pPr>
              <w:pStyle w:val="ClarityBody"/>
              <w:spacing w:after="0"/>
              <w:jc w:val="center"/>
              <w:rPr>
                <w:szCs w:val="22"/>
                <w:lang w:val="en-US"/>
              </w:rPr>
            </w:pPr>
            <w:r w:rsidRPr="0075192A">
              <w:rPr>
                <w:szCs w:val="22"/>
                <w:lang w:val="en-US"/>
              </w:rPr>
              <w:t>25.0</w:t>
            </w:r>
          </w:p>
        </w:tc>
        <w:tc>
          <w:tcPr>
            <w:tcW w:w="2631" w:type="dxa"/>
            <w:tcBorders>
              <w:top w:val="single" w:sz="4" w:space="0" w:color="auto"/>
              <w:bottom w:val="single" w:sz="4" w:space="0" w:color="auto"/>
            </w:tcBorders>
            <w:shd w:val="clear" w:color="auto" w:fill="auto"/>
          </w:tcPr>
          <w:p w14:paraId="64388A7C" w14:textId="77777777" w:rsidR="008724DA" w:rsidRPr="0075192A" w:rsidRDefault="008724DA" w:rsidP="0075192A">
            <w:pPr>
              <w:pStyle w:val="ClarityBody"/>
              <w:spacing w:after="0"/>
              <w:jc w:val="center"/>
              <w:rPr>
                <w:szCs w:val="22"/>
                <w:lang w:val="en-US"/>
              </w:rPr>
            </w:pPr>
            <w:r w:rsidRPr="0075192A">
              <w:rPr>
                <w:szCs w:val="22"/>
                <w:lang w:val="en-US"/>
              </w:rPr>
              <w:t>0.68</w:t>
            </w:r>
          </w:p>
        </w:tc>
      </w:tr>
    </w:tbl>
    <w:p w14:paraId="09A3678C" w14:textId="77777777" w:rsidR="008724DA" w:rsidRPr="0073699C" w:rsidRDefault="008724DA" w:rsidP="008724DA">
      <w:pPr>
        <w:spacing w:after="120"/>
        <w:rPr>
          <w:rFonts w:ascii="Arial" w:hAnsi="Arial" w:cs="Arial"/>
          <w:sz w:val="20"/>
        </w:rPr>
      </w:pPr>
    </w:p>
    <w:p w14:paraId="5CC8192F" w14:textId="77777777" w:rsidR="008724DA" w:rsidRPr="0073699C" w:rsidRDefault="008724DA" w:rsidP="0073304A">
      <w:pPr>
        <w:numPr>
          <w:ilvl w:val="0"/>
          <w:numId w:val="72"/>
        </w:numPr>
        <w:spacing w:after="120"/>
        <w:rPr>
          <w:rFonts w:ascii="Arial" w:hAnsi="Arial" w:cs="Arial"/>
          <w:sz w:val="20"/>
        </w:rPr>
      </w:pPr>
      <w:r w:rsidRPr="0073699C">
        <w:rPr>
          <w:rFonts w:ascii="Arial" w:hAnsi="Arial" w:cs="Arial"/>
          <w:sz w:val="20"/>
        </w:rPr>
        <w:lastRenderedPageBreak/>
        <w:t xml:space="preserve">The funding plan adopted in assessing the contributions for each employer is in accordance with the Funding Strategy Statement. Different approaches were adopted in relation to the calculation of the primary contribution rate, stepping of contribution increases and individual employers' recovery periods as agreed with the Administering Authority and reflected in the Funding Strategy Statement, reflecting the employers' circumstances. </w:t>
      </w:r>
      <w:bookmarkStart w:id="7" w:name="_Hlk40341464"/>
      <w:r w:rsidRPr="0073699C">
        <w:rPr>
          <w:rFonts w:ascii="Arial" w:hAnsi="Arial" w:cs="Arial"/>
          <w:sz w:val="20"/>
        </w:rPr>
        <w:t>This included an agreement that where employers are in surplus, this has only led to an adjustment in contributions to the extent that this surplus is in excess of 10% of the value of that employer's liabilities (i.e. to the extent that the employer's funding level is greater than 110%).</w:t>
      </w:r>
      <w:bookmarkEnd w:id="7"/>
    </w:p>
    <w:p w14:paraId="037B0A2D" w14:textId="77777777" w:rsidR="008724DA" w:rsidRPr="0073699C" w:rsidRDefault="008724DA" w:rsidP="0073304A">
      <w:pPr>
        <w:numPr>
          <w:ilvl w:val="0"/>
          <w:numId w:val="72"/>
        </w:numPr>
        <w:spacing w:after="120"/>
        <w:rPr>
          <w:rFonts w:ascii="Arial" w:hAnsi="Arial" w:cs="Arial"/>
          <w:sz w:val="20"/>
        </w:rPr>
      </w:pPr>
      <w:r w:rsidRPr="0073699C">
        <w:rPr>
          <w:rFonts w:ascii="Arial" w:hAnsi="Arial" w:cs="Arial"/>
          <w:sz w:val="20"/>
        </w:rPr>
        <w:t>The valuation was carried out using the projected unit actuarial method for most employers and the main financial actuarial assumptions used for assessing the funding target and the contribution rates were as follows.</w:t>
      </w:r>
    </w:p>
    <w:tbl>
      <w:tblPr>
        <w:tblW w:w="4651" w:type="pct"/>
        <w:tblInd w:w="715" w:type="dxa"/>
        <w:tblCellMar>
          <w:left w:w="110" w:type="dxa"/>
          <w:right w:w="110" w:type="dxa"/>
        </w:tblCellMar>
        <w:tblLook w:val="0000" w:firstRow="0" w:lastRow="0" w:firstColumn="0" w:lastColumn="0" w:noHBand="0" w:noVBand="0"/>
      </w:tblPr>
      <w:tblGrid>
        <w:gridCol w:w="6626"/>
        <w:gridCol w:w="2883"/>
      </w:tblGrid>
      <w:tr w:rsidR="008724DA" w:rsidRPr="0073699C" w14:paraId="256F77EB" w14:textId="77777777" w:rsidTr="0075192A">
        <w:trPr>
          <w:trHeight w:val="567"/>
        </w:trPr>
        <w:tc>
          <w:tcPr>
            <w:tcW w:w="3484" w:type="pct"/>
            <w:shd w:val="clear" w:color="auto" w:fill="FFFFFF"/>
          </w:tcPr>
          <w:p w14:paraId="22421B9E" w14:textId="77777777" w:rsidR="008724DA" w:rsidRPr="0073699C" w:rsidRDefault="008724DA" w:rsidP="0075192A">
            <w:pPr>
              <w:pStyle w:val="Normalplus"/>
              <w:tabs>
                <w:tab w:val="left" w:pos="375"/>
              </w:tabs>
              <w:rPr>
                <w:rFonts w:cs="Arial"/>
                <w:sz w:val="20"/>
                <w:szCs w:val="20"/>
              </w:rPr>
            </w:pPr>
            <w:r w:rsidRPr="0073699C">
              <w:rPr>
                <w:rFonts w:cs="Arial"/>
                <w:sz w:val="20"/>
                <w:szCs w:val="20"/>
              </w:rPr>
              <w:t>Discount rate for periods in service</w:t>
            </w:r>
          </w:p>
          <w:p w14:paraId="5D2A49DF" w14:textId="77777777" w:rsidR="008724DA" w:rsidRPr="0073699C" w:rsidRDefault="008724DA" w:rsidP="0075192A">
            <w:pPr>
              <w:pStyle w:val="Normalplus"/>
              <w:tabs>
                <w:tab w:val="left" w:pos="375"/>
              </w:tabs>
              <w:rPr>
                <w:rFonts w:cs="Arial"/>
                <w:sz w:val="20"/>
                <w:szCs w:val="20"/>
              </w:rPr>
            </w:pPr>
            <w:r w:rsidRPr="0073699C">
              <w:rPr>
                <w:rFonts w:cs="Arial"/>
                <w:sz w:val="20"/>
                <w:szCs w:val="20"/>
              </w:rPr>
              <w:tab/>
              <w:t>Secure scheduled body employers *</w:t>
            </w:r>
          </w:p>
          <w:p w14:paraId="3A60E92C" w14:textId="77777777" w:rsidR="008724DA" w:rsidRPr="0073699C" w:rsidRDefault="008724DA" w:rsidP="0075192A">
            <w:pPr>
              <w:pStyle w:val="Normalplus"/>
              <w:tabs>
                <w:tab w:val="left" w:pos="375"/>
              </w:tabs>
              <w:ind w:left="374"/>
              <w:rPr>
                <w:rFonts w:cs="Arial"/>
                <w:sz w:val="20"/>
                <w:szCs w:val="20"/>
              </w:rPr>
            </w:pPr>
            <w:r w:rsidRPr="0073699C">
              <w:rPr>
                <w:rFonts w:cs="Arial"/>
                <w:sz w:val="20"/>
                <w:szCs w:val="20"/>
              </w:rPr>
              <w:t>Ongoing Orphan employers</w:t>
            </w:r>
          </w:p>
        </w:tc>
        <w:tc>
          <w:tcPr>
            <w:tcW w:w="1516" w:type="pct"/>
            <w:shd w:val="clear" w:color="auto" w:fill="auto"/>
          </w:tcPr>
          <w:p w14:paraId="32DE0BCF" w14:textId="77777777" w:rsidR="008724DA" w:rsidRPr="0073699C" w:rsidRDefault="008724DA" w:rsidP="0075192A">
            <w:pPr>
              <w:pStyle w:val="Normalplus"/>
              <w:jc w:val="center"/>
              <w:rPr>
                <w:rFonts w:cs="Arial"/>
                <w:sz w:val="20"/>
                <w:szCs w:val="20"/>
              </w:rPr>
            </w:pPr>
          </w:p>
          <w:p w14:paraId="0B77E157" w14:textId="77777777" w:rsidR="008724DA" w:rsidRPr="0073699C" w:rsidRDefault="008724DA" w:rsidP="0075192A">
            <w:pPr>
              <w:pStyle w:val="Normalplus"/>
              <w:jc w:val="center"/>
              <w:rPr>
                <w:rFonts w:cs="Arial"/>
                <w:sz w:val="20"/>
                <w:szCs w:val="20"/>
              </w:rPr>
            </w:pPr>
            <w:r w:rsidRPr="0073699C">
              <w:rPr>
                <w:rFonts w:cs="Arial"/>
                <w:sz w:val="20"/>
                <w:szCs w:val="20"/>
              </w:rPr>
              <w:t>4.25% p.a.</w:t>
            </w:r>
          </w:p>
          <w:p w14:paraId="110C719E" w14:textId="77777777" w:rsidR="008724DA" w:rsidRPr="0073699C" w:rsidRDefault="008724DA" w:rsidP="0075192A">
            <w:pPr>
              <w:pStyle w:val="Normalplus"/>
              <w:jc w:val="center"/>
              <w:rPr>
                <w:rFonts w:cs="Arial"/>
                <w:sz w:val="20"/>
                <w:szCs w:val="20"/>
              </w:rPr>
            </w:pPr>
            <w:r w:rsidRPr="0073699C">
              <w:rPr>
                <w:rFonts w:cs="Arial"/>
                <w:sz w:val="20"/>
                <w:szCs w:val="20"/>
              </w:rPr>
              <w:t>4.25% p.a.</w:t>
            </w:r>
          </w:p>
        </w:tc>
      </w:tr>
      <w:tr w:rsidR="008724DA" w:rsidRPr="0073699C" w14:paraId="6930D479" w14:textId="77777777" w:rsidTr="0075192A">
        <w:trPr>
          <w:trHeight w:val="567"/>
        </w:trPr>
        <w:tc>
          <w:tcPr>
            <w:tcW w:w="3484" w:type="pct"/>
            <w:shd w:val="clear" w:color="auto" w:fill="FFFFFF"/>
          </w:tcPr>
          <w:p w14:paraId="40582AB8" w14:textId="77777777" w:rsidR="008724DA" w:rsidRPr="0073699C" w:rsidRDefault="008724DA" w:rsidP="0075192A">
            <w:pPr>
              <w:pStyle w:val="Normalplus"/>
              <w:tabs>
                <w:tab w:val="left" w:pos="375"/>
              </w:tabs>
              <w:rPr>
                <w:rFonts w:cs="Arial"/>
                <w:sz w:val="20"/>
                <w:szCs w:val="20"/>
              </w:rPr>
            </w:pPr>
            <w:r w:rsidRPr="0073699C">
              <w:rPr>
                <w:rFonts w:cs="Arial"/>
                <w:sz w:val="20"/>
                <w:szCs w:val="20"/>
              </w:rPr>
              <w:t>Discount rate for periods after leaving service</w:t>
            </w:r>
          </w:p>
          <w:p w14:paraId="116B9F1A" w14:textId="77777777" w:rsidR="008724DA" w:rsidRPr="0073699C" w:rsidRDefault="008724DA" w:rsidP="0075192A">
            <w:pPr>
              <w:pStyle w:val="Normalplus"/>
              <w:tabs>
                <w:tab w:val="left" w:pos="375"/>
              </w:tabs>
              <w:rPr>
                <w:rFonts w:cs="Arial"/>
                <w:sz w:val="20"/>
                <w:szCs w:val="20"/>
              </w:rPr>
            </w:pPr>
            <w:r w:rsidRPr="0073699C">
              <w:rPr>
                <w:rFonts w:cs="Arial"/>
                <w:sz w:val="20"/>
                <w:szCs w:val="20"/>
              </w:rPr>
              <w:tab/>
              <w:t>Secure scheduled body employers *</w:t>
            </w:r>
          </w:p>
          <w:p w14:paraId="68C35C25" w14:textId="77777777" w:rsidR="008724DA" w:rsidRPr="0073699C" w:rsidRDefault="008724DA" w:rsidP="0075192A">
            <w:pPr>
              <w:pStyle w:val="Normalplus"/>
              <w:tabs>
                <w:tab w:val="left" w:pos="375"/>
              </w:tabs>
              <w:ind w:left="374"/>
              <w:rPr>
                <w:rFonts w:cs="Arial"/>
                <w:sz w:val="20"/>
                <w:szCs w:val="20"/>
              </w:rPr>
            </w:pPr>
            <w:r w:rsidRPr="0073699C">
              <w:rPr>
                <w:rFonts w:cs="Arial"/>
                <w:sz w:val="20"/>
                <w:szCs w:val="20"/>
              </w:rPr>
              <w:t>Ongoing Orphan employers</w:t>
            </w:r>
          </w:p>
        </w:tc>
        <w:tc>
          <w:tcPr>
            <w:tcW w:w="1516" w:type="pct"/>
            <w:shd w:val="clear" w:color="auto" w:fill="auto"/>
          </w:tcPr>
          <w:p w14:paraId="29B2DE05" w14:textId="77777777" w:rsidR="008724DA" w:rsidRPr="0073699C" w:rsidRDefault="008724DA" w:rsidP="0075192A">
            <w:pPr>
              <w:pStyle w:val="Normalplus"/>
              <w:jc w:val="center"/>
              <w:rPr>
                <w:rFonts w:cs="Arial"/>
                <w:sz w:val="20"/>
                <w:szCs w:val="20"/>
              </w:rPr>
            </w:pPr>
          </w:p>
          <w:p w14:paraId="4DFC32D8" w14:textId="77777777" w:rsidR="008724DA" w:rsidRPr="0073699C" w:rsidRDefault="008724DA" w:rsidP="0075192A">
            <w:pPr>
              <w:pStyle w:val="Normalplus"/>
              <w:jc w:val="center"/>
              <w:rPr>
                <w:rFonts w:cs="Arial"/>
                <w:sz w:val="20"/>
                <w:szCs w:val="20"/>
              </w:rPr>
            </w:pPr>
            <w:r w:rsidRPr="0073699C">
              <w:rPr>
                <w:rFonts w:cs="Arial"/>
                <w:sz w:val="20"/>
                <w:szCs w:val="20"/>
              </w:rPr>
              <w:t>4.25% p.a.</w:t>
            </w:r>
          </w:p>
          <w:p w14:paraId="5F3757D1" w14:textId="77777777" w:rsidR="008724DA" w:rsidRPr="0073699C" w:rsidRDefault="008724DA" w:rsidP="0075192A">
            <w:pPr>
              <w:pStyle w:val="Normalplus"/>
              <w:jc w:val="center"/>
              <w:rPr>
                <w:rFonts w:cs="Arial"/>
                <w:sz w:val="20"/>
                <w:szCs w:val="20"/>
              </w:rPr>
            </w:pPr>
            <w:r w:rsidRPr="0073699C">
              <w:rPr>
                <w:rFonts w:cs="Arial"/>
                <w:sz w:val="20"/>
                <w:szCs w:val="20"/>
              </w:rPr>
              <w:t>1.6% p.a</w:t>
            </w:r>
          </w:p>
        </w:tc>
      </w:tr>
      <w:tr w:rsidR="008724DA" w:rsidRPr="0073699C" w14:paraId="5E839288" w14:textId="77777777" w:rsidTr="0075192A">
        <w:tc>
          <w:tcPr>
            <w:tcW w:w="3484" w:type="pct"/>
          </w:tcPr>
          <w:p w14:paraId="11542736" w14:textId="77777777" w:rsidR="008724DA" w:rsidRPr="0073699C" w:rsidRDefault="008724DA" w:rsidP="0075192A">
            <w:pPr>
              <w:pStyle w:val="Normalplus"/>
              <w:spacing w:before="40" w:after="40"/>
              <w:rPr>
                <w:rFonts w:cs="Arial"/>
                <w:sz w:val="20"/>
                <w:szCs w:val="20"/>
              </w:rPr>
            </w:pPr>
            <w:r w:rsidRPr="0073699C">
              <w:rPr>
                <w:rFonts w:cs="Arial"/>
                <w:sz w:val="20"/>
                <w:szCs w:val="20"/>
              </w:rPr>
              <w:t>Rate of pay increases</w:t>
            </w:r>
          </w:p>
        </w:tc>
        <w:tc>
          <w:tcPr>
            <w:tcW w:w="1516" w:type="pct"/>
            <w:shd w:val="clear" w:color="auto" w:fill="auto"/>
          </w:tcPr>
          <w:p w14:paraId="647102C1" w14:textId="77777777" w:rsidR="008724DA" w:rsidRPr="0073699C" w:rsidRDefault="008724DA" w:rsidP="0075192A">
            <w:pPr>
              <w:pStyle w:val="Normalplus"/>
              <w:spacing w:before="40" w:after="40"/>
              <w:jc w:val="center"/>
              <w:rPr>
                <w:rFonts w:cs="Arial"/>
                <w:sz w:val="20"/>
                <w:szCs w:val="20"/>
              </w:rPr>
            </w:pPr>
            <w:r w:rsidRPr="0073699C">
              <w:rPr>
                <w:rFonts w:cs="Arial"/>
                <w:sz w:val="20"/>
                <w:szCs w:val="20"/>
              </w:rPr>
              <w:t>3.6% p.a.</w:t>
            </w:r>
          </w:p>
        </w:tc>
      </w:tr>
      <w:tr w:rsidR="008724DA" w:rsidRPr="0073699C" w14:paraId="02BF0DBB" w14:textId="77777777" w:rsidTr="0075192A">
        <w:tc>
          <w:tcPr>
            <w:tcW w:w="3484" w:type="pct"/>
          </w:tcPr>
          <w:p w14:paraId="7899653D" w14:textId="77777777" w:rsidR="008724DA" w:rsidRPr="0073699C" w:rsidRDefault="008724DA" w:rsidP="0075192A">
            <w:pPr>
              <w:pStyle w:val="Normalplus"/>
              <w:spacing w:before="40" w:after="40"/>
              <w:rPr>
                <w:rFonts w:cs="Arial"/>
                <w:sz w:val="20"/>
                <w:szCs w:val="20"/>
              </w:rPr>
            </w:pPr>
            <w:r w:rsidRPr="0073699C">
              <w:rPr>
                <w:rFonts w:cs="Arial"/>
                <w:sz w:val="20"/>
                <w:szCs w:val="20"/>
              </w:rPr>
              <w:t>Rate of increase to pension accounts</w:t>
            </w:r>
          </w:p>
        </w:tc>
        <w:tc>
          <w:tcPr>
            <w:tcW w:w="1516" w:type="pct"/>
            <w:shd w:val="clear" w:color="auto" w:fill="auto"/>
          </w:tcPr>
          <w:p w14:paraId="2FCDBC56" w14:textId="77777777" w:rsidR="008724DA" w:rsidRPr="0073699C" w:rsidRDefault="008724DA" w:rsidP="0075192A">
            <w:pPr>
              <w:pStyle w:val="Normalplus"/>
              <w:spacing w:before="40" w:after="40"/>
              <w:jc w:val="center"/>
              <w:rPr>
                <w:rFonts w:cs="Arial"/>
                <w:sz w:val="20"/>
                <w:szCs w:val="20"/>
              </w:rPr>
            </w:pPr>
            <w:r w:rsidRPr="0073699C">
              <w:rPr>
                <w:rFonts w:cs="Arial"/>
                <w:sz w:val="20"/>
                <w:szCs w:val="20"/>
              </w:rPr>
              <w:t>2.1% p.a.</w:t>
            </w:r>
          </w:p>
        </w:tc>
      </w:tr>
      <w:tr w:rsidR="008724DA" w:rsidRPr="0073699C" w14:paraId="67CB5495" w14:textId="77777777" w:rsidTr="0075192A">
        <w:tc>
          <w:tcPr>
            <w:tcW w:w="3484" w:type="pct"/>
          </w:tcPr>
          <w:p w14:paraId="767E7448" w14:textId="77777777" w:rsidR="008724DA" w:rsidRPr="0073699C" w:rsidRDefault="008724DA" w:rsidP="0075192A">
            <w:pPr>
              <w:pStyle w:val="Normalplus"/>
              <w:spacing w:before="40" w:after="40"/>
              <w:rPr>
                <w:rFonts w:cs="Arial"/>
                <w:sz w:val="20"/>
                <w:szCs w:val="20"/>
              </w:rPr>
            </w:pPr>
            <w:r w:rsidRPr="0073699C">
              <w:rPr>
                <w:rFonts w:cs="Arial"/>
                <w:sz w:val="20"/>
                <w:szCs w:val="20"/>
              </w:rPr>
              <w:t xml:space="preserve">Rate of increases in pensions in payment </w:t>
            </w:r>
            <w:r w:rsidRPr="0073699C">
              <w:rPr>
                <w:rFonts w:cs="Arial"/>
                <w:sz w:val="20"/>
                <w:szCs w:val="20"/>
              </w:rPr>
              <w:br/>
              <w:t>(in excess of Guaranteed Minimum Pension)</w:t>
            </w:r>
          </w:p>
        </w:tc>
        <w:tc>
          <w:tcPr>
            <w:tcW w:w="1516" w:type="pct"/>
            <w:shd w:val="clear" w:color="auto" w:fill="auto"/>
          </w:tcPr>
          <w:p w14:paraId="6C3FD495" w14:textId="77777777" w:rsidR="008724DA" w:rsidRPr="0073699C" w:rsidRDefault="008724DA" w:rsidP="0075192A">
            <w:pPr>
              <w:pStyle w:val="Normalplus"/>
              <w:spacing w:before="40" w:after="40"/>
              <w:jc w:val="center"/>
              <w:rPr>
                <w:rFonts w:cs="Arial"/>
                <w:sz w:val="20"/>
                <w:szCs w:val="20"/>
              </w:rPr>
            </w:pPr>
            <w:r w:rsidRPr="0073699C">
              <w:rPr>
                <w:rFonts w:cs="Arial"/>
                <w:sz w:val="20"/>
                <w:szCs w:val="20"/>
              </w:rPr>
              <w:t>2.1% p.a.</w:t>
            </w:r>
          </w:p>
        </w:tc>
      </w:tr>
    </w:tbl>
    <w:p w14:paraId="7E78CD17" w14:textId="77777777" w:rsidR="008724DA" w:rsidRPr="0073699C" w:rsidRDefault="008724DA" w:rsidP="008724DA">
      <w:pPr>
        <w:tabs>
          <w:tab w:val="left" w:pos="720"/>
          <w:tab w:val="left" w:pos="1440"/>
          <w:tab w:val="left" w:pos="2880"/>
          <w:tab w:val="left" w:pos="5760"/>
        </w:tabs>
        <w:spacing w:after="120"/>
        <w:ind w:left="720"/>
        <w:rPr>
          <w:rFonts w:ascii="Arial" w:hAnsi="Arial" w:cs="Arial"/>
          <w:i/>
          <w:sz w:val="20"/>
        </w:rPr>
      </w:pPr>
      <w:r w:rsidRPr="0073699C">
        <w:rPr>
          <w:rFonts w:ascii="Arial" w:hAnsi="Arial" w:cs="Arial"/>
          <w:i/>
          <w:sz w:val="20"/>
        </w:rPr>
        <w:br/>
        <w:t xml:space="preserve">* The secure scheduled body discount rate was also used for employers whose liabilities will be subsumed after exit by a scheduled body. </w:t>
      </w:r>
    </w:p>
    <w:p w14:paraId="7B60D9F2" w14:textId="77777777" w:rsidR="008724DA" w:rsidRPr="0073699C" w:rsidRDefault="008724DA" w:rsidP="008724DA">
      <w:pPr>
        <w:tabs>
          <w:tab w:val="left" w:pos="720"/>
          <w:tab w:val="left" w:pos="1440"/>
          <w:tab w:val="left" w:pos="2880"/>
          <w:tab w:val="left" w:pos="5760"/>
        </w:tabs>
        <w:spacing w:after="120"/>
        <w:ind w:left="720"/>
        <w:rPr>
          <w:rFonts w:ascii="Arial" w:hAnsi="Arial" w:cs="Arial"/>
          <w:sz w:val="20"/>
        </w:rPr>
      </w:pPr>
      <w:r w:rsidRPr="0073699C">
        <w:rPr>
          <w:rFonts w:ascii="Arial" w:hAnsi="Arial" w:cs="Arial"/>
          <w:i/>
          <w:sz w:val="20"/>
        </w:rPr>
        <w:t>In addition, the discount rate for already orphaned liabilities (i.e. where there is no scheme employer responsible for funding those liabilities and employer has exited the Fund) was 1.3% p.a.</w:t>
      </w:r>
    </w:p>
    <w:p w14:paraId="4D961D03" w14:textId="77777777" w:rsidR="008724DA" w:rsidRPr="0073699C" w:rsidRDefault="008724DA" w:rsidP="008724DA">
      <w:pPr>
        <w:tabs>
          <w:tab w:val="left" w:pos="720"/>
          <w:tab w:val="left" w:pos="1440"/>
          <w:tab w:val="left" w:pos="2880"/>
          <w:tab w:val="left" w:pos="5760"/>
        </w:tabs>
        <w:spacing w:after="120"/>
        <w:rPr>
          <w:rFonts w:ascii="Arial" w:hAnsi="Arial" w:cs="Arial"/>
          <w:sz w:val="20"/>
        </w:rPr>
      </w:pPr>
      <w:r w:rsidRPr="0073699C">
        <w:rPr>
          <w:rFonts w:ascii="Arial" w:hAnsi="Arial" w:cs="Arial"/>
          <w:sz w:val="20"/>
        </w:rPr>
        <w:tab/>
        <w:t>The assets were valued at market value.</w:t>
      </w:r>
    </w:p>
    <w:p w14:paraId="12E3DEEC" w14:textId="77777777" w:rsidR="008724DA" w:rsidRPr="0073699C" w:rsidRDefault="008724DA" w:rsidP="008724DA">
      <w:pPr>
        <w:tabs>
          <w:tab w:val="left" w:pos="720"/>
          <w:tab w:val="left" w:pos="1440"/>
          <w:tab w:val="left" w:pos="2880"/>
          <w:tab w:val="left" w:pos="5760"/>
        </w:tabs>
        <w:spacing w:after="120"/>
        <w:ind w:left="720"/>
        <w:rPr>
          <w:rFonts w:ascii="Arial" w:hAnsi="Arial" w:cs="Arial"/>
          <w:sz w:val="20"/>
        </w:rPr>
      </w:pPr>
      <w:r w:rsidRPr="0073699C">
        <w:rPr>
          <w:rFonts w:ascii="Arial" w:hAnsi="Arial" w:cs="Arial"/>
          <w:sz w:val="20"/>
        </w:rPr>
        <w:t>Further details of the assumptions adopted for the valuation, including the demographic assumptions, are set out in the actuarial valuation report.</w:t>
      </w:r>
    </w:p>
    <w:p w14:paraId="4AEBCD9D" w14:textId="77777777" w:rsidR="008724DA" w:rsidRPr="0073699C" w:rsidRDefault="008724DA" w:rsidP="0073304A">
      <w:pPr>
        <w:numPr>
          <w:ilvl w:val="0"/>
          <w:numId w:val="72"/>
        </w:numPr>
        <w:spacing w:after="120"/>
        <w:rPr>
          <w:rFonts w:ascii="Arial" w:hAnsi="Arial" w:cs="Arial"/>
          <w:sz w:val="20"/>
        </w:rPr>
      </w:pPr>
      <w:r w:rsidRPr="0073699C">
        <w:rPr>
          <w:rFonts w:ascii="Arial" w:hAnsi="Arial" w:cs="Arial"/>
          <w:sz w:val="20"/>
        </w:rPr>
        <w:t>The key demographic assumption was the allowance made for longevity.  The post retirement mortality assumption adopted for the actuarial valuation was in line with standard self-administered pension scheme (SAPS) S2 mortality tables with appropriate scaling factors applied based on an analysis of the Fund's pensioner mortality experience and a Fund membership postcode analysis using Aon's Demographic Horizons</w:t>
      </w:r>
      <w:r w:rsidRPr="0073699C">
        <w:rPr>
          <w:rFonts w:ascii="Arial" w:hAnsi="Arial" w:cs="Arial"/>
          <w:sz w:val="20"/>
          <w:vertAlign w:val="superscript"/>
        </w:rPr>
        <w:t>TM</w:t>
      </w:r>
      <w:r w:rsidRPr="0073699C">
        <w:rPr>
          <w:rFonts w:ascii="Arial" w:hAnsi="Arial" w:cs="Arial"/>
          <w:sz w:val="20"/>
        </w:rPr>
        <w:t xml:space="preserve"> longevity model, and included an allowance for improvements based on the 2018 Continuous Mortality Investigation (CMI) Core Projections Model (CMI2018), with a long term annual rate of improvement in mortality rates of 1.5% p.a. The resulting average future life expectancies at age 65 (for normal health retirements) were:</w:t>
      </w:r>
    </w:p>
    <w:tbl>
      <w:tblPr>
        <w:tblW w:w="4530" w:type="pct"/>
        <w:tblInd w:w="830" w:type="dxa"/>
        <w:tblCellMar>
          <w:left w:w="0" w:type="dxa"/>
          <w:right w:w="0" w:type="dxa"/>
        </w:tblCellMar>
        <w:tblLook w:val="04A0" w:firstRow="1" w:lastRow="0" w:firstColumn="1" w:lastColumn="0" w:noHBand="0" w:noVBand="1"/>
      </w:tblPr>
      <w:tblGrid>
        <w:gridCol w:w="6068"/>
        <w:gridCol w:w="1516"/>
        <w:gridCol w:w="1660"/>
      </w:tblGrid>
      <w:tr w:rsidR="008724DA" w:rsidRPr="0073699C" w14:paraId="7117271C" w14:textId="77777777" w:rsidTr="0075192A">
        <w:trPr>
          <w:trHeight w:val="338"/>
        </w:trPr>
        <w:tc>
          <w:tcPr>
            <w:tcW w:w="3282" w:type="pct"/>
            <w:tcBorders>
              <w:top w:val="single" w:sz="8" w:space="0" w:color="auto"/>
              <w:left w:val="single" w:sz="8" w:space="0" w:color="auto"/>
              <w:bottom w:val="single" w:sz="8" w:space="0" w:color="auto"/>
              <w:right w:val="single" w:sz="8" w:space="0" w:color="auto"/>
            </w:tcBorders>
            <w:shd w:val="clear" w:color="auto" w:fill="FFFFFF"/>
            <w:tcMar>
              <w:top w:w="0" w:type="dxa"/>
              <w:left w:w="110" w:type="dxa"/>
              <w:bottom w:w="0" w:type="dxa"/>
              <w:right w:w="110" w:type="dxa"/>
            </w:tcMar>
          </w:tcPr>
          <w:p w14:paraId="533BDD9F" w14:textId="77777777" w:rsidR="008724DA" w:rsidRPr="0073699C" w:rsidRDefault="008724DA" w:rsidP="0075192A">
            <w:pPr>
              <w:overflowPunct w:val="0"/>
              <w:autoSpaceDE w:val="0"/>
              <w:autoSpaceDN w:val="0"/>
              <w:spacing w:before="40" w:after="40"/>
              <w:rPr>
                <w:rFonts w:ascii="Arial" w:eastAsia="Calibri" w:hAnsi="Arial" w:cs="Arial"/>
                <w:sz w:val="20"/>
              </w:rPr>
            </w:pPr>
          </w:p>
        </w:tc>
        <w:tc>
          <w:tcPr>
            <w:tcW w:w="820" w:type="pct"/>
            <w:tcBorders>
              <w:top w:val="single" w:sz="8" w:space="0" w:color="auto"/>
              <w:left w:val="nil"/>
              <w:bottom w:val="single" w:sz="8" w:space="0" w:color="auto"/>
              <w:right w:val="single" w:sz="8" w:space="0" w:color="auto"/>
            </w:tcBorders>
            <w:tcMar>
              <w:top w:w="0" w:type="dxa"/>
              <w:left w:w="110" w:type="dxa"/>
              <w:bottom w:w="0" w:type="dxa"/>
              <w:right w:w="110" w:type="dxa"/>
            </w:tcMar>
            <w:hideMark/>
          </w:tcPr>
          <w:p w14:paraId="3AB1F195" w14:textId="77777777" w:rsidR="008724DA" w:rsidRPr="0073699C" w:rsidRDefault="008724DA" w:rsidP="0075192A">
            <w:pPr>
              <w:overflowPunct w:val="0"/>
              <w:autoSpaceDE w:val="0"/>
              <w:autoSpaceDN w:val="0"/>
              <w:spacing w:before="40" w:after="40"/>
              <w:jc w:val="center"/>
              <w:rPr>
                <w:rFonts w:ascii="Arial" w:eastAsia="Calibri" w:hAnsi="Arial" w:cs="Arial"/>
                <w:sz w:val="20"/>
              </w:rPr>
            </w:pPr>
            <w:r w:rsidRPr="0073699C">
              <w:rPr>
                <w:rFonts w:ascii="Arial" w:hAnsi="Arial" w:cs="Arial"/>
                <w:sz w:val="20"/>
              </w:rPr>
              <w:t>Men</w:t>
            </w:r>
          </w:p>
        </w:tc>
        <w:tc>
          <w:tcPr>
            <w:tcW w:w="899" w:type="pct"/>
            <w:tcBorders>
              <w:top w:val="single" w:sz="8" w:space="0" w:color="auto"/>
              <w:left w:val="nil"/>
              <w:bottom w:val="single" w:sz="8" w:space="0" w:color="auto"/>
              <w:right w:val="single" w:sz="8" w:space="0" w:color="auto"/>
            </w:tcBorders>
            <w:tcMar>
              <w:top w:w="0" w:type="dxa"/>
              <w:left w:w="110" w:type="dxa"/>
              <w:bottom w:w="0" w:type="dxa"/>
              <w:right w:w="110" w:type="dxa"/>
            </w:tcMar>
            <w:hideMark/>
          </w:tcPr>
          <w:p w14:paraId="578DAC48" w14:textId="77777777" w:rsidR="008724DA" w:rsidRPr="0073699C" w:rsidRDefault="008724DA" w:rsidP="0075192A">
            <w:pPr>
              <w:overflowPunct w:val="0"/>
              <w:autoSpaceDE w:val="0"/>
              <w:autoSpaceDN w:val="0"/>
              <w:spacing w:before="40" w:after="40"/>
              <w:jc w:val="center"/>
              <w:rPr>
                <w:rFonts w:ascii="Arial" w:eastAsia="Calibri" w:hAnsi="Arial" w:cs="Arial"/>
                <w:sz w:val="20"/>
              </w:rPr>
            </w:pPr>
            <w:r w:rsidRPr="0073699C">
              <w:rPr>
                <w:rFonts w:ascii="Arial" w:hAnsi="Arial" w:cs="Arial"/>
                <w:sz w:val="20"/>
              </w:rPr>
              <w:t>Women</w:t>
            </w:r>
          </w:p>
        </w:tc>
      </w:tr>
      <w:tr w:rsidR="008724DA" w:rsidRPr="0073699C" w14:paraId="0D6B5CD4" w14:textId="77777777" w:rsidTr="0075192A">
        <w:trPr>
          <w:trHeight w:val="350"/>
        </w:trPr>
        <w:tc>
          <w:tcPr>
            <w:tcW w:w="3282" w:type="pct"/>
            <w:tcBorders>
              <w:top w:val="nil"/>
              <w:left w:val="single" w:sz="8" w:space="0" w:color="auto"/>
              <w:bottom w:val="single" w:sz="8" w:space="0" w:color="auto"/>
              <w:right w:val="single" w:sz="8" w:space="0" w:color="auto"/>
            </w:tcBorders>
            <w:shd w:val="clear" w:color="auto" w:fill="FFFFFF"/>
            <w:tcMar>
              <w:top w:w="0" w:type="dxa"/>
              <w:left w:w="110" w:type="dxa"/>
              <w:bottom w:w="0" w:type="dxa"/>
              <w:right w:w="110" w:type="dxa"/>
            </w:tcMar>
            <w:hideMark/>
          </w:tcPr>
          <w:p w14:paraId="20445F06" w14:textId="77777777" w:rsidR="008724DA" w:rsidRPr="0073699C" w:rsidRDefault="008724DA" w:rsidP="0075192A">
            <w:pPr>
              <w:overflowPunct w:val="0"/>
              <w:autoSpaceDE w:val="0"/>
              <w:autoSpaceDN w:val="0"/>
              <w:spacing w:before="40" w:after="40"/>
              <w:rPr>
                <w:rFonts w:ascii="Arial" w:eastAsia="Calibri" w:hAnsi="Arial" w:cs="Arial"/>
                <w:sz w:val="20"/>
              </w:rPr>
            </w:pPr>
            <w:r w:rsidRPr="0073699C">
              <w:rPr>
                <w:rFonts w:ascii="Arial" w:hAnsi="Arial" w:cs="Arial"/>
                <w:sz w:val="20"/>
              </w:rPr>
              <w:t>Current pensioners aged 65 at the valuation date</w:t>
            </w:r>
          </w:p>
        </w:tc>
        <w:tc>
          <w:tcPr>
            <w:tcW w:w="820" w:type="pct"/>
            <w:tcBorders>
              <w:top w:val="nil"/>
              <w:left w:val="nil"/>
              <w:bottom w:val="single" w:sz="8" w:space="0" w:color="auto"/>
              <w:right w:val="single" w:sz="8" w:space="0" w:color="auto"/>
            </w:tcBorders>
            <w:tcMar>
              <w:top w:w="0" w:type="dxa"/>
              <w:left w:w="110" w:type="dxa"/>
              <w:bottom w:w="0" w:type="dxa"/>
              <w:right w:w="110" w:type="dxa"/>
            </w:tcMar>
          </w:tcPr>
          <w:p w14:paraId="79FE3AC6" w14:textId="77777777" w:rsidR="008724DA" w:rsidRPr="0073699C" w:rsidRDefault="008724DA" w:rsidP="0075192A">
            <w:pPr>
              <w:overflowPunct w:val="0"/>
              <w:autoSpaceDE w:val="0"/>
              <w:autoSpaceDN w:val="0"/>
              <w:spacing w:before="40" w:after="40"/>
              <w:jc w:val="center"/>
              <w:rPr>
                <w:rFonts w:ascii="Arial" w:eastAsia="Calibri" w:hAnsi="Arial" w:cs="Arial"/>
                <w:sz w:val="20"/>
              </w:rPr>
            </w:pPr>
            <w:r w:rsidRPr="0073699C">
              <w:rPr>
                <w:rFonts w:ascii="Arial" w:eastAsia="Calibri" w:hAnsi="Arial" w:cs="Arial"/>
                <w:sz w:val="20"/>
              </w:rPr>
              <w:t>22.1</w:t>
            </w:r>
          </w:p>
        </w:tc>
        <w:tc>
          <w:tcPr>
            <w:tcW w:w="899" w:type="pct"/>
            <w:tcBorders>
              <w:top w:val="nil"/>
              <w:left w:val="nil"/>
              <w:bottom w:val="single" w:sz="8" w:space="0" w:color="auto"/>
              <w:right w:val="single" w:sz="8" w:space="0" w:color="auto"/>
            </w:tcBorders>
            <w:tcMar>
              <w:top w:w="0" w:type="dxa"/>
              <w:left w:w="110" w:type="dxa"/>
              <w:bottom w:w="0" w:type="dxa"/>
              <w:right w:w="110" w:type="dxa"/>
            </w:tcMar>
          </w:tcPr>
          <w:p w14:paraId="2921B6B7" w14:textId="77777777" w:rsidR="008724DA" w:rsidRPr="0073699C" w:rsidRDefault="008724DA" w:rsidP="0075192A">
            <w:pPr>
              <w:overflowPunct w:val="0"/>
              <w:autoSpaceDE w:val="0"/>
              <w:autoSpaceDN w:val="0"/>
              <w:spacing w:before="40" w:after="40"/>
              <w:jc w:val="center"/>
              <w:rPr>
                <w:rFonts w:ascii="Arial" w:eastAsia="Calibri" w:hAnsi="Arial" w:cs="Arial"/>
                <w:sz w:val="20"/>
              </w:rPr>
            </w:pPr>
            <w:r w:rsidRPr="0073699C">
              <w:rPr>
                <w:rFonts w:ascii="Arial" w:eastAsia="Calibri" w:hAnsi="Arial" w:cs="Arial"/>
                <w:sz w:val="20"/>
              </w:rPr>
              <w:t>24.1</w:t>
            </w:r>
          </w:p>
        </w:tc>
      </w:tr>
      <w:tr w:rsidR="008724DA" w:rsidRPr="0073699C" w14:paraId="16CCF29E" w14:textId="77777777" w:rsidTr="0075192A">
        <w:tc>
          <w:tcPr>
            <w:tcW w:w="3282" w:type="pct"/>
            <w:tcBorders>
              <w:top w:val="nil"/>
              <w:left w:val="single" w:sz="8" w:space="0" w:color="auto"/>
              <w:bottom w:val="single" w:sz="8" w:space="0" w:color="auto"/>
              <w:right w:val="single" w:sz="8" w:space="0" w:color="auto"/>
            </w:tcBorders>
            <w:tcMar>
              <w:top w:w="0" w:type="dxa"/>
              <w:left w:w="110" w:type="dxa"/>
              <w:bottom w:w="0" w:type="dxa"/>
              <w:right w:w="110" w:type="dxa"/>
            </w:tcMar>
            <w:hideMark/>
          </w:tcPr>
          <w:p w14:paraId="6AD4FC64" w14:textId="77777777" w:rsidR="008724DA" w:rsidRPr="0073699C" w:rsidRDefault="008724DA" w:rsidP="0075192A">
            <w:pPr>
              <w:overflowPunct w:val="0"/>
              <w:autoSpaceDE w:val="0"/>
              <w:autoSpaceDN w:val="0"/>
              <w:spacing w:before="40" w:after="40"/>
              <w:rPr>
                <w:rFonts w:ascii="Arial" w:eastAsia="Calibri" w:hAnsi="Arial" w:cs="Arial"/>
                <w:sz w:val="20"/>
              </w:rPr>
            </w:pPr>
            <w:r w:rsidRPr="0073699C">
              <w:rPr>
                <w:rFonts w:ascii="Arial" w:hAnsi="Arial" w:cs="Arial"/>
                <w:sz w:val="20"/>
              </w:rPr>
              <w:t>Current active members aged 45 at the valuation date</w:t>
            </w:r>
          </w:p>
        </w:tc>
        <w:tc>
          <w:tcPr>
            <w:tcW w:w="820" w:type="pct"/>
            <w:tcBorders>
              <w:top w:val="nil"/>
              <w:left w:val="nil"/>
              <w:bottom w:val="single" w:sz="8" w:space="0" w:color="auto"/>
              <w:right w:val="single" w:sz="8" w:space="0" w:color="auto"/>
            </w:tcBorders>
            <w:tcMar>
              <w:top w:w="0" w:type="dxa"/>
              <w:left w:w="110" w:type="dxa"/>
              <w:bottom w:w="0" w:type="dxa"/>
              <w:right w:w="110" w:type="dxa"/>
            </w:tcMar>
          </w:tcPr>
          <w:p w14:paraId="07E37E32" w14:textId="77777777" w:rsidR="008724DA" w:rsidRPr="0073699C" w:rsidRDefault="008724DA" w:rsidP="0075192A">
            <w:pPr>
              <w:overflowPunct w:val="0"/>
              <w:autoSpaceDE w:val="0"/>
              <w:autoSpaceDN w:val="0"/>
              <w:spacing w:before="40" w:after="40"/>
              <w:jc w:val="center"/>
              <w:rPr>
                <w:rFonts w:ascii="Arial" w:eastAsia="Calibri" w:hAnsi="Arial" w:cs="Arial"/>
                <w:sz w:val="20"/>
              </w:rPr>
            </w:pPr>
            <w:r w:rsidRPr="0073699C">
              <w:rPr>
                <w:rFonts w:ascii="Arial" w:eastAsia="Calibri" w:hAnsi="Arial" w:cs="Arial"/>
                <w:sz w:val="20"/>
              </w:rPr>
              <w:t>23.1</w:t>
            </w:r>
          </w:p>
        </w:tc>
        <w:tc>
          <w:tcPr>
            <w:tcW w:w="899" w:type="pct"/>
            <w:tcBorders>
              <w:top w:val="nil"/>
              <w:left w:val="nil"/>
              <w:bottom w:val="single" w:sz="8" w:space="0" w:color="auto"/>
              <w:right w:val="single" w:sz="8" w:space="0" w:color="auto"/>
            </w:tcBorders>
            <w:tcMar>
              <w:top w:w="0" w:type="dxa"/>
              <w:left w:w="110" w:type="dxa"/>
              <w:bottom w:w="0" w:type="dxa"/>
              <w:right w:w="110" w:type="dxa"/>
            </w:tcMar>
          </w:tcPr>
          <w:p w14:paraId="3D6CED00" w14:textId="77777777" w:rsidR="008724DA" w:rsidRPr="0073699C" w:rsidRDefault="008724DA" w:rsidP="0075192A">
            <w:pPr>
              <w:overflowPunct w:val="0"/>
              <w:autoSpaceDE w:val="0"/>
              <w:autoSpaceDN w:val="0"/>
              <w:spacing w:before="40" w:after="40"/>
              <w:jc w:val="center"/>
              <w:rPr>
                <w:rFonts w:ascii="Arial" w:eastAsia="Calibri" w:hAnsi="Arial" w:cs="Arial"/>
                <w:sz w:val="20"/>
              </w:rPr>
            </w:pPr>
            <w:r w:rsidRPr="0073699C">
              <w:rPr>
                <w:rFonts w:ascii="Arial" w:eastAsia="Calibri" w:hAnsi="Arial" w:cs="Arial"/>
                <w:sz w:val="20"/>
              </w:rPr>
              <w:t>25.6</w:t>
            </w:r>
          </w:p>
        </w:tc>
      </w:tr>
    </w:tbl>
    <w:p w14:paraId="4F84542A" w14:textId="77777777" w:rsidR="008724DA" w:rsidRPr="0073699C" w:rsidRDefault="008724DA" w:rsidP="008724DA">
      <w:pPr>
        <w:spacing w:after="120"/>
        <w:ind w:left="720"/>
        <w:rPr>
          <w:rFonts w:ascii="Arial" w:hAnsi="Arial" w:cs="Arial"/>
          <w:sz w:val="20"/>
        </w:rPr>
      </w:pPr>
    </w:p>
    <w:p w14:paraId="229DB503" w14:textId="77777777" w:rsidR="008724DA" w:rsidRPr="0073699C" w:rsidRDefault="008724DA" w:rsidP="0073304A">
      <w:pPr>
        <w:numPr>
          <w:ilvl w:val="0"/>
          <w:numId w:val="72"/>
        </w:numPr>
        <w:spacing w:after="120"/>
        <w:rPr>
          <w:rFonts w:ascii="Arial" w:hAnsi="Arial" w:cs="Arial"/>
          <w:sz w:val="20"/>
        </w:rPr>
      </w:pPr>
      <w:r w:rsidRPr="0073699C">
        <w:rPr>
          <w:rFonts w:ascii="Arial" w:hAnsi="Arial" w:cs="Arial"/>
          <w:sz w:val="20"/>
        </w:rPr>
        <w:t>The valuation results summarised in paragraphs 1 and 2 above are based on the financial position and market levels at the valuation date, 31 March 2019. As such the results do not make allowance for changes which have occurred subsequent to the valuation date.</w:t>
      </w:r>
      <w:r>
        <w:rPr>
          <w:rFonts w:ascii="Arial" w:hAnsi="Arial" w:cs="Arial"/>
          <w:sz w:val="20"/>
        </w:rPr>
        <w:t xml:space="preserve">  Any such changes will be reflected in the results of the triennial valuation as at 31 March 2022, which is currently ongoing.  The final report disclosing the results of the valuation is due to be completed by 31 March 2023.</w:t>
      </w:r>
    </w:p>
    <w:p w14:paraId="17360132" w14:textId="77777777" w:rsidR="008724DA" w:rsidRDefault="008724DA" w:rsidP="0073304A">
      <w:pPr>
        <w:numPr>
          <w:ilvl w:val="0"/>
          <w:numId w:val="72"/>
        </w:numPr>
        <w:spacing w:after="120"/>
        <w:rPr>
          <w:rFonts w:ascii="Arial" w:hAnsi="Arial" w:cs="Arial"/>
          <w:sz w:val="20"/>
        </w:rPr>
      </w:pPr>
      <w:r w:rsidRPr="0073699C">
        <w:rPr>
          <w:rFonts w:ascii="Arial" w:hAnsi="Arial" w:cs="Arial"/>
          <w:iCs/>
          <w:color w:val="000000"/>
          <w:sz w:val="20"/>
          <w:lang w:eastAsia="en-GB"/>
        </w:rPr>
        <w:t>The formal actuarial valuation report and the Rates and Adjustments Certificate setting out the employer contribution rates for the period from 1 April 2020 to 31 March 2023 were signed on 31 March 2020.</w:t>
      </w:r>
      <w:r w:rsidRPr="0073699C">
        <w:rPr>
          <w:rFonts w:ascii="Arial" w:hAnsi="Arial" w:cs="Arial"/>
          <w:sz w:val="20"/>
        </w:rPr>
        <w:t xml:space="preserve"> Other than as agreed or otherwise permitted or required by the Regulations, employer contribution rates will be reviewed at the next actuarial valuation of the Fund as at 31 March 2022 in accordance with Regulation 62 of the Local Government Pension Scheme Regulations 2013.</w:t>
      </w:r>
    </w:p>
    <w:p w14:paraId="0DD88B1F" w14:textId="77777777" w:rsidR="008724DA" w:rsidRPr="0073699C" w:rsidRDefault="008724DA" w:rsidP="0073304A">
      <w:pPr>
        <w:numPr>
          <w:ilvl w:val="0"/>
          <w:numId w:val="72"/>
        </w:numPr>
        <w:spacing w:after="120"/>
        <w:rPr>
          <w:rFonts w:ascii="Arial" w:hAnsi="Arial" w:cs="Arial"/>
          <w:sz w:val="20"/>
        </w:rPr>
      </w:pPr>
      <w:bookmarkStart w:id="8" w:name="_Hlk38958844"/>
      <w:r w:rsidRPr="0073699C">
        <w:rPr>
          <w:rFonts w:ascii="Arial" w:hAnsi="Arial" w:cs="Arial"/>
          <w:sz w:val="20"/>
        </w:rPr>
        <w:t>There are a number of uncertainties regarding the Scheme benefits and hence liabilities:</w:t>
      </w:r>
    </w:p>
    <w:p w14:paraId="475DE154" w14:textId="77777777" w:rsidR="008724DA" w:rsidRPr="0073699C" w:rsidRDefault="008724DA" w:rsidP="008724DA">
      <w:pPr>
        <w:spacing w:after="120"/>
        <w:ind w:left="993"/>
        <w:rPr>
          <w:rFonts w:ascii="Arial" w:hAnsi="Arial" w:cs="Arial"/>
          <w:sz w:val="20"/>
        </w:rPr>
      </w:pPr>
      <w:r w:rsidRPr="0073699C">
        <w:rPr>
          <w:rFonts w:ascii="Arial" w:hAnsi="Arial" w:cs="Arial"/>
          <w:b/>
          <w:sz w:val="20"/>
        </w:rPr>
        <w:lastRenderedPageBreak/>
        <w:t xml:space="preserve">Increases to </w:t>
      </w:r>
      <w:r>
        <w:rPr>
          <w:rFonts w:ascii="Arial" w:hAnsi="Arial" w:cs="Arial"/>
          <w:b/>
          <w:sz w:val="20"/>
        </w:rPr>
        <w:t>Guaranteed Minimum Pensions (</w:t>
      </w:r>
      <w:r w:rsidRPr="0073699C">
        <w:rPr>
          <w:rFonts w:ascii="Arial" w:hAnsi="Arial" w:cs="Arial"/>
          <w:b/>
          <w:sz w:val="20"/>
        </w:rPr>
        <w:t>GMPs</w:t>
      </w:r>
      <w:r>
        <w:rPr>
          <w:rFonts w:ascii="Arial" w:hAnsi="Arial" w:cs="Arial"/>
          <w:b/>
          <w:sz w:val="20"/>
        </w:rPr>
        <w:t>)</w:t>
      </w:r>
      <w:r w:rsidRPr="0073699C">
        <w:rPr>
          <w:rFonts w:ascii="Arial" w:hAnsi="Arial" w:cs="Arial"/>
          <w:b/>
          <w:sz w:val="20"/>
        </w:rPr>
        <w:t>:</w:t>
      </w:r>
      <w:r w:rsidRPr="0073699C">
        <w:rPr>
          <w:rFonts w:ascii="Arial" w:hAnsi="Arial" w:cs="Arial"/>
          <w:sz w:val="20"/>
        </w:rPr>
        <w:br/>
        <w:t xml:space="preserve">The 2019 valuation allows for the extension of the ‘interim solution’ for public service schemes to pay full inflationary increases on GMPs for those reaching State Pension Age (SPA) between 6 April 2016 and 5 April 2021. </w:t>
      </w:r>
      <w:r>
        <w:rPr>
          <w:rFonts w:ascii="Arial" w:hAnsi="Arial" w:cs="Arial"/>
          <w:sz w:val="20"/>
        </w:rPr>
        <w:t>On 23 March 2021</w:t>
      </w:r>
      <w:r w:rsidRPr="00814995">
        <w:rPr>
          <w:rFonts w:ascii="Arial" w:hAnsi="Arial" w:cs="Arial"/>
          <w:sz w:val="20"/>
        </w:rPr>
        <w:t xml:space="preserve">, the Government </w:t>
      </w:r>
      <w:r>
        <w:rPr>
          <w:rFonts w:ascii="Arial" w:hAnsi="Arial" w:cs="Arial"/>
          <w:sz w:val="20"/>
        </w:rPr>
        <w:t>published a response to its consultation on the longer term solutions to indexation and equalisation for GMPs and set out its proposal to extend the interim solution further to those reaching SPA after 5 April 2021</w:t>
      </w:r>
      <w:r w:rsidRPr="00814995">
        <w:rPr>
          <w:rFonts w:ascii="Arial" w:hAnsi="Arial" w:cs="Arial"/>
          <w:sz w:val="20"/>
        </w:rPr>
        <w:t>.</w:t>
      </w:r>
    </w:p>
    <w:p w14:paraId="779A2EC6" w14:textId="77777777" w:rsidR="008724DA" w:rsidRPr="0073699C" w:rsidRDefault="008724DA" w:rsidP="008724DA">
      <w:pPr>
        <w:spacing w:after="120"/>
        <w:ind w:left="993"/>
        <w:rPr>
          <w:rFonts w:ascii="Arial" w:hAnsi="Arial" w:cs="Arial"/>
          <w:sz w:val="20"/>
        </w:rPr>
      </w:pPr>
      <w:r w:rsidRPr="0073699C">
        <w:rPr>
          <w:rFonts w:ascii="Arial" w:hAnsi="Arial" w:cs="Arial"/>
          <w:sz w:val="20"/>
        </w:rPr>
        <w:t xml:space="preserve">The results of the 2019 valuation do not allow for the impact of </w:t>
      </w:r>
      <w:r>
        <w:rPr>
          <w:rFonts w:ascii="Arial" w:hAnsi="Arial" w:cs="Arial"/>
          <w:sz w:val="20"/>
        </w:rPr>
        <w:t>this proposed longer  term solution</w:t>
      </w:r>
      <w:r w:rsidRPr="0073699C">
        <w:rPr>
          <w:rFonts w:ascii="Arial" w:hAnsi="Arial" w:cs="Arial"/>
          <w:sz w:val="20"/>
        </w:rPr>
        <w:t>. Based on approximate calculations, at a whole of fund level, the impact of providing full pension increases on GMPs for those members reaching State Pension Age after 5 April 2021 is an increase in past service liabilities of between 0.1% to 0.2% across the Fund as a whole.</w:t>
      </w:r>
    </w:p>
    <w:p w14:paraId="71016B45" w14:textId="77777777" w:rsidR="008724DA" w:rsidRPr="004A7844" w:rsidRDefault="008724DA" w:rsidP="0073304A">
      <w:pPr>
        <w:numPr>
          <w:ilvl w:val="1"/>
          <w:numId w:val="121"/>
        </w:numPr>
        <w:shd w:val="clear" w:color="auto" w:fill="FFFFFF"/>
        <w:spacing w:after="120"/>
        <w:ind w:left="1077" w:hanging="357"/>
        <w:rPr>
          <w:rFonts w:ascii="Arial" w:hAnsi="Arial" w:cs="Arial"/>
          <w:sz w:val="20"/>
        </w:rPr>
      </w:pPr>
      <w:r w:rsidRPr="0073699C">
        <w:rPr>
          <w:rFonts w:ascii="Arial" w:hAnsi="Arial" w:cs="Arial"/>
          <w:b/>
          <w:sz w:val="20"/>
        </w:rPr>
        <w:t>Cost Management Process and McCloud judgement:</w:t>
      </w:r>
    </w:p>
    <w:p w14:paraId="5E7D3452" w14:textId="77777777" w:rsidR="008724DA" w:rsidRPr="0073699C" w:rsidRDefault="008724DA" w:rsidP="008724DA">
      <w:pPr>
        <w:shd w:val="clear" w:color="auto" w:fill="FFFFFF"/>
        <w:spacing w:after="120"/>
        <w:ind w:left="1077"/>
        <w:rPr>
          <w:rFonts w:ascii="Arial" w:hAnsi="Arial" w:cs="Arial"/>
          <w:sz w:val="20"/>
        </w:rPr>
      </w:pPr>
      <w:r w:rsidRPr="004A7844">
        <w:rPr>
          <w:rFonts w:ascii="Arial" w:hAnsi="Arial" w:cs="Arial"/>
          <w:sz w:val="20"/>
        </w:rPr>
        <w:t>Initial results from the Scheme Advisory Board</w:t>
      </w:r>
      <w:r>
        <w:rPr>
          <w:rFonts w:ascii="Arial" w:hAnsi="Arial" w:cs="Arial"/>
          <w:sz w:val="20"/>
        </w:rPr>
        <w:t xml:space="preserve"> (SAB)</w:t>
      </w:r>
      <w:r w:rsidRPr="004A7844">
        <w:rPr>
          <w:rFonts w:ascii="Arial" w:hAnsi="Arial" w:cs="Arial"/>
          <w:sz w:val="20"/>
        </w:rPr>
        <w:t xml:space="preserve"> </w:t>
      </w:r>
      <w:r>
        <w:rPr>
          <w:rFonts w:ascii="Arial" w:hAnsi="Arial" w:cs="Arial"/>
          <w:sz w:val="20"/>
        </w:rPr>
        <w:t xml:space="preserve">2016 </w:t>
      </w:r>
      <w:r w:rsidRPr="004A7844">
        <w:rPr>
          <w:rFonts w:ascii="Arial" w:hAnsi="Arial" w:cs="Arial"/>
          <w:sz w:val="20"/>
        </w:rPr>
        <w:t xml:space="preserve">cost management process indicated that benefit improvements / member contribution reductions equivalent to 0.9% of pay would be required. However, the cost management process was paused following the Court of Appeal ruling that the transitional arrangements in both the Judges' Pension Scheme (McCloud) and Firefighters' Pension Scheme (Sargeant) constituted illegal age discrimination. Government confirmed that the judgement would be treated as applying to all public service schemes including the LGPS (where the transitional arrangements were in the form of a final salary underpin) and a consultation on changes to the LGPS </w:t>
      </w:r>
      <w:r>
        <w:rPr>
          <w:rFonts w:ascii="Arial" w:hAnsi="Arial" w:cs="Arial"/>
          <w:sz w:val="20"/>
        </w:rPr>
        <w:t xml:space="preserve">due to this judgement was issued in July </w:t>
      </w:r>
      <w:r w:rsidRPr="004A7844">
        <w:rPr>
          <w:rFonts w:ascii="Arial" w:hAnsi="Arial" w:cs="Arial"/>
          <w:sz w:val="20"/>
        </w:rPr>
        <w:t>2020.</w:t>
      </w:r>
    </w:p>
    <w:p w14:paraId="044D0A2E" w14:textId="77777777" w:rsidR="008724DA" w:rsidRPr="000B6AB4" w:rsidRDefault="008724DA" w:rsidP="008724DA">
      <w:pPr>
        <w:spacing w:after="120"/>
        <w:ind w:left="993"/>
        <w:rPr>
          <w:rFonts w:ascii="Arial" w:hAnsi="Arial" w:cs="Arial"/>
          <w:sz w:val="20"/>
        </w:rPr>
      </w:pPr>
      <w:bookmarkStart w:id="9" w:name="_Hlk38958927"/>
      <w:r w:rsidRPr="004D4459">
        <w:rPr>
          <w:rFonts w:ascii="Arial" w:hAnsi="Arial" w:cs="Arial"/>
          <w:sz w:val="20"/>
        </w:rPr>
        <w:t>On 13 May 2021 Government confirmed the key elements of the expected changes to the LGPS to implement the McCloud judgement in a Written Ministerial Statement, although final Regulations are not expected to be come into force until 2023.</w:t>
      </w:r>
      <w:r>
        <w:t xml:space="preserve"> </w:t>
      </w:r>
      <w:r w:rsidRPr="000B6AB4">
        <w:rPr>
          <w:rFonts w:ascii="Arial" w:hAnsi="Arial" w:cs="Arial"/>
          <w:sz w:val="20"/>
        </w:rPr>
        <w:t xml:space="preserve">After incorporating the potential costs of the McCloud remedy, the 2016 </w:t>
      </w:r>
      <w:r>
        <w:rPr>
          <w:rFonts w:ascii="Arial" w:hAnsi="Arial" w:cs="Arial"/>
          <w:sz w:val="20"/>
        </w:rPr>
        <w:t xml:space="preserve">SAB </w:t>
      </w:r>
      <w:r w:rsidRPr="000B6AB4">
        <w:rPr>
          <w:rFonts w:ascii="Arial" w:hAnsi="Arial" w:cs="Arial"/>
          <w:sz w:val="20"/>
        </w:rPr>
        <w:t xml:space="preserve">cost management process </w:t>
      </w:r>
      <w:r>
        <w:rPr>
          <w:rFonts w:ascii="Arial" w:hAnsi="Arial" w:cs="Arial"/>
          <w:sz w:val="20"/>
        </w:rPr>
        <w:t xml:space="preserve">has concluded, with </w:t>
      </w:r>
      <w:r w:rsidRPr="000B6AB4">
        <w:rPr>
          <w:rFonts w:ascii="Arial" w:hAnsi="Arial" w:cs="Arial"/>
          <w:sz w:val="20"/>
        </w:rPr>
        <w:t xml:space="preserve">no benefit improvements </w:t>
      </w:r>
      <w:r>
        <w:rPr>
          <w:rFonts w:ascii="Arial" w:hAnsi="Arial" w:cs="Arial"/>
          <w:sz w:val="20"/>
        </w:rPr>
        <w:t>or member contribution changes being recommended under that process.</w:t>
      </w:r>
      <w:r w:rsidRPr="000B6AB4">
        <w:rPr>
          <w:rFonts w:ascii="Arial" w:hAnsi="Arial" w:cs="Arial"/>
          <w:sz w:val="20"/>
        </w:rPr>
        <w:t xml:space="preserve"> </w:t>
      </w:r>
      <w:r>
        <w:rPr>
          <w:rFonts w:ascii="Arial" w:hAnsi="Arial" w:cs="Arial"/>
          <w:sz w:val="20"/>
        </w:rPr>
        <w:t xml:space="preserve">However some uncertainty remains as </w:t>
      </w:r>
      <w:r w:rsidRPr="000B6AB4">
        <w:rPr>
          <w:rFonts w:ascii="Arial" w:hAnsi="Arial" w:cs="Arial"/>
          <w:sz w:val="20"/>
        </w:rPr>
        <w:t xml:space="preserve">the inclusion of McCloud costs </w:t>
      </w:r>
      <w:r>
        <w:rPr>
          <w:rFonts w:ascii="Arial" w:hAnsi="Arial" w:cs="Arial"/>
          <w:sz w:val="20"/>
        </w:rPr>
        <w:t xml:space="preserve">in the cost management process </w:t>
      </w:r>
      <w:r w:rsidRPr="000B6AB4">
        <w:rPr>
          <w:rFonts w:ascii="Arial" w:hAnsi="Arial" w:cs="Arial"/>
          <w:sz w:val="20"/>
        </w:rPr>
        <w:t>is the subject of a Judicial Review.</w:t>
      </w:r>
    </w:p>
    <w:p w14:paraId="1A8C38C4" w14:textId="77777777" w:rsidR="008724DA" w:rsidRDefault="008724DA" w:rsidP="008724DA">
      <w:pPr>
        <w:shd w:val="clear" w:color="auto" w:fill="FFFFFF"/>
        <w:spacing w:after="120"/>
        <w:ind w:left="1077"/>
        <w:rPr>
          <w:rFonts w:ascii="Arial" w:hAnsi="Arial" w:cs="Arial"/>
          <w:sz w:val="20"/>
        </w:rPr>
      </w:pPr>
      <w:r w:rsidRPr="0073699C">
        <w:rPr>
          <w:rFonts w:ascii="Arial" w:hAnsi="Arial" w:cs="Arial"/>
          <w:sz w:val="20"/>
        </w:rPr>
        <w:t xml:space="preserve">The employer contributions certified from 1 April 2020 as part of the 2019 valuation include an allowance of 1.5% of pay in relation to the potential additional costs </w:t>
      </w:r>
      <w:r>
        <w:rPr>
          <w:rFonts w:ascii="Arial" w:hAnsi="Arial" w:cs="Arial"/>
          <w:sz w:val="20"/>
        </w:rPr>
        <w:t>of the</w:t>
      </w:r>
      <w:r w:rsidRPr="0073699C">
        <w:rPr>
          <w:rFonts w:ascii="Arial" w:hAnsi="Arial" w:cs="Arial"/>
          <w:sz w:val="20"/>
        </w:rPr>
        <w:t xml:space="preserve"> McCloud judgement / cost management process. This was a simplified approach which didn't take account of different employer membership profiles or funding targets and may be more or less than the assessed cost once the </w:t>
      </w:r>
      <w:r>
        <w:rPr>
          <w:rFonts w:ascii="Arial" w:hAnsi="Arial" w:cs="Arial"/>
          <w:sz w:val="20"/>
        </w:rPr>
        <w:t xml:space="preserve">final details of the </w:t>
      </w:r>
      <w:r w:rsidRPr="0073699C">
        <w:rPr>
          <w:rFonts w:ascii="Arial" w:hAnsi="Arial" w:cs="Arial"/>
          <w:sz w:val="20"/>
        </w:rPr>
        <w:t xml:space="preserve">LGPS changes </w:t>
      </w:r>
      <w:r>
        <w:rPr>
          <w:rFonts w:ascii="Arial" w:hAnsi="Arial" w:cs="Arial"/>
          <w:sz w:val="20"/>
        </w:rPr>
        <w:t xml:space="preserve">arising from the 2016 cost management process </w:t>
      </w:r>
      <w:r w:rsidRPr="0073699C">
        <w:rPr>
          <w:rFonts w:ascii="Arial" w:hAnsi="Arial" w:cs="Arial"/>
          <w:sz w:val="20"/>
        </w:rPr>
        <w:t xml:space="preserve">have been </w:t>
      </w:r>
      <w:r>
        <w:rPr>
          <w:rFonts w:ascii="Arial" w:hAnsi="Arial" w:cs="Arial"/>
          <w:sz w:val="20"/>
        </w:rPr>
        <w:t>finalised</w:t>
      </w:r>
      <w:r w:rsidRPr="0073699C">
        <w:rPr>
          <w:rFonts w:ascii="Arial" w:hAnsi="Arial" w:cs="Arial"/>
          <w:sz w:val="20"/>
        </w:rPr>
        <w:t>.</w:t>
      </w:r>
      <w:bookmarkEnd w:id="9"/>
    </w:p>
    <w:p w14:paraId="106A7792" w14:textId="77777777" w:rsidR="008724DA" w:rsidRPr="004A7844" w:rsidRDefault="008724DA" w:rsidP="0073304A">
      <w:pPr>
        <w:numPr>
          <w:ilvl w:val="1"/>
          <w:numId w:val="121"/>
        </w:numPr>
        <w:shd w:val="clear" w:color="auto" w:fill="FFFFFF"/>
        <w:spacing w:after="120"/>
        <w:ind w:left="1077" w:hanging="357"/>
        <w:rPr>
          <w:rFonts w:ascii="Arial" w:hAnsi="Arial" w:cs="Arial"/>
          <w:sz w:val="20"/>
        </w:rPr>
      </w:pPr>
      <w:r w:rsidRPr="004A7844">
        <w:rPr>
          <w:rFonts w:ascii="Arial" w:hAnsi="Arial" w:cs="Arial"/>
          <w:b/>
          <w:bCs/>
          <w:sz w:val="20"/>
        </w:rPr>
        <w:t>Goodwin</w:t>
      </w:r>
    </w:p>
    <w:p w14:paraId="5F79D0A3" w14:textId="77777777" w:rsidR="008724DA" w:rsidRDefault="008724DA" w:rsidP="008724DA">
      <w:pPr>
        <w:shd w:val="clear" w:color="auto" w:fill="FFFFFF"/>
        <w:spacing w:after="120"/>
        <w:ind w:left="1077"/>
        <w:rPr>
          <w:rFonts w:ascii="Arial" w:hAnsi="Arial" w:cs="Arial"/>
          <w:sz w:val="20"/>
        </w:rPr>
      </w:pPr>
      <w:r w:rsidRPr="001C59BB">
        <w:rPr>
          <w:rFonts w:ascii="Arial" w:hAnsi="Arial" w:cs="Arial"/>
          <w:sz w:val="20"/>
        </w:rPr>
        <w:t>An Employment Tribunal ruling relating to the Teachers' Pension Scheme concluded that provisions for survivor's benefits of a female member in an opposite sex marriage are less favourable than for a female in a same sex marriage or civil partnership, and that treatment amounts to direct discrimination on grounds of sexual orientation. The chief secretary to the Treasury announced in a written ministerial statement on 20 July 2020 that he believed that changes would be required to other public service pension schemes with similar arrangements, although these changes are yet to be reflected in LGPS regulations. We expect the average additional liability to be less than 0.1%, however the impact will vary by employer depending on their membership profile.</w:t>
      </w:r>
      <w:bookmarkEnd w:id="8"/>
    </w:p>
    <w:p w14:paraId="5F45EAAF" w14:textId="77777777" w:rsidR="008724DA" w:rsidRPr="0073699C" w:rsidRDefault="008724DA" w:rsidP="0073304A">
      <w:pPr>
        <w:numPr>
          <w:ilvl w:val="0"/>
          <w:numId w:val="72"/>
        </w:numPr>
        <w:spacing w:after="120"/>
        <w:rPr>
          <w:rFonts w:ascii="Arial" w:hAnsi="Arial" w:cs="Arial"/>
          <w:sz w:val="20"/>
        </w:rPr>
      </w:pPr>
      <w:r w:rsidRPr="0073699C">
        <w:rPr>
          <w:rFonts w:ascii="Arial" w:hAnsi="Arial" w:cs="Arial"/>
          <w:sz w:val="20"/>
        </w:rPr>
        <w:t>This Statement has been prepared by the Actuary to the Fund, Aon</w:t>
      </w:r>
      <w:r>
        <w:rPr>
          <w:rFonts w:ascii="Arial" w:hAnsi="Arial" w:cs="Arial"/>
          <w:sz w:val="20"/>
        </w:rPr>
        <w:t xml:space="preserve"> Solutions UK </w:t>
      </w:r>
      <w:r w:rsidRPr="0073699C">
        <w:rPr>
          <w:rFonts w:ascii="Arial" w:hAnsi="Arial" w:cs="Arial"/>
          <w:sz w:val="20"/>
        </w:rPr>
        <w:t>Limited, for inclusion in the accounts of the Fund. It provides a summary of the results of the actuarial valuation which was carried out as at 31 March 2019. The valuation provides a snapshot of the funding position at the valuation date and is used to assess the future level of contributions required.</w:t>
      </w:r>
    </w:p>
    <w:p w14:paraId="184923E1" w14:textId="77777777" w:rsidR="008724DA" w:rsidRPr="0073699C" w:rsidRDefault="008724DA" w:rsidP="008724DA">
      <w:pPr>
        <w:spacing w:after="120"/>
        <w:ind w:left="720" w:hanging="720"/>
        <w:rPr>
          <w:rFonts w:ascii="Arial" w:hAnsi="Arial" w:cs="Arial"/>
          <w:sz w:val="20"/>
        </w:rPr>
      </w:pPr>
      <w:r w:rsidRPr="0073699C">
        <w:rPr>
          <w:rFonts w:ascii="Arial" w:hAnsi="Arial" w:cs="Arial"/>
          <w:b/>
          <w:sz w:val="20"/>
        </w:rPr>
        <w:tab/>
      </w:r>
      <w:r w:rsidRPr="0073699C">
        <w:rPr>
          <w:rFonts w:ascii="Arial" w:hAnsi="Arial" w:cs="Arial"/>
          <w:sz w:val="20"/>
        </w:rPr>
        <w:t>This Statement must not be considered without reference to the formal actuarial valuation report which details fully the context and limitations of the actuarial valuation.</w:t>
      </w:r>
    </w:p>
    <w:p w14:paraId="48F21C38" w14:textId="77777777" w:rsidR="008724DA" w:rsidRPr="001F704E" w:rsidRDefault="008724DA" w:rsidP="008724DA">
      <w:pPr>
        <w:spacing w:after="120"/>
        <w:ind w:left="720" w:hanging="720"/>
        <w:rPr>
          <w:rFonts w:ascii="Arial" w:hAnsi="Arial" w:cs="Arial"/>
          <w:sz w:val="20"/>
        </w:rPr>
      </w:pPr>
      <w:r w:rsidRPr="0073699C">
        <w:rPr>
          <w:rFonts w:ascii="Arial" w:hAnsi="Arial" w:cs="Arial"/>
          <w:sz w:val="20"/>
        </w:rPr>
        <w:tab/>
        <w:t>Aon does not accept any responsibility or liability to any party other than our client, City and County of Swansea Council, the Administering Authority of the Fund, in respect of this Statement.</w:t>
      </w:r>
    </w:p>
    <w:p w14:paraId="0B317400" w14:textId="77777777" w:rsidR="008724DA" w:rsidRDefault="008724DA" w:rsidP="0073304A">
      <w:pPr>
        <w:numPr>
          <w:ilvl w:val="0"/>
          <w:numId w:val="72"/>
        </w:numPr>
        <w:autoSpaceDE w:val="0"/>
        <w:autoSpaceDN w:val="0"/>
        <w:adjustRightInd w:val="0"/>
        <w:spacing w:after="120" w:line="240" w:lineRule="atLeast"/>
        <w:rPr>
          <w:rFonts w:ascii="Arial" w:hAnsi="Arial" w:cs="Arial"/>
          <w:sz w:val="20"/>
        </w:rPr>
      </w:pPr>
      <w:r w:rsidRPr="001F704E">
        <w:rPr>
          <w:rFonts w:ascii="Arial" w:hAnsi="Arial" w:cs="Arial"/>
          <w:sz w:val="20"/>
        </w:rPr>
        <w:t xml:space="preserve">The report on the actuarial valuation as at 31 March </w:t>
      </w:r>
      <w:r w:rsidRPr="002535F2">
        <w:rPr>
          <w:rFonts w:ascii="Arial" w:hAnsi="Arial" w:cs="Arial"/>
          <w:sz w:val="20"/>
        </w:rPr>
        <w:t>2019 is</w:t>
      </w:r>
      <w:r w:rsidRPr="001F704E">
        <w:rPr>
          <w:rFonts w:ascii="Arial" w:hAnsi="Arial" w:cs="Arial"/>
          <w:sz w:val="20"/>
        </w:rPr>
        <w:t xml:space="preserve"> available on the Fund's website at the foll</w:t>
      </w:r>
      <w:r w:rsidRPr="00C245CD">
        <w:rPr>
          <w:rFonts w:ascii="Arial" w:hAnsi="Arial" w:cs="Arial"/>
          <w:sz w:val="20"/>
        </w:rPr>
        <w:t xml:space="preserve">owing address: </w:t>
      </w:r>
    </w:p>
    <w:p w14:paraId="033BEDCF" w14:textId="77777777" w:rsidR="008724DA" w:rsidRPr="00A226AC" w:rsidRDefault="00516E75" w:rsidP="008724DA">
      <w:pPr>
        <w:autoSpaceDE w:val="0"/>
        <w:autoSpaceDN w:val="0"/>
        <w:adjustRightInd w:val="0"/>
        <w:spacing w:after="120" w:line="240" w:lineRule="atLeast"/>
        <w:ind w:left="720"/>
        <w:rPr>
          <w:rFonts w:ascii="Arial" w:hAnsi="Arial" w:cs="Arial"/>
          <w:sz w:val="22"/>
          <w:szCs w:val="22"/>
        </w:rPr>
      </w:pPr>
      <w:hyperlink r:id="rId48" w:history="1">
        <w:r w:rsidR="008724DA" w:rsidRPr="006005AB">
          <w:rPr>
            <w:rStyle w:val="Hyperlink"/>
            <w:rFonts w:ascii="Arial" w:hAnsi="Arial" w:cs="Arial"/>
            <w:sz w:val="20"/>
          </w:rPr>
          <w:t>https://www.swanseapensionfund.org.uk/investment-and-fund/actuarial-valuations/</w:t>
        </w:r>
      </w:hyperlink>
    </w:p>
    <w:p w14:paraId="2D1ECE74" w14:textId="77777777" w:rsidR="008724DA" w:rsidRPr="0073699C" w:rsidRDefault="008724DA" w:rsidP="008724DA">
      <w:pPr>
        <w:spacing w:after="120"/>
        <w:rPr>
          <w:rFonts w:ascii="Arial" w:hAnsi="Arial" w:cs="Arial"/>
          <w:sz w:val="20"/>
        </w:rPr>
      </w:pPr>
      <w:r w:rsidRPr="0073699C">
        <w:rPr>
          <w:rFonts w:ascii="Arial" w:hAnsi="Arial" w:cs="Arial"/>
          <w:sz w:val="20"/>
        </w:rPr>
        <w:t xml:space="preserve">Aon </w:t>
      </w:r>
      <w:r>
        <w:rPr>
          <w:rFonts w:ascii="Arial" w:hAnsi="Arial" w:cs="Arial"/>
          <w:sz w:val="20"/>
        </w:rPr>
        <w:t>Solutions</w:t>
      </w:r>
      <w:r w:rsidRPr="0073699C">
        <w:rPr>
          <w:rFonts w:ascii="Arial" w:hAnsi="Arial" w:cs="Arial"/>
          <w:sz w:val="20"/>
        </w:rPr>
        <w:t xml:space="preserve"> </w:t>
      </w:r>
      <w:r>
        <w:rPr>
          <w:rFonts w:ascii="Arial" w:hAnsi="Arial" w:cs="Arial"/>
          <w:sz w:val="20"/>
        </w:rPr>
        <w:t xml:space="preserve">UK </w:t>
      </w:r>
      <w:r w:rsidRPr="0073699C">
        <w:rPr>
          <w:rFonts w:ascii="Arial" w:hAnsi="Arial" w:cs="Arial"/>
          <w:sz w:val="20"/>
        </w:rPr>
        <w:t>Limited</w:t>
      </w:r>
    </w:p>
    <w:p w14:paraId="11E31116" w14:textId="77777777" w:rsidR="008724DA" w:rsidRPr="00E42AF8" w:rsidRDefault="008724DA" w:rsidP="008724DA">
      <w:pPr>
        <w:spacing w:after="80"/>
        <w:ind w:left="720" w:hanging="720"/>
        <w:rPr>
          <w:rFonts w:ascii="Arial" w:hAnsi="Arial" w:cs="Arial"/>
          <w:b/>
          <w:sz w:val="20"/>
        </w:rPr>
      </w:pPr>
      <w:r>
        <w:rPr>
          <w:rFonts w:ascii="Arial" w:hAnsi="Arial" w:cs="Arial"/>
          <w:b/>
          <w:sz w:val="20"/>
        </w:rPr>
        <w:lastRenderedPageBreak/>
        <w:t>May</w:t>
      </w:r>
      <w:r w:rsidRPr="0073699C">
        <w:rPr>
          <w:rFonts w:ascii="Arial" w:hAnsi="Arial" w:cs="Arial"/>
          <w:b/>
          <w:sz w:val="20"/>
        </w:rPr>
        <w:t xml:space="preserve"> 202</w:t>
      </w:r>
      <w:r>
        <w:rPr>
          <w:rFonts w:ascii="Arial" w:hAnsi="Arial" w:cs="Arial"/>
          <w:b/>
          <w:sz w:val="20"/>
        </w:rPr>
        <w:t>2</w:t>
      </w:r>
    </w:p>
    <w:p w14:paraId="4F133469" w14:textId="77777777" w:rsidR="008724DA" w:rsidRPr="00056EC7" w:rsidRDefault="008724DA" w:rsidP="008724DA">
      <w:pPr>
        <w:rPr>
          <w:rFonts w:ascii="Arial" w:hAnsi="Arial" w:cs="Arial"/>
          <w:sz w:val="20"/>
        </w:rPr>
      </w:pPr>
    </w:p>
    <w:tbl>
      <w:tblPr>
        <w:tblW w:w="12100" w:type="dxa"/>
        <w:tblInd w:w="108" w:type="dxa"/>
        <w:tblLook w:val="04A0" w:firstRow="1" w:lastRow="0" w:firstColumn="1" w:lastColumn="0" w:noHBand="0" w:noVBand="1"/>
      </w:tblPr>
      <w:tblGrid>
        <w:gridCol w:w="12100"/>
      </w:tblGrid>
      <w:tr w:rsidR="009362A2" w:rsidRPr="009362A2" w14:paraId="4266E781" w14:textId="77777777" w:rsidTr="009362A2">
        <w:trPr>
          <w:trHeight w:val="312"/>
        </w:trPr>
        <w:tc>
          <w:tcPr>
            <w:tcW w:w="12100" w:type="dxa"/>
            <w:tcBorders>
              <w:top w:val="nil"/>
              <w:left w:val="nil"/>
              <w:bottom w:val="nil"/>
              <w:right w:val="nil"/>
            </w:tcBorders>
            <w:shd w:val="clear" w:color="000000" w:fill="FFFFFF"/>
            <w:vAlign w:val="bottom"/>
            <w:hideMark/>
          </w:tcPr>
          <w:p w14:paraId="2ECE7B8F" w14:textId="77777777" w:rsidR="009362A2" w:rsidRPr="009362A2" w:rsidRDefault="009362A2" w:rsidP="00B155ED">
            <w:pPr>
              <w:jc w:val="both"/>
              <w:rPr>
                <w:rFonts w:ascii="Arial" w:hAnsi="Arial" w:cs="Arial"/>
                <w:b/>
                <w:bCs/>
                <w:sz w:val="20"/>
                <w:lang w:eastAsia="en-GB"/>
              </w:rPr>
            </w:pPr>
            <w:r w:rsidRPr="009362A2">
              <w:rPr>
                <w:rFonts w:ascii="Arial" w:hAnsi="Arial" w:cs="Arial"/>
                <w:b/>
                <w:bCs/>
                <w:sz w:val="20"/>
                <w:lang w:eastAsia="en-GB"/>
              </w:rPr>
              <w:t>Statement of the Actuary for the year ended 31 March 202</w:t>
            </w:r>
            <w:r w:rsidR="00D019D9">
              <w:rPr>
                <w:rFonts w:ascii="Arial" w:hAnsi="Arial" w:cs="Arial"/>
                <w:b/>
                <w:bCs/>
                <w:sz w:val="20"/>
                <w:lang w:eastAsia="en-GB"/>
              </w:rPr>
              <w:t>2</w:t>
            </w:r>
            <w:r w:rsidRPr="009362A2">
              <w:rPr>
                <w:rFonts w:ascii="Arial" w:hAnsi="Arial" w:cs="Arial"/>
                <w:b/>
                <w:bCs/>
                <w:sz w:val="20"/>
                <w:lang w:eastAsia="en-GB"/>
              </w:rPr>
              <w:t xml:space="preserve"> (continued)</w:t>
            </w:r>
          </w:p>
        </w:tc>
      </w:tr>
      <w:tr w:rsidR="009362A2" w:rsidRPr="009362A2" w14:paraId="2F7911C8" w14:textId="77777777" w:rsidTr="009362A2">
        <w:trPr>
          <w:trHeight w:val="312"/>
        </w:trPr>
        <w:tc>
          <w:tcPr>
            <w:tcW w:w="12100" w:type="dxa"/>
            <w:tcBorders>
              <w:top w:val="nil"/>
              <w:left w:val="nil"/>
              <w:bottom w:val="nil"/>
              <w:right w:val="nil"/>
            </w:tcBorders>
            <w:shd w:val="clear" w:color="000000" w:fill="FFFFFF"/>
            <w:vAlign w:val="bottom"/>
            <w:hideMark/>
          </w:tcPr>
          <w:p w14:paraId="00CC0F71" w14:textId="77777777" w:rsidR="009362A2" w:rsidRPr="009362A2" w:rsidRDefault="009362A2" w:rsidP="009362A2">
            <w:pPr>
              <w:jc w:val="both"/>
              <w:rPr>
                <w:rFonts w:ascii="Arial" w:hAnsi="Arial" w:cs="Arial"/>
                <w:b/>
                <w:bCs/>
                <w:sz w:val="20"/>
                <w:lang w:eastAsia="en-GB"/>
              </w:rPr>
            </w:pPr>
            <w:r w:rsidRPr="009362A2">
              <w:rPr>
                <w:rFonts w:ascii="Arial" w:hAnsi="Arial" w:cs="Arial"/>
                <w:b/>
                <w:bCs/>
                <w:sz w:val="20"/>
                <w:lang w:eastAsia="en-GB"/>
              </w:rPr>
              <w:t xml:space="preserve">Actuarial Present Value of Promised Retirement Benefits </w:t>
            </w:r>
          </w:p>
        </w:tc>
      </w:tr>
    </w:tbl>
    <w:p w14:paraId="52ABF42E" w14:textId="77777777" w:rsidR="009362A2" w:rsidRPr="009362A2" w:rsidRDefault="009362A2" w:rsidP="009362A2">
      <w:pPr>
        <w:rPr>
          <w:rFonts w:ascii="Arial" w:hAnsi="Arial" w:cs="Arial"/>
          <w:sz w:val="20"/>
          <w:lang w:eastAsia="en-GB"/>
        </w:rPr>
      </w:pPr>
    </w:p>
    <w:p w14:paraId="29C37BD7" w14:textId="77777777" w:rsidR="009362A2" w:rsidRPr="009362A2" w:rsidRDefault="009362A2" w:rsidP="009362A2">
      <w:pPr>
        <w:rPr>
          <w:rFonts w:ascii="Arial" w:hAnsi="Arial" w:cs="Arial"/>
          <w:sz w:val="20"/>
          <w:lang w:eastAsia="en-GB"/>
        </w:rPr>
      </w:pPr>
    </w:p>
    <w:p w14:paraId="4B72B149" w14:textId="77777777" w:rsidR="009362A2" w:rsidRPr="009362A2" w:rsidRDefault="009362A2" w:rsidP="009362A2">
      <w:pPr>
        <w:jc w:val="both"/>
        <w:rPr>
          <w:rFonts w:ascii="Arial" w:hAnsi="Arial" w:cs="Arial"/>
          <w:sz w:val="20"/>
          <w:lang w:eastAsia="en-GB"/>
        </w:rPr>
      </w:pPr>
      <w:r w:rsidRPr="009362A2">
        <w:rPr>
          <w:rFonts w:ascii="Arial" w:hAnsi="Arial" w:cs="Arial"/>
          <w:sz w:val="20"/>
          <w:lang w:eastAsia="en-GB"/>
        </w:rPr>
        <w:t>CIPFA's Code of Practice on Local Authority Accounting for 20</w:t>
      </w:r>
      <w:r w:rsidR="00B155ED">
        <w:rPr>
          <w:rFonts w:ascii="Arial" w:hAnsi="Arial" w:cs="Arial"/>
          <w:sz w:val="20"/>
          <w:lang w:eastAsia="en-GB"/>
        </w:rPr>
        <w:t>20/21</w:t>
      </w:r>
      <w:r w:rsidRPr="009362A2">
        <w:rPr>
          <w:rFonts w:ascii="Arial" w:hAnsi="Arial" w:cs="Arial"/>
          <w:sz w:val="20"/>
          <w:lang w:eastAsia="en-GB"/>
        </w:rPr>
        <w:t xml:space="preserve"> sets out that the actuarial present value of promised retirement benefits based on projected salaries be disclosed, consistent with the requirements of IAS19. </w:t>
      </w:r>
    </w:p>
    <w:p w14:paraId="0A08109E" w14:textId="77777777" w:rsidR="009362A2" w:rsidRPr="009362A2" w:rsidRDefault="009362A2" w:rsidP="009362A2">
      <w:pPr>
        <w:jc w:val="both"/>
        <w:rPr>
          <w:rFonts w:ascii="Arial" w:hAnsi="Arial" w:cs="Arial"/>
          <w:b/>
          <w:sz w:val="20"/>
        </w:rPr>
      </w:pPr>
    </w:p>
    <w:p w14:paraId="727241BB" w14:textId="77777777" w:rsidR="009362A2" w:rsidRPr="009362A2" w:rsidRDefault="009362A2" w:rsidP="009362A2">
      <w:pPr>
        <w:jc w:val="both"/>
        <w:rPr>
          <w:rFonts w:ascii="Arial" w:hAnsi="Arial" w:cs="Arial"/>
          <w:sz w:val="20"/>
          <w:lang w:eastAsia="en-GB"/>
        </w:rPr>
      </w:pPr>
      <w:r w:rsidRPr="009362A2">
        <w:rPr>
          <w:rFonts w:ascii="Arial" w:hAnsi="Arial" w:cs="Arial"/>
          <w:sz w:val="20"/>
          <w:lang w:eastAsia="en-GB"/>
        </w:rPr>
        <w:t>The results as at 31st March 2019, together with the results at 31st March 2016 are shown in the table below. The corresponding fair value of Fund assets is also shown in order to show the level of surplus or deficit within the Fund when the liabilities are valued using IAS19 assumptions.</w:t>
      </w:r>
    </w:p>
    <w:p w14:paraId="245095F3" w14:textId="77777777" w:rsidR="009362A2" w:rsidRPr="009362A2" w:rsidRDefault="009362A2" w:rsidP="009362A2">
      <w:pPr>
        <w:jc w:val="both"/>
        <w:rPr>
          <w:rFonts w:ascii="Arial" w:hAnsi="Arial" w:cs="Arial"/>
          <w:b/>
          <w:sz w:val="20"/>
        </w:rPr>
      </w:pPr>
    </w:p>
    <w:p w14:paraId="42955E39" w14:textId="77777777" w:rsidR="009362A2" w:rsidRPr="009362A2" w:rsidRDefault="009362A2" w:rsidP="006145F2">
      <w:pPr>
        <w:rPr>
          <w:rFonts w:ascii="Arial" w:hAnsi="Arial" w:cs="Arial"/>
          <w:b/>
          <w:sz w:val="20"/>
        </w:rPr>
      </w:pPr>
    </w:p>
    <w:p w14:paraId="774C8D77" w14:textId="77777777" w:rsidR="009362A2" w:rsidRPr="009362A2" w:rsidRDefault="009362A2" w:rsidP="006145F2">
      <w:pPr>
        <w:rPr>
          <w:rFonts w:ascii="Arial" w:hAnsi="Arial" w:cs="Arial"/>
          <w:b/>
          <w:sz w:val="20"/>
        </w:rPr>
      </w:pPr>
    </w:p>
    <w:tbl>
      <w:tblPr>
        <w:tblW w:w="10206" w:type="dxa"/>
        <w:tblInd w:w="108" w:type="dxa"/>
        <w:tblLook w:val="04A0" w:firstRow="1" w:lastRow="0" w:firstColumn="1" w:lastColumn="0" w:noHBand="0" w:noVBand="1"/>
      </w:tblPr>
      <w:tblGrid>
        <w:gridCol w:w="3480"/>
        <w:gridCol w:w="3480"/>
        <w:gridCol w:w="3246"/>
      </w:tblGrid>
      <w:tr w:rsidR="009362A2" w:rsidRPr="009362A2" w14:paraId="79D6F846" w14:textId="77777777" w:rsidTr="009362A2">
        <w:trPr>
          <w:trHeight w:val="468"/>
        </w:trPr>
        <w:tc>
          <w:tcPr>
            <w:tcW w:w="3480" w:type="dxa"/>
            <w:tcBorders>
              <w:top w:val="nil"/>
              <w:left w:val="nil"/>
              <w:bottom w:val="single" w:sz="4" w:space="0" w:color="auto"/>
              <w:right w:val="single" w:sz="4" w:space="0" w:color="auto"/>
            </w:tcBorders>
            <w:shd w:val="clear" w:color="000000" w:fill="FFFFFF"/>
            <w:hideMark/>
          </w:tcPr>
          <w:p w14:paraId="4EDC097D" w14:textId="77777777" w:rsidR="009362A2" w:rsidRPr="009362A2" w:rsidRDefault="009362A2" w:rsidP="009362A2">
            <w:pPr>
              <w:rPr>
                <w:rFonts w:ascii="Arial" w:hAnsi="Arial" w:cs="Arial"/>
                <w:sz w:val="20"/>
                <w:lang w:eastAsia="en-GB"/>
              </w:rPr>
            </w:pPr>
            <w:r w:rsidRPr="009362A2">
              <w:rPr>
                <w:rFonts w:ascii="Arial" w:hAnsi="Arial" w:cs="Arial"/>
                <w:sz w:val="20"/>
                <w:lang w:eastAsia="en-GB"/>
              </w:rPr>
              <w:t> </w:t>
            </w:r>
          </w:p>
        </w:tc>
        <w:tc>
          <w:tcPr>
            <w:tcW w:w="3480" w:type="dxa"/>
            <w:tcBorders>
              <w:top w:val="single" w:sz="4" w:space="0" w:color="auto"/>
              <w:left w:val="nil"/>
              <w:bottom w:val="nil"/>
              <w:right w:val="single" w:sz="4" w:space="0" w:color="auto"/>
            </w:tcBorders>
            <w:shd w:val="clear" w:color="000000" w:fill="FFFFFF"/>
            <w:vAlign w:val="bottom"/>
            <w:hideMark/>
          </w:tcPr>
          <w:p w14:paraId="6A64D29B" w14:textId="77777777" w:rsidR="009362A2" w:rsidRPr="009362A2" w:rsidRDefault="009362A2" w:rsidP="009362A2">
            <w:pPr>
              <w:jc w:val="center"/>
              <w:rPr>
                <w:rFonts w:ascii="Arial" w:hAnsi="Arial" w:cs="Arial"/>
                <w:b/>
                <w:bCs/>
                <w:sz w:val="20"/>
                <w:lang w:eastAsia="en-GB"/>
              </w:rPr>
            </w:pPr>
            <w:r w:rsidRPr="009362A2">
              <w:rPr>
                <w:rFonts w:ascii="Arial" w:hAnsi="Arial" w:cs="Arial"/>
                <w:b/>
                <w:bCs/>
                <w:sz w:val="20"/>
                <w:lang w:eastAsia="en-GB"/>
              </w:rPr>
              <w:t>Value as at 31st March 2019</w:t>
            </w:r>
          </w:p>
        </w:tc>
        <w:tc>
          <w:tcPr>
            <w:tcW w:w="3246" w:type="dxa"/>
            <w:tcBorders>
              <w:top w:val="single" w:sz="4" w:space="0" w:color="auto"/>
              <w:left w:val="nil"/>
              <w:bottom w:val="nil"/>
              <w:right w:val="single" w:sz="4" w:space="0" w:color="auto"/>
            </w:tcBorders>
            <w:shd w:val="clear" w:color="000000" w:fill="FFFFFF"/>
            <w:vAlign w:val="bottom"/>
            <w:hideMark/>
          </w:tcPr>
          <w:p w14:paraId="38F0681D" w14:textId="77777777" w:rsidR="009362A2" w:rsidRPr="009362A2" w:rsidRDefault="009362A2" w:rsidP="009362A2">
            <w:pPr>
              <w:jc w:val="center"/>
              <w:rPr>
                <w:rFonts w:ascii="Arial" w:hAnsi="Arial" w:cs="Arial"/>
                <w:b/>
                <w:bCs/>
                <w:sz w:val="20"/>
                <w:lang w:eastAsia="en-GB"/>
              </w:rPr>
            </w:pPr>
            <w:r w:rsidRPr="009362A2">
              <w:rPr>
                <w:rFonts w:ascii="Arial" w:hAnsi="Arial" w:cs="Arial"/>
                <w:b/>
                <w:bCs/>
                <w:sz w:val="20"/>
                <w:lang w:eastAsia="en-GB"/>
              </w:rPr>
              <w:t>Value as at 31st March 2016</w:t>
            </w:r>
          </w:p>
        </w:tc>
      </w:tr>
      <w:tr w:rsidR="009362A2" w:rsidRPr="009362A2" w14:paraId="36889C86" w14:textId="77777777" w:rsidTr="009362A2">
        <w:trPr>
          <w:trHeight w:val="468"/>
        </w:trPr>
        <w:tc>
          <w:tcPr>
            <w:tcW w:w="3480" w:type="dxa"/>
            <w:tcBorders>
              <w:top w:val="single" w:sz="4" w:space="0" w:color="auto"/>
              <w:left w:val="single" w:sz="4" w:space="0" w:color="auto"/>
              <w:bottom w:val="single" w:sz="4" w:space="0" w:color="auto"/>
              <w:right w:val="single" w:sz="4" w:space="0" w:color="auto"/>
            </w:tcBorders>
            <w:shd w:val="clear" w:color="000000" w:fill="FFFFFF"/>
            <w:hideMark/>
          </w:tcPr>
          <w:p w14:paraId="46FF8A2B" w14:textId="77777777" w:rsidR="009362A2" w:rsidRPr="009362A2" w:rsidRDefault="009362A2" w:rsidP="009362A2">
            <w:pPr>
              <w:rPr>
                <w:rFonts w:ascii="Arial" w:hAnsi="Arial" w:cs="Arial"/>
                <w:sz w:val="20"/>
                <w:lang w:eastAsia="en-GB"/>
              </w:rPr>
            </w:pPr>
            <w:r w:rsidRPr="009362A2">
              <w:rPr>
                <w:rFonts w:ascii="Arial" w:hAnsi="Arial" w:cs="Arial"/>
                <w:sz w:val="20"/>
                <w:lang w:eastAsia="en-GB"/>
              </w:rPr>
              <w:t> </w:t>
            </w:r>
          </w:p>
        </w:tc>
        <w:tc>
          <w:tcPr>
            <w:tcW w:w="3480" w:type="dxa"/>
            <w:tcBorders>
              <w:top w:val="nil"/>
              <w:left w:val="nil"/>
              <w:bottom w:val="single" w:sz="4" w:space="0" w:color="auto"/>
              <w:right w:val="single" w:sz="4" w:space="0" w:color="auto"/>
            </w:tcBorders>
            <w:shd w:val="clear" w:color="000000" w:fill="FFFFFF"/>
            <w:vAlign w:val="bottom"/>
            <w:hideMark/>
          </w:tcPr>
          <w:p w14:paraId="54646D76" w14:textId="77777777" w:rsidR="009362A2" w:rsidRPr="009362A2" w:rsidRDefault="009362A2" w:rsidP="009362A2">
            <w:pPr>
              <w:jc w:val="center"/>
              <w:rPr>
                <w:rFonts w:ascii="Arial" w:hAnsi="Arial" w:cs="Arial"/>
                <w:b/>
                <w:bCs/>
                <w:sz w:val="20"/>
                <w:lang w:eastAsia="en-GB"/>
              </w:rPr>
            </w:pPr>
            <w:r w:rsidRPr="009362A2">
              <w:rPr>
                <w:rFonts w:ascii="Arial" w:hAnsi="Arial" w:cs="Arial"/>
                <w:b/>
                <w:bCs/>
                <w:sz w:val="20"/>
                <w:lang w:eastAsia="en-GB"/>
              </w:rPr>
              <w:t>£M</w:t>
            </w:r>
          </w:p>
        </w:tc>
        <w:tc>
          <w:tcPr>
            <w:tcW w:w="3246" w:type="dxa"/>
            <w:tcBorders>
              <w:top w:val="nil"/>
              <w:left w:val="nil"/>
              <w:bottom w:val="single" w:sz="4" w:space="0" w:color="auto"/>
              <w:right w:val="single" w:sz="4" w:space="0" w:color="auto"/>
            </w:tcBorders>
            <w:shd w:val="clear" w:color="000000" w:fill="FFFFFF"/>
            <w:vAlign w:val="bottom"/>
            <w:hideMark/>
          </w:tcPr>
          <w:p w14:paraId="2BC8198A" w14:textId="77777777" w:rsidR="009362A2" w:rsidRPr="009362A2" w:rsidRDefault="009362A2" w:rsidP="009362A2">
            <w:pPr>
              <w:jc w:val="center"/>
              <w:rPr>
                <w:rFonts w:ascii="Arial" w:hAnsi="Arial" w:cs="Arial"/>
                <w:b/>
                <w:bCs/>
                <w:sz w:val="20"/>
                <w:lang w:eastAsia="en-GB"/>
              </w:rPr>
            </w:pPr>
            <w:r w:rsidRPr="009362A2">
              <w:rPr>
                <w:rFonts w:ascii="Arial" w:hAnsi="Arial" w:cs="Arial"/>
                <w:b/>
                <w:bCs/>
                <w:sz w:val="20"/>
                <w:lang w:eastAsia="en-GB"/>
              </w:rPr>
              <w:t>£M</w:t>
            </w:r>
          </w:p>
        </w:tc>
      </w:tr>
      <w:tr w:rsidR="009362A2" w:rsidRPr="009362A2" w14:paraId="68DF98C4" w14:textId="77777777" w:rsidTr="009362A2">
        <w:trPr>
          <w:trHeight w:val="360"/>
        </w:trPr>
        <w:tc>
          <w:tcPr>
            <w:tcW w:w="3480" w:type="dxa"/>
            <w:tcBorders>
              <w:top w:val="single" w:sz="4" w:space="0" w:color="auto"/>
              <w:left w:val="single" w:sz="4" w:space="0" w:color="auto"/>
              <w:bottom w:val="single" w:sz="4" w:space="0" w:color="auto"/>
              <w:right w:val="single" w:sz="4" w:space="0" w:color="auto"/>
            </w:tcBorders>
            <w:shd w:val="clear" w:color="000000" w:fill="FFFFFF"/>
            <w:hideMark/>
          </w:tcPr>
          <w:p w14:paraId="31E98EE8" w14:textId="77777777" w:rsidR="009362A2" w:rsidRPr="009362A2" w:rsidRDefault="009362A2" w:rsidP="009362A2">
            <w:pPr>
              <w:rPr>
                <w:rFonts w:ascii="Arial" w:hAnsi="Arial" w:cs="Arial"/>
                <w:sz w:val="20"/>
                <w:lang w:eastAsia="en-GB"/>
              </w:rPr>
            </w:pPr>
            <w:r w:rsidRPr="009362A2">
              <w:rPr>
                <w:rFonts w:ascii="Arial" w:hAnsi="Arial" w:cs="Arial"/>
                <w:sz w:val="20"/>
                <w:lang w:eastAsia="en-GB"/>
              </w:rPr>
              <w:t>Fair Value of Net Assets</w:t>
            </w:r>
          </w:p>
        </w:tc>
        <w:tc>
          <w:tcPr>
            <w:tcW w:w="3480" w:type="dxa"/>
            <w:tcBorders>
              <w:top w:val="single" w:sz="4" w:space="0" w:color="auto"/>
              <w:left w:val="nil"/>
              <w:bottom w:val="single" w:sz="4" w:space="0" w:color="auto"/>
              <w:right w:val="single" w:sz="4" w:space="0" w:color="auto"/>
            </w:tcBorders>
            <w:shd w:val="clear" w:color="000000" w:fill="FFFFFF"/>
            <w:vAlign w:val="bottom"/>
            <w:hideMark/>
          </w:tcPr>
          <w:p w14:paraId="681C2608" w14:textId="77777777" w:rsidR="009362A2" w:rsidRPr="009362A2" w:rsidRDefault="009362A2" w:rsidP="009362A2">
            <w:pPr>
              <w:jc w:val="right"/>
              <w:rPr>
                <w:rFonts w:ascii="Arial" w:hAnsi="Arial" w:cs="Arial"/>
                <w:sz w:val="20"/>
                <w:lang w:eastAsia="en-GB"/>
              </w:rPr>
            </w:pPr>
            <w:r w:rsidRPr="009362A2">
              <w:rPr>
                <w:rFonts w:ascii="Arial" w:hAnsi="Arial" w:cs="Arial"/>
                <w:sz w:val="20"/>
                <w:lang w:eastAsia="en-GB"/>
              </w:rPr>
              <w:t>2,044.0</w:t>
            </w:r>
          </w:p>
        </w:tc>
        <w:tc>
          <w:tcPr>
            <w:tcW w:w="3246" w:type="dxa"/>
            <w:tcBorders>
              <w:top w:val="single" w:sz="4" w:space="0" w:color="auto"/>
              <w:left w:val="nil"/>
              <w:bottom w:val="single" w:sz="4" w:space="0" w:color="auto"/>
              <w:right w:val="single" w:sz="4" w:space="0" w:color="auto"/>
            </w:tcBorders>
            <w:shd w:val="clear" w:color="000000" w:fill="FFFFFF"/>
            <w:vAlign w:val="bottom"/>
            <w:hideMark/>
          </w:tcPr>
          <w:p w14:paraId="1AEBF340" w14:textId="77777777" w:rsidR="009362A2" w:rsidRPr="009362A2" w:rsidRDefault="009362A2" w:rsidP="009362A2">
            <w:pPr>
              <w:jc w:val="right"/>
              <w:rPr>
                <w:rFonts w:ascii="Arial" w:hAnsi="Arial" w:cs="Arial"/>
                <w:sz w:val="20"/>
                <w:lang w:eastAsia="en-GB"/>
              </w:rPr>
            </w:pPr>
            <w:r w:rsidRPr="009362A2">
              <w:rPr>
                <w:rFonts w:ascii="Arial" w:hAnsi="Arial" w:cs="Arial"/>
                <w:sz w:val="20"/>
                <w:lang w:eastAsia="en-GB"/>
              </w:rPr>
              <w:t>1,512.6</w:t>
            </w:r>
          </w:p>
        </w:tc>
      </w:tr>
      <w:tr w:rsidR="009362A2" w:rsidRPr="009362A2" w14:paraId="25CB323D" w14:textId="77777777" w:rsidTr="009362A2">
        <w:trPr>
          <w:trHeight w:val="1068"/>
        </w:trPr>
        <w:tc>
          <w:tcPr>
            <w:tcW w:w="3480" w:type="dxa"/>
            <w:tcBorders>
              <w:top w:val="single" w:sz="4" w:space="0" w:color="auto"/>
              <w:left w:val="single" w:sz="4" w:space="0" w:color="auto"/>
              <w:bottom w:val="single" w:sz="4" w:space="0" w:color="auto"/>
              <w:right w:val="single" w:sz="4" w:space="0" w:color="auto"/>
            </w:tcBorders>
            <w:shd w:val="clear" w:color="000000" w:fill="FFFFFF"/>
            <w:hideMark/>
          </w:tcPr>
          <w:p w14:paraId="64F49215" w14:textId="77777777" w:rsidR="009362A2" w:rsidRPr="009362A2" w:rsidRDefault="009362A2" w:rsidP="009362A2">
            <w:pPr>
              <w:rPr>
                <w:rFonts w:ascii="Arial" w:hAnsi="Arial" w:cs="Arial"/>
                <w:sz w:val="20"/>
                <w:lang w:eastAsia="en-GB"/>
              </w:rPr>
            </w:pPr>
            <w:r w:rsidRPr="009362A2">
              <w:rPr>
                <w:rFonts w:ascii="Arial" w:hAnsi="Arial" w:cs="Arial"/>
                <w:sz w:val="20"/>
                <w:lang w:eastAsia="en-GB"/>
              </w:rPr>
              <w:t>Actuarial present value of the defined benefit obligation (see Notes)</w:t>
            </w:r>
          </w:p>
        </w:tc>
        <w:tc>
          <w:tcPr>
            <w:tcW w:w="3480" w:type="dxa"/>
            <w:tcBorders>
              <w:top w:val="single" w:sz="4" w:space="0" w:color="auto"/>
              <w:left w:val="nil"/>
              <w:bottom w:val="single" w:sz="4" w:space="0" w:color="auto"/>
              <w:right w:val="single" w:sz="4" w:space="0" w:color="auto"/>
            </w:tcBorders>
            <w:shd w:val="clear" w:color="000000" w:fill="FFFFFF"/>
            <w:vAlign w:val="bottom"/>
            <w:hideMark/>
          </w:tcPr>
          <w:p w14:paraId="15952BA3" w14:textId="77777777" w:rsidR="009362A2" w:rsidRPr="009362A2" w:rsidRDefault="009362A2" w:rsidP="009362A2">
            <w:pPr>
              <w:jc w:val="right"/>
              <w:rPr>
                <w:rFonts w:ascii="Arial" w:hAnsi="Arial" w:cs="Arial"/>
                <w:sz w:val="20"/>
                <w:lang w:eastAsia="en-GB"/>
              </w:rPr>
            </w:pPr>
            <w:r w:rsidRPr="009362A2">
              <w:rPr>
                <w:rFonts w:ascii="Arial" w:hAnsi="Arial" w:cs="Arial"/>
                <w:sz w:val="20"/>
                <w:lang w:eastAsia="en-GB"/>
              </w:rPr>
              <w:t>3,215.9</w:t>
            </w:r>
          </w:p>
        </w:tc>
        <w:tc>
          <w:tcPr>
            <w:tcW w:w="3246" w:type="dxa"/>
            <w:tcBorders>
              <w:top w:val="single" w:sz="4" w:space="0" w:color="auto"/>
              <w:left w:val="nil"/>
              <w:bottom w:val="single" w:sz="4" w:space="0" w:color="auto"/>
              <w:right w:val="single" w:sz="4" w:space="0" w:color="auto"/>
            </w:tcBorders>
            <w:shd w:val="clear" w:color="000000" w:fill="FFFFFF"/>
            <w:vAlign w:val="bottom"/>
            <w:hideMark/>
          </w:tcPr>
          <w:p w14:paraId="16B7D74C" w14:textId="77777777" w:rsidR="009362A2" w:rsidRPr="009362A2" w:rsidRDefault="009362A2" w:rsidP="009362A2">
            <w:pPr>
              <w:jc w:val="right"/>
              <w:rPr>
                <w:rFonts w:ascii="Arial" w:hAnsi="Arial" w:cs="Arial"/>
                <w:sz w:val="20"/>
                <w:lang w:eastAsia="en-GB"/>
              </w:rPr>
            </w:pPr>
            <w:r w:rsidRPr="009362A2">
              <w:rPr>
                <w:rFonts w:ascii="Arial" w:hAnsi="Arial" w:cs="Arial"/>
                <w:sz w:val="20"/>
                <w:lang w:eastAsia="en-GB"/>
              </w:rPr>
              <w:t>2,249.7</w:t>
            </w:r>
          </w:p>
        </w:tc>
      </w:tr>
      <w:tr w:rsidR="009362A2" w:rsidRPr="009362A2" w14:paraId="27639B45" w14:textId="77777777" w:rsidTr="009362A2">
        <w:trPr>
          <w:trHeight w:val="876"/>
        </w:trPr>
        <w:tc>
          <w:tcPr>
            <w:tcW w:w="3480" w:type="dxa"/>
            <w:tcBorders>
              <w:top w:val="single" w:sz="4" w:space="0" w:color="auto"/>
              <w:left w:val="single" w:sz="4" w:space="0" w:color="auto"/>
              <w:bottom w:val="single" w:sz="4" w:space="0" w:color="auto"/>
              <w:right w:val="single" w:sz="4" w:space="0" w:color="auto"/>
            </w:tcBorders>
            <w:shd w:val="clear" w:color="000000" w:fill="FFFFFF"/>
            <w:hideMark/>
          </w:tcPr>
          <w:p w14:paraId="7F530767" w14:textId="77777777" w:rsidR="009362A2" w:rsidRPr="009362A2" w:rsidRDefault="009362A2" w:rsidP="009362A2">
            <w:pPr>
              <w:rPr>
                <w:rFonts w:ascii="Arial" w:hAnsi="Arial" w:cs="Arial"/>
                <w:sz w:val="20"/>
                <w:lang w:eastAsia="en-GB"/>
              </w:rPr>
            </w:pPr>
            <w:r w:rsidRPr="009362A2">
              <w:rPr>
                <w:rFonts w:ascii="Arial" w:hAnsi="Arial" w:cs="Arial"/>
                <w:sz w:val="20"/>
                <w:lang w:eastAsia="en-GB"/>
              </w:rPr>
              <w:t>Surplus/(deficit) in the fund as measured for IAS26 purposes</w:t>
            </w:r>
          </w:p>
        </w:tc>
        <w:tc>
          <w:tcPr>
            <w:tcW w:w="3480" w:type="dxa"/>
            <w:tcBorders>
              <w:top w:val="single" w:sz="4" w:space="0" w:color="auto"/>
              <w:left w:val="nil"/>
              <w:bottom w:val="single" w:sz="4" w:space="0" w:color="auto"/>
              <w:right w:val="single" w:sz="4" w:space="0" w:color="auto"/>
            </w:tcBorders>
            <w:shd w:val="clear" w:color="000000" w:fill="FFFFFF"/>
            <w:vAlign w:val="bottom"/>
            <w:hideMark/>
          </w:tcPr>
          <w:p w14:paraId="2F4FF1EE" w14:textId="77777777" w:rsidR="009362A2" w:rsidRPr="009362A2" w:rsidRDefault="009362A2" w:rsidP="009362A2">
            <w:pPr>
              <w:jc w:val="right"/>
              <w:rPr>
                <w:rFonts w:ascii="Arial" w:hAnsi="Arial" w:cs="Arial"/>
                <w:sz w:val="20"/>
                <w:lang w:eastAsia="en-GB"/>
              </w:rPr>
            </w:pPr>
            <w:r w:rsidRPr="009362A2">
              <w:rPr>
                <w:rFonts w:ascii="Arial" w:hAnsi="Arial" w:cs="Arial"/>
                <w:sz w:val="20"/>
                <w:lang w:eastAsia="en-GB"/>
              </w:rPr>
              <w:t>(1,171.9)</w:t>
            </w:r>
          </w:p>
        </w:tc>
        <w:tc>
          <w:tcPr>
            <w:tcW w:w="3246" w:type="dxa"/>
            <w:tcBorders>
              <w:top w:val="single" w:sz="4" w:space="0" w:color="auto"/>
              <w:left w:val="nil"/>
              <w:bottom w:val="single" w:sz="4" w:space="0" w:color="auto"/>
              <w:right w:val="single" w:sz="4" w:space="0" w:color="auto"/>
            </w:tcBorders>
            <w:shd w:val="clear" w:color="000000" w:fill="FFFFFF"/>
            <w:vAlign w:val="bottom"/>
            <w:hideMark/>
          </w:tcPr>
          <w:p w14:paraId="29010683" w14:textId="77777777" w:rsidR="009362A2" w:rsidRPr="009362A2" w:rsidRDefault="009362A2" w:rsidP="009362A2">
            <w:pPr>
              <w:jc w:val="right"/>
              <w:rPr>
                <w:rFonts w:ascii="Arial" w:hAnsi="Arial" w:cs="Arial"/>
                <w:sz w:val="20"/>
                <w:lang w:eastAsia="en-GB"/>
              </w:rPr>
            </w:pPr>
            <w:r w:rsidRPr="009362A2">
              <w:rPr>
                <w:rFonts w:ascii="Arial" w:hAnsi="Arial" w:cs="Arial"/>
                <w:sz w:val="20"/>
                <w:lang w:eastAsia="en-GB"/>
              </w:rPr>
              <w:t>(737.1)</w:t>
            </w:r>
          </w:p>
        </w:tc>
      </w:tr>
    </w:tbl>
    <w:p w14:paraId="33486B14" w14:textId="77777777" w:rsidR="009362A2" w:rsidRPr="009362A2" w:rsidRDefault="009362A2" w:rsidP="006145F2">
      <w:pPr>
        <w:rPr>
          <w:rFonts w:ascii="Arial" w:hAnsi="Arial" w:cs="Arial"/>
          <w:b/>
          <w:sz w:val="20"/>
        </w:rPr>
      </w:pPr>
    </w:p>
    <w:p w14:paraId="7C409CE7" w14:textId="77777777" w:rsidR="00B155ED" w:rsidRPr="00413BD5" w:rsidRDefault="00B155ED" w:rsidP="00B155ED">
      <w:pPr>
        <w:rPr>
          <w:rFonts w:ascii="Arial" w:hAnsi="Arial" w:cs="Arial"/>
          <w:b/>
          <w:bCs/>
          <w:sz w:val="20"/>
        </w:rPr>
      </w:pPr>
      <w:r w:rsidRPr="00413BD5">
        <w:rPr>
          <w:rFonts w:ascii="Arial" w:hAnsi="Arial" w:cs="Arial"/>
          <w:b/>
          <w:bCs/>
          <w:sz w:val="20"/>
        </w:rPr>
        <w:t xml:space="preserve">McCloud/Sargeant Judgement </w:t>
      </w:r>
    </w:p>
    <w:p w14:paraId="55D0446D" w14:textId="77777777" w:rsidR="00B155ED" w:rsidRPr="00413BD5" w:rsidRDefault="00B155ED" w:rsidP="00B155ED">
      <w:pPr>
        <w:rPr>
          <w:rFonts w:ascii="Arial" w:hAnsi="Arial" w:cs="Arial"/>
          <w:sz w:val="20"/>
        </w:rPr>
      </w:pPr>
    </w:p>
    <w:p w14:paraId="31DDE2D7" w14:textId="77777777" w:rsidR="00B155ED" w:rsidRDefault="00B155ED" w:rsidP="00AB12BA">
      <w:pPr>
        <w:jc w:val="both"/>
        <w:rPr>
          <w:rFonts w:ascii="Arial" w:hAnsi="Arial" w:cs="Arial"/>
          <w:sz w:val="20"/>
        </w:rPr>
      </w:pPr>
      <w:r w:rsidRPr="00413BD5">
        <w:rPr>
          <w:rFonts w:ascii="Arial" w:hAnsi="Arial" w:cs="Arial"/>
          <w:sz w:val="20"/>
        </w:rPr>
        <w:t>The actuarial present value of the defined benefit obligation at 31st March 2019 includes an estimated liability in relation to the McCloud/Sargeant judgment of £35.2m. The McCloud/Sargeant judgement (December 2018) found that the transitional arrangements put in place when the Firefighters' and Judges' Pension Schemes were reformed constituted illegal discrimination. The Government has since committed to compensate all members of public service schemes who were illegally discriminated against. MHCLG published its McCloud consultation for the LGPS (in England and Wales) on 16th July 2020, setting out proposed changes aimed at removing the unlawful age discrimination in the LGPS. The consultation closed on 8th October 2020 and on 13th May 2021 the Government published the key elements of the changes to scheme regulations, the key points are:</w:t>
      </w:r>
    </w:p>
    <w:p w14:paraId="28541265" w14:textId="77777777" w:rsidR="00AB12BA" w:rsidRPr="00413BD5" w:rsidRDefault="00AB12BA" w:rsidP="00AB12BA">
      <w:pPr>
        <w:jc w:val="both"/>
        <w:rPr>
          <w:rFonts w:ascii="Arial" w:hAnsi="Arial" w:cs="Arial"/>
          <w:sz w:val="20"/>
        </w:rPr>
      </w:pPr>
    </w:p>
    <w:p w14:paraId="3C5280B0" w14:textId="77777777" w:rsidR="00B155ED" w:rsidRPr="00413BD5" w:rsidRDefault="00B155ED" w:rsidP="0073304A">
      <w:pPr>
        <w:numPr>
          <w:ilvl w:val="0"/>
          <w:numId w:val="87"/>
        </w:numPr>
        <w:jc w:val="both"/>
        <w:rPr>
          <w:rFonts w:ascii="Arial" w:hAnsi="Arial" w:cs="Arial"/>
          <w:sz w:val="20"/>
        </w:rPr>
      </w:pPr>
      <w:r w:rsidRPr="00413BD5">
        <w:rPr>
          <w:rFonts w:ascii="Arial" w:hAnsi="Arial" w:cs="Arial"/>
          <w:sz w:val="20"/>
        </w:rPr>
        <w:t>Underpin protection will apply to LGPS members who meet the revised qualifying criteria, principally that they were active in the scheme on 31st March 2012 and subsequently had membership of the career average scheme without a continuous break in service of more than five years.</w:t>
      </w:r>
    </w:p>
    <w:p w14:paraId="441FAB2A" w14:textId="77777777" w:rsidR="00B155ED" w:rsidRPr="00413BD5" w:rsidRDefault="00B155ED" w:rsidP="0073304A">
      <w:pPr>
        <w:numPr>
          <w:ilvl w:val="0"/>
          <w:numId w:val="87"/>
        </w:numPr>
        <w:jc w:val="both"/>
        <w:rPr>
          <w:rFonts w:ascii="Arial" w:hAnsi="Arial" w:cs="Arial"/>
          <w:sz w:val="20"/>
        </w:rPr>
      </w:pPr>
      <w:r w:rsidRPr="00413BD5">
        <w:rPr>
          <w:rFonts w:ascii="Arial" w:hAnsi="Arial" w:cs="Arial"/>
          <w:sz w:val="20"/>
        </w:rPr>
        <w:t>The period of protection will apply from 1st April 2014 to 31st March 2022 but will cease earlier where a member leaves active membership or reaches their final salary scheme normal retirement age (normally 65) before 31st March 2022.</w:t>
      </w:r>
    </w:p>
    <w:p w14:paraId="0DF65230" w14:textId="77777777" w:rsidR="00B155ED" w:rsidRPr="00413BD5" w:rsidRDefault="00B155ED" w:rsidP="0073304A">
      <w:pPr>
        <w:numPr>
          <w:ilvl w:val="0"/>
          <w:numId w:val="87"/>
        </w:numPr>
        <w:jc w:val="both"/>
        <w:rPr>
          <w:rFonts w:ascii="Arial" w:hAnsi="Arial" w:cs="Arial"/>
          <w:sz w:val="20"/>
        </w:rPr>
      </w:pPr>
      <w:r w:rsidRPr="00413BD5">
        <w:rPr>
          <w:rFonts w:ascii="Arial" w:hAnsi="Arial" w:cs="Arial"/>
          <w:sz w:val="20"/>
        </w:rPr>
        <w:t>Where a member stays in active membership beyond 31st March 2022, the comparison of their benefits will be based on their final salary when they leave the LGPS, or when they reach their final salary scheme normal retirement age, if earlier.</w:t>
      </w:r>
    </w:p>
    <w:p w14:paraId="3DBBAC71" w14:textId="77777777" w:rsidR="00B155ED" w:rsidRPr="00413BD5" w:rsidRDefault="00B155ED" w:rsidP="0073304A">
      <w:pPr>
        <w:numPr>
          <w:ilvl w:val="0"/>
          <w:numId w:val="87"/>
        </w:numPr>
        <w:jc w:val="both"/>
        <w:rPr>
          <w:rFonts w:ascii="Arial" w:hAnsi="Arial" w:cs="Arial"/>
          <w:sz w:val="20"/>
        </w:rPr>
      </w:pPr>
      <w:r w:rsidRPr="00413BD5">
        <w:rPr>
          <w:rFonts w:ascii="Arial" w:hAnsi="Arial" w:cs="Arial"/>
          <w:sz w:val="20"/>
        </w:rPr>
        <w:t>Underpin protection will apply to qualifying members who leave active membership of the LGPS with an immediate or deferred entitlement to a pension.</w:t>
      </w:r>
    </w:p>
    <w:p w14:paraId="63D33CF2" w14:textId="77777777" w:rsidR="00B155ED" w:rsidRPr="00413BD5" w:rsidRDefault="00B155ED" w:rsidP="0073304A">
      <w:pPr>
        <w:numPr>
          <w:ilvl w:val="0"/>
          <w:numId w:val="87"/>
        </w:numPr>
        <w:jc w:val="both"/>
        <w:rPr>
          <w:rFonts w:ascii="Arial" w:hAnsi="Arial" w:cs="Arial"/>
          <w:sz w:val="20"/>
        </w:rPr>
      </w:pPr>
      <w:r w:rsidRPr="00413BD5">
        <w:rPr>
          <w:rFonts w:ascii="Arial" w:hAnsi="Arial" w:cs="Arial"/>
          <w:sz w:val="20"/>
        </w:rPr>
        <w:t>A ‘two stage process’ will apply for assessing the underpin so that, where there is a gap between a member’s last day of active membership and the date they take their pension, members can be assured they are getting the higher benefit.</w:t>
      </w:r>
    </w:p>
    <w:p w14:paraId="39D5FE36" w14:textId="77777777" w:rsidR="00B155ED" w:rsidRDefault="00B155ED" w:rsidP="0073304A">
      <w:pPr>
        <w:numPr>
          <w:ilvl w:val="0"/>
          <w:numId w:val="87"/>
        </w:numPr>
        <w:jc w:val="both"/>
        <w:rPr>
          <w:rFonts w:ascii="Arial" w:hAnsi="Arial" w:cs="Arial"/>
          <w:sz w:val="20"/>
        </w:rPr>
      </w:pPr>
      <w:r w:rsidRPr="00413BD5">
        <w:rPr>
          <w:rFonts w:ascii="Arial" w:hAnsi="Arial" w:cs="Arial"/>
          <w:sz w:val="20"/>
        </w:rPr>
        <w:t xml:space="preserve">Scheme regulations giving effect to the above changes will be retrospective to 1st April 2014.  </w:t>
      </w:r>
    </w:p>
    <w:p w14:paraId="61861F7A" w14:textId="77777777" w:rsidR="000B1D84" w:rsidRDefault="000B1D84" w:rsidP="000B1D84">
      <w:pPr>
        <w:jc w:val="both"/>
        <w:rPr>
          <w:rFonts w:ascii="Arial" w:hAnsi="Arial" w:cs="Arial"/>
          <w:sz w:val="20"/>
        </w:rPr>
      </w:pPr>
    </w:p>
    <w:p w14:paraId="71727E8F" w14:textId="77777777" w:rsidR="009362A2" w:rsidRPr="00413BD5" w:rsidRDefault="00B155ED" w:rsidP="000B1D84">
      <w:pPr>
        <w:jc w:val="both"/>
        <w:rPr>
          <w:rFonts w:ascii="Arial" w:hAnsi="Arial" w:cs="Arial"/>
          <w:b/>
          <w:sz w:val="20"/>
        </w:rPr>
      </w:pPr>
      <w:r w:rsidRPr="00413BD5">
        <w:rPr>
          <w:rFonts w:ascii="Arial" w:hAnsi="Arial" w:cs="Arial"/>
          <w:sz w:val="20"/>
        </w:rPr>
        <w:lastRenderedPageBreak/>
        <w:t>The government’s intention is that new regulations will come into force on 1</w:t>
      </w:r>
      <w:r w:rsidRPr="00413BD5">
        <w:rPr>
          <w:rFonts w:ascii="Arial" w:hAnsi="Arial" w:cs="Arial"/>
          <w:sz w:val="20"/>
          <w:vertAlign w:val="superscript"/>
        </w:rPr>
        <w:t>st</w:t>
      </w:r>
      <w:r w:rsidRPr="00413BD5">
        <w:rPr>
          <w:rFonts w:ascii="Arial" w:hAnsi="Arial" w:cs="Arial"/>
          <w:sz w:val="20"/>
        </w:rPr>
        <w:t xml:space="preserve"> April 2023. The additional liability included within this note assumes the underpin covers all members who were actively participating in the Scheme on 1st April 2012.</w:t>
      </w:r>
    </w:p>
    <w:tbl>
      <w:tblPr>
        <w:tblW w:w="11372" w:type="dxa"/>
        <w:tblInd w:w="108" w:type="dxa"/>
        <w:tblLook w:val="04A0" w:firstRow="1" w:lastRow="0" w:firstColumn="1" w:lastColumn="0" w:noHBand="0" w:noVBand="1"/>
      </w:tblPr>
      <w:tblGrid>
        <w:gridCol w:w="11372"/>
      </w:tblGrid>
      <w:tr w:rsidR="00DC424F" w:rsidRPr="00413BD5" w14:paraId="069DEDDB" w14:textId="77777777" w:rsidTr="00DC424F">
        <w:trPr>
          <w:trHeight w:val="384"/>
        </w:trPr>
        <w:tc>
          <w:tcPr>
            <w:tcW w:w="11372" w:type="dxa"/>
            <w:tcBorders>
              <w:top w:val="nil"/>
              <w:left w:val="nil"/>
              <w:bottom w:val="nil"/>
              <w:right w:val="nil"/>
            </w:tcBorders>
            <w:shd w:val="clear" w:color="000000" w:fill="FFFFFF"/>
            <w:noWrap/>
            <w:vAlign w:val="bottom"/>
          </w:tcPr>
          <w:p w14:paraId="506E1BB9" w14:textId="77777777" w:rsidR="00274675" w:rsidRDefault="00274675" w:rsidP="00274675">
            <w:pPr>
              <w:rPr>
                <w:rFonts w:ascii="Arial" w:hAnsi="Arial" w:cs="Arial"/>
                <w:b/>
                <w:sz w:val="20"/>
              </w:rPr>
            </w:pPr>
            <w:r>
              <w:rPr>
                <w:rFonts w:ascii="Arial" w:hAnsi="Arial" w:cs="Arial"/>
                <w:b/>
                <w:sz w:val="20"/>
              </w:rPr>
              <w:t>Statement of the Actuary for the year ended 31 March 22 (continued)</w:t>
            </w:r>
          </w:p>
          <w:p w14:paraId="2B2A7814" w14:textId="77777777" w:rsidR="00274675" w:rsidRDefault="00274675" w:rsidP="007A5126">
            <w:pPr>
              <w:jc w:val="both"/>
              <w:rPr>
                <w:rFonts w:ascii="Arial" w:hAnsi="Arial" w:cs="Arial"/>
                <w:b/>
                <w:bCs/>
                <w:sz w:val="20"/>
              </w:rPr>
            </w:pPr>
          </w:p>
          <w:p w14:paraId="174D5203" w14:textId="77777777" w:rsidR="007A5126" w:rsidRPr="007A5126" w:rsidRDefault="007A5126" w:rsidP="007A5126">
            <w:pPr>
              <w:jc w:val="both"/>
              <w:rPr>
                <w:rFonts w:ascii="Arial" w:hAnsi="Arial" w:cs="Arial"/>
                <w:b/>
                <w:bCs/>
                <w:sz w:val="20"/>
              </w:rPr>
            </w:pPr>
            <w:r w:rsidRPr="007A5126">
              <w:rPr>
                <w:rFonts w:ascii="Arial" w:hAnsi="Arial" w:cs="Arial"/>
                <w:b/>
                <w:bCs/>
                <w:sz w:val="20"/>
              </w:rPr>
              <w:t xml:space="preserve">Equalisation and Indexation of Guaranteed Minimum Pensions </w:t>
            </w:r>
          </w:p>
          <w:p w14:paraId="0C500027" w14:textId="77777777" w:rsidR="007A5126" w:rsidRPr="007A5126" w:rsidRDefault="007A5126" w:rsidP="007A5126">
            <w:pPr>
              <w:jc w:val="both"/>
              <w:rPr>
                <w:rFonts w:ascii="Arial" w:hAnsi="Arial" w:cs="Arial"/>
                <w:sz w:val="20"/>
              </w:rPr>
            </w:pPr>
          </w:p>
          <w:p w14:paraId="7422A172" w14:textId="77777777" w:rsidR="007A5126" w:rsidRDefault="007A5126" w:rsidP="007A5126">
            <w:pPr>
              <w:jc w:val="both"/>
              <w:rPr>
                <w:rFonts w:ascii="Arial" w:hAnsi="Arial" w:cs="Arial"/>
                <w:sz w:val="20"/>
              </w:rPr>
            </w:pPr>
            <w:r w:rsidRPr="007A5126">
              <w:rPr>
                <w:rFonts w:ascii="Arial" w:hAnsi="Arial" w:cs="Arial"/>
                <w:sz w:val="20"/>
              </w:rPr>
              <w:t>The actuarial present value of the defined benefit obligation includes an estimated liability in relation to</w:t>
            </w:r>
            <w:r>
              <w:rPr>
                <w:rFonts w:ascii="Arial" w:hAnsi="Arial" w:cs="Arial"/>
                <w:sz w:val="20"/>
              </w:rPr>
              <w:t xml:space="preserve"> </w:t>
            </w:r>
            <w:r w:rsidRPr="007A5126">
              <w:rPr>
                <w:rFonts w:ascii="Arial" w:hAnsi="Arial" w:cs="Arial"/>
                <w:sz w:val="20"/>
              </w:rPr>
              <w:t>the</w:t>
            </w:r>
          </w:p>
          <w:p w14:paraId="6F9884FA" w14:textId="77777777" w:rsidR="007A5126" w:rsidRDefault="007A5126" w:rsidP="007A5126">
            <w:pPr>
              <w:jc w:val="both"/>
              <w:rPr>
                <w:rFonts w:ascii="Arial" w:hAnsi="Arial" w:cs="Arial"/>
                <w:sz w:val="20"/>
              </w:rPr>
            </w:pPr>
            <w:r w:rsidRPr="007A5126">
              <w:rPr>
                <w:rFonts w:ascii="Arial" w:hAnsi="Arial" w:cs="Arial"/>
                <w:sz w:val="20"/>
              </w:rPr>
              <w:t xml:space="preserve">equalisation and indexation of Guaranteed Minimum Pensions (GMP's) beyond the arrangements already </w:t>
            </w:r>
          </w:p>
          <w:p w14:paraId="493260AF" w14:textId="77777777" w:rsidR="007A5126" w:rsidRDefault="007A5126" w:rsidP="007A5126">
            <w:pPr>
              <w:jc w:val="both"/>
              <w:rPr>
                <w:rFonts w:ascii="Arial" w:hAnsi="Arial" w:cs="Arial"/>
                <w:sz w:val="20"/>
              </w:rPr>
            </w:pPr>
            <w:r w:rsidRPr="007A5126">
              <w:rPr>
                <w:rFonts w:ascii="Arial" w:hAnsi="Arial" w:cs="Arial"/>
                <w:sz w:val="20"/>
              </w:rPr>
              <w:t>formally in place, which applies to members whose State Pension Age (SPA) is between 6 April 2016</w:t>
            </w:r>
          </w:p>
          <w:p w14:paraId="2CB3E8C6" w14:textId="77777777" w:rsidR="007A5126" w:rsidRDefault="007A5126" w:rsidP="007A5126">
            <w:pPr>
              <w:jc w:val="both"/>
              <w:rPr>
                <w:rFonts w:ascii="Arial" w:hAnsi="Arial" w:cs="Arial"/>
                <w:sz w:val="20"/>
              </w:rPr>
            </w:pPr>
            <w:r w:rsidRPr="007A5126">
              <w:rPr>
                <w:rFonts w:ascii="Arial" w:hAnsi="Arial" w:cs="Arial"/>
                <w:sz w:val="20"/>
              </w:rPr>
              <w:t xml:space="preserve">and 5 April 2021 inclusive. Those arrangements required the LGPS to pay pension increase on GMP's at </w:t>
            </w:r>
          </w:p>
          <w:p w14:paraId="0CF5CD8C" w14:textId="77777777" w:rsidR="007A5126" w:rsidRDefault="007A5126" w:rsidP="007A5126">
            <w:pPr>
              <w:jc w:val="both"/>
              <w:rPr>
                <w:rFonts w:ascii="Arial" w:hAnsi="Arial" w:cs="Arial"/>
                <w:sz w:val="20"/>
              </w:rPr>
            </w:pPr>
            <w:r w:rsidRPr="007A5126">
              <w:rPr>
                <w:rFonts w:ascii="Arial" w:hAnsi="Arial" w:cs="Arial"/>
                <w:sz w:val="20"/>
              </w:rPr>
              <w:t>the full rate of CPI for those members, whereas GMP legislation only requires limited price increases to</w:t>
            </w:r>
          </w:p>
          <w:p w14:paraId="4CDB30A0" w14:textId="77777777" w:rsidR="007A5126" w:rsidRDefault="007A5126" w:rsidP="007A5126">
            <w:pPr>
              <w:jc w:val="both"/>
              <w:rPr>
                <w:rFonts w:ascii="Arial" w:hAnsi="Arial" w:cs="Arial"/>
                <w:sz w:val="20"/>
              </w:rPr>
            </w:pPr>
            <w:r w:rsidRPr="007A5126">
              <w:rPr>
                <w:rFonts w:ascii="Arial" w:hAnsi="Arial" w:cs="Arial"/>
                <w:sz w:val="20"/>
              </w:rPr>
              <w:t>be applied. On 23 March 2021 the Government published a response to its consultation on the longer-term</w:t>
            </w:r>
          </w:p>
          <w:p w14:paraId="0FE54FE2" w14:textId="77777777" w:rsidR="007A5126" w:rsidRDefault="007A5126" w:rsidP="007A5126">
            <w:pPr>
              <w:jc w:val="both"/>
              <w:rPr>
                <w:rFonts w:ascii="Arial" w:hAnsi="Arial" w:cs="Arial"/>
                <w:sz w:val="20"/>
              </w:rPr>
            </w:pPr>
            <w:r w:rsidRPr="007A5126">
              <w:rPr>
                <w:rFonts w:ascii="Arial" w:hAnsi="Arial" w:cs="Arial"/>
                <w:sz w:val="20"/>
              </w:rPr>
              <w:t>solutions to indexation and equalisation for GMPs and set out its proposal to extend the interim solution</w:t>
            </w:r>
          </w:p>
          <w:p w14:paraId="6B3637D6" w14:textId="77777777" w:rsidR="007A5126" w:rsidRDefault="007A5126" w:rsidP="007A5126">
            <w:pPr>
              <w:jc w:val="both"/>
              <w:rPr>
                <w:rFonts w:ascii="Arial" w:hAnsi="Arial" w:cs="Arial"/>
                <w:sz w:val="20"/>
              </w:rPr>
            </w:pPr>
            <w:r w:rsidRPr="007A5126">
              <w:rPr>
                <w:rFonts w:ascii="Arial" w:hAnsi="Arial" w:cs="Arial"/>
                <w:sz w:val="20"/>
              </w:rPr>
              <w:t>further to those reaching SPA after 5 April 2021. The additional liability included in this note allow for</w:t>
            </w:r>
          </w:p>
          <w:p w14:paraId="1A09096D" w14:textId="77777777" w:rsidR="007A5126" w:rsidRDefault="007A5126" w:rsidP="007A5126">
            <w:pPr>
              <w:jc w:val="both"/>
              <w:rPr>
                <w:rFonts w:ascii="Arial" w:hAnsi="Arial" w:cs="Arial"/>
                <w:sz w:val="20"/>
              </w:rPr>
            </w:pPr>
            <w:r w:rsidRPr="007A5126">
              <w:rPr>
                <w:rFonts w:ascii="Arial" w:hAnsi="Arial" w:cs="Arial"/>
                <w:sz w:val="20"/>
              </w:rPr>
              <w:t>proposed extension of the interim solution. This has increased the defined benefit obligation in the region</w:t>
            </w:r>
          </w:p>
          <w:p w14:paraId="67BB57AA" w14:textId="77777777" w:rsidR="007A5126" w:rsidRPr="007A5126" w:rsidRDefault="007A5126" w:rsidP="007A5126">
            <w:pPr>
              <w:jc w:val="both"/>
              <w:rPr>
                <w:rFonts w:ascii="Arial" w:hAnsi="Arial" w:cs="Arial"/>
                <w:sz w:val="20"/>
              </w:rPr>
            </w:pPr>
            <w:r w:rsidRPr="007A5126">
              <w:rPr>
                <w:rFonts w:ascii="Arial" w:hAnsi="Arial" w:cs="Arial"/>
                <w:sz w:val="20"/>
              </w:rPr>
              <w:t>of 0.1% to 0.3%.</w:t>
            </w:r>
          </w:p>
          <w:p w14:paraId="191EF006" w14:textId="77777777" w:rsidR="007A5126" w:rsidRPr="007A5126" w:rsidRDefault="007A5126" w:rsidP="007A5126">
            <w:pPr>
              <w:jc w:val="both"/>
              <w:rPr>
                <w:rFonts w:ascii="Arial" w:hAnsi="Arial" w:cs="Arial"/>
                <w:sz w:val="20"/>
              </w:rPr>
            </w:pPr>
          </w:p>
          <w:p w14:paraId="52EAD2CC" w14:textId="77777777" w:rsidR="007A5126" w:rsidRPr="007A5126" w:rsidRDefault="007A5126" w:rsidP="007A5126">
            <w:pPr>
              <w:jc w:val="both"/>
              <w:rPr>
                <w:rFonts w:ascii="Arial" w:hAnsi="Arial" w:cs="Arial"/>
                <w:b/>
                <w:bCs/>
                <w:sz w:val="20"/>
              </w:rPr>
            </w:pPr>
            <w:bookmarkStart w:id="10" w:name="_Hlk71888327"/>
            <w:r w:rsidRPr="007A5126">
              <w:rPr>
                <w:rFonts w:ascii="Arial" w:hAnsi="Arial" w:cs="Arial"/>
                <w:b/>
                <w:bCs/>
                <w:sz w:val="20"/>
              </w:rPr>
              <w:t xml:space="preserve">Cost Management Process </w:t>
            </w:r>
          </w:p>
          <w:p w14:paraId="15A5B3EE" w14:textId="77777777" w:rsidR="00D019D9" w:rsidRDefault="007A5126" w:rsidP="007A5126">
            <w:pPr>
              <w:jc w:val="both"/>
              <w:rPr>
                <w:rFonts w:ascii="Arial" w:hAnsi="Arial" w:cs="Arial"/>
                <w:sz w:val="20"/>
              </w:rPr>
            </w:pPr>
            <w:r w:rsidRPr="007A5126">
              <w:rPr>
                <w:rFonts w:ascii="Arial" w:hAnsi="Arial" w:cs="Arial"/>
                <w:sz w:val="20"/>
              </w:rPr>
              <w:t>The actuarial present value of the defined benefit obligation does not allow for any potential additional liability</w:t>
            </w:r>
          </w:p>
          <w:p w14:paraId="10F46072" w14:textId="77777777" w:rsidR="00D019D9" w:rsidRDefault="007A5126" w:rsidP="007A5126">
            <w:pPr>
              <w:jc w:val="both"/>
              <w:rPr>
                <w:rFonts w:ascii="Arial" w:hAnsi="Arial" w:cs="Arial"/>
                <w:sz w:val="20"/>
              </w:rPr>
            </w:pPr>
            <w:r w:rsidRPr="007A5126">
              <w:rPr>
                <w:rFonts w:ascii="Arial" w:hAnsi="Arial" w:cs="Arial"/>
                <w:sz w:val="20"/>
              </w:rPr>
              <w:t>which may arise from the cost management valuations. Legislation requires HM Treasury and the Scheme</w:t>
            </w:r>
          </w:p>
          <w:p w14:paraId="0A24A49F" w14:textId="77777777" w:rsidR="00D019D9" w:rsidRPr="00D019D9" w:rsidRDefault="007A5126" w:rsidP="007A5126">
            <w:pPr>
              <w:jc w:val="both"/>
              <w:rPr>
                <w:rFonts w:ascii="Arial" w:hAnsi="Arial" w:cs="Arial"/>
                <w:sz w:val="20"/>
              </w:rPr>
            </w:pPr>
            <w:r w:rsidRPr="007A5126">
              <w:rPr>
                <w:rFonts w:ascii="Arial" w:hAnsi="Arial" w:cs="Arial"/>
                <w:sz w:val="20"/>
              </w:rPr>
              <w:t xml:space="preserve">Advisory </w:t>
            </w:r>
            <w:r w:rsidRPr="00D019D9">
              <w:rPr>
                <w:rFonts w:ascii="Arial" w:hAnsi="Arial" w:cs="Arial"/>
                <w:sz w:val="20"/>
              </w:rPr>
              <w:t>Board (SAB) to undertake periodic valuations to monitor the cost of the LGPS to ensure it remains</w:t>
            </w:r>
          </w:p>
          <w:p w14:paraId="3ACC2BDF" w14:textId="77777777" w:rsidR="00D019D9" w:rsidRPr="00D019D9" w:rsidRDefault="007A5126" w:rsidP="007A5126">
            <w:pPr>
              <w:jc w:val="both"/>
              <w:rPr>
                <w:rFonts w:ascii="Arial" w:hAnsi="Arial" w:cs="Arial"/>
                <w:sz w:val="20"/>
              </w:rPr>
            </w:pPr>
            <w:r w:rsidRPr="00D019D9">
              <w:rPr>
                <w:rFonts w:ascii="Arial" w:hAnsi="Arial" w:cs="Arial"/>
                <w:sz w:val="20"/>
              </w:rPr>
              <w:t>sustainable and affordable.</w:t>
            </w:r>
            <w:bookmarkEnd w:id="10"/>
            <w:r w:rsidRPr="00D019D9">
              <w:rPr>
                <w:rFonts w:ascii="Arial" w:hAnsi="Arial" w:cs="Arial"/>
                <w:sz w:val="20"/>
              </w:rPr>
              <w:t xml:space="preserve"> After incorporating the potential costs of the McCloud remedy, the 2016 SAB </w:t>
            </w:r>
          </w:p>
          <w:p w14:paraId="45BBE81F" w14:textId="77777777" w:rsidR="00D019D9" w:rsidRPr="00D019D9" w:rsidRDefault="007A5126" w:rsidP="007A5126">
            <w:pPr>
              <w:jc w:val="both"/>
              <w:rPr>
                <w:rFonts w:ascii="Arial" w:hAnsi="Arial" w:cs="Arial"/>
                <w:sz w:val="20"/>
              </w:rPr>
            </w:pPr>
            <w:r w:rsidRPr="00D019D9">
              <w:rPr>
                <w:rFonts w:ascii="Arial" w:hAnsi="Arial" w:cs="Arial"/>
                <w:sz w:val="20"/>
              </w:rPr>
              <w:t>cost management process has concluded with no benefit improvements or member contribution changes</w:t>
            </w:r>
          </w:p>
          <w:p w14:paraId="54C4CC7F" w14:textId="77777777" w:rsidR="00D019D9" w:rsidRPr="00D019D9" w:rsidRDefault="007A5126" w:rsidP="007A5126">
            <w:pPr>
              <w:jc w:val="both"/>
              <w:rPr>
                <w:rFonts w:ascii="Arial" w:hAnsi="Arial" w:cs="Arial"/>
                <w:sz w:val="20"/>
              </w:rPr>
            </w:pPr>
            <w:r w:rsidRPr="00D019D9">
              <w:rPr>
                <w:rFonts w:ascii="Arial" w:hAnsi="Arial" w:cs="Arial"/>
                <w:sz w:val="20"/>
              </w:rPr>
              <w:t>being recommended under that process. However</w:t>
            </w:r>
            <w:r w:rsidR="00D019D9">
              <w:rPr>
                <w:rFonts w:ascii="Arial" w:hAnsi="Arial" w:cs="Arial"/>
                <w:sz w:val="20"/>
              </w:rPr>
              <w:t>,</w:t>
            </w:r>
            <w:r w:rsidRPr="00D019D9">
              <w:rPr>
                <w:rFonts w:ascii="Arial" w:hAnsi="Arial" w:cs="Arial"/>
                <w:sz w:val="20"/>
              </w:rPr>
              <w:t xml:space="preserve"> some uncertainty remains as the inclusion of McCloud</w:t>
            </w:r>
          </w:p>
          <w:p w14:paraId="1CE5F8CF" w14:textId="77777777" w:rsidR="007A5126" w:rsidRPr="007A5126" w:rsidRDefault="007A5126" w:rsidP="007A5126">
            <w:pPr>
              <w:jc w:val="both"/>
              <w:rPr>
                <w:rFonts w:ascii="Arial" w:hAnsi="Arial" w:cs="Arial"/>
                <w:sz w:val="20"/>
              </w:rPr>
            </w:pPr>
            <w:r w:rsidRPr="00D019D9">
              <w:rPr>
                <w:rFonts w:ascii="Arial" w:hAnsi="Arial" w:cs="Arial"/>
                <w:sz w:val="20"/>
              </w:rPr>
              <w:t>costs in the cost management process is the subject of a Judicial Review.</w:t>
            </w:r>
          </w:p>
          <w:p w14:paraId="3D86DA6B" w14:textId="77777777" w:rsidR="007A5126" w:rsidRPr="007A5126" w:rsidRDefault="007A5126" w:rsidP="007A5126">
            <w:pPr>
              <w:jc w:val="both"/>
              <w:rPr>
                <w:rFonts w:ascii="Arial" w:hAnsi="Arial" w:cs="Arial"/>
                <w:sz w:val="20"/>
              </w:rPr>
            </w:pPr>
          </w:p>
          <w:p w14:paraId="7975FDB4" w14:textId="77777777" w:rsidR="007A5126" w:rsidRPr="007A5126" w:rsidRDefault="007A5126" w:rsidP="007A5126">
            <w:pPr>
              <w:jc w:val="both"/>
              <w:rPr>
                <w:rFonts w:ascii="Arial" w:hAnsi="Arial" w:cs="Arial"/>
                <w:sz w:val="20"/>
              </w:rPr>
            </w:pPr>
          </w:p>
          <w:p w14:paraId="3E92E37E" w14:textId="77777777" w:rsidR="00D019D9" w:rsidRDefault="007A5126" w:rsidP="007A5126">
            <w:pPr>
              <w:jc w:val="both"/>
              <w:rPr>
                <w:rFonts w:ascii="Arial" w:hAnsi="Arial" w:cs="Arial"/>
                <w:sz w:val="20"/>
              </w:rPr>
            </w:pPr>
            <w:r w:rsidRPr="007A5126">
              <w:rPr>
                <w:rFonts w:ascii="Arial" w:hAnsi="Arial" w:cs="Arial"/>
                <w:sz w:val="20"/>
              </w:rPr>
              <w:t xml:space="preserve">A full detailed report on the IAS26 figures can be found on the Pension Fund website at </w:t>
            </w:r>
          </w:p>
          <w:p w14:paraId="242E316A" w14:textId="77777777" w:rsidR="00D019D9" w:rsidRDefault="007A5126" w:rsidP="007A5126">
            <w:pPr>
              <w:jc w:val="both"/>
              <w:rPr>
                <w:rFonts w:ascii="Arial" w:hAnsi="Arial" w:cs="Arial"/>
                <w:sz w:val="20"/>
              </w:rPr>
            </w:pPr>
            <w:r w:rsidRPr="007A5126">
              <w:rPr>
                <w:rFonts w:ascii="Arial" w:hAnsi="Arial" w:cs="Arial"/>
                <w:sz w:val="20"/>
              </w:rPr>
              <w:t xml:space="preserve">the following link : </w:t>
            </w:r>
          </w:p>
          <w:p w14:paraId="1B2A84C7" w14:textId="77777777" w:rsidR="00D019D9" w:rsidRDefault="00D019D9" w:rsidP="007A5126">
            <w:pPr>
              <w:jc w:val="both"/>
              <w:rPr>
                <w:rFonts w:ascii="Arial" w:hAnsi="Arial" w:cs="Arial"/>
                <w:sz w:val="20"/>
              </w:rPr>
            </w:pPr>
          </w:p>
          <w:p w14:paraId="493494E4" w14:textId="77777777" w:rsidR="007A5126" w:rsidRPr="007A5126" w:rsidRDefault="00516E75" w:rsidP="007A5126">
            <w:pPr>
              <w:jc w:val="both"/>
              <w:rPr>
                <w:rFonts w:ascii="Arial" w:hAnsi="Arial" w:cs="Arial"/>
                <w:sz w:val="20"/>
              </w:rPr>
            </w:pPr>
            <w:hyperlink r:id="rId49" w:history="1">
              <w:r w:rsidR="00D019D9" w:rsidRPr="005741A2">
                <w:rPr>
                  <w:rStyle w:val="Hyperlink"/>
                  <w:rFonts w:ascii="Arial" w:hAnsi="Arial" w:cs="Arial"/>
                  <w:sz w:val="20"/>
                </w:rPr>
                <w:t>https://www.swanseapensionfund.org.uk/investment-and-fund/actuarial-valuations/</w:t>
              </w:r>
            </w:hyperlink>
          </w:p>
          <w:p w14:paraId="0140DD6D" w14:textId="77777777" w:rsidR="007A5126" w:rsidRPr="007A5126" w:rsidRDefault="007A5126" w:rsidP="007A5126">
            <w:pPr>
              <w:jc w:val="both"/>
              <w:rPr>
                <w:rFonts w:ascii="Arial" w:hAnsi="Arial" w:cs="Arial"/>
                <w:sz w:val="20"/>
              </w:rPr>
            </w:pPr>
          </w:p>
          <w:p w14:paraId="307B55F9" w14:textId="77777777" w:rsidR="00B155ED" w:rsidRPr="007A5126" w:rsidRDefault="00B155ED" w:rsidP="007A5126">
            <w:pPr>
              <w:jc w:val="both"/>
              <w:rPr>
                <w:rFonts w:ascii="Arial" w:hAnsi="Arial" w:cs="Arial"/>
                <w:b/>
                <w:bCs/>
                <w:sz w:val="20"/>
                <w:lang w:eastAsia="en-GB"/>
              </w:rPr>
            </w:pPr>
          </w:p>
        </w:tc>
      </w:tr>
      <w:tr w:rsidR="00DC424F" w:rsidRPr="00485059" w14:paraId="482C4246" w14:textId="77777777" w:rsidTr="00DC424F">
        <w:trPr>
          <w:trHeight w:val="384"/>
        </w:trPr>
        <w:tc>
          <w:tcPr>
            <w:tcW w:w="11372" w:type="dxa"/>
            <w:tcBorders>
              <w:top w:val="nil"/>
              <w:left w:val="nil"/>
              <w:bottom w:val="nil"/>
              <w:right w:val="nil"/>
            </w:tcBorders>
            <w:shd w:val="clear" w:color="000000" w:fill="FFFFFF"/>
            <w:noWrap/>
            <w:vAlign w:val="bottom"/>
          </w:tcPr>
          <w:p w14:paraId="73BA929B" w14:textId="77777777" w:rsidR="004B323B" w:rsidRDefault="004B323B" w:rsidP="00F76A82">
            <w:pPr>
              <w:jc w:val="both"/>
              <w:rPr>
                <w:rFonts w:ascii="Arial" w:hAnsi="Arial" w:cs="Arial"/>
                <w:b/>
                <w:bCs/>
                <w:sz w:val="20"/>
                <w:lang w:eastAsia="en-GB"/>
              </w:rPr>
            </w:pPr>
          </w:p>
          <w:p w14:paraId="579734AA" w14:textId="77777777" w:rsidR="00D019D9" w:rsidRDefault="00D019D9" w:rsidP="00F76A82">
            <w:pPr>
              <w:jc w:val="both"/>
              <w:rPr>
                <w:rFonts w:ascii="Arial" w:hAnsi="Arial" w:cs="Arial"/>
                <w:b/>
                <w:bCs/>
                <w:sz w:val="20"/>
                <w:lang w:eastAsia="en-GB"/>
              </w:rPr>
            </w:pPr>
          </w:p>
          <w:p w14:paraId="5ECC32A6" w14:textId="77777777" w:rsidR="00D019D9" w:rsidRDefault="00D019D9" w:rsidP="00F76A82">
            <w:pPr>
              <w:jc w:val="both"/>
              <w:rPr>
                <w:rFonts w:ascii="Arial" w:hAnsi="Arial" w:cs="Arial"/>
                <w:b/>
                <w:bCs/>
                <w:sz w:val="20"/>
                <w:lang w:eastAsia="en-GB"/>
              </w:rPr>
            </w:pPr>
          </w:p>
          <w:p w14:paraId="5AC002CA" w14:textId="77777777" w:rsidR="00D019D9" w:rsidRDefault="00D019D9" w:rsidP="00F76A82">
            <w:pPr>
              <w:jc w:val="both"/>
              <w:rPr>
                <w:rFonts w:ascii="Arial" w:hAnsi="Arial" w:cs="Arial"/>
                <w:b/>
                <w:bCs/>
                <w:sz w:val="20"/>
                <w:lang w:eastAsia="en-GB"/>
              </w:rPr>
            </w:pPr>
          </w:p>
          <w:p w14:paraId="1337DC39" w14:textId="77777777" w:rsidR="00D019D9" w:rsidRDefault="00D019D9" w:rsidP="00F76A82">
            <w:pPr>
              <w:jc w:val="both"/>
              <w:rPr>
                <w:rFonts w:ascii="Arial" w:hAnsi="Arial" w:cs="Arial"/>
                <w:b/>
                <w:bCs/>
                <w:sz w:val="20"/>
                <w:lang w:eastAsia="en-GB"/>
              </w:rPr>
            </w:pPr>
          </w:p>
          <w:p w14:paraId="61082C34" w14:textId="77777777" w:rsidR="00D019D9" w:rsidRDefault="00D019D9" w:rsidP="00F76A82">
            <w:pPr>
              <w:jc w:val="both"/>
              <w:rPr>
                <w:rFonts w:ascii="Arial" w:hAnsi="Arial" w:cs="Arial"/>
                <w:b/>
                <w:bCs/>
                <w:sz w:val="20"/>
                <w:lang w:eastAsia="en-GB"/>
              </w:rPr>
            </w:pPr>
          </w:p>
          <w:p w14:paraId="1194BB42" w14:textId="77777777" w:rsidR="00D019D9" w:rsidRDefault="00D019D9" w:rsidP="00F76A82">
            <w:pPr>
              <w:jc w:val="both"/>
              <w:rPr>
                <w:rFonts w:ascii="Arial" w:hAnsi="Arial" w:cs="Arial"/>
                <w:b/>
                <w:bCs/>
                <w:sz w:val="20"/>
                <w:lang w:eastAsia="en-GB"/>
              </w:rPr>
            </w:pPr>
          </w:p>
          <w:p w14:paraId="11E089D4" w14:textId="77777777" w:rsidR="00D019D9" w:rsidRDefault="00D019D9" w:rsidP="00F76A82">
            <w:pPr>
              <w:jc w:val="both"/>
              <w:rPr>
                <w:rFonts w:ascii="Arial" w:hAnsi="Arial" w:cs="Arial"/>
                <w:b/>
                <w:bCs/>
                <w:sz w:val="20"/>
                <w:lang w:eastAsia="en-GB"/>
              </w:rPr>
            </w:pPr>
          </w:p>
          <w:p w14:paraId="6E143BFE" w14:textId="77777777" w:rsidR="00D019D9" w:rsidRDefault="00D019D9" w:rsidP="00F76A82">
            <w:pPr>
              <w:jc w:val="both"/>
              <w:rPr>
                <w:rFonts w:ascii="Arial" w:hAnsi="Arial" w:cs="Arial"/>
                <w:b/>
                <w:bCs/>
                <w:sz w:val="20"/>
                <w:lang w:eastAsia="en-GB"/>
              </w:rPr>
            </w:pPr>
          </w:p>
          <w:p w14:paraId="194E5F09" w14:textId="77777777" w:rsidR="00D019D9" w:rsidRDefault="00D019D9" w:rsidP="00F76A82">
            <w:pPr>
              <w:jc w:val="both"/>
              <w:rPr>
                <w:rFonts w:ascii="Arial" w:hAnsi="Arial" w:cs="Arial"/>
                <w:b/>
                <w:bCs/>
                <w:sz w:val="20"/>
                <w:lang w:eastAsia="en-GB"/>
              </w:rPr>
            </w:pPr>
          </w:p>
          <w:p w14:paraId="6EA09523" w14:textId="77777777" w:rsidR="00D019D9" w:rsidRDefault="00D019D9" w:rsidP="00F76A82">
            <w:pPr>
              <w:jc w:val="both"/>
              <w:rPr>
                <w:rFonts w:ascii="Arial" w:hAnsi="Arial" w:cs="Arial"/>
                <w:b/>
                <w:bCs/>
                <w:sz w:val="20"/>
                <w:lang w:eastAsia="en-GB"/>
              </w:rPr>
            </w:pPr>
          </w:p>
          <w:p w14:paraId="21865AC0" w14:textId="77777777" w:rsidR="00D019D9" w:rsidRDefault="00D019D9" w:rsidP="00F76A82">
            <w:pPr>
              <w:jc w:val="both"/>
              <w:rPr>
                <w:rFonts w:ascii="Arial" w:hAnsi="Arial" w:cs="Arial"/>
                <w:b/>
                <w:bCs/>
                <w:sz w:val="20"/>
                <w:lang w:eastAsia="en-GB"/>
              </w:rPr>
            </w:pPr>
          </w:p>
          <w:p w14:paraId="3A54351E" w14:textId="77777777" w:rsidR="00D019D9" w:rsidRDefault="00D019D9" w:rsidP="00F76A82">
            <w:pPr>
              <w:jc w:val="both"/>
              <w:rPr>
                <w:rFonts w:ascii="Arial" w:hAnsi="Arial" w:cs="Arial"/>
                <w:b/>
                <w:bCs/>
                <w:sz w:val="20"/>
                <w:lang w:eastAsia="en-GB"/>
              </w:rPr>
            </w:pPr>
          </w:p>
          <w:p w14:paraId="4B8690AC" w14:textId="77777777" w:rsidR="00D019D9" w:rsidRDefault="00D019D9" w:rsidP="00F76A82">
            <w:pPr>
              <w:jc w:val="both"/>
              <w:rPr>
                <w:rFonts w:ascii="Arial" w:hAnsi="Arial" w:cs="Arial"/>
                <w:b/>
                <w:bCs/>
                <w:sz w:val="20"/>
                <w:lang w:eastAsia="en-GB"/>
              </w:rPr>
            </w:pPr>
          </w:p>
          <w:p w14:paraId="0468E8FC" w14:textId="77777777" w:rsidR="00D019D9" w:rsidRDefault="00D019D9" w:rsidP="00F76A82">
            <w:pPr>
              <w:jc w:val="both"/>
              <w:rPr>
                <w:rFonts w:ascii="Arial" w:hAnsi="Arial" w:cs="Arial"/>
                <w:b/>
                <w:bCs/>
                <w:sz w:val="20"/>
                <w:lang w:eastAsia="en-GB"/>
              </w:rPr>
            </w:pPr>
          </w:p>
          <w:p w14:paraId="47BEBE7F" w14:textId="77777777" w:rsidR="00D019D9" w:rsidRDefault="00D019D9" w:rsidP="00F76A82">
            <w:pPr>
              <w:jc w:val="both"/>
              <w:rPr>
                <w:rFonts w:ascii="Arial" w:hAnsi="Arial" w:cs="Arial"/>
                <w:b/>
                <w:bCs/>
                <w:sz w:val="20"/>
                <w:lang w:eastAsia="en-GB"/>
              </w:rPr>
            </w:pPr>
          </w:p>
          <w:p w14:paraId="7B9EFBC1" w14:textId="77777777" w:rsidR="00D019D9" w:rsidRDefault="00D019D9" w:rsidP="00F76A82">
            <w:pPr>
              <w:jc w:val="both"/>
              <w:rPr>
                <w:rFonts w:ascii="Arial" w:hAnsi="Arial" w:cs="Arial"/>
                <w:b/>
                <w:bCs/>
                <w:sz w:val="20"/>
                <w:lang w:eastAsia="en-GB"/>
              </w:rPr>
            </w:pPr>
          </w:p>
          <w:p w14:paraId="1D2D115A" w14:textId="77777777" w:rsidR="00D019D9" w:rsidRDefault="00D019D9" w:rsidP="00F76A82">
            <w:pPr>
              <w:jc w:val="both"/>
              <w:rPr>
                <w:rFonts w:ascii="Arial" w:hAnsi="Arial" w:cs="Arial"/>
                <w:b/>
                <w:bCs/>
                <w:sz w:val="20"/>
                <w:lang w:eastAsia="en-GB"/>
              </w:rPr>
            </w:pPr>
          </w:p>
          <w:p w14:paraId="64FF7572" w14:textId="77777777" w:rsidR="00D019D9" w:rsidRDefault="00D019D9" w:rsidP="00F76A82">
            <w:pPr>
              <w:jc w:val="both"/>
              <w:rPr>
                <w:rFonts w:ascii="Arial" w:hAnsi="Arial" w:cs="Arial"/>
                <w:b/>
                <w:bCs/>
                <w:sz w:val="20"/>
                <w:lang w:eastAsia="en-GB"/>
              </w:rPr>
            </w:pPr>
          </w:p>
          <w:p w14:paraId="374988C1" w14:textId="77777777" w:rsidR="00D019D9" w:rsidRDefault="00D019D9" w:rsidP="00F76A82">
            <w:pPr>
              <w:jc w:val="both"/>
              <w:rPr>
                <w:rFonts w:ascii="Arial" w:hAnsi="Arial" w:cs="Arial"/>
                <w:b/>
                <w:bCs/>
                <w:sz w:val="20"/>
                <w:lang w:eastAsia="en-GB"/>
              </w:rPr>
            </w:pPr>
          </w:p>
          <w:p w14:paraId="1B103500" w14:textId="77777777" w:rsidR="00D019D9" w:rsidRDefault="00D019D9" w:rsidP="00F76A82">
            <w:pPr>
              <w:jc w:val="both"/>
              <w:rPr>
                <w:rFonts w:ascii="Arial" w:hAnsi="Arial" w:cs="Arial"/>
                <w:b/>
                <w:bCs/>
                <w:sz w:val="20"/>
                <w:lang w:eastAsia="en-GB"/>
              </w:rPr>
            </w:pPr>
          </w:p>
          <w:p w14:paraId="57CDEF28" w14:textId="77777777" w:rsidR="00D019D9" w:rsidRDefault="00D019D9" w:rsidP="00F76A82">
            <w:pPr>
              <w:jc w:val="both"/>
              <w:rPr>
                <w:rFonts w:ascii="Arial" w:hAnsi="Arial" w:cs="Arial"/>
                <w:b/>
                <w:bCs/>
                <w:sz w:val="20"/>
                <w:lang w:eastAsia="en-GB"/>
              </w:rPr>
            </w:pPr>
          </w:p>
          <w:p w14:paraId="125CA72D" w14:textId="77777777" w:rsidR="00D019D9" w:rsidRDefault="00D019D9" w:rsidP="00F76A82">
            <w:pPr>
              <w:jc w:val="both"/>
              <w:rPr>
                <w:rFonts w:ascii="Arial" w:hAnsi="Arial" w:cs="Arial"/>
                <w:b/>
                <w:bCs/>
                <w:sz w:val="20"/>
                <w:lang w:eastAsia="en-GB"/>
              </w:rPr>
            </w:pPr>
          </w:p>
          <w:p w14:paraId="0786346E" w14:textId="77777777" w:rsidR="00D019D9" w:rsidRDefault="00D019D9" w:rsidP="00F76A82">
            <w:pPr>
              <w:jc w:val="both"/>
              <w:rPr>
                <w:rFonts w:ascii="Arial" w:hAnsi="Arial" w:cs="Arial"/>
                <w:b/>
                <w:bCs/>
                <w:sz w:val="20"/>
                <w:lang w:eastAsia="en-GB"/>
              </w:rPr>
            </w:pPr>
          </w:p>
          <w:p w14:paraId="42961396" w14:textId="77777777" w:rsidR="00D019D9" w:rsidRDefault="00D019D9" w:rsidP="00F76A82">
            <w:pPr>
              <w:jc w:val="both"/>
              <w:rPr>
                <w:rFonts w:ascii="Arial" w:hAnsi="Arial" w:cs="Arial"/>
                <w:b/>
                <w:bCs/>
                <w:sz w:val="20"/>
                <w:lang w:eastAsia="en-GB"/>
              </w:rPr>
            </w:pPr>
          </w:p>
          <w:p w14:paraId="127A411B" w14:textId="77777777" w:rsidR="00D019D9" w:rsidRDefault="00D019D9" w:rsidP="00F76A82">
            <w:pPr>
              <w:jc w:val="both"/>
              <w:rPr>
                <w:rFonts w:ascii="Arial" w:hAnsi="Arial" w:cs="Arial"/>
                <w:b/>
                <w:bCs/>
                <w:sz w:val="20"/>
                <w:lang w:eastAsia="en-GB"/>
              </w:rPr>
            </w:pPr>
          </w:p>
          <w:p w14:paraId="77205397" w14:textId="77777777" w:rsidR="00D019D9" w:rsidRDefault="00D019D9" w:rsidP="00F76A82">
            <w:pPr>
              <w:jc w:val="both"/>
              <w:rPr>
                <w:rFonts w:ascii="Arial" w:hAnsi="Arial" w:cs="Arial"/>
                <w:b/>
                <w:bCs/>
                <w:sz w:val="20"/>
                <w:lang w:eastAsia="en-GB"/>
              </w:rPr>
            </w:pPr>
          </w:p>
          <w:p w14:paraId="2E33BD32" w14:textId="77777777" w:rsidR="00D019D9" w:rsidRDefault="00D019D9" w:rsidP="00F76A82">
            <w:pPr>
              <w:jc w:val="both"/>
              <w:rPr>
                <w:rFonts w:ascii="Arial" w:hAnsi="Arial" w:cs="Arial"/>
                <w:b/>
                <w:bCs/>
                <w:sz w:val="20"/>
                <w:lang w:eastAsia="en-GB"/>
              </w:rPr>
            </w:pPr>
          </w:p>
          <w:p w14:paraId="11EDEC07" w14:textId="77777777" w:rsidR="00D019D9" w:rsidRDefault="00D019D9" w:rsidP="00F76A82">
            <w:pPr>
              <w:jc w:val="both"/>
              <w:rPr>
                <w:rFonts w:ascii="Arial" w:hAnsi="Arial" w:cs="Arial"/>
                <w:b/>
                <w:bCs/>
                <w:sz w:val="20"/>
                <w:lang w:eastAsia="en-GB"/>
              </w:rPr>
            </w:pPr>
          </w:p>
          <w:p w14:paraId="6F84793E" w14:textId="77777777" w:rsidR="00D019D9" w:rsidRPr="007A5126" w:rsidRDefault="00D019D9" w:rsidP="00F76A82">
            <w:pPr>
              <w:jc w:val="both"/>
              <w:rPr>
                <w:rFonts w:ascii="Arial" w:hAnsi="Arial" w:cs="Arial"/>
                <w:b/>
                <w:bCs/>
                <w:sz w:val="20"/>
                <w:lang w:eastAsia="en-GB"/>
              </w:rPr>
            </w:pPr>
          </w:p>
        </w:tc>
      </w:tr>
    </w:tbl>
    <w:p w14:paraId="64F74FEB" w14:textId="77777777" w:rsidR="00F76A82" w:rsidRDefault="00F76A82" w:rsidP="00F76A82">
      <w:pPr>
        <w:rPr>
          <w:rFonts w:ascii="Arial" w:hAnsi="Arial" w:cs="Arial"/>
          <w:b/>
          <w:sz w:val="20"/>
        </w:rPr>
      </w:pPr>
      <w:r>
        <w:rPr>
          <w:rFonts w:ascii="Arial" w:hAnsi="Arial" w:cs="Arial"/>
          <w:b/>
          <w:sz w:val="20"/>
        </w:rPr>
        <w:lastRenderedPageBreak/>
        <w:t>Statement of the Actuary for the year ended 31 March 2</w:t>
      </w:r>
      <w:r w:rsidR="00D019D9">
        <w:rPr>
          <w:rFonts w:ascii="Arial" w:hAnsi="Arial" w:cs="Arial"/>
          <w:b/>
          <w:sz w:val="20"/>
        </w:rPr>
        <w:t>2</w:t>
      </w:r>
      <w:r>
        <w:rPr>
          <w:rFonts w:ascii="Arial" w:hAnsi="Arial" w:cs="Arial"/>
          <w:b/>
          <w:sz w:val="20"/>
        </w:rPr>
        <w:t xml:space="preserve"> (continued)</w:t>
      </w:r>
    </w:p>
    <w:p w14:paraId="7EC1D810" w14:textId="77777777" w:rsidR="00F76A82" w:rsidRDefault="00F76A82" w:rsidP="00F76A82">
      <w:pPr>
        <w:rPr>
          <w:rFonts w:ascii="Arial" w:hAnsi="Arial" w:cs="Arial"/>
          <w:b/>
          <w:sz w:val="20"/>
        </w:rPr>
      </w:pPr>
      <w:r>
        <w:rPr>
          <w:rFonts w:ascii="Arial" w:hAnsi="Arial" w:cs="Arial"/>
          <w:b/>
          <w:sz w:val="20"/>
        </w:rPr>
        <w:t>Actuarial Present Value of Promised Retirement Benefits</w:t>
      </w:r>
    </w:p>
    <w:p w14:paraId="6D8ADB04" w14:textId="77777777" w:rsidR="00F76A82" w:rsidRDefault="00F76A82" w:rsidP="00F76A82">
      <w:pPr>
        <w:rPr>
          <w:rFonts w:ascii="Arial" w:hAnsi="Arial" w:cs="Arial"/>
          <w:b/>
          <w:sz w:val="20"/>
        </w:rPr>
      </w:pPr>
    </w:p>
    <w:p w14:paraId="03011661" w14:textId="77777777" w:rsidR="00F76A82" w:rsidRDefault="00F76A82" w:rsidP="00F76A82">
      <w:pPr>
        <w:rPr>
          <w:rFonts w:ascii="Arial" w:hAnsi="Arial" w:cs="Arial"/>
          <w:b/>
          <w:sz w:val="20"/>
        </w:rPr>
      </w:pPr>
    </w:p>
    <w:p w14:paraId="5BC42655" w14:textId="77777777" w:rsidR="00F76A82" w:rsidRPr="00A82834" w:rsidRDefault="00F76A82" w:rsidP="00F76A82">
      <w:pPr>
        <w:rPr>
          <w:rFonts w:ascii="Arial" w:hAnsi="Arial" w:cs="Arial"/>
          <w:b/>
          <w:sz w:val="20"/>
        </w:rPr>
      </w:pPr>
      <w:r w:rsidRPr="00A82834">
        <w:rPr>
          <w:rFonts w:ascii="Arial" w:hAnsi="Arial" w:cs="Arial"/>
          <w:b/>
          <w:sz w:val="20"/>
        </w:rPr>
        <w:t>Definitions</w:t>
      </w:r>
    </w:p>
    <w:p w14:paraId="0EFF7356" w14:textId="77777777" w:rsidR="00F76A82" w:rsidRPr="00A82834" w:rsidRDefault="00F76A82" w:rsidP="00F76A82">
      <w:pPr>
        <w:rPr>
          <w:rFonts w:ascii="Arial" w:hAnsi="Arial" w:cs="Arial"/>
          <w:b/>
          <w:sz w:val="20"/>
        </w:rPr>
      </w:pPr>
    </w:p>
    <w:p w14:paraId="78F8564C" w14:textId="77777777" w:rsidR="00F76A82" w:rsidRDefault="00F76A82" w:rsidP="00F76A82">
      <w:pPr>
        <w:rPr>
          <w:rFonts w:ascii="Arial" w:hAnsi="Arial" w:cs="Arial"/>
          <w:b/>
          <w:sz w:val="20"/>
        </w:rPr>
      </w:pPr>
      <w:r w:rsidRPr="00A82834">
        <w:rPr>
          <w:rFonts w:ascii="Arial" w:hAnsi="Arial" w:cs="Arial"/>
          <w:b/>
          <w:sz w:val="20"/>
        </w:rPr>
        <w:t>Admission Body</w:t>
      </w:r>
    </w:p>
    <w:p w14:paraId="6A139A51" w14:textId="77777777" w:rsidR="00F76A82" w:rsidRPr="00A82834" w:rsidRDefault="00F76A82" w:rsidP="00F76A82">
      <w:pPr>
        <w:rPr>
          <w:rFonts w:ascii="Arial" w:hAnsi="Arial" w:cs="Arial"/>
          <w:b/>
          <w:sz w:val="20"/>
        </w:rPr>
      </w:pPr>
    </w:p>
    <w:p w14:paraId="0D14073F" w14:textId="77777777" w:rsidR="00F76A82" w:rsidRPr="00A82834" w:rsidRDefault="00F76A82" w:rsidP="00F76A82">
      <w:pPr>
        <w:rPr>
          <w:rFonts w:ascii="Arial" w:hAnsi="Arial" w:cs="Arial"/>
          <w:sz w:val="20"/>
        </w:rPr>
      </w:pPr>
      <w:r w:rsidRPr="00A82834">
        <w:rPr>
          <w:rFonts w:ascii="Arial" w:hAnsi="Arial" w:cs="Arial"/>
          <w:sz w:val="20"/>
        </w:rPr>
        <w:t>An employer admitted to the Fund under an admission agreement.</w:t>
      </w:r>
    </w:p>
    <w:p w14:paraId="5466ABFD" w14:textId="77777777" w:rsidR="00F76A82" w:rsidRPr="00A82834" w:rsidRDefault="00F76A82" w:rsidP="00F76A82">
      <w:pPr>
        <w:rPr>
          <w:rFonts w:ascii="Arial" w:hAnsi="Arial" w:cs="Arial"/>
          <w:sz w:val="20"/>
        </w:rPr>
      </w:pPr>
    </w:p>
    <w:p w14:paraId="01E0FA48" w14:textId="77777777" w:rsidR="00F76A82" w:rsidRDefault="00F76A82" w:rsidP="00F76A82">
      <w:pPr>
        <w:rPr>
          <w:rFonts w:ascii="Arial" w:hAnsi="Arial" w:cs="Arial"/>
          <w:b/>
          <w:sz w:val="20"/>
        </w:rPr>
      </w:pPr>
      <w:r w:rsidRPr="00A82834">
        <w:rPr>
          <w:rFonts w:ascii="Arial" w:hAnsi="Arial" w:cs="Arial"/>
          <w:b/>
          <w:sz w:val="20"/>
        </w:rPr>
        <w:t>Orphan Body</w:t>
      </w:r>
    </w:p>
    <w:p w14:paraId="2EEE48D1" w14:textId="77777777" w:rsidR="00F76A82" w:rsidRPr="00A82834" w:rsidRDefault="00F76A82" w:rsidP="00F76A82">
      <w:pPr>
        <w:rPr>
          <w:rFonts w:ascii="Arial" w:hAnsi="Arial" w:cs="Arial"/>
          <w:b/>
          <w:sz w:val="20"/>
        </w:rPr>
      </w:pPr>
    </w:p>
    <w:p w14:paraId="066C374C" w14:textId="77777777" w:rsidR="00F76A82" w:rsidRPr="00A82834" w:rsidRDefault="00F76A82" w:rsidP="00F76A82">
      <w:pPr>
        <w:jc w:val="both"/>
        <w:rPr>
          <w:rFonts w:ascii="Arial" w:hAnsi="Arial" w:cs="Arial"/>
          <w:sz w:val="20"/>
        </w:rPr>
      </w:pPr>
      <w:r w:rsidRPr="00A82834">
        <w:rPr>
          <w:rFonts w:ascii="Arial" w:hAnsi="Arial" w:cs="Arial"/>
          <w:sz w:val="20"/>
        </w:rPr>
        <w:t>This is an admission body or other employer whose participation in the Fund may cease at some future point in time, after which it is expected that the Administering Authority will have no access to future contributions in respect of the employer’s liabilities in the Fund once any liability on cessation has been paid.</w:t>
      </w:r>
    </w:p>
    <w:p w14:paraId="00922007" w14:textId="77777777" w:rsidR="00F76A82" w:rsidRPr="00A82834" w:rsidRDefault="00F76A82" w:rsidP="00F76A82">
      <w:pPr>
        <w:jc w:val="both"/>
        <w:rPr>
          <w:rFonts w:ascii="Arial" w:hAnsi="Arial" w:cs="Arial"/>
          <w:sz w:val="20"/>
        </w:rPr>
      </w:pPr>
    </w:p>
    <w:p w14:paraId="00E34F9D" w14:textId="77777777" w:rsidR="00F76A82" w:rsidRDefault="00F76A82" w:rsidP="00F76A82">
      <w:pPr>
        <w:rPr>
          <w:rFonts w:ascii="Arial" w:hAnsi="Arial" w:cs="Arial"/>
          <w:b/>
          <w:sz w:val="20"/>
        </w:rPr>
      </w:pPr>
      <w:r w:rsidRPr="00A82834">
        <w:rPr>
          <w:rFonts w:ascii="Arial" w:hAnsi="Arial" w:cs="Arial"/>
          <w:b/>
          <w:sz w:val="20"/>
        </w:rPr>
        <w:t>Scheduled Body</w:t>
      </w:r>
    </w:p>
    <w:p w14:paraId="2B71EDD0" w14:textId="77777777" w:rsidR="00F76A82" w:rsidRPr="00A82834" w:rsidRDefault="00F76A82" w:rsidP="00F76A82">
      <w:pPr>
        <w:rPr>
          <w:rFonts w:ascii="Arial" w:hAnsi="Arial" w:cs="Arial"/>
          <w:b/>
          <w:sz w:val="20"/>
        </w:rPr>
      </w:pPr>
    </w:p>
    <w:p w14:paraId="4CBD173E" w14:textId="77777777" w:rsidR="00F76A82" w:rsidRPr="00A82834" w:rsidRDefault="00F76A82" w:rsidP="00F76A82">
      <w:pPr>
        <w:rPr>
          <w:rFonts w:ascii="Arial" w:hAnsi="Arial" w:cs="Arial"/>
          <w:sz w:val="20"/>
        </w:rPr>
      </w:pPr>
      <w:r w:rsidRPr="00A82834">
        <w:rPr>
          <w:rFonts w:ascii="Arial" w:hAnsi="Arial" w:cs="Arial"/>
          <w:sz w:val="20"/>
        </w:rPr>
        <w:t>Employers which participate in the Fund under schedule 2 of the Administration Regulations.</w:t>
      </w:r>
    </w:p>
    <w:p w14:paraId="0D318C71" w14:textId="77777777" w:rsidR="00F76A82" w:rsidRPr="00A82834" w:rsidRDefault="00F76A82" w:rsidP="00F76A82">
      <w:pPr>
        <w:rPr>
          <w:rFonts w:ascii="Arial" w:hAnsi="Arial" w:cs="Arial"/>
          <w:sz w:val="20"/>
        </w:rPr>
      </w:pPr>
    </w:p>
    <w:p w14:paraId="40E57DDA" w14:textId="77777777" w:rsidR="00F76A82" w:rsidRDefault="00F76A82" w:rsidP="00F76A82">
      <w:pPr>
        <w:jc w:val="both"/>
        <w:rPr>
          <w:rFonts w:ascii="Arial" w:hAnsi="Arial" w:cs="Arial"/>
          <w:b/>
          <w:sz w:val="20"/>
        </w:rPr>
      </w:pPr>
      <w:r w:rsidRPr="00A82834">
        <w:rPr>
          <w:rFonts w:ascii="Arial" w:hAnsi="Arial" w:cs="Arial"/>
          <w:b/>
          <w:sz w:val="20"/>
        </w:rPr>
        <w:t>Subsumption and Subsumption Body</w:t>
      </w:r>
    </w:p>
    <w:p w14:paraId="3F19F3E1" w14:textId="77777777" w:rsidR="00F76A82" w:rsidRPr="00A82834" w:rsidRDefault="00F76A82" w:rsidP="00F76A82">
      <w:pPr>
        <w:jc w:val="both"/>
        <w:rPr>
          <w:rFonts w:ascii="Arial" w:hAnsi="Arial" w:cs="Arial"/>
          <w:b/>
          <w:sz w:val="20"/>
        </w:rPr>
      </w:pPr>
    </w:p>
    <w:p w14:paraId="61ADD6DA" w14:textId="77777777" w:rsidR="00D019D9" w:rsidRDefault="00F76A82" w:rsidP="00F76A82">
      <w:pPr>
        <w:jc w:val="both"/>
        <w:rPr>
          <w:rFonts w:ascii="Arial" w:hAnsi="Arial" w:cs="Arial"/>
          <w:sz w:val="20"/>
        </w:rPr>
      </w:pPr>
      <w:r w:rsidRPr="00A82834">
        <w:rPr>
          <w:rFonts w:ascii="Arial" w:hAnsi="Arial" w:cs="Arial"/>
          <w:sz w:val="20"/>
        </w:rPr>
        <w:t>When an admission body or other employer ceases participation in the Fund, so that it has no employees contributing to the Fund and once any contribution on cessation as required by the regulations has been paid, the Fund will normally be unable to obtain further contributions from that employer (eg. if future investment returns are less that assumed). It is however possible for another long</w:t>
      </w:r>
      <w:r w:rsidR="00D019D9">
        <w:rPr>
          <w:rFonts w:ascii="Arial" w:hAnsi="Arial" w:cs="Arial"/>
          <w:sz w:val="20"/>
        </w:rPr>
        <w:t>-</w:t>
      </w:r>
    </w:p>
    <w:p w14:paraId="65185A69" w14:textId="77777777" w:rsidR="00F76A82" w:rsidRPr="00A82834" w:rsidRDefault="00F76A82" w:rsidP="00F76A82">
      <w:pPr>
        <w:jc w:val="both"/>
        <w:rPr>
          <w:rFonts w:ascii="Arial" w:hAnsi="Arial" w:cs="Arial"/>
          <w:sz w:val="20"/>
        </w:rPr>
      </w:pPr>
      <w:r w:rsidRPr="00A82834">
        <w:rPr>
          <w:rFonts w:ascii="Arial" w:hAnsi="Arial" w:cs="Arial"/>
          <w:sz w:val="20"/>
        </w:rPr>
        <w:t>term employer in the Fund (generally a scheduled body) to agree to be a source of future funding should any funding shortfalls emerge on the original employer’s liabilities. The long</w:t>
      </w:r>
      <w:r w:rsidR="00D019D9">
        <w:rPr>
          <w:rFonts w:ascii="Arial" w:hAnsi="Arial" w:cs="Arial"/>
          <w:sz w:val="20"/>
        </w:rPr>
        <w:t>-</w:t>
      </w:r>
      <w:r w:rsidRPr="00A82834">
        <w:rPr>
          <w:rFonts w:ascii="Arial" w:hAnsi="Arial" w:cs="Arial"/>
          <w:sz w:val="20"/>
        </w:rPr>
        <w:t>term employer effectively subsumes the assets and liabilities of the ceasing employer into it’s own assets and liabilities. In this document this is know</w:t>
      </w:r>
      <w:r>
        <w:rPr>
          <w:rFonts w:ascii="Arial" w:hAnsi="Arial" w:cs="Arial"/>
          <w:sz w:val="20"/>
        </w:rPr>
        <w:t>n</w:t>
      </w:r>
      <w:r w:rsidRPr="00A82834">
        <w:rPr>
          <w:rFonts w:ascii="Arial" w:hAnsi="Arial" w:cs="Arial"/>
          <w:sz w:val="20"/>
        </w:rPr>
        <w:t xml:space="preserve"> as subsumption. In this document the admission body or other employer being subsumed is referred to as a subsumption body and its liabilities are known as subsumed liabilities.</w:t>
      </w:r>
    </w:p>
    <w:p w14:paraId="72515997" w14:textId="77777777" w:rsidR="00F76A82" w:rsidRDefault="00F76A82" w:rsidP="006145F2">
      <w:pPr>
        <w:rPr>
          <w:rFonts w:ascii="Arial" w:hAnsi="Arial" w:cs="Arial"/>
          <w:b/>
          <w:sz w:val="20"/>
        </w:rPr>
      </w:pPr>
    </w:p>
    <w:p w14:paraId="35E6E1D4" w14:textId="77777777" w:rsidR="00F76A82" w:rsidRDefault="00F76A82" w:rsidP="006145F2">
      <w:pPr>
        <w:rPr>
          <w:rFonts w:ascii="Arial" w:hAnsi="Arial" w:cs="Arial"/>
          <w:b/>
          <w:sz w:val="20"/>
        </w:rPr>
      </w:pPr>
    </w:p>
    <w:p w14:paraId="7572521C" w14:textId="77777777" w:rsidR="00D47DA9" w:rsidRDefault="00D47DA9" w:rsidP="006145F2">
      <w:pPr>
        <w:rPr>
          <w:rFonts w:ascii="Arial" w:hAnsi="Arial" w:cs="Arial"/>
          <w:b/>
          <w:sz w:val="20"/>
        </w:rPr>
      </w:pPr>
    </w:p>
    <w:p w14:paraId="3DC5030B" w14:textId="77777777" w:rsidR="003B52AE" w:rsidRDefault="003B52AE" w:rsidP="006145F2">
      <w:pPr>
        <w:rPr>
          <w:rFonts w:ascii="Arial" w:hAnsi="Arial" w:cs="Arial"/>
          <w:b/>
          <w:sz w:val="20"/>
        </w:rPr>
      </w:pPr>
    </w:p>
    <w:p w14:paraId="4A129509" w14:textId="77777777" w:rsidR="003B52AE" w:rsidRDefault="003B52AE" w:rsidP="006145F2">
      <w:pPr>
        <w:rPr>
          <w:rFonts w:ascii="Arial" w:hAnsi="Arial" w:cs="Arial"/>
          <w:b/>
          <w:sz w:val="20"/>
        </w:rPr>
      </w:pPr>
    </w:p>
    <w:p w14:paraId="45EC6485" w14:textId="77777777" w:rsidR="003B52AE" w:rsidRDefault="003B52AE" w:rsidP="006145F2">
      <w:pPr>
        <w:rPr>
          <w:rFonts w:ascii="Arial" w:hAnsi="Arial" w:cs="Arial"/>
          <w:b/>
          <w:sz w:val="20"/>
        </w:rPr>
      </w:pPr>
    </w:p>
    <w:p w14:paraId="18D90B86" w14:textId="77777777" w:rsidR="003B52AE" w:rsidRDefault="003B52AE" w:rsidP="006145F2">
      <w:pPr>
        <w:rPr>
          <w:rFonts w:ascii="Arial" w:hAnsi="Arial" w:cs="Arial"/>
          <w:b/>
          <w:sz w:val="20"/>
        </w:rPr>
      </w:pPr>
    </w:p>
    <w:p w14:paraId="599BD8EA" w14:textId="77777777" w:rsidR="003B52AE" w:rsidRDefault="003B52AE" w:rsidP="006145F2">
      <w:pPr>
        <w:rPr>
          <w:rFonts w:ascii="Arial" w:hAnsi="Arial" w:cs="Arial"/>
          <w:b/>
          <w:sz w:val="20"/>
        </w:rPr>
      </w:pPr>
    </w:p>
    <w:p w14:paraId="4ADD5C8D" w14:textId="77777777" w:rsidR="003B52AE" w:rsidRDefault="003B52AE" w:rsidP="006145F2">
      <w:pPr>
        <w:rPr>
          <w:rFonts w:ascii="Arial" w:hAnsi="Arial" w:cs="Arial"/>
          <w:b/>
          <w:sz w:val="20"/>
        </w:rPr>
      </w:pPr>
    </w:p>
    <w:p w14:paraId="29347B5E" w14:textId="77777777" w:rsidR="003B52AE" w:rsidRDefault="003B52AE" w:rsidP="006145F2">
      <w:pPr>
        <w:rPr>
          <w:rFonts w:ascii="Arial" w:hAnsi="Arial" w:cs="Arial"/>
          <w:b/>
          <w:sz w:val="20"/>
        </w:rPr>
      </w:pPr>
    </w:p>
    <w:p w14:paraId="5D6D9F70" w14:textId="77777777" w:rsidR="003B52AE" w:rsidRDefault="003B52AE" w:rsidP="006145F2">
      <w:pPr>
        <w:rPr>
          <w:rFonts w:ascii="Arial" w:hAnsi="Arial" w:cs="Arial"/>
          <w:b/>
          <w:sz w:val="20"/>
        </w:rPr>
      </w:pPr>
    </w:p>
    <w:p w14:paraId="518A60CE" w14:textId="77777777" w:rsidR="003B52AE" w:rsidRDefault="003B52AE" w:rsidP="006145F2">
      <w:pPr>
        <w:rPr>
          <w:rFonts w:ascii="Arial" w:hAnsi="Arial" w:cs="Arial"/>
          <w:b/>
          <w:sz w:val="20"/>
        </w:rPr>
      </w:pPr>
    </w:p>
    <w:p w14:paraId="44B0A5DD" w14:textId="77777777" w:rsidR="003B52AE" w:rsidRDefault="003B52AE" w:rsidP="006145F2">
      <w:pPr>
        <w:rPr>
          <w:rFonts w:ascii="Arial" w:hAnsi="Arial" w:cs="Arial"/>
          <w:b/>
          <w:sz w:val="20"/>
        </w:rPr>
      </w:pPr>
    </w:p>
    <w:p w14:paraId="47D7DFC2" w14:textId="77777777" w:rsidR="003B52AE" w:rsidRDefault="003B52AE" w:rsidP="006145F2">
      <w:pPr>
        <w:rPr>
          <w:rFonts w:ascii="Arial" w:hAnsi="Arial" w:cs="Arial"/>
          <w:b/>
          <w:sz w:val="20"/>
        </w:rPr>
      </w:pPr>
    </w:p>
    <w:p w14:paraId="3FAFF277" w14:textId="77777777" w:rsidR="003B52AE" w:rsidRDefault="003B52AE" w:rsidP="006145F2">
      <w:pPr>
        <w:rPr>
          <w:rFonts w:ascii="Arial" w:hAnsi="Arial" w:cs="Arial"/>
          <w:b/>
          <w:sz w:val="20"/>
        </w:rPr>
      </w:pPr>
    </w:p>
    <w:p w14:paraId="5BF582AA" w14:textId="77777777" w:rsidR="003B52AE" w:rsidRDefault="003B52AE" w:rsidP="006145F2">
      <w:pPr>
        <w:rPr>
          <w:rFonts w:ascii="Arial" w:hAnsi="Arial" w:cs="Arial"/>
          <w:b/>
          <w:sz w:val="20"/>
        </w:rPr>
      </w:pPr>
    </w:p>
    <w:p w14:paraId="74A29FE0" w14:textId="77777777" w:rsidR="003B52AE" w:rsidRDefault="003B52AE" w:rsidP="006145F2">
      <w:pPr>
        <w:rPr>
          <w:rFonts w:ascii="Arial" w:hAnsi="Arial" w:cs="Arial"/>
          <w:b/>
          <w:sz w:val="20"/>
        </w:rPr>
      </w:pPr>
    </w:p>
    <w:p w14:paraId="1DDC58B3" w14:textId="77777777" w:rsidR="003B52AE" w:rsidRDefault="003B52AE" w:rsidP="006145F2">
      <w:pPr>
        <w:rPr>
          <w:rFonts w:ascii="Arial" w:hAnsi="Arial" w:cs="Arial"/>
          <w:b/>
          <w:sz w:val="20"/>
        </w:rPr>
      </w:pPr>
    </w:p>
    <w:p w14:paraId="29439C7A" w14:textId="77777777" w:rsidR="003B52AE" w:rsidRDefault="003B52AE" w:rsidP="006145F2">
      <w:pPr>
        <w:rPr>
          <w:rFonts w:ascii="Arial" w:hAnsi="Arial" w:cs="Arial"/>
          <w:b/>
          <w:sz w:val="20"/>
        </w:rPr>
      </w:pPr>
    </w:p>
    <w:p w14:paraId="21D6B8CF" w14:textId="77777777" w:rsidR="00D019D9" w:rsidRDefault="00D019D9" w:rsidP="006145F2">
      <w:pPr>
        <w:rPr>
          <w:rFonts w:ascii="Arial" w:hAnsi="Arial" w:cs="Arial"/>
          <w:b/>
          <w:sz w:val="20"/>
        </w:rPr>
      </w:pPr>
    </w:p>
    <w:p w14:paraId="457C916D" w14:textId="77777777" w:rsidR="00D019D9" w:rsidRDefault="00D019D9" w:rsidP="006145F2">
      <w:pPr>
        <w:rPr>
          <w:rFonts w:ascii="Arial" w:hAnsi="Arial" w:cs="Arial"/>
          <w:b/>
          <w:sz w:val="20"/>
        </w:rPr>
      </w:pPr>
    </w:p>
    <w:p w14:paraId="56E3CD3A" w14:textId="77777777" w:rsidR="00D019D9" w:rsidRDefault="00D019D9" w:rsidP="006145F2">
      <w:pPr>
        <w:rPr>
          <w:rFonts w:ascii="Arial" w:hAnsi="Arial" w:cs="Arial"/>
          <w:b/>
          <w:sz w:val="20"/>
        </w:rPr>
      </w:pPr>
    </w:p>
    <w:p w14:paraId="7C45009C" w14:textId="77777777" w:rsidR="00D019D9" w:rsidRDefault="00D019D9" w:rsidP="006145F2">
      <w:pPr>
        <w:rPr>
          <w:rFonts w:ascii="Arial" w:hAnsi="Arial" w:cs="Arial"/>
          <w:b/>
          <w:sz w:val="20"/>
        </w:rPr>
      </w:pPr>
    </w:p>
    <w:p w14:paraId="7E355901" w14:textId="77777777" w:rsidR="00D019D9" w:rsidRDefault="00D019D9" w:rsidP="006145F2">
      <w:pPr>
        <w:rPr>
          <w:rFonts w:ascii="Arial" w:hAnsi="Arial" w:cs="Arial"/>
          <w:b/>
          <w:sz w:val="20"/>
        </w:rPr>
      </w:pPr>
    </w:p>
    <w:p w14:paraId="5FA470C6" w14:textId="77777777" w:rsidR="00D019D9" w:rsidRDefault="00D019D9" w:rsidP="006145F2">
      <w:pPr>
        <w:rPr>
          <w:rFonts w:ascii="Arial" w:hAnsi="Arial" w:cs="Arial"/>
          <w:b/>
          <w:sz w:val="20"/>
        </w:rPr>
      </w:pPr>
    </w:p>
    <w:p w14:paraId="42874E0C" w14:textId="77777777" w:rsidR="003B52AE" w:rsidRDefault="003B52AE" w:rsidP="006145F2">
      <w:pPr>
        <w:rPr>
          <w:rFonts w:ascii="Arial" w:hAnsi="Arial" w:cs="Arial"/>
          <w:b/>
          <w:sz w:val="20"/>
        </w:rPr>
      </w:pPr>
    </w:p>
    <w:p w14:paraId="5BC9EE56" w14:textId="77777777" w:rsidR="003B52AE" w:rsidRDefault="003B52AE" w:rsidP="006145F2">
      <w:pPr>
        <w:rPr>
          <w:rFonts w:ascii="Arial" w:hAnsi="Arial" w:cs="Arial"/>
          <w:b/>
          <w:sz w:val="20"/>
        </w:rPr>
      </w:pPr>
    </w:p>
    <w:p w14:paraId="6CC93A1F" w14:textId="77777777" w:rsidR="003B52AE" w:rsidRDefault="003B52AE" w:rsidP="006145F2">
      <w:pPr>
        <w:rPr>
          <w:rFonts w:ascii="Arial" w:hAnsi="Arial" w:cs="Arial"/>
          <w:b/>
          <w:sz w:val="20"/>
        </w:rPr>
      </w:pPr>
    </w:p>
    <w:p w14:paraId="7EC7B224" w14:textId="77777777" w:rsidR="00776396" w:rsidRPr="00A82834" w:rsidRDefault="007F5240" w:rsidP="006145F2">
      <w:pPr>
        <w:rPr>
          <w:rFonts w:ascii="Arial" w:hAnsi="Arial" w:cs="Arial"/>
          <w:b/>
          <w:sz w:val="20"/>
        </w:rPr>
      </w:pPr>
      <w:r>
        <w:rPr>
          <w:rFonts w:ascii="Arial" w:hAnsi="Arial" w:cs="Arial"/>
          <w:b/>
          <w:sz w:val="20"/>
        </w:rPr>
        <w:t>Ra</w:t>
      </w:r>
      <w:r w:rsidR="009C3CB4" w:rsidRPr="00A82834">
        <w:rPr>
          <w:rFonts w:ascii="Arial" w:hAnsi="Arial" w:cs="Arial"/>
          <w:b/>
          <w:sz w:val="20"/>
        </w:rPr>
        <w:t xml:space="preserve">tes &amp; Adjustment </w:t>
      </w:r>
      <w:r w:rsidR="00776396" w:rsidRPr="00A82834">
        <w:rPr>
          <w:rFonts w:ascii="Arial" w:hAnsi="Arial" w:cs="Arial"/>
          <w:b/>
          <w:sz w:val="20"/>
        </w:rPr>
        <w:t>Certificate</w:t>
      </w:r>
    </w:p>
    <w:p w14:paraId="4E0A0B15" w14:textId="77777777" w:rsidR="009C3CB4" w:rsidRPr="00A82834" w:rsidRDefault="009C3CB4" w:rsidP="006145F2">
      <w:pPr>
        <w:rPr>
          <w:rFonts w:ascii="Arial" w:hAnsi="Arial" w:cs="Arial"/>
          <w:b/>
          <w:sz w:val="20"/>
        </w:rPr>
      </w:pPr>
    </w:p>
    <w:p w14:paraId="72581624" w14:textId="77777777" w:rsidR="002E137A" w:rsidRDefault="009C3CB4" w:rsidP="00EF7D51">
      <w:pPr>
        <w:spacing w:after="80"/>
        <w:rPr>
          <w:rFonts w:ascii="Arial" w:hAnsi="Arial" w:cs="Arial"/>
          <w:sz w:val="20"/>
        </w:rPr>
      </w:pPr>
      <w:r w:rsidRPr="00A82834">
        <w:rPr>
          <w:rFonts w:ascii="Arial" w:hAnsi="Arial" w:cs="Arial"/>
          <w:sz w:val="20"/>
        </w:rPr>
        <w:t xml:space="preserve">Actuarial certificate given for the purposes of Regulation 62 of the </w:t>
      </w:r>
      <w:r w:rsidR="00780FE3" w:rsidRPr="00A82834">
        <w:rPr>
          <w:rFonts w:ascii="Arial" w:hAnsi="Arial" w:cs="Arial"/>
          <w:sz w:val="20"/>
        </w:rPr>
        <w:t>Local Government Pension Scheme Regulatio</w:t>
      </w:r>
      <w:r w:rsidR="00EF7D51" w:rsidRPr="00A82834">
        <w:rPr>
          <w:rFonts w:ascii="Arial" w:hAnsi="Arial" w:cs="Arial"/>
          <w:sz w:val="20"/>
        </w:rPr>
        <w:t>ns 20</w:t>
      </w:r>
      <w:r w:rsidRPr="00A82834">
        <w:rPr>
          <w:rFonts w:ascii="Arial" w:hAnsi="Arial" w:cs="Arial"/>
          <w:sz w:val="20"/>
        </w:rPr>
        <w:t>13</w:t>
      </w:r>
      <w:r w:rsidR="002E137A">
        <w:rPr>
          <w:rFonts w:ascii="Arial" w:hAnsi="Arial" w:cs="Arial"/>
          <w:sz w:val="20"/>
        </w:rPr>
        <w:t>.</w:t>
      </w:r>
    </w:p>
    <w:p w14:paraId="38566A66" w14:textId="77777777" w:rsidR="002E137A" w:rsidRDefault="002E137A" w:rsidP="00EF7D51">
      <w:pPr>
        <w:spacing w:after="80"/>
        <w:rPr>
          <w:rFonts w:ascii="Arial" w:hAnsi="Arial" w:cs="Arial"/>
          <w:sz w:val="20"/>
        </w:rPr>
      </w:pPr>
    </w:p>
    <w:p w14:paraId="663CA6B1" w14:textId="77777777" w:rsidR="00780FE3" w:rsidRPr="00A82834" w:rsidRDefault="002E137A" w:rsidP="00EF7D51">
      <w:pPr>
        <w:spacing w:after="80"/>
        <w:rPr>
          <w:rFonts w:ascii="Arial" w:hAnsi="Arial" w:cs="Arial"/>
          <w:sz w:val="20"/>
        </w:rPr>
      </w:pPr>
      <w:r>
        <w:rPr>
          <w:rFonts w:ascii="Arial" w:hAnsi="Arial" w:cs="Arial"/>
          <w:sz w:val="20"/>
        </w:rPr>
        <w:t>In accordance with regulation 62 of the Local Government Pension Scheme Regulations 2013</w:t>
      </w:r>
      <w:r w:rsidR="00EF7D51" w:rsidRPr="00A82834">
        <w:rPr>
          <w:rFonts w:ascii="Arial" w:hAnsi="Arial" w:cs="Arial"/>
          <w:sz w:val="20"/>
        </w:rPr>
        <w:t xml:space="preserve"> </w:t>
      </w:r>
      <w:r w:rsidR="009C3CB4" w:rsidRPr="00A82834">
        <w:rPr>
          <w:rFonts w:ascii="Arial" w:hAnsi="Arial" w:cs="Arial"/>
          <w:sz w:val="20"/>
        </w:rPr>
        <w:t>(</w:t>
      </w:r>
      <w:r w:rsidR="00EF7D51" w:rsidRPr="00A82834">
        <w:rPr>
          <w:rFonts w:ascii="Arial" w:hAnsi="Arial" w:cs="Arial"/>
          <w:sz w:val="20"/>
        </w:rPr>
        <w:t>the “</w:t>
      </w:r>
      <w:r w:rsidR="009C3CB4" w:rsidRPr="00A82834">
        <w:rPr>
          <w:rFonts w:ascii="Arial" w:hAnsi="Arial" w:cs="Arial"/>
          <w:sz w:val="20"/>
        </w:rPr>
        <w:t xml:space="preserve">2013 </w:t>
      </w:r>
      <w:r w:rsidR="00EF7D51" w:rsidRPr="00A82834">
        <w:rPr>
          <w:rFonts w:ascii="Arial" w:hAnsi="Arial" w:cs="Arial"/>
          <w:sz w:val="20"/>
        </w:rPr>
        <w:t xml:space="preserve">Regulations”), we certify that contributions should be paid by the </w:t>
      </w:r>
      <w:r>
        <w:rPr>
          <w:rFonts w:ascii="Arial" w:hAnsi="Arial" w:cs="Arial"/>
          <w:sz w:val="20"/>
        </w:rPr>
        <w:t>e</w:t>
      </w:r>
      <w:r w:rsidR="00EF7D51" w:rsidRPr="00A82834">
        <w:rPr>
          <w:rFonts w:ascii="Arial" w:hAnsi="Arial" w:cs="Arial"/>
          <w:sz w:val="20"/>
        </w:rPr>
        <w:t>mployers at the following rates for the period 1 April 20</w:t>
      </w:r>
      <w:r>
        <w:rPr>
          <w:rFonts w:ascii="Arial" w:hAnsi="Arial" w:cs="Arial"/>
          <w:sz w:val="20"/>
        </w:rPr>
        <w:t>20</w:t>
      </w:r>
      <w:r w:rsidR="00EF7D51" w:rsidRPr="00A82834">
        <w:rPr>
          <w:rFonts w:ascii="Arial" w:hAnsi="Arial" w:cs="Arial"/>
          <w:sz w:val="20"/>
        </w:rPr>
        <w:t xml:space="preserve"> to 31 March 20</w:t>
      </w:r>
      <w:r w:rsidR="009C3CB4" w:rsidRPr="00A82834">
        <w:rPr>
          <w:rFonts w:ascii="Arial" w:hAnsi="Arial" w:cs="Arial"/>
          <w:sz w:val="20"/>
        </w:rPr>
        <w:t>2</w:t>
      </w:r>
      <w:r>
        <w:rPr>
          <w:rFonts w:ascii="Arial" w:hAnsi="Arial" w:cs="Arial"/>
          <w:sz w:val="20"/>
        </w:rPr>
        <w:t>3</w:t>
      </w:r>
      <w:r w:rsidR="00EF7D51" w:rsidRPr="00A82834">
        <w:rPr>
          <w:rFonts w:ascii="Arial" w:hAnsi="Arial" w:cs="Arial"/>
          <w:sz w:val="20"/>
        </w:rPr>
        <w:t>.</w:t>
      </w:r>
    </w:p>
    <w:p w14:paraId="3FD3B3C2" w14:textId="77777777" w:rsidR="00780FE3" w:rsidRPr="00A82834" w:rsidRDefault="00780FE3" w:rsidP="00780FE3">
      <w:pPr>
        <w:spacing w:after="80"/>
        <w:ind w:left="720" w:hanging="720"/>
        <w:rPr>
          <w:rFonts w:ascii="Arial" w:hAnsi="Arial" w:cs="Arial"/>
          <w:sz w:val="20"/>
        </w:rPr>
      </w:pPr>
    </w:p>
    <w:p w14:paraId="37A4030D" w14:textId="77777777" w:rsidR="00C844B4" w:rsidRPr="00A82834" w:rsidRDefault="002E137A" w:rsidP="00E0571E">
      <w:pPr>
        <w:numPr>
          <w:ilvl w:val="0"/>
          <w:numId w:val="31"/>
        </w:numPr>
        <w:spacing w:after="80"/>
        <w:rPr>
          <w:rFonts w:ascii="Arial" w:hAnsi="Arial" w:cs="Arial"/>
          <w:sz w:val="20"/>
        </w:rPr>
      </w:pPr>
      <w:r>
        <w:rPr>
          <w:rFonts w:ascii="Arial" w:hAnsi="Arial" w:cs="Arial"/>
          <w:sz w:val="20"/>
        </w:rPr>
        <w:t>Primary contribution rates for individual employers as shown below. The primary rate for the whole fund, calculated as a weighted average of the employers’ individual rates, is 20.3% p.a. of Pensionable Pay.</w:t>
      </w:r>
    </w:p>
    <w:p w14:paraId="2A15E0F1" w14:textId="77777777" w:rsidR="004271D0" w:rsidRPr="00A82834" w:rsidRDefault="00C844B4" w:rsidP="00E0571E">
      <w:pPr>
        <w:numPr>
          <w:ilvl w:val="0"/>
          <w:numId w:val="31"/>
        </w:numPr>
        <w:spacing w:after="80"/>
        <w:rPr>
          <w:rFonts w:ascii="Arial" w:hAnsi="Arial" w:cs="Arial"/>
          <w:sz w:val="20"/>
        </w:rPr>
      </w:pPr>
      <w:r w:rsidRPr="00A82834">
        <w:rPr>
          <w:rFonts w:ascii="Arial" w:hAnsi="Arial" w:cs="Arial"/>
          <w:sz w:val="20"/>
        </w:rPr>
        <w:t xml:space="preserve">Individual adjustments </w:t>
      </w:r>
      <w:r w:rsidR="009C3CB4" w:rsidRPr="00A82834">
        <w:rPr>
          <w:rFonts w:ascii="Arial" w:hAnsi="Arial" w:cs="Arial"/>
          <w:sz w:val="20"/>
        </w:rPr>
        <w:t>(i.e. secondary contribution rates) which,</w:t>
      </w:r>
      <w:r w:rsidRPr="00A82834">
        <w:rPr>
          <w:rFonts w:ascii="Arial" w:hAnsi="Arial" w:cs="Arial"/>
          <w:sz w:val="20"/>
        </w:rPr>
        <w:t xml:space="preserve"> when added to or subtracted from the </w:t>
      </w:r>
      <w:r w:rsidR="009C3CB4" w:rsidRPr="00A82834">
        <w:rPr>
          <w:rFonts w:ascii="Arial" w:hAnsi="Arial" w:cs="Arial"/>
          <w:sz w:val="20"/>
        </w:rPr>
        <w:t>primary rate</w:t>
      </w:r>
      <w:r w:rsidRPr="00A82834">
        <w:rPr>
          <w:rFonts w:ascii="Arial" w:hAnsi="Arial" w:cs="Arial"/>
          <w:sz w:val="20"/>
        </w:rPr>
        <w:t xml:space="preserve">, produce the </w:t>
      </w:r>
      <w:r w:rsidR="001959FE" w:rsidRPr="00A82834">
        <w:rPr>
          <w:rFonts w:ascii="Arial" w:hAnsi="Arial" w:cs="Arial"/>
          <w:sz w:val="20"/>
        </w:rPr>
        <w:t>following</w:t>
      </w:r>
      <w:r w:rsidR="002E137A">
        <w:rPr>
          <w:rFonts w:ascii="Arial" w:hAnsi="Arial" w:cs="Arial"/>
          <w:sz w:val="20"/>
        </w:rPr>
        <w:t xml:space="preserve"> minimum employer con</w:t>
      </w:r>
      <w:r w:rsidRPr="00A82834">
        <w:rPr>
          <w:rFonts w:ascii="Arial" w:hAnsi="Arial" w:cs="Arial"/>
          <w:sz w:val="20"/>
        </w:rPr>
        <w:t>tribution rates :</w:t>
      </w:r>
    </w:p>
    <w:p w14:paraId="24634183" w14:textId="77777777" w:rsidR="004271D0" w:rsidRPr="00A82834" w:rsidRDefault="00C060EE" w:rsidP="004271D0">
      <w:pPr>
        <w:spacing w:after="80"/>
        <w:rPr>
          <w:rFonts w:ascii="Arial" w:hAnsi="Arial" w:cs="Arial"/>
          <w:sz w:val="20"/>
        </w:rPr>
      </w:pPr>
      <w:r w:rsidRPr="00A82834">
        <w:rPr>
          <w:rFonts w:ascii="Arial" w:hAnsi="Arial" w:cs="Arial"/>
          <w:sz w:val="20"/>
        </w:rPr>
        <w:br/>
      </w:r>
    </w:p>
    <w:p w14:paraId="0ED50EC4" w14:textId="77777777" w:rsidR="00C060EE" w:rsidRPr="00A82834" w:rsidRDefault="00C060EE" w:rsidP="004271D0">
      <w:pPr>
        <w:spacing w:after="80"/>
        <w:rPr>
          <w:rFonts w:ascii="Arial" w:hAnsi="Arial" w:cs="Arial"/>
          <w:sz w:val="20"/>
        </w:rPr>
      </w:pPr>
    </w:p>
    <w:p w14:paraId="1EA43651" w14:textId="77777777" w:rsidR="00C060EE" w:rsidRDefault="00C060EE" w:rsidP="004271D0">
      <w:pPr>
        <w:spacing w:after="80"/>
        <w:rPr>
          <w:rFonts w:ascii="Arial" w:hAnsi="Arial" w:cs="Arial"/>
          <w:sz w:val="24"/>
          <w:szCs w:val="24"/>
        </w:rPr>
      </w:pPr>
    </w:p>
    <w:p w14:paraId="1CC49559" w14:textId="77777777" w:rsidR="00C060EE" w:rsidRDefault="00C060EE" w:rsidP="004271D0">
      <w:pPr>
        <w:spacing w:after="80"/>
        <w:rPr>
          <w:rFonts w:ascii="Arial" w:hAnsi="Arial" w:cs="Arial"/>
          <w:sz w:val="24"/>
          <w:szCs w:val="24"/>
        </w:rPr>
      </w:pPr>
    </w:p>
    <w:p w14:paraId="3CA23B98" w14:textId="77777777" w:rsidR="00C060EE" w:rsidRDefault="00C060EE" w:rsidP="004271D0">
      <w:pPr>
        <w:spacing w:after="80"/>
        <w:rPr>
          <w:rFonts w:ascii="Arial" w:hAnsi="Arial" w:cs="Arial"/>
          <w:sz w:val="24"/>
          <w:szCs w:val="24"/>
        </w:rPr>
        <w:sectPr w:rsidR="00C060EE" w:rsidSect="00255871">
          <w:headerReference w:type="default" r:id="rId50"/>
          <w:pgSz w:w="11907" w:h="16840" w:code="9"/>
          <w:pgMar w:top="720" w:right="720" w:bottom="720" w:left="964" w:header="720" w:footer="720" w:gutter="0"/>
          <w:cols w:space="720"/>
          <w:docGrid w:linePitch="381"/>
        </w:sectPr>
      </w:pPr>
    </w:p>
    <w:p w14:paraId="36D4FBE7" w14:textId="77777777" w:rsidR="00C060EE" w:rsidRPr="00765965" w:rsidRDefault="00C060EE" w:rsidP="004271D0">
      <w:pPr>
        <w:spacing w:after="80"/>
        <w:rPr>
          <w:rFonts w:ascii="Arial" w:hAnsi="Arial" w:cs="Arial"/>
          <w:b/>
          <w:sz w:val="20"/>
        </w:rPr>
      </w:pPr>
      <w:r w:rsidRPr="00765965">
        <w:rPr>
          <w:rFonts w:ascii="Arial" w:hAnsi="Arial" w:cs="Arial"/>
          <w:b/>
          <w:sz w:val="20"/>
        </w:rPr>
        <w:lastRenderedPageBreak/>
        <w:t>Actuarial Present Value of Promised Retirement Benefits – Statement of the Actuary for the year ending 31</w:t>
      </w:r>
      <w:r w:rsidRPr="00765965">
        <w:rPr>
          <w:rFonts w:ascii="Arial" w:hAnsi="Arial" w:cs="Arial"/>
          <w:b/>
          <w:sz w:val="20"/>
          <w:vertAlign w:val="superscript"/>
        </w:rPr>
        <w:t>st</w:t>
      </w:r>
      <w:r w:rsidRPr="00765965">
        <w:rPr>
          <w:rFonts w:ascii="Arial" w:hAnsi="Arial" w:cs="Arial"/>
          <w:b/>
          <w:sz w:val="20"/>
        </w:rPr>
        <w:t xml:space="preserve"> March 20</w:t>
      </w:r>
      <w:r w:rsidR="00F76A82" w:rsidRPr="00765965">
        <w:rPr>
          <w:rFonts w:ascii="Arial" w:hAnsi="Arial" w:cs="Arial"/>
          <w:b/>
          <w:sz w:val="20"/>
        </w:rPr>
        <w:t>2</w:t>
      </w:r>
      <w:r w:rsidR="00EC3090">
        <w:rPr>
          <w:rFonts w:ascii="Arial" w:hAnsi="Arial" w:cs="Arial"/>
          <w:b/>
          <w:sz w:val="20"/>
        </w:rPr>
        <w:t>2</w:t>
      </w:r>
      <w:r w:rsidR="00F76A82" w:rsidRPr="00765965">
        <w:rPr>
          <w:rFonts w:ascii="Arial" w:hAnsi="Arial" w:cs="Arial"/>
          <w:b/>
          <w:sz w:val="20"/>
        </w:rPr>
        <w:t xml:space="preserve"> </w:t>
      </w:r>
      <w:r w:rsidRPr="00765965">
        <w:rPr>
          <w:rFonts w:ascii="Arial" w:hAnsi="Arial" w:cs="Arial"/>
          <w:b/>
          <w:sz w:val="20"/>
        </w:rPr>
        <w:t>(Continued)</w:t>
      </w:r>
    </w:p>
    <w:tbl>
      <w:tblPr>
        <w:tblW w:w="16155" w:type="dxa"/>
        <w:tblInd w:w="113" w:type="dxa"/>
        <w:tblLayout w:type="fixed"/>
        <w:tblLook w:val="04A0" w:firstRow="1" w:lastRow="0" w:firstColumn="1" w:lastColumn="0" w:noHBand="0" w:noVBand="1"/>
      </w:tblPr>
      <w:tblGrid>
        <w:gridCol w:w="4390"/>
        <w:gridCol w:w="10"/>
        <w:gridCol w:w="2116"/>
        <w:gridCol w:w="64"/>
        <w:gridCol w:w="1637"/>
        <w:gridCol w:w="1559"/>
        <w:gridCol w:w="1418"/>
        <w:gridCol w:w="1768"/>
        <w:gridCol w:w="74"/>
        <w:gridCol w:w="1701"/>
        <w:gridCol w:w="36"/>
        <w:gridCol w:w="1382"/>
      </w:tblGrid>
      <w:tr w:rsidR="00061B3C" w:rsidRPr="00733088" w14:paraId="5A9F381D" w14:textId="77777777" w:rsidTr="001D1565">
        <w:trPr>
          <w:trHeight w:val="870"/>
        </w:trPr>
        <w:tc>
          <w:tcPr>
            <w:tcW w:w="440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23D0A3E9" w14:textId="77777777" w:rsidR="00733088" w:rsidRPr="00733088" w:rsidRDefault="00733088" w:rsidP="00733088">
            <w:pPr>
              <w:jc w:val="center"/>
              <w:rPr>
                <w:rFonts w:ascii="Arial (W1)" w:hAnsi="Arial (W1)" w:cs="Arial"/>
                <w:b/>
                <w:bCs/>
                <w:sz w:val="20"/>
                <w:lang w:eastAsia="en-GB"/>
              </w:rPr>
            </w:pPr>
            <w:r w:rsidRPr="00733088">
              <w:rPr>
                <w:rFonts w:ascii="Arial (W1)" w:hAnsi="Arial (W1)" w:cs="Arial"/>
                <w:b/>
                <w:bCs/>
                <w:sz w:val="20"/>
                <w:lang w:eastAsia="en-GB"/>
              </w:rPr>
              <w:t>Employer</w:t>
            </w:r>
          </w:p>
        </w:tc>
        <w:tc>
          <w:tcPr>
            <w:tcW w:w="218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162CF711" w14:textId="77777777" w:rsidR="00733088" w:rsidRPr="00733088" w:rsidRDefault="00733088" w:rsidP="002E137A">
            <w:pPr>
              <w:jc w:val="center"/>
              <w:rPr>
                <w:rFonts w:ascii="Arial (W1)" w:hAnsi="Arial (W1)" w:cs="Arial"/>
                <w:b/>
                <w:bCs/>
                <w:sz w:val="20"/>
                <w:lang w:eastAsia="en-GB"/>
              </w:rPr>
            </w:pPr>
            <w:r w:rsidRPr="00733088">
              <w:rPr>
                <w:rFonts w:ascii="Arial (W1)" w:hAnsi="Arial (W1)" w:cs="Arial"/>
                <w:b/>
                <w:bCs/>
                <w:sz w:val="20"/>
                <w:lang w:eastAsia="en-GB"/>
              </w:rPr>
              <w:t xml:space="preserve">Primary </w:t>
            </w:r>
            <w:r w:rsidR="002E137A">
              <w:rPr>
                <w:rFonts w:ascii="Arial (W1)" w:hAnsi="Arial (W1)" w:cs="Arial"/>
                <w:b/>
                <w:bCs/>
                <w:sz w:val="20"/>
                <w:lang w:eastAsia="en-GB"/>
              </w:rPr>
              <w:t>C</w:t>
            </w:r>
            <w:r w:rsidRPr="00733088">
              <w:rPr>
                <w:rFonts w:ascii="Arial (W1)" w:hAnsi="Arial (W1)" w:cs="Arial"/>
                <w:b/>
                <w:bCs/>
                <w:sz w:val="20"/>
                <w:lang w:eastAsia="en-GB"/>
              </w:rPr>
              <w:t xml:space="preserve">ontribution rate                             % </w:t>
            </w:r>
            <w:r w:rsidR="002E137A">
              <w:rPr>
                <w:rFonts w:ascii="Arial (W1)" w:hAnsi="Arial (W1)" w:cs="Arial"/>
                <w:b/>
                <w:bCs/>
                <w:sz w:val="20"/>
                <w:lang w:eastAsia="en-GB"/>
              </w:rPr>
              <w:t>P</w:t>
            </w:r>
            <w:r w:rsidRPr="00733088">
              <w:rPr>
                <w:rFonts w:ascii="Arial (W1)" w:hAnsi="Arial (W1)" w:cs="Arial"/>
                <w:b/>
                <w:bCs/>
                <w:sz w:val="20"/>
                <w:lang w:eastAsia="en-GB"/>
              </w:rPr>
              <w:t xml:space="preserve">ensionable </w:t>
            </w:r>
            <w:r w:rsidR="002E137A">
              <w:rPr>
                <w:rFonts w:ascii="Arial (W1)" w:hAnsi="Arial (W1)" w:cs="Arial"/>
                <w:b/>
                <w:bCs/>
                <w:sz w:val="20"/>
                <w:lang w:eastAsia="en-GB"/>
              </w:rPr>
              <w:t>P</w:t>
            </w:r>
            <w:r w:rsidRPr="00733088">
              <w:rPr>
                <w:rFonts w:ascii="Arial (W1)" w:hAnsi="Arial (W1)" w:cs="Arial"/>
                <w:b/>
                <w:bCs/>
                <w:sz w:val="20"/>
                <w:lang w:eastAsia="en-GB"/>
              </w:rPr>
              <w:t>ay</w:t>
            </w:r>
          </w:p>
        </w:tc>
        <w:tc>
          <w:tcPr>
            <w:tcW w:w="4614" w:type="dxa"/>
            <w:gridSpan w:val="3"/>
            <w:tcBorders>
              <w:top w:val="single" w:sz="4" w:space="0" w:color="auto"/>
              <w:left w:val="nil"/>
              <w:bottom w:val="single" w:sz="4" w:space="0" w:color="auto"/>
              <w:right w:val="single" w:sz="4" w:space="0" w:color="000000"/>
            </w:tcBorders>
            <w:shd w:val="clear" w:color="000000" w:fill="FFFFFF"/>
            <w:hideMark/>
          </w:tcPr>
          <w:p w14:paraId="560EFD59" w14:textId="77777777" w:rsidR="002E137A" w:rsidRDefault="00733088" w:rsidP="002E137A">
            <w:pPr>
              <w:jc w:val="center"/>
              <w:rPr>
                <w:rFonts w:ascii="Arial (W1)" w:hAnsi="Arial (W1)" w:cs="Arial"/>
                <w:b/>
                <w:bCs/>
                <w:sz w:val="20"/>
                <w:lang w:eastAsia="en-GB"/>
              </w:rPr>
            </w:pPr>
            <w:r w:rsidRPr="00733088">
              <w:rPr>
                <w:rFonts w:ascii="Arial (W1)" w:hAnsi="Arial (W1)" w:cs="Arial"/>
                <w:b/>
                <w:bCs/>
                <w:sz w:val="20"/>
                <w:lang w:eastAsia="en-GB"/>
              </w:rPr>
              <w:t xml:space="preserve">Secondary contributions </w:t>
            </w:r>
          </w:p>
          <w:p w14:paraId="181A25B0" w14:textId="77777777" w:rsidR="002E137A" w:rsidRDefault="00733088" w:rsidP="002E137A">
            <w:pPr>
              <w:jc w:val="center"/>
              <w:rPr>
                <w:rFonts w:ascii="Arial (W1)" w:hAnsi="Arial (W1)" w:cs="Arial"/>
                <w:b/>
                <w:bCs/>
                <w:sz w:val="20"/>
                <w:lang w:eastAsia="en-GB"/>
              </w:rPr>
            </w:pPr>
            <w:r w:rsidRPr="00733088">
              <w:rPr>
                <w:rFonts w:ascii="Arial (W1)" w:hAnsi="Arial (W1)" w:cs="Arial"/>
                <w:b/>
                <w:bCs/>
                <w:sz w:val="20"/>
                <w:lang w:eastAsia="en-GB"/>
              </w:rPr>
              <w:t xml:space="preserve">(% Pensionable </w:t>
            </w:r>
            <w:r w:rsidR="002E137A">
              <w:rPr>
                <w:rFonts w:ascii="Arial (W1)" w:hAnsi="Arial (W1)" w:cs="Arial"/>
                <w:b/>
                <w:bCs/>
                <w:sz w:val="20"/>
                <w:lang w:eastAsia="en-GB"/>
              </w:rPr>
              <w:t>P</w:t>
            </w:r>
            <w:r w:rsidRPr="00733088">
              <w:rPr>
                <w:rFonts w:ascii="Arial (W1)" w:hAnsi="Arial (W1)" w:cs="Arial"/>
                <w:b/>
                <w:bCs/>
                <w:sz w:val="20"/>
                <w:lang w:eastAsia="en-GB"/>
              </w:rPr>
              <w:t xml:space="preserve">ay and £s) </w:t>
            </w:r>
          </w:p>
          <w:p w14:paraId="3E24890F" w14:textId="77777777" w:rsidR="00733088" w:rsidRPr="00733088" w:rsidRDefault="002E137A" w:rsidP="002E137A">
            <w:pPr>
              <w:jc w:val="center"/>
              <w:rPr>
                <w:rFonts w:ascii="Arial (W1)" w:hAnsi="Arial (W1)" w:cs="Arial"/>
                <w:b/>
                <w:bCs/>
                <w:sz w:val="20"/>
                <w:lang w:eastAsia="en-GB"/>
              </w:rPr>
            </w:pPr>
            <w:r>
              <w:rPr>
                <w:rFonts w:ascii="Arial (W1)" w:hAnsi="Arial (W1)" w:cs="Arial"/>
                <w:b/>
                <w:bCs/>
                <w:sz w:val="20"/>
                <w:lang w:eastAsia="en-GB"/>
              </w:rPr>
              <w:t>Y</w:t>
            </w:r>
            <w:r w:rsidR="00733088" w:rsidRPr="00733088">
              <w:rPr>
                <w:rFonts w:ascii="Arial (W1)" w:hAnsi="Arial (W1)" w:cs="Arial"/>
                <w:b/>
                <w:bCs/>
                <w:sz w:val="20"/>
                <w:lang w:eastAsia="en-GB"/>
              </w:rPr>
              <w:t>ear commencing 1 April</w:t>
            </w:r>
          </w:p>
        </w:tc>
        <w:tc>
          <w:tcPr>
            <w:tcW w:w="4961" w:type="dxa"/>
            <w:gridSpan w:val="5"/>
            <w:tcBorders>
              <w:top w:val="single" w:sz="4" w:space="0" w:color="auto"/>
              <w:left w:val="nil"/>
              <w:bottom w:val="single" w:sz="4" w:space="0" w:color="auto"/>
              <w:right w:val="single" w:sz="4" w:space="0" w:color="000000"/>
            </w:tcBorders>
            <w:shd w:val="clear" w:color="000000" w:fill="FFFFFF"/>
            <w:hideMark/>
          </w:tcPr>
          <w:p w14:paraId="1AAAE02A" w14:textId="77777777" w:rsidR="002E137A" w:rsidRDefault="00733088" w:rsidP="00733088">
            <w:pPr>
              <w:jc w:val="center"/>
              <w:rPr>
                <w:rFonts w:ascii="Arial (W1)" w:hAnsi="Arial (W1)" w:cs="Arial"/>
                <w:b/>
                <w:bCs/>
                <w:sz w:val="20"/>
                <w:lang w:eastAsia="en-GB"/>
              </w:rPr>
            </w:pPr>
            <w:r w:rsidRPr="00733088">
              <w:rPr>
                <w:rFonts w:ascii="Arial (W1)" w:hAnsi="Arial (W1)" w:cs="Arial"/>
                <w:b/>
                <w:bCs/>
                <w:sz w:val="20"/>
                <w:lang w:eastAsia="en-GB"/>
              </w:rPr>
              <w:t xml:space="preserve">Total contributions </w:t>
            </w:r>
          </w:p>
          <w:p w14:paraId="28666B53" w14:textId="77777777" w:rsidR="002E137A" w:rsidRDefault="00733088" w:rsidP="002E137A">
            <w:pPr>
              <w:jc w:val="center"/>
              <w:rPr>
                <w:rFonts w:ascii="Arial (W1)" w:hAnsi="Arial (W1)" w:cs="Arial"/>
                <w:b/>
                <w:bCs/>
                <w:sz w:val="20"/>
                <w:lang w:eastAsia="en-GB"/>
              </w:rPr>
            </w:pPr>
            <w:r w:rsidRPr="00733088">
              <w:rPr>
                <w:rFonts w:ascii="Arial (W1)" w:hAnsi="Arial (W1)" w:cs="Arial"/>
                <w:b/>
                <w:bCs/>
                <w:sz w:val="20"/>
                <w:lang w:eastAsia="en-GB"/>
              </w:rPr>
              <w:t xml:space="preserve">(% Pensionable </w:t>
            </w:r>
            <w:r w:rsidR="002E137A">
              <w:rPr>
                <w:rFonts w:ascii="Arial (W1)" w:hAnsi="Arial (W1)" w:cs="Arial"/>
                <w:b/>
                <w:bCs/>
                <w:sz w:val="20"/>
                <w:lang w:eastAsia="en-GB"/>
              </w:rPr>
              <w:t>P</w:t>
            </w:r>
            <w:r w:rsidRPr="00733088">
              <w:rPr>
                <w:rFonts w:ascii="Arial (W1)" w:hAnsi="Arial (W1)" w:cs="Arial"/>
                <w:b/>
                <w:bCs/>
                <w:sz w:val="20"/>
                <w:lang w:eastAsia="en-GB"/>
              </w:rPr>
              <w:t xml:space="preserve">ay and £s) </w:t>
            </w:r>
          </w:p>
          <w:p w14:paraId="7C300E3D" w14:textId="77777777" w:rsidR="00733088" w:rsidRPr="00733088" w:rsidRDefault="002E137A" w:rsidP="002E137A">
            <w:pPr>
              <w:jc w:val="center"/>
              <w:rPr>
                <w:rFonts w:ascii="Arial (W1)" w:hAnsi="Arial (W1)" w:cs="Arial"/>
                <w:b/>
                <w:bCs/>
                <w:sz w:val="20"/>
                <w:lang w:eastAsia="en-GB"/>
              </w:rPr>
            </w:pPr>
            <w:r>
              <w:rPr>
                <w:rFonts w:ascii="Arial (W1)" w:hAnsi="Arial (W1)" w:cs="Arial"/>
                <w:b/>
                <w:bCs/>
                <w:sz w:val="20"/>
                <w:lang w:eastAsia="en-GB"/>
              </w:rPr>
              <w:t xml:space="preserve"> Y</w:t>
            </w:r>
            <w:r w:rsidR="00733088" w:rsidRPr="00733088">
              <w:rPr>
                <w:rFonts w:ascii="Arial (W1)" w:hAnsi="Arial (W1)" w:cs="Arial"/>
                <w:b/>
                <w:bCs/>
                <w:sz w:val="20"/>
                <w:lang w:eastAsia="en-GB"/>
              </w:rPr>
              <w:t>ear commencing 1 April</w:t>
            </w:r>
          </w:p>
        </w:tc>
      </w:tr>
      <w:tr w:rsidR="00061B3C" w:rsidRPr="008376B7" w14:paraId="16C96CC8" w14:textId="77777777" w:rsidTr="001D1565">
        <w:trPr>
          <w:trHeight w:val="285"/>
        </w:trPr>
        <w:tc>
          <w:tcPr>
            <w:tcW w:w="4400" w:type="dxa"/>
            <w:gridSpan w:val="2"/>
            <w:vMerge/>
            <w:tcBorders>
              <w:top w:val="single" w:sz="4" w:space="0" w:color="auto"/>
              <w:left w:val="single" w:sz="4" w:space="0" w:color="auto"/>
              <w:bottom w:val="single" w:sz="4" w:space="0" w:color="000000"/>
              <w:right w:val="single" w:sz="4" w:space="0" w:color="auto"/>
            </w:tcBorders>
            <w:vAlign w:val="center"/>
            <w:hideMark/>
          </w:tcPr>
          <w:p w14:paraId="2938976A" w14:textId="77777777" w:rsidR="00733088" w:rsidRPr="00733088" w:rsidRDefault="00733088" w:rsidP="00733088">
            <w:pPr>
              <w:rPr>
                <w:rFonts w:ascii="Arial (W1)" w:hAnsi="Arial (W1)" w:cs="Arial"/>
                <w:b/>
                <w:bCs/>
                <w:sz w:val="20"/>
                <w:lang w:eastAsia="en-GB"/>
              </w:rPr>
            </w:pPr>
          </w:p>
        </w:tc>
        <w:tc>
          <w:tcPr>
            <w:tcW w:w="2180" w:type="dxa"/>
            <w:gridSpan w:val="2"/>
            <w:vMerge/>
            <w:tcBorders>
              <w:top w:val="single" w:sz="4" w:space="0" w:color="auto"/>
              <w:left w:val="single" w:sz="4" w:space="0" w:color="auto"/>
              <w:bottom w:val="single" w:sz="4" w:space="0" w:color="000000"/>
              <w:right w:val="single" w:sz="4" w:space="0" w:color="auto"/>
            </w:tcBorders>
            <w:vAlign w:val="center"/>
            <w:hideMark/>
          </w:tcPr>
          <w:p w14:paraId="7B15800A" w14:textId="77777777" w:rsidR="00733088" w:rsidRPr="00733088" w:rsidRDefault="00733088" w:rsidP="00733088">
            <w:pPr>
              <w:rPr>
                <w:rFonts w:ascii="Arial (W1)" w:hAnsi="Arial (W1)" w:cs="Arial"/>
                <w:b/>
                <w:bCs/>
                <w:sz w:val="20"/>
                <w:lang w:eastAsia="en-GB"/>
              </w:rPr>
            </w:pPr>
          </w:p>
        </w:tc>
        <w:tc>
          <w:tcPr>
            <w:tcW w:w="1637" w:type="dxa"/>
            <w:tcBorders>
              <w:top w:val="nil"/>
              <w:left w:val="nil"/>
              <w:bottom w:val="single" w:sz="4" w:space="0" w:color="auto"/>
              <w:right w:val="single" w:sz="4" w:space="0" w:color="auto"/>
            </w:tcBorders>
            <w:shd w:val="clear" w:color="000000" w:fill="FFFFFF"/>
            <w:vAlign w:val="bottom"/>
            <w:hideMark/>
          </w:tcPr>
          <w:p w14:paraId="02DE0B3A" w14:textId="77777777" w:rsidR="00733088" w:rsidRPr="00733088" w:rsidRDefault="002E137A" w:rsidP="00733088">
            <w:pPr>
              <w:jc w:val="center"/>
              <w:rPr>
                <w:rFonts w:ascii="Arial (W1)" w:hAnsi="Arial (W1)" w:cs="Arial"/>
                <w:b/>
                <w:bCs/>
                <w:sz w:val="20"/>
                <w:lang w:eastAsia="en-GB"/>
              </w:rPr>
            </w:pPr>
            <w:r>
              <w:rPr>
                <w:rFonts w:ascii="Arial (W1)" w:hAnsi="Arial (W1)" w:cs="Arial"/>
                <w:b/>
                <w:bCs/>
                <w:sz w:val="20"/>
                <w:lang w:eastAsia="en-GB"/>
              </w:rPr>
              <w:t>2020</w:t>
            </w:r>
          </w:p>
        </w:tc>
        <w:tc>
          <w:tcPr>
            <w:tcW w:w="1559" w:type="dxa"/>
            <w:tcBorders>
              <w:top w:val="nil"/>
              <w:left w:val="nil"/>
              <w:bottom w:val="single" w:sz="4" w:space="0" w:color="auto"/>
              <w:right w:val="single" w:sz="4" w:space="0" w:color="auto"/>
            </w:tcBorders>
            <w:shd w:val="clear" w:color="000000" w:fill="FFFFFF"/>
            <w:vAlign w:val="bottom"/>
            <w:hideMark/>
          </w:tcPr>
          <w:p w14:paraId="1B6172D5" w14:textId="77777777" w:rsidR="00733088" w:rsidRPr="00733088" w:rsidRDefault="002E137A" w:rsidP="002E137A">
            <w:pPr>
              <w:jc w:val="center"/>
              <w:rPr>
                <w:rFonts w:ascii="Arial (W1)" w:hAnsi="Arial (W1)" w:cs="Arial"/>
                <w:b/>
                <w:bCs/>
                <w:sz w:val="20"/>
                <w:lang w:eastAsia="en-GB"/>
              </w:rPr>
            </w:pPr>
            <w:r>
              <w:rPr>
                <w:rFonts w:ascii="Arial (W1)" w:hAnsi="Arial (W1)" w:cs="Arial"/>
                <w:b/>
                <w:bCs/>
                <w:sz w:val="20"/>
                <w:lang w:eastAsia="en-GB"/>
              </w:rPr>
              <w:t>2021</w:t>
            </w:r>
          </w:p>
        </w:tc>
        <w:tc>
          <w:tcPr>
            <w:tcW w:w="1418" w:type="dxa"/>
            <w:tcBorders>
              <w:top w:val="nil"/>
              <w:left w:val="nil"/>
              <w:bottom w:val="single" w:sz="4" w:space="0" w:color="auto"/>
              <w:right w:val="single" w:sz="4" w:space="0" w:color="auto"/>
            </w:tcBorders>
            <w:shd w:val="clear" w:color="000000" w:fill="FFFFFF"/>
            <w:vAlign w:val="bottom"/>
            <w:hideMark/>
          </w:tcPr>
          <w:p w14:paraId="047F2928" w14:textId="77777777" w:rsidR="00733088" w:rsidRPr="00733088" w:rsidRDefault="00733088" w:rsidP="002E137A">
            <w:pPr>
              <w:jc w:val="center"/>
              <w:rPr>
                <w:rFonts w:ascii="Arial (W1)" w:hAnsi="Arial (W1)" w:cs="Arial"/>
                <w:b/>
                <w:bCs/>
                <w:sz w:val="20"/>
                <w:lang w:eastAsia="en-GB"/>
              </w:rPr>
            </w:pPr>
            <w:r w:rsidRPr="00733088">
              <w:rPr>
                <w:rFonts w:ascii="Arial (W1)" w:hAnsi="Arial (W1)" w:cs="Arial"/>
                <w:b/>
                <w:bCs/>
                <w:sz w:val="20"/>
                <w:lang w:eastAsia="en-GB"/>
              </w:rPr>
              <w:t>20</w:t>
            </w:r>
            <w:r w:rsidR="002E137A">
              <w:rPr>
                <w:rFonts w:ascii="Arial (W1)" w:hAnsi="Arial (W1)" w:cs="Arial"/>
                <w:b/>
                <w:bCs/>
                <w:sz w:val="20"/>
                <w:lang w:eastAsia="en-GB"/>
              </w:rPr>
              <w:t>22</w:t>
            </w:r>
          </w:p>
        </w:tc>
        <w:tc>
          <w:tcPr>
            <w:tcW w:w="1842" w:type="dxa"/>
            <w:gridSpan w:val="2"/>
            <w:tcBorders>
              <w:top w:val="nil"/>
              <w:left w:val="nil"/>
              <w:bottom w:val="single" w:sz="4" w:space="0" w:color="auto"/>
              <w:right w:val="single" w:sz="4" w:space="0" w:color="auto"/>
            </w:tcBorders>
            <w:shd w:val="clear" w:color="000000" w:fill="FFFFFF"/>
            <w:vAlign w:val="bottom"/>
            <w:hideMark/>
          </w:tcPr>
          <w:p w14:paraId="1D5A8A7F" w14:textId="77777777" w:rsidR="00733088" w:rsidRPr="00733088" w:rsidRDefault="00733088" w:rsidP="002E137A">
            <w:pPr>
              <w:jc w:val="center"/>
              <w:rPr>
                <w:rFonts w:ascii="Arial (W1)" w:hAnsi="Arial (W1)" w:cs="Arial"/>
                <w:b/>
                <w:bCs/>
                <w:sz w:val="20"/>
                <w:lang w:eastAsia="en-GB"/>
              </w:rPr>
            </w:pPr>
            <w:r w:rsidRPr="00733088">
              <w:rPr>
                <w:rFonts w:ascii="Arial (W1)" w:hAnsi="Arial (W1)" w:cs="Arial"/>
                <w:b/>
                <w:bCs/>
                <w:sz w:val="20"/>
                <w:lang w:eastAsia="en-GB"/>
              </w:rPr>
              <w:t>20</w:t>
            </w:r>
            <w:r w:rsidR="002E137A">
              <w:rPr>
                <w:rFonts w:ascii="Arial (W1)" w:hAnsi="Arial (W1)" w:cs="Arial"/>
                <w:b/>
                <w:bCs/>
                <w:sz w:val="20"/>
                <w:lang w:eastAsia="en-GB"/>
              </w:rPr>
              <w:t>20</w:t>
            </w:r>
          </w:p>
        </w:tc>
        <w:tc>
          <w:tcPr>
            <w:tcW w:w="1701" w:type="dxa"/>
            <w:tcBorders>
              <w:top w:val="nil"/>
              <w:left w:val="nil"/>
              <w:bottom w:val="single" w:sz="4" w:space="0" w:color="auto"/>
              <w:right w:val="single" w:sz="4" w:space="0" w:color="auto"/>
            </w:tcBorders>
            <w:shd w:val="clear" w:color="000000" w:fill="FFFFFF"/>
            <w:vAlign w:val="bottom"/>
            <w:hideMark/>
          </w:tcPr>
          <w:p w14:paraId="357FEEFF" w14:textId="77777777" w:rsidR="00733088" w:rsidRPr="00733088" w:rsidRDefault="00733088" w:rsidP="002E137A">
            <w:pPr>
              <w:jc w:val="center"/>
              <w:rPr>
                <w:rFonts w:ascii="Arial (W1)" w:hAnsi="Arial (W1)" w:cs="Arial"/>
                <w:b/>
                <w:bCs/>
                <w:sz w:val="20"/>
                <w:lang w:eastAsia="en-GB"/>
              </w:rPr>
            </w:pPr>
            <w:r w:rsidRPr="00733088">
              <w:rPr>
                <w:rFonts w:ascii="Arial (W1)" w:hAnsi="Arial (W1)" w:cs="Arial"/>
                <w:b/>
                <w:bCs/>
                <w:sz w:val="20"/>
                <w:lang w:eastAsia="en-GB"/>
              </w:rPr>
              <w:t>20</w:t>
            </w:r>
            <w:r w:rsidR="002E137A">
              <w:rPr>
                <w:rFonts w:ascii="Arial (W1)" w:hAnsi="Arial (W1)" w:cs="Arial"/>
                <w:b/>
                <w:bCs/>
                <w:sz w:val="20"/>
                <w:lang w:eastAsia="en-GB"/>
              </w:rPr>
              <w:t>21</w:t>
            </w:r>
          </w:p>
        </w:tc>
        <w:tc>
          <w:tcPr>
            <w:tcW w:w="1418" w:type="dxa"/>
            <w:gridSpan w:val="2"/>
            <w:tcBorders>
              <w:top w:val="nil"/>
              <w:left w:val="nil"/>
              <w:bottom w:val="single" w:sz="4" w:space="0" w:color="auto"/>
              <w:right w:val="single" w:sz="4" w:space="0" w:color="auto"/>
            </w:tcBorders>
            <w:shd w:val="clear" w:color="000000" w:fill="FFFFFF"/>
            <w:vAlign w:val="bottom"/>
            <w:hideMark/>
          </w:tcPr>
          <w:p w14:paraId="080083B5" w14:textId="77777777" w:rsidR="00733088" w:rsidRPr="00733088" w:rsidRDefault="00733088" w:rsidP="002E137A">
            <w:pPr>
              <w:jc w:val="center"/>
              <w:rPr>
                <w:rFonts w:ascii="Arial (W1)" w:hAnsi="Arial (W1)" w:cs="Arial"/>
                <w:b/>
                <w:bCs/>
                <w:sz w:val="20"/>
                <w:lang w:eastAsia="en-GB"/>
              </w:rPr>
            </w:pPr>
            <w:r w:rsidRPr="00733088">
              <w:rPr>
                <w:rFonts w:ascii="Arial (W1)" w:hAnsi="Arial (W1)" w:cs="Arial"/>
                <w:b/>
                <w:bCs/>
                <w:sz w:val="20"/>
                <w:lang w:eastAsia="en-GB"/>
              </w:rPr>
              <w:t>20</w:t>
            </w:r>
            <w:r w:rsidR="002E137A">
              <w:rPr>
                <w:rFonts w:ascii="Arial (W1)" w:hAnsi="Arial (W1)" w:cs="Arial"/>
                <w:b/>
                <w:bCs/>
                <w:sz w:val="20"/>
                <w:lang w:eastAsia="en-GB"/>
              </w:rPr>
              <w:t>22</w:t>
            </w:r>
          </w:p>
        </w:tc>
      </w:tr>
      <w:tr w:rsidR="00733088" w:rsidRPr="00733088" w14:paraId="7BC5947A" w14:textId="77777777" w:rsidTr="001D1565">
        <w:trPr>
          <w:trHeight w:val="390"/>
        </w:trPr>
        <w:tc>
          <w:tcPr>
            <w:tcW w:w="16155" w:type="dxa"/>
            <w:gridSpan w:val="12"/>
            <w:tcBorders>
              <w:top w:val="single" w:sz="4" w:space="0" w:color="auto"/>
              <w:left w:val="single" w:sz="4" w:space="0" w:color="auto"/>
              <w:bottom w:val="single" w:sz="4" w:space="0" w:color="auto"/>
              <w:right w:val="single" w:sz="4" w:space="0" w:color="000000"/>
            </w:tcBorders>
            <w:shd w:val="clear" w:color="000000" w:fill="D9D9D9"/>
            <w:vAlign w:val="bottom"/>
            <w:hideMark/>
          </w:tcPr>
          <w:p w14:paraId="485EE6B5" w14:textId="77777777" w:rsidR="00733088" w:rsidRPr="00733088" w:rsidRDefault="00733088" w:rsidP="00733088">
            <w:pPr>
              <w:rPr>
                <w:rFonts w:ascii="Arial" w:hAnsi="Arial" w:cs="Arial"/>
                <w:b/>
                <w:bCs/>
                <w:sz w:val="20"/>
                <w:lang w:eastAsia="en-GB"/>
              </w:rPr>
            </w:pPr>
            <w:r w:rsidRPr="00733088">
              <w:rPr>
                <w:rFonts w:ascii="Arial" w:hAnsi="Arial" w:cs="Arial"/>
                <w:b/>
                <w:bCs/>
                <w:sz w:val="20"/>
                <w:lang w:eastAsia="en-GB"/>
              </w:rPr>
              <w:t>Schedule 2 Part 1 bodies/ Schedule 2 Part 2 bodies (Scheduled bodies)</w:t>
            </w:r>
          </w:p>
        </w:tc>
      </w:tr>
      <w:tr w:rsidR="00061B3C" w:rsidRPr="008376B7" w14:paraId="5FAEEF67" w14:textId="77777777" w:rsidTr="001D1565">
        <w:trPr>
          <w:trHeight w:val="300"/>
        </w:trPr>
        <w:tc>
          <w:tcPr>
            <w:tcW w:w="4400" w:type="dxa"/>
            <w:gridSpan w:val="2"/>
            <w:tcBorders>
              <w:top w:val="nil"/>
              <w:left w:val="single" w:sz="4" w:space="0" w:color="auto"/>
              <w:bottom w:val="nil"/>
              <w:right w:val="nil"/>
            </w:tcBorders>
            <w:shd w:val="clear" w:color="000000" w:fill="FFFFFF"/>
            <w:hideMark/>
          </w:tcPr>
          <w:p w14:paraId="65DE0DA5" w14:textId="77777777" w:rsidR="00733088" w:rsidRPr="00733088" w:rsidRDefault="00733088" w:rsidP="00733088">
            <w:pPr>
              <w:rPr>
                <w:rFonts w:ascii="Arial (W1)" w:hAnsi="Arial (W1)" w:cs="Arial"/>
                <w:b/>
                <w:bCs/>
                <w:sz w:val="20"/>
                <w:lang w:eastAsia="en-GB"/>
              </w:rPr>
            </w:pPr>
            <w:r w:rsidRPr="00733088">
              <w:rPr>
                <w:rFonts w:ascii="Arial (W1)" w:hAnsi="Arial (W1)" w:cs="Arial"/>
                <w:b/>
                <w:bCs/>
                <w:sz w:val="20"/>
                <w:lang w:eastAsia="en-GB"/>
              </w:rPr>
              <w:t> </w:t>
            </w:r>
          </w:p>
        </w:tc>
        <w:tc>
          <w:tcPr>
            <w:tcW w:w="2180" w:type="dxa"/>
            <w:gridSpan w:val="2"/>
            <w:tcBorders>
              <w:top w:val="nil"/>
              <w:left w:val="single" w:sz="4" w:space="0" w:color="auto"/>
              <w:bottom w:val="nil"/>
              <w:right w:val="single" w:sz="4" w:space="0" w:color="auto"/>
            </w:tcBorders>
            <w:shd w:val="clear" w:color="000000" w:fill="FFFFFF"/>
            <w:hideMark/>
          </w:tcPr>
          <w:p w14:paraId="12BE6091" w14:textId="77777777" w:rsidR="00733088" w:rsidRPr="00733088" w:rsidRDefault="00733088" w:rsidP="00733088">
            <w:pPr>
              <w:jc w:val="center"/>
              <w:rPr>
                <w:rFonts w:ascii="Arial (W1)" w:hAnsi="Arial (W1)" w:cs="Arial"/>
                <w:b/>
                <w:bCs/>
                <w:sz w:val="20"/>
                <w:lang w:eastAsia="en-GB"/>
              </w:rPr>
            </w:pPr>
            <w:r w:rsidRPr="00733088">
              <w:rPr>
                <w:rFonts w:ascii="Arial (W1)" w:hAnsi="Arial (W1)" w:cs="Arial"/>
                <w:b/>
                <w:bCs/>
                <w:sz w:val="20"/>
                <w:lang w:eastAsia="en-GB"/>
              </w:rPr>
              <w:t> </w:t>
            </w:r>
          </w:p>
        </w:tc>
        <w:tc>
          <w:tcPr>
            <w:tcW w:w="1637" w:type="dxa"/>
            <w:tcBorders>
              <w:top w:val="nil"/>
              <w:left w:val="nil"/>
              <w:bottom w:val="nil"/>
              <w:right w:val="single" w:sz="4" w:space="0" w:color="auto"/>
            </w:tcBorders>
            <w:shd w:val="clear" w:color="000000" w:fill="FFFFFF"/>
            <w:hideMark/>
          </w:tcPr>
          <w:p w14:paraId="2C8B4430"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 </w:t>
            </w:r>
          </w:p>
        </w:tc>
        <w:tc>
          <w:tcPr>
            <w:tcW w:w="1559" w:type="dxa"/>
            <w:tcBorders>
              <w:top w:val="nil"/>
              <w:left w:val="nil"/>
              <w:bottom w:val="nil"/>
              <w:right w:val="single" w:sz="4" w:space="0" w:color="auto"/>
            </w:tcBorders>
            <w:shd w:val="clear" w:color="000000" w:fill="FFFFFF"/>
            <w:hideMark/>
          </w:tcPr>
          <w:p w14:paraId="75C3B10A"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 </w:t>
            </w:r>
          </w:p>
        </w:tc>
        <w:tc>
          <w:tcPr>
            <w:tcW w:w="1418" w:type="dxa"/>
            <w:tcBorders>
              <w:top w:val="nil"/>
              <w:left w:val="nil"/>
              <w:bottom w:val="nil"/>
              <w:right w:val="single" w:sz="4" w:space="0" w:color="auto"/>
            </w:tcBorders>
            <w:shd w:val="clear" w:color="000000" w:fill="FFFFFF"/>
            <w:hideMark/>
          </w:tcPr>
          <w:p w14:paraId="6F6BB109"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 </w:t>
            </w:r>
          </w:p>
        </w:tc>
        <w:tc>
          <w:tcPr>
            <w:tcW w:w="1842" w:type="dxa"/>
            <w:gridSpan w:val="2"/>
            <w:tcBorders>
              <w:top w:val="nil"/>
              <w:left w:val="nil"/>
              <w:bottom w:val="nil"/>
              <w:right w:val="single" w:sz="4" w:space="0" w:color="auto"/>
            </w:tcBorders>
            <w:shd w:val="clear" w:color="000000" w:fill="FFFFFF"/>
            <w:hideMark/>
          </w:tcPr>
          <w:p w14:paraId="11738F66"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 </w:t>
            </w:r>
          </w:p>
        </w:tc>
        <w:tc>
          <w:tcPr>
            <w:tcW w:w="1701" w:type="dxa"/>
            <w:tcBorders>
              <w:top w:val="nil"/>
              <w:left w:val="nil"/>
              <w:bottom w:val="nil"/>
              <w:right w:val="single" w:sz="4" w:space="0" w:color="auto"/>
            </w:tcBorders>
            <w:shd w:val="clear" w:color="000000" w:fill="FFFFFF"/>
            <w:hideMark/>
          </w:tcPr>
          <w:p w14:paraId="1950E98A"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 </w:t>
            </w:r>
          </w:p>
        </w:tc>
        <w:tc>
          <w:tcPr>
            <w:tcW w:w="1418" w:type="dxa"/>
            <w:gridSpan w:val="2"/>
            <w:tcBorders>
              <w:top w:val="nil"/>
              <w:left w:val="nil"/>
              <w:bottom w:val="nil"/>
              <w:right w:val="single" w:sz="4" w:space="0" w:color="auto"/>
            </w:tcBorders>
            <w:shd w:val="clear" w:color="000000" w:fill="FFFFFF"/>
            <w:hideMark/>
          </w:tcPr>
          <w:p w14:paraId="501C106C"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 </w:t>
            </w:r>
          </w:p>
        </w:tc>
      </w:tr>
      <w:tr w:rsidR="00061B3C" w:rsidRPr="008376B7" w14:paraId="58EF77FE" w14:textId="77777777" w:rsidTr="001D1565">
        <w:trPr>
          <w:trHeight w:val="285"/>
        </w:trPr>
        <w:tc>
          <w:tcPr>
            <w:tcW w:w="4400" w:type="dxa"/>
            <w:gridSpan w:val="2"/>
            <w:tcBorders>
              <w:top w:val="nil"/>
              <w:left w:val="single" w:sz="4" w:space="0" w:color="auto"/>
              <w:bottom w:val="single" w:sz="4" w:space="0" w:color="auto"/>
              <w:right w:val="nil"/>
            </w:tcBorders>
            <w:shd w:val="clear" w:color="000000" w:fill="FFFFFF"/>
            <w:hideMark/>
          </w:tcPr>
          <w:p w14:paraId="55231909"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City &amp; County of Swansea</w:t>
            </w:r>
          </w:p>
        </w:tc>
        <w:tc>
          <w:tcPr>
            <w:tcW w:w="2180" w:type="dxa"/>
            <w:gridSpan w:val="2"/>
            <w:tcBorders>
              <w:top w:val="nil"/>
              <w:left w:val="single" w:sz="4" w:space="0" w:color="auto"/>
              <w:bottom w:val="single" w:sz="4" w:space="0" w:color="auto"/>
              <w:right w:val="single" w:sz="4" w:space="0" w:color="auto"/>
            </w:tcBorders>
            <w:shd w:val="clear" w:color="000000" w:fill="FFFFFF"/>
          </w:tcPr>
          <w:p w14:paraId="3E844736" w14:textId="77777777" w:rsidR="00733088" w:rsidRPr="00733088" w:rsidRDefault="002E137A" w:rsidP="00733088">
            <w:pPr>
              <w:jc w:val="center"/>
              <w:rPr>
                <w:rFonts w:ascii="Arial (W1)" w:hAnsi="Arial (W1)" w:cs="Arial"/>
                <w:sz w:val="20"/>
                <w:lang w:eastAsia="en-GB"/>
              </w:rPr>
            </w:pPr>
            <w:r>
              <w:rPr>
                <w:rFonts w:ascii="Arial (W1)" w:hAnsi="Arial (W1)" w:cs="Arial"/>
                <w:sz w:val="20"/>
                <w:lang w:eastAsia="en-GB"/>
              </w:rPr>
              <w:t>20.2%</w:t>
            </w:r>
          </w:p>
        </w:tc>
        <w:tc>
          <w:tcPr>
            <w:tcW w:w="1637" w:type="dxa"/>
            <w:tcBorders>
              <w:top w:val="nil"/>
              <w:left w:val="nil"/>
              <w:bottom w:val="single" w:sz="4" w:space="0" w:color="auto"/>
              <w:right w:val="single" w:sz="4" w:space="0" w:color="auto"/>
            </w:tcBorders>
            <w:shd w:val="clear" w:color="000000" w:fill="FFFFFF"/>
          </w:tcPr>
          <w:p w14:paraId="73ACAD65" w14:textId="77777777" w:rsidR="00733088" w:rsidRPr="00733088" w:rsidRDefault="002E137A" w:rsidP="00733088">
            <w:pPr>
              <w:jc w:val="center"/>
              <w:rPr>
                <w:rFonts w:ascii="Arial (W1)" w:hAnsi="Arial (W1)" w:cs="Arial"/>
                <w:sz w:val="20"/>
                <w:lang w:eastAsia="en-GB"/>
              </w:rPr>
            </w:pPr>
            <w:r>
              <w:rPr>
                <w:rFonts w:ascii="Arial (W1)" w:hAnsi="Arial (W1)" w:cs="Arial"/>
                <w:sz w:val="20"/>
                <w:lang w:eastAsia="en-GB"/>
              </w:rPr>
              <w:t>4.5%</w:t>
            </w:r>
          </w:p>
        </w:tc>
        <w:tc>
          <w:tcPr>
            <w:tcW w:w="1559" w:type="dxa"/>
            <w:tcBorders>
              <w:top w:val="nil"/>
              <w:left w:val="nil"/>
              <w:bottom w:val="single" w:sz="4" w:space="0" w:color="auto"/>
              <w:right w:val="single" w:sz="4" w:space="0" w:color="auto"/>
            </w:tcBorders>
            <w:shd w:val="clear" w:color="000000" w:fill="FFFFFF"/>
          </w:tcPr>
          <w:p w14:paraId="4284E02C" w14:textId="77777777" w:rsidR="00733088" w:rsidRPr="00733088" w:rsidRDefault="002E137A" w:rsidP="00733088">
            <w:pPr>
              <w:jc w:val="center"/>
              <w:rPr>
                <w:rFonts w:ascii="Arial (W1)" w:hAnsi="Arial (W1)" w:cs="Arial"/>
                <w:sz w:val="20"/>
                <w:lang w:eastAsia="en-GB"/>
              </w:rPr>
            </w:pPr>
            <w:r>
              <w:rPr>
                <w:rFonts w:ascii="Arial (W1)" w:hAnsi="Arial (W1)" w:cs="Arial"/>
                <w:sz w:val="20"/>
                <w:lang w:eastAsia="en-GB"/>
              </w:rPr>
              <w:t>4.5%</w:t>
            </w:r>
          </w:p>
        </w:tc>
        <w:tc>
          <w:tcPr>
            <w:tcW w:w="1418" w:type="dxa"/>
            <w:tcBorders>
              <w:top w:val="nil"/>
              <w:left w:val="nil"/>
              <w:bottom w:val="single" w:sz="4" w:space="0" w:color="auto"/>
              <w:right w:val="single" w:sz="4" w:space="0" w:color="auto"/>
            </w:tcBorders>
            <w:shd w:val="clear" w:color="000000" w:fill="FFFFFF"/>
          </w:tcPr>
          <w:p w14:paraId="7E98C1C9" w14:textId="77777777" w:rsidR="00733088" w:rsidRPr="00733088" w:rsidRDefault="002E137A" w:rsidP="00733088">
            <w:pPr>
              <w:jc w:val="center"/>
              <w:rPr>
                <w:rFonts w:ascii="Arial (W1)" w:hAnsi="Arial (W1)" w:cs="Arial"/>
                <w:sz w:val="20"/>
                <w:lang w:eastAsia="en-GB"/>
              </w:rPr>
            </w:pPr>
            <w:r>
              <w:rPr>
                <w:rFonts w:ascii="Arial (W1)" w:hAnsi="Arial (W1)" w:cs="Arial"/>
                <w:sz w:val="20"/>
                <w:lang w:eastAsia="en-GB"/>
              </w:rPr>
              <w:t>4.5%</w:t>
            </w:r>
          </w:p>
        </w:tc>
        <w:tc>
          <w:tcPr>
            <w:tcW w:w="1842" w:type="dxa"/>
            <w:gridSpan w:val="2"/>
            <w:tcBorders>
              <w:top w:val="nil"/>
              <w:left w:val="nil"/>
              <w:bottom w:val="single" w:sz="4" w:space="0" w:color="auto"/>
              <w:right w:val="single" w:sz="4" w:space="0" w:color="auto"/>
            </w:tcBorders>
            <w:shd w:val="clear" w:color="000000" w:fill="FFFFFF"/>
          </w:tcPr>
          <w:p w14:paraId="454F3900" w14:textId="77777777" w:rsidR="00733088" w:rsidRPr="00733088" w:rsidRDefault="002E137A" w:rsidP="00733088">
            <w:pPr>
              <w:jc w:val="center"/>
              <w:rPr>
                <w:rFonts w:ascii="Arial (W1)" w:hAnsi="Arial (W1)" w:cs="Arial"/>
                <w:sz w:val="20"/>
                <w:lang w:eastAsia="en-GB"/>
              </w:rPr>
            </w:pPr>
            <w:r>
              <w:rPr>
                <w:rFonts w:ascii="Arial (W1)" w:hAnsi="Arial (W1)" w:cs="Arial"/>
                <w:sz w:val="20"/>
                <w:lang w:eastAsia="en-GB"/>
              </w:rPr>
              <w:t>24.7%</w:t>
            </w:r>
          </w:p>
        </w:tc>
        <w:tc>
          <w:tcPr>
            <w:tcW w:w="1701" w:type="dxa"/>
            <w:tcBorders>
              <w:top w:val="nil"/>
              <w:left w:val="nil"/>
              <w:bottom w:val="single" w:sz="4" w:space="0" w:color="auto"/>
              <w:right w:val="single" w:sz="4" w:space="0" w:color="auto"/>
            </w:tcBorders>
            <w:shd w:val="clear" w:color="000000" w:fill="FFFFFF"/>
          </w:tcPr>
          <w:p w14:paraId="0B4A8DF2" w14:textId="77777777" w:rsidR="00733088" w:rsidRPr="00733088" w:rsidRDefault="002E137A" w:rsidP="00733088">
            <w:pPr>
              <w:jc w:val="center"/>
              <w:rPr>
                <w:rFonts w:ascii="Arial (W1)" w:hAnsi="Arial (W1)" w:cs="Arial"/>
                <w:sz w:val="20"/>
                <w:lang w:eastAsia="en-GB"/>
              </w:rPr>
            </w:pPr>
            <w:r>
              <w:rPr>
                <w:rFonts w:ascii="Arial (W1)" w:hAnsi="Arial (W1)" w:cs="Arial"/>
                <w:sz w:val="20"/>
                <w:lang w:eastAsia="en-GB"/>
              </w:rPr>
              <w:t>24.7%</w:t>
            </w:r>
          </w:p>
        </w:tc>
        <w:tc>
          <w:tcPr>
            <w:tcW w:w="1418" w:type="dxa"/>
            <w:gridSpan w:val="2"/>
            <w:tcBorders>
              <w:top w:val="nil"/>
              <w:left w:val="nil"/>
              <w:bottom w:val="single" w:sz="4" w:space="0" w:color="auto"/>
              <w:right w:val="single" w:sz="4" w:space="0" w:color="auto"/>
            </w:tcBorders>
            <w:shd w:val="clear" w:color="000000" w:fill="FFFFFF"/>
          </w:tcPr>
          <w:p w14:paraId="46342154" w14:textId="77777777" w:rsidR="00733088" w:rsidRPr="00733088" w:rsidRDefault="002E137A" w:rsidP="00733088">
            <w:pPr>
              <w:jc w:val="center"/>
              <w:rPr>
                <w:rFonts w:ascii="Arial (W1)" w:hAnsi="Arial (W1)" w:cs="Arial"/>
                <w:sz w:val="20"/>
                <w:lang w:eastAsia="en-GB"/>
              </w:rPr>
            </w:pPr>
            <w:r>
              <w:rPr>
                <w:rFonts w:ascii="Arial (W1)" w:hAnsi="Arial (W1)" w:cs="Arial"/>
                <w:sz w:val="20"/>
                <w:lang w:eastAsia="en-GB"/>
              </w:rPr>
              <w:t>24.7%</w:t>
            </w:r>
          </w:p>
        </w:tc>
      </w:tr>
      <w:tr w:rsidR="00061B3C" w:rsidRPr="008376B7" w14:paraId="1B4F31FC" w14:textId="77777777" w:rsidTr="001D1565">
        <w:trPr>
          <w:trHeight w:val="285"/>
        </w:trPr>
        <w:tc>
          <w:tcPr>
            <w:tcW w:w="4400" w:type="dxa"/>
            <w:gridSpan w:val="2"/>
            <w:tcBorders>
              <w:top w:val="nil"/>
              <w:left w:val="single" w:sz="4" w:space="0" w:color="auto"/>
              <w:bottom w:val="single" w:sz="4" w:space="0" w:color="auto"/>
              <w:right w:val="nil"/>
            </w:tcBorders>
            <w:shd w:val="clear" w:color="000000" w:fill="FFFFFF"/>
            <w:hideMark/>
          </w:tcPr>
          <w:p w14:paraId="75DB3B5D" w14:textId="77777777" w:rsidR="00733088" w:rsidRDefault="00733088" w:rsidP="00733088">
            <w:pPr>
              <w:rPr>
                <w:rFonts w:ascii="Arial (W1)" w:hAnsi="Arial (W1)" w:cs="Arial"/>
                <w:sz w:val="20"/>
                <w:lang w:eastAsia="en-GB"/>
              </w:rPr>
            </w:pPr>
            <w:r w:rsidRPr="00733088">
              <w:rPr>
                <w:rFonts w:ascii="Arial (W1)" w:hAnsi="Arial (W1)" w:cs="Arial"/>
                <w:sz w:val="20"/>
                <w:lang w:eastAsia="en-GB"/>
              </w:rPr>
              <w:t>Neath Port Talbot County Borough Council</w:t>
            </w:r>
          </w:p>
          <w:p w14:paraId="768154CB" w14:textId="77777777" w:rsidR="00413FEE" w:rsidRPr="00733088" w:rsidRDefault="00413FEE" w:rsidP="00733088">
            <w:pPr>
              <w:rPr>
                <w:rFonts w:ascii="Arial (W1)" w:hAnsi="Arial (W1)" w:cs="Arial"/>
                <w:sz w:val="20"/>
                <w:lang w:eastAsia="en-GB"/>
              </w:rPr>
            </w:pPr>
          </w:p>
        </w:tc>
        <w:tc>
          <w:tcPr>
            <w:tcW w:w="2180" w:type="dxa"/>
            <w:gridSpan w:val="2"/>
            <w:tcBorders>
              <w:top w:val="nil"/>
              <w:left w:val="single" w:sz="4" w:space="0" w:color="auto"/>
              <w:bottom w:val="single" w:sz="4" w:space="0" w:color="auto"/>
              <w:right w:val="single" w:sz="4" w:space="0" w:color="auto"/>
            </w:tcBorders>
            <w:shd w:val="clear" w:color="000000" w:fill="FFFFFF"/>
          </w:tcPr>
          <w:p w14:paraId="5A9EF33E" w14:textId="77777777" w:rsidR="00733088" w:rsidRPr="00733088" w:rsidRDefault="00224CDB" w:rsidP="00733088">
            <w:pPr>
              <w:jc w:val="center"/>
              <w:rPr>
                <w:rFonts w:ascii="Arial (W1)" w:hAnsi="Arial (W1)" w:cs="Arial"/>
                <w:sz w:val="20"/>
                <w:lang w:eastAsia="en-GB"/>
              </w:rPr>
            </w:pPr>
            <w:r>
              <w:rPr>
                <w:rFonts w:ascii="Arial (W1)" w:hAnsi="Arial (W1)" w:cs="Arial"/>
                <w:sz w:val="20"/>
                <w:lang w:eastAsia="en-GB"/>
              </w:rPr>
              <w:t>20.0%</w:t>
            </w:r>
          </w:p>
        </w:tc>
        <w:tc>
          <w:tcPr>
            <w:tcW w:w="1637" w:type="dxa"/>
            <w:tcBorders>
              <w:top w:val="nil"/>
              <w:left w:val="nil"/>
              <w:bottom w:val="single" w:sz="4" w:space="0" w:color="auto"/>
              <w:right w:val="single" w:sz="4" w:space="0" w:color="auto"/>
            </w:tcBorders>
            <w:shd w:val="clear" w:color="000000" w:fill="FFFFFF"/>
          </w:tcPr>
          <w:p w14:paraId="1EE68956" w14:textId="77777777" w:rsidR="00733088" w:rsidRPr="00733088" w:rsidRDefault="00224CDB" w:rsidP="00733088">
            <w:pPr>
              <w:jc w:val="center"/>
              <w:rPr>
                <w:rFonts w:ascii="Arial (W1)" w:hAnsi="Arial (W1)" w:cs="Arial"/>
                <w:sz w:val="20"/>
                <w:lang w:eastAsia="en-GB"/>
              </w:rPr>
            </w:pPr>
            <w:r>
              <w:rPr>
                <w:rFonts w:ascii="Arial (W1)" w:hAnsi="Arial (W1)" w:cs="Arial"/>
                <w:sz w:val="20"/>
                <w:lang w:eastAsia="en-GB"/>
              </w:rPr>
              <w:t>6.7%</w:t>
            </w:r>
          </w:p>
        </w:tc>
        <w:tc>
          <w:tcPr>
            <w:tcW w:w="1559" w:type="dxa"/>
            <w:tcBorders>
              <w:top w:val="nil"/>
              <w:left w:val="nil"/>
              <w:bottom w:val="single" w:sz="4" w:space="0" w:color="auto"/>
              <w:right w:val="single" w:sz="4" w:space="0" w:color="auto"/>
            </w:tcBorders>
            <w:shd w:val="clear" w:color="000000" w:fill="FFFFFF"/>
          </w:tcPr>
          <w:p w14:paraId="0D2F6CBB" w14:textId="77777777" w:rsidR="00733088" w:rsidRPr="00733088" w:rsidRDefault="00224CDB" w:rsidP="00733088">
            <w:pPr>
              <w:jc w:val="center"/>
              <w:rPr>
                <w:rFonts w:ascii="Arial (W1)" w:hAnsi="Arial (W1)" w:cs="Arial"/>
                <w:sz w:val="20"/>
                <w:lang w:eastAsia="en-GB"/>
              </w:rPr>
            </w:pPr>
            <w:r>
              <w:rPr>
                <w:rFonts w:ascii="Arial (W1)" w:hAnsi="Arial (W1)" w:cs="Arial"/>
                <w:sz w:val="20"/>
                <w:lang w:eastAsia="en-GB"/>
              </w:rPr>
              <w:t>6.8%</w:t>
            </w:r>
          </w:p>
        </w:tc>
        <w:tc>
          <w:tcPr>
            <w:tcW w:w="1418" w:type="dxa"/>
            <w:tcBorders>
              <w:top w:val="nil"/>
              <w:left w:val="nil"/>
              <w:bottom w:val="single" w:sz="4" w:space="0" w:color="auto"/>
              <w:right w:val="single" w:sz="4" w:space="0" w:color="auto"/>
            </w:tcBorders>
            <w:shd w:val="clear" w:color="000000" w:fill="FFFFFF"/>
          </w:tcPr>
          <w:p w14:paraId="6F6AF628" w14:textId="77777777" w:rsidR="00733088" w:rsidRPr="00733088" w:rsidRDefault="00224CDB" w:rsidP="00733088">
            <w:pPr>
              <w:jc w:val="center"/>
              <w:rPr>
                <w:rFonts w:ascii="Arial (W1)" w:hAnsi="Arial (W1)" w:cs="Arial"/>
                <w:sz w:val="20"/>
                <w:lang w:eastAsia="en-GB"/>
              </w:rPr>
            </w:pPr>
            <w:r>
              <w:rPr>
                <w:rFonts w:ascii="Arial (W1)" w:hAnsi="Arial (W1)" w:cs="Arial"/>
                <w:sz w:val="20"/>
                <w:lang w:eastAsia="en-GB"/>
              </w:rPr>
              <w:t>6.9%</w:t>
            </w:r>
          </w:p>
        </w:tc>
        <w:tc>
          <w:tcPr>
            <w:tcW w:w="1842" w:type="dxa"/>
            <w:gridSpan w:val="2"/>
            <w:tcBorders>
              <w:top w:val="nil"/>
              <w:left w:val="nil"/>
              <w:bottom w:val="single" w:sz="4" w:space="0" w:color="auto"/>
              <w:right w:val="single" w:sz="4" w:space="0" w:color="auto"/>
            </w:tcBorders>
            <w:shd w:val="clear" w:color="000000" w:fill="FFFFFF"/>
          </w:tcPr>
          <w:p w14:paraId="75724D85" w14:textId="77777777" w:rsidR="00733088" w:rsidRPr="00733088" w:rsidRDefault="00224CDB" w:rsidP="00733088">
            <w:pPr>
              <w:jc w:val="center"/>
              <w:rPr>
                <w:rFonts w:ascii="Arial (W1)" w:hAnsi="Arial (W1)" w:cs="Arial"/>
                <w:sz w:val="20"/>
                <w:lang w:eastAsia="en-GB"/>
              </w:rPr>
            </w:pPr>
            <w:r>
              <w:rPr>
                <w:rFonts w:ascii="Arial (W1)" w:hAnsi="Arial (W1)" w:cs="Arial"/>
                <w:sz w:val="20"/>
                <w:lang w:eastAsia="en-GB"/>
              </w:rPr>
              <w:t>26.7%</w:t>
            </w:r>
          </w:p>
        </w:tc>
        <w:tc>
          <w:tcPr>
            <w:tcW w:w="1701" w:type="dxa"/>
            <w:tcBorders>
              <w:top w:val="nil"/>
              <w:left w:val="nil"/>
              <w:bottom w:val="single" w:sz="4" w:space="0" w:color="auto"/>
              <w:right w:val="single" w:sz="4" w:space="0" w:color="auto"/>
            </w:tcBorders>
            <w:shd w:val="clear" w:color="000000" w:fill="FFFFFF"/>
          </w:tcPr>
          <w:p w14:paraId="3D14E439" w14:textId="77777777" w:rsidR="00733088" w:rsidRPr="00733088" w:rsidRDefault="00224CDB" w:rsidP="00733088">
            <w:pPr>
              <w:jc w:val="center"/>
              <w:rPr>
                <w:rFonts w:ascii="Arial (W1)" w:hAnsi="Arial (W1)" w:cs="Arial"/>
                <w:sz w:val="20"/>
                <w:lang w:eastAsia="en-GB"/>
              </w:rPr>
            </w:pPr>
            <w:r>
              <w:rPr>
                <w:rFonts w:ascii="Arial (W1)" w:hAnsi="Arial (W1)" w:cs="Arial"/>
                <w:sz w:val="20"/>
                <w:lang w:eastAsia="en-GB"/>
              </w:rPr>
              <w:t>26.8%</w:t>
            </w:r>
          </w:p>
        </w:tc>
        <w:tc>
          <w:tcPr>
            <w:tcW w:w="1418" w:type="dxa"/>
            <w:gridSpan w:val="2"/>
            <w:tcBorders>
              <w:top w:val="nil"/>
              <w:left w:val="nil"/>
              <w:bottom w:val="single" w:sz="4" w:space="0" w:color="auto"/>
              <w:right w:val="single" w:sz="4" w:space="0" w:color="auto"/>
            </w:tcBorders>
            <w:shd w:val="clear" w:color="000000" w:fill="FFFFFF"/>
          </w:tcPr>
          <w:p w14:paraId="658430C0" w14:textId="77777777" w:rsidR="00733088" w:rsidRPr="00733088" w:rsidRDefault="00224CDB" w:rsidP="00733088">
            <w:pPr>
              <w:jc w:val="center"/>
              <w:rPr>
                <w:rFonts w:ascii="Arial (W1)" w:hAnsi="Arial (W1)" w:cs="Arial"/>
                <w:sz w:val="20"/>
                <w:lang w:eastAsia="en-GB"/>
              </w:rPr>
            </w:pPr>
            <w:r>
              <w:rPr>
                <w:rFonts w:ascii="Arial (W1)" w:hAnsi="Arial (W1)" w:cs="Arial"/>
                <w:sz w:val="20"/>
                <w:lang w:eastAsia="en-GB"/>
              </w:rPr>
              <w:t>26.9%</w:t>
            </w:r>
          </w:p>
        </w:tc>
      </w:tr>
      <w:tr w:rsidR="00224CDB" w:rsidRPr="008376B7" w14:paraId="03169D91" w14:textId="77777777" w:rsidTr="001D1565">
        <w:trPr>
          <w:trHeight w:val="276"/>
        </w:trPr>
        <w:tc>
          <w:tcPr>
            <w:tcW w:w="4400" w:type="dxa"/>
            <w:gridSpan w:val="2"/>
            <w:tcBorders>
              <w:top w:val="nil"/>
              <w:left w:val="single" w:sz="4" w:space="0" w:color="auto"/>
              <w:bottom w:val="single" w:sz="4" w:space="0" w:color="auto"/>
              <w:right w:val="nil"/>
            </w:tcBorders>
            <w:shd w:val="clear" w:color="000000" w:fill="FFFFFF"/>
          </w:tcPr>
          <w:p w14:paraId="483D4A2B" w14:textId="77777777" w:rsidR="00224CDB" w:rsidRPr="00733088" w:rsidRDefault="00224CDB" w:rsidP="00733088">
            <w:pPr>
              <w:rPr>
                <w:rFonts w:ascii="Arial (W1)" w:hAnsi="Arial (W1)" w:cs="Arial"/>
                <w:sz w:val="20"/>
                <w:lang w:eastAsia="en-GB"/>
              </w:rPr>
            </w:pPr>
            <w:r>
              <w:rPr>
                <w:rFonts w:ascii="Arial (W1)" w:hAnsi="Arial (W1)" w:cs="Arial"/>
                <w:sz w:val="20"/>
                <w:lang w:eastAsia="en-GB"/>
              </w:rPr>
              <w:t>Briton Ferry Town Council</w:t>
            </w:r>
          </w:p>
        </w:tc>
        <w:tc>
          <w:tcPr>
            <w:tcW w:w="2180" w:type="dxa"/>
            <w:gridSpan w:val="2"/>
            <w:tcBorders>
              <w:top w:val="nil"/>
              <w:left w:val="single" w:sz="4" w:space="0" w:color="auto"/>
              <w:bottom w:val="single" w:sz="4" w:space="0" w:color="auto"/>
              <w:right w:val="single" w:sz="4" w:space="0" w:color="auto"/>
            </w:tcBorders>
            <w:shd w:val="clear" w:color="000000" w:fill="FFFFFF"/>
          </w:tcPr>
          <w:p w14:paraId="7253213E" w14:textId="77777777" w:rsidR="00224CDB" w:rsidRPr="00733088" w:rsidRDefault="00224CDB" w:rsidP="00733088">
            <w:pPr>
              <w:jc w:val="center"/>
              <w:rPr>
                <w:rFonts w:ascii="Arial (W1)" w:hAnsi="Arial (W1)" w:cs="Arial"/>
                <w:sz w:val="20"/>
                <w:lang w:eastAsia="en-GB"/>
              </w:rPr>
            </w:pPr>
            <w:r>
              <w:rPr>
                <w:rFonts w:ascii="Arial (W1)" w:hAnsi="Arial (W1)" w:cs="Arial"/>
                <w:sz w:val="20"/>
                <w:lang w:eastAsia="en-GB"/>
              </w:rPr>
              <w:t>22.6%</w:t>
            </w:r>
          </w:p>
        </w:tc>
        <w:tc>
          <w:tcPr>
            <w:tcW w:w="1637" w:type="dxa"/>
            <w:tcBorders>
              <w:top w:val="nil"/>
              <w:left w:val="nil"/>
              <w:bottom w:val="single" w:sz="4" w:space="0" w:color="auto"/>
              <w:right w:val="single" w:sz="4" w:space="0" w:color="auto"/>
            </w:tcBorders>
            <w:shd w:val="clear" w:color="000000" w:fill="FFFFFF"/>
          </w:tcPr>
          <w:p w14:paraId="7A2F4E9E" w14:textId="77777777" w:rsidR="00224CDB" w:rsidRDefault="00224CDB" w:rsidP="00733088">
            <w:pPr>
              <w:jc w:val="center"/>
              <w:rPr>
                <w:rFonts w:ascii="Arial (W1)" w:hAnsi="Arial (W1)" w:cs="Arial"/>
                <w:sz w:val="20"/>
                <w:lang w:eastAsia="en-GB"/>
              </w:rPr>
            </w:pPr>
            <w:r>
              <w:rPr>
                <w:rFonts w:ascii="Arial (W1)" w:hAnsi="Arial (W1)" w:cs="Arial"/>
                <w:sz w:val="20"/>
                <w:lang w:eastAsia="en-GB"/>
              </w:rPr>
              <w:t>1.5% plus</w:t>
            </w:r>
          </w:p>
          <w:p w14:paraId="03E7F06C" w14:textId="77777777" w:rsidR="00224CDB" w:rsidRPr="00733088" w:rsidRDefault="00224CDB" w:rsidP="00733088">
            <w:pPr>
              <w:jc w:val="center"/>
              <w:rPr>
                <w:rFonts w:ascii="Arial (W1)" w:hAnsi="Arial (W1)" w:cs="Arial"/>
                <w:sz w:val="20"/>
                <w:lang w:eastAsia="en-GB"/>
              </w:rPr>
            </w:pPr>
            <w:r>
              <w:rPr>
                <w:rFonts w:ascii="Arial (W1)" w:hAnsi="Arial (W1)" w:cs="Arial"/>
                <w:sz w:val="20"/>
                <w:lang w:eastAsia="en-GB"/>
              </w:rPr>
              <w:t xml:space="preserve"> £660</w:t>
            </w:r>
          </w:p>
        </w:tc>
        <w:tc>
          <w:tcPr>
            <w:tcW w:w="1559" w:type="dxa"/>
            <w:tcBorders>
              <w:top w:val="nil"/>
              <w:left w:val="nil"/>
              <w:bottom w:val="single" w:sz="4" w:space="0" w:color="auto"/>
              <w:right w:val="single" w:sz="4" w:space="0" w:color="auto"/>
            </w:tcBorders>
            <w:shd w:val="clear" w:color="000000" w:fill="FFFFFF"/>
          </w:tcPr>
          <w:p w14:paraId="73FF1DCC" w14:textId="77777777" w:rsidR="00224CDB" w:rsidRPr="00733088" w:rsidRDefault="00224CDB" w:rsidP="00733088">
            <w:pPr>
              <w:jc w:val="center"/>
              <w:rPr>
                <w:rFonts w:ascii="Arial (W1)" w:hAnsi="Arial (W1)" w:cs="Arial"/>
                <w:sz w:val="20"/>
                <w:lang w:eastAsia="en-GB"/>
              </w:rPr>
            </w:pPr>
            <w:r>
              <w:rPr>
                <w:rFonts w:ascii="Arial (W1)" w:hAnsi="Arial (W1)" w:cs="Arial"/>
                <w:sz w:val="20"/>
                <w:lang w:eastAsia="en-GB"/>
              </w:rPr>
              <w:t>1.5% plus £680</w:t>
            </w:r>
          </w:p>
        </w:tc>
        <w:tc>
          <w:tcPr>
            <w:tcW w:w="1418" w:type="dxa"/>
            <w:tcBorders>
              <w:top w:val="nil"/>
              <w:left w:val="nil"/>
              <w:bottom w:val="single" w:sz="4" w:space="0" w:color="auto"/>
              <w:right w:val="single" w:sz="4" w:space="0" w:color="auto"/>
            </w:tcBorders>
            <w:shd w:val="clear" w:color="000000" w:fill="FFFFFF"/>
          </w:tcPr>
          <w:p w14:paraId="1D270EA7" w14:textId="77777777" w:rsidR="00224CDB" w:rsidRDefault="00224CDB" w:rsidP="00733088">
            <w:pPr>
              <w:jc w:val="center"/>
              <w:rPr>
                <w:rFonts w:ascii="Arial (W1)" w:hAnsi="Arial (W1)" w:cs="Arial"/>
                <w:sz w:val="20"/>
                <w:lang w:eastAsia="en-GB"/>
              </w:rPr>
            </w:pPr>
            <w:r>
              <w:rPr>
                <w:rFonts w:ascii="Arial (W1)" w:hAnsi="Arial (W1)" w:cs="Arial"/>
                <w:sz w:val="20"/>
                <w:lang w:eastAsia="en-GB"/>
              </w:rPr>
              <w:t>1.5% plus</w:t>
            </w:r>
          </w:p>
          <w:p w14:paraId="7E69D3BD" w14:textId="77777777" w:rsidR="00224CDB" w:rsidRPr="00733088" w:rsidRDefault="00224CDB" w:rsidP="00733088">
            <w:pPr>
              <w:jc w:val="center"/>
              <w:rPr>
                <w:rFonts w:ascii="Arial (W1)" w:hAnsi="Arial (W1)" w:cs="Arial"/>
                <w:sz w:val="20"/>
                <w:lang w:eastAsia="en-GB"/>
              </w:rPr>
            </w:pPr>
            <w:r>
              <w:rPr>
                <w:rFonts w:ascii="Arial (W1)" w:hAnsi="Arial (W1)" w:cs="Arial"/>
                <w:sz w:val="20"/>
                <w:lang w:eastAsia="en-GB"/>
              </w:rPr>
              <w:t>£700</w:t>
            </w:r>
          </w:p>
        </w:tc>
        <w:tc>
          <w:tcPr>
            <w:tcW w:w="1842" w:type="dxa"/>
            <w:gridSpan w:val="2"/>
            <w:tcBorders>
              <w:top w:val="nil"/>
              <w:left w:val="nil"/>
              <w:bottom w:val="single" w:sz="4" w:space="0" w:color="auto"/>
              <w:right w:val="single" w:sz="4" w:space="0" w:color="auto"/>
            </w:tcBorders>
            <w:shd w:val="clear" w:color="000000" w:fill="FFFFFF"/>
          </w:tcPr>
          <w:p w14:paraId="3CECE6E8" w14:textId="77777777" w:rsidR="00224CDB" w:rsidRDefault="00413FEE" w:rsidP="00733088">
            <w:pPr>
              <w:jc w:val="center"/>
              <w:rPr>
                <w:rFonts w:ascii="Arial (W1)" w:hAnsi="Arial (W1)" w:cs="Arial"/>
                <w:sz w:val="20"/>
                <w:lang w:eastAsia="en-GB"/>
              </w:rPr>
            </w:pPr>
            <w:r>
              <w:rPr>
                <w:rFonts w:ascii="Arial (W1)" w:hAnsi="Arial (W1)" w:cs="Arial"/>
                <w:sz w:val="20"/>
                <w:lang w:eastAsia="en-GB"/>
              </w:rPr>
              <w:t>24.1% plus</w:t>
            </w:r>
          </w:p>
          <w:p w14:paraId="676325D3"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£660</w:t>
            </w:r>
          </w:p>
        </w:tc>
        <w:tc>
          <w:tcPr>
            <w:tcW w:w="1701" w:type="dxa"/>
            <w:tcBorders>
              <w:top w:val="nil"/>
              <w:left w:val="nil"/>
              <w:bottom w:val="single" w:sz="4" w:space="0" w:color="auto"/>
              <w:right w:val="single" w:sz="4" w:space="0" w:color="auto"/>
            </w:tcBorders>
            <w:shd w:val="clear" w:color="000000" w:fill="FFFFFF"/>
          </w:tcPr>
          <w:p w14:paraId="61AEFDCC" w14:textId="77777777" w:rsidR="00413FEE" w:rsidRDefault="00413FEE" w:rsidP="00733088">
            <w:pPr>
              <w:jc w:val="center"/>
              <w:rPr>
                <w:rFonts w:ascii="Arial (W1)" w:hAnsi="Arial (W1)" w:cs="Arial"/>
                <w:sz w:val="20"/>
                <w:lang w:eastAsia="en-GB"/>
              </w:rPr>
            </w:pPr>
            <w:r>
              <w:rPr>
                <w:rFonts w:ascii="Arial (W1)" w:hAnsi="Arial (W1)" w:cs="Arial"/>
                <w:sz w:val="20"/>
                <w:lang w:eastAsia="en-GB"/>
              </w:rPr>
              <w:t>24.1% plus</w:t>
            </w:r>
          </w:p>
          <w:p w14:paraId="114B5567"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£680</w:t>
            </w:r>
          </w:p>
        </w:tc>
        <w:tc>
          <w:tcPr>
            <w:tcW w:w="1418" w:type="dxa"/>
            <w:gridSpan w:val="2"/>
            <w:tcBorders>
              <w:top w:val="nil"/>
              <w:left w:val="nil"/>
              <w:bottom w:val="single" w:sz="4" w:space="0" w:color="auto"/>
              <w:right w:val="single" w:sz="4" w:space="0" w:color="auto"/>
            </w:tcBorders>
            <w:shd w:val="clear" w:color="000000" w:fill="FFFFFF"/>
          </w:tcPr>
          <w:p w14:paraId="1217FF2D" w14:textId="77777777" w:rsidR="00224CDB" w:rsidRDefault="00413FEE" w:rsidP="00733088">
            <w:pPr>
              <w:jc w:val="center"/>
              <w:rPr>
                <w:rFonts w:ascii="Arial (W1)" w:hAnsi="Arial (W1)" w:cs="Arial"/>
                <w:sz w:val="20"/>
                <w:lang w:eastAsia="en-GB"/>
              </w:rPr>
            </w:pPr>
            <w:r>
              <w:rPr>
                <w:rFonts w:ascii="Arial (W1)" w:hAnsi="Arial (W1)" w:cs="Arial"/>
                <w:sz w:val="20"/>
                <w:lang w:eastAsia="en-GB"/>
              </w:rPr>
              <w:t>24.1% plus</w:t>
            </w:r>
          </w:p>
          <w:p w14:paraId="3DA52203"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£700</w:t>
            </w:r>
          </w:p>
        </w:tc>
      </w:tr>
      <w:tr w:rsidR="00061B3C" w:rsidRPr="008376B7" w14:paraId="406E75F3" w14:textId="77777777" w:rsidTr="001D1565">
        <w:trPr>
          <w:trHeight w:val="276"/>
        </w:trPr>
        <w:tc>
          <w:tcPr>
            <w:tcW w:w="4400" w:type="dxa"/>
            <w:gridSpan w:val="2"/>
            <w:tcBorders>
              <w:top w:val="nil"/>
              <w:left w:val="single" w:sz="4" w:space="0" w:color="auto"/>
              <w:bottom w:val="single" w:sz="4" w:space="0" w:color="auto"/>
              <w:right w:val="nil"/>
            </w:tcBorders>
            <w:shd w:val="clear" w:color="000000" w:fill="FFFFFF"/>
            <w:hideMark/>
          </w:tcPr>
          <w:p w14:paraId="15A77A4D" w14:textId="77777777" w:rsidR="00733088" w:rsidRDefault="00733088" w:rsidP="00733088">
            <w:pPr>
              <w:rPr>
                <w:rFonts w:ascii="Arial (W1)" w:hAnsi="Arial (W1)" w:cs="Arial"/>
                <w:sz w:val="20"/>
                <w:lang w:eastAsia="en-GB"/>
              </w:rPr>
            </w:pPr>
            <w:r w:rsidRPr="00733088">
              <w:rPr>
                <w:rFonts w:ascii="Arial (W1)" w:hAnsi="Arial (W1)" w:cs="Arial"/>
                <w:sz w:val="20"/>
                <w:lang w:eastAsia="en-GB"/>
              </w:rPr>
              <w:t>Cilybebyll Community Council</w:t>
            </w:r>
          </w:p>
          <w:p w14:paraId="550B9F69" w14:textId="77777777" w:rsidR="00413FEE" w:rsidRPr="00733088" w:rsidRDefault="00413FEE" w:rsidP="00733088">
            <w:pPr>
              <w:rPr>
                <w:rFonts w:ascii="Arial (W1)" w:hAnsi="Arial (W1)" w:cs="Arial"/>
                <w:sz w:val="20"/>
                <w:lang w:eastAsia="en-GB"/>
              </w:rPr>
            </w:pPr>
          </w:p>
        </w:tc>
        <w:tc>
          <w:tcPr>
            <w:tcW w:w="2180" w:type="dxa"/>
            <w:gridSpan w:val="2"/>
            <w:tcBorders>
              <w:top w:val="nil"/>
              <w:left w:val="single" w:sz="4" w:space="0" w:color="auto"/>
              <w:bottom w:val="single" w:sz="4" w:space="0" w:color="auto"/>
              <w:right w:val="single" w:sz="4" w:space="0" w:color="auto"/>
            </w:tcBorders>
            <w:shd w:val="clear" w:color="000000" w:fill="FFFFFF"/>
          </w:tcPr>
          <w:p w14:paraId="39EF5BE8"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22.6%</w:t>
            </w:r>
          </w:p>
        </w:tc>
        <w:tc>
          <w:tcPr>
            <w:tcW w:w="1637" w:type="dxa"/>
            <w:tcBorders>
              <w:top w:val="nil"/>
              <w:left w:val="nil"/>
              <w:bottom w:val="single" w:sz="4" w:space="0" w:color="auto"/>
              <w:right w:val="single" w:sz="4" w:space="0" w:color="auto"/>
            </w:tcBorders>
            <w:shd w:val="clear" w:color="000000" w:fill="FFFFFF"/>
          </w:tcPr>
          <w:p w14:paraId="2EA5A82D"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0.9%</w:t>
            </w:r>
          </w:p>
        </w:tc>
        <w:tc>
          <w:tcPr>
            <w:tcW w:w="1559" w:type="dxa"/>
            <w:tcBorders>
              <w:top w:val="nil"/>
              <w:left w:val="nil"/>
              <w:bottom w:val="single" w:sz="4" w:space="0" w:color="auto"/>
              <w:right w:val="single" w:sz="4" w:space="0" w:color="auto"/>
            </w:tcBorders>
            <w:shd w:val="clear" w:color="000000" w:fill="FFFFFF"/>
          </w:tcPr>
          <w:p w14:paraId="24319879"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0.9%</w:t>
            </w:r>
          </w:p>
        </w:tc>
        <w:tc>
          <w:tcPr>
            <w:tcW w:w="1418" w:type="dxa"/>
            <w:tcBorders>
              <w:top w:val="nil"/>
              <w:left w:val="nil"/>
              <w:bottom w:val="single" w:sz="4" w:space="0" w:color="auto"/>
              <w:right w:val="single" w:sz="4" w:space="0" w:color="auto"/>
            </w:tcBorders>
            <w:shd w:val="clear" w:color="000000" w:fill="FFFFFF"/>
          </w:tcPr>
          <w:p w14:paraId="1DB3106F"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0.9%</w:t>
            </w:r>
          </w:p>
        </w:tc>
        <w:tc>
          <w:tcPr>
            <w:tcW w:w="1842" w:type="dxa"/>
            <w:gridSpan w:val="2"/>
            <w:tcBorders>
              <w:top w:val="nil"/>
              <w:left w:val="nil"/>
              <w:bottom w:val="single" w:sz="4" w:space="0" w:color="auto"/>
              <w:right w:val="single" w:sz="4" w:space="0" w:color="auto"/>
            </w:tcBorders>
            <w:shd w:val="clear" w:color="000000" w:fill="FFFFFF"/>
          </w:tcPr>
          <w:p w14:paraId="798A27D2"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23.5%</w:t>
            </w:r>
          </w:p>
        </w:tc>
        <w:tc>
          <w:tcPr>
            <w:tcW w:w="1701" w:type="dxa"/>
            <w:tcBorders>
              <w:top w:val="nil"/>
              <w:left w:val="nil"/>
              <w:bottom w:val="single" w:sz="4" w:space="0" w:color="auto"/>
              <w:right w:val="single" w:sz="4" w:space="0" w:color="auto"/>
            </w:tcBorders>
            <w:shd w:val="clear" w:color="000000" w:fill="FFFFFF"/>
          </w:tcPr>
          <w:p w14:paraId="442697A7"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23.5%</w:t>
            </w:r>
          </w:p>
        </w:tc>
        <w:tc>
          <w:tcPr>
            <w:tcW w:w="1418" w:type="dxa"/>
            <w:gridSpan w:val="2"/>
            <w:tcBorders>
              <w:top w:val="nil"/>
              <w:left w:val="nil"/>
              <w:bottom w:val="single" w:sz="4" w:space="0" w:color="auto"/>
              <w:right w:val="single" w:sz="4" w:space="0" w:color="auto"/>
            </w:tcBorders>
            <w:shd w:val="clear" w:color="000000" w:fill="FFFFFF"/>
          </w:tcPr>
          <w:p w14:paraId="1794BEF5"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23.5%</w:t>
            </w:r>
          </w:p>
        </w:tc>
      </w:tr>
      <w:tr w:rsidR="00061B3C" w:rsidRPr="008376B7" w14:paraId="6F6F7CB7" w14:textId="77777777" w:rsidTr="001D1565">
        <w:trPr>
          <w:trHeight w:val="552"/>
        </w:trPr>
        <w:tc>
          <w:tcPr>
            <w:tcW w:w="4400" w:type="dxa"/>
            <w:gridSpan w:val="2"/>
            <w:tcBorders>
              <w:top w:val="nil"/>
              <w:left w:val="single" w:sz="4" w:space="0" w:color="auto"/>
              <w:bottom w:val="single" w:sz="4" w:space="0" w:color="auto"/>
              <w:right w:val="single" w:sz="4" w:space="0" w:color="auto"/>
            </w:tcBorders>
            <w:shd w:val="clear" w:color="000000" w:fill="FFFFFF"/>
            <w:hideMark/>
          </w:tcPr>
          <w:p w14:paraId="68AFC6EA"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Coedffranc Community Council</w:t>
            </w:r>
          </w:p>
        </w:tc>
        <w:tc>
          <w:tcPr>
            <w:tcW w:w="2180" w:type="dxa"/>
            <w:gridSpan w:val="2"/>
            <w:tcBorders>
              <w:top w:val="nil"/>
              <w:left w:val="nil"/>
              <w:bottom w:val="single" w:sz="4" w:space="0" w:color="auto"/>
              <w:right w:val="single" w:sz="4" w:space="0" w:color="auto"/>
            </w:tcBorders>
            <w:shd w:val="clear" w:color="000000" w:fill="FFFFFF"/>
          </w:tcPr>
          <w:p w14:paraId="3A6EDE78"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22.6%</w:t>
            </w:r>
          </w:p>
        </w:tc>
        <w:tc>
          <w:tcPr>
            <w:tcW w:w="1637" w:type="dxa"/>
            <w:tcBorders>
              <w:top w:val="nil"/>
              <w:left w:val="nil"/>
              <w:bottom w:val="single" w:sz="4" w:space="0" w:color="auto"/>
              <w:right w:val="single" w:sz="4" w:space="0" w:color="auto"/>
            </w:tcBorders>
            <w:shd w:val="clear" w:color="000000" w:fill="FFFFFF"/>
          </w:tcPr>
          <w:p w14:paraId="4A5964CE" w14:textId="77777777" w:rsidR="00733088" w:rsidRDefault="00413FEE" w:rsidP="00733088">
            <w:pPr>
              <w:jc w:val="center"/>
              <w:rPr>
                <w:rFonts w:ascii="Arial (W1)" w:hAnsi="Arial (W1)" w:cs="Arial"/>
                <w:sz w:val="20"/>
                <w:lang w:eastAsia="en-GB"/>
              </w:rPr>
            </w:pPr>
            <w:r>
              <w:rPr>
                <w:rFonts w:ascii="Arial (W1)" w:hAnsi="Arial (W1)" w:cs="Arial"/>
                <w:sz w:val="20"/>
                <w:lang w:eastAsia="en-GB"/>
              </w:rPr>
              <w:t>1.5% plus</w:t>
            </w:r>
          </w:p>
          <w:p w14:paraId="627D0A0D"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£2,900</w:t>
            </w:r>
          </w:p>
        </w:tc>
        <w:tc>
          <w:tcPr>
            <w:tcW w:w="1559" w:type="dxa"/>
            <w:tcBorders>
              <w:top w:val="nil"/>
              <w:left w:val="nil"/>
              <w:bottom w:val="single" w:sz="4" w:space="0" w:color="auto"/>
              <w:right w:val="single" w:sz="4" w:space="0" w:color="auto"/>
            </w:tcBorders>
            <w:shd w:val="clear" w:color="000000" w:fill="FFFFFF"/>
          </w:tcPr>
          <w:p w14:paraId="71F77F0B" w14:textId="77777777" w:rsidR="00733088" w:rsidRDefault="00413FEE" w:rsidP="00733088">
            <w:pPr>
              <w:jc w:val="center"/>
              <w:rPr>
                <w:rFonts w:ascii="Arial (W1)" w:hAnsi="Arial (W1)" w:cs="Arial"/>
                <w:sz w:val="20"/>
                <w:lang w:eastAsia="en-GB"/>
              </w:rPr>
            </w:pPr>
            <w:r>
              <w:rPr>
                <w:rFonts w:ascii="Arial (W1)" w:hAnsi="Arial (W1)" w:cs="Arial"/>
                <w:sz w:val="20"/>
                <w:lang w:eastAsia="en-GB"/>
              </w:rPr>
              <w:t>1.5% plus</w:t>
            </w:r>
          </w:p>
          <w:p w14:paraId="3ED1BF88"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£3,000</w:t>
            </w:r>
          </w:p>
        </w:tc>
        <w:tc>
          <w:tcPr>
            <w:tcW w:w="1418" w:type="dxa"/>
            <w:tcBorders>
              <w:top w:val="nil"/>
              <w:left w:val="nil"/>
              <w:bottom w:val="single" w:sz="4" w:space="0" w:color="auto"/>
              <w:right w:val="single" w:sz="4" w:space="0" w:color="auto"/>
            </w:tcBorders>
            <w:shd w:val="clear" w:color="000000" w:fill="FFFFFF"/>
          </w:tcPr>
          <w:p w14:paraId="0FADAC09" w14:textId="77777777" w:rsidR="00733088" w:rsidRDefault="00413FEE" w:rsidP="00733088">
            <w:pPr>
              <w:jc w:val="center"/>
              <w:rPr>
                <w:rFonts w:ascii="Arial (W1)" w:hAnsi="Arial (W1)" w:cs="Arial"/>
                <w:sz w:val="20"/>
                <w:lang w:eastAsia="en-GB"/>
              </w:rPr>
            </w:pPr>
            <w:r>
              <w:rPr>
                <w:rFonts w:ascii="Arial (W1)" w:hAnsi="Arial (W1)" w:cs="Arial"/>
                <w:sz w:val="20"/>
                <w:lang w:eastAsia="en-GB"/>
              </w:rPr>
              <w:t>1.5% plus</w:t>
            </w:r>
          </w:p>
          <w:p w14:paraId="14AD90C4"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£3,100</w:t>
            </w:r>
          </w:p>
        </w:tc>
        <w:tc>
          <w:tcPr>
            <w:tcW w:w="1842" w:type="dxa"/>
            <w:gridSpan w:val="2"/>
            <w:tcBorders>
              <w:top w:val="nil"/>
              <w:left w:val="nil"/>
              <w:bottom w:val="single" w:sz="4" w:space="0" w:color="auto"/>
              <w:right w:val="single" w:sz="4" w:space="0" w:color="auto"/>
            </w:tcBorders>
            <w:shd w:val="clear" w:color="000000" w:fill="FFFFFF"/>
          </w:tcPr>
          <w:p w14:paraId="61976B38" w14:textId="77777777" w:rsidR="00733088" w:rsidRDefault="00413FEE" w:rsidP="00733088">
            <w:pPr>
              <w:jc w:val="center"/>
              <w:rPr>
                <w:rFonts w:ascii="Arial (W1)" w:hAnsi="Arial (W1)" w:cs="Arial"/>
                <w:sz w:val="20"/>
                <w:lang w:eastAsia="en-GB"/>
              </w:rPr>
            </w:pPr>
            <w:r>
              <w:rPr>
                <w:rFonts w:ascii="Arial (W1)" w:hAnsi="Arial (W1)" w:cs="Arial"/>
                <w:sz w:val="20"/>
                <w:lang w:eastAsia="en-GB"/>
              </w:rPr>
              <w:t>24.1% plus</w:t>
            </w:r>
          </w:p>
          <w:p w14:paraId="08F93025"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£2,900</w:t>
            </w:r>
          </w:p>
        </w:tc>
        <w:tc>
          <w:tcPr>
            <w:tcW w:w="1701" w:type="dxa"/>
            <w:tcBorders>
              <w:top w:val="nil"/>
              <w:left w:val="nil"/>
              <w:bottom w:val="single" w:sz="4" w:space="0" w:color="auto"/>
              <w:right w:val="single" w:sz="4" w:space="0" w:color="auto"/>
            </w:tcBorders>
            <w:shd w:val="clear" w:color="000000" w:fill="FFFFFF"/>
          </w:tcPr>
          <w:p w14:paraId="5AB8A506" w14:textId="77777777" w:rsidR="00733088" w:rsidRDefault="00413FEE" w:rsidP="00733088">
            <w:pPr>
              <w:jc w:val="center"/>
              <w:rPr>
                <w:rFonts w:ascii="Arial (W1)" w:hAnsi="Arial (W1)" w:cs="Arial"/>
                <w:sz w:val="20"/>
                <w:lang w:eastAsia="en-GB"/>
              </w:rPr>
            </w:pPr>
            <w:r>
              <w:rPr>
                <w:rFonts w:ascii="Arial (W1)" w:hAnsi="Arial (W1)" w:cs="Arial"/>
                <w:sz w:val="20"/>
                <w:lang w:eastAsia="en-GB"/>
              </w:rPr>
              <w:t xml:space="preserve">24.1% plus </w:t>
            </w:r>
          </w:p>
          <w:p w14:paraId="789FD01C"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£3,000</w:t>
            </w:r>
          </w:p>
        </w:tc>
        <w:tc>
          <w:tcPr>
            <w:tcW w:w="1418" w:type="dxa"/>
            <w:gridSpan w:val="2"/>
            <w:tcBorders>
              <w:top w:val="nil"/>
              <w:left w:val="nil"/>
              <w:bottom w:val="single" w:sz="4" w:space="0" w:color="auto"/>
              <w:right w:val="single" w:sz="4" w:space="0" w:color="auto"/>
            </w:tcBorders>
            <w:shd w:val="clear" w:color="000000" w:fill="FFFFFF"/>
          </w:tcPr>
          <w:p w14:paraId="25FFC8D2" w14:textId="77777777" w:rsidR="00733088" w:rsidRDefault="00413FEE" w:rsidP="00733088">
            <w:pPr>
              <w:jc w:val="center"/>
              <w:rPr>
                <w:rFonts w:ascii="Arial (W1)" w:hAnsi="Arial (W1)" w:cs="Arial"/>
                <w:sz w:val="20"/>
                <w:lang w:eastAsia="en-GB"/>
              </w:rPr>
            </w:pPr>
            <w:r>
              <w:rPr>
                <w:rFonts w:ascii="Arial (W1)" w:hAnsi="Arial (W1)" w:cs="Arial"/>
                <w:sz w:val="20"/>
                <w:lang w:eastAsia="en-GB"/>
              </w:rPr>
              <w:t>24.1% plus</w:t>
            </w:r>
          </w:p>
          <w:p w14:paraId="60C7E380"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£3,100</w:t>
            </w:r>
          </w:p>
        </w:tc>
      </w:tr>
      <w:tr w:rsidR="00413FEE" w:rsidRPr="008376B7" w14:paraId="082AE272" w14:textId="77777777" w:rsidTr="001D1565">
        <w:trPr>
          <w:trHeight w:val="615"/>
        </w:trPr>
        <w:tc>
          <w:tcPr>
            <w:tcW w:w="4400" w:type="dxa"/>
            <w:gridSpan w:val="2"/>
            <w:tcBorders>
              <w:top w:val="nil"/>
              <w:left w:val="single" w:sz="4" w:space="0" w:color="auto"/>
              <w:bottom w:val="single" w:sz="4" w:space="0" w:color="auto"/>
              <w:right w:val="nil"/>
            </w:tcBorders>
            <w:shd w:val="clear" w:color="000000" w:fill="FFFFFF"/>
          </w:tcPr>
          <w:p w14:paraId="231062CE" w14:textId="77777777" w:rsidR="00413FEE" w:rsidRPr="00733088" w:rsidRDefault="00413FEE" w:rsidP="00733088">
            <w:pPr>
              <w:rPr>
                <w:rFonts w:ascii="Arial (W1)" w:hAnsi="Arial (W1)" w:cs="Arial"/>
                <w:sz w:val="20"/>
                <w:lang w:eastAsia="en-GB"/>
              </w:rPr>
            </w:pPr>
            <w:r>
              <w:rPr>
                <w:rFonts w:ascii="Arial (W1)" w:hAnsi="Arial (W1)" w:cs="Arial"/>
                <w:sz w:val="20"/>
                <w:lang w:eastAsia="en-GB"/>
              </w:rPr>
              <w:t>Gower College</w:t>
            </w:r>
          </w:p>
        </w:tc>
        <w:tc>
          <w:tcPr>
            <w:tcW w:w="2180" w:type="dxa"/>
            <w:gridSpan w:val="2"/>
            <w:tcBorders>
              <w:top w:val="nil"/>
              <w:left w:val="single" w:sz="4" w:space="0" w:color="auto"/>
              <w:bottom w:val="single" w:sz="4" w:space="0" w:color="auto"/>
              <w:right w:val="single" w:sz="4" w:space="0" w:color="auto"/>
            </w:tcBorders>
            <w:shd w:val="clear" w:color="000000" w:fill="FFFFFF"/>
          </w:tcPr>
          <w:p w14:paraId="46AB4916"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19.8%</w:t>
            </w:r>
          </w:p>
        </w:tc>
        <w:tc>
          <w:tcPr>
            <w:tcW w:w="1637" w:type="dxa"/>
            <w:tcBorders>
              <w:top w:val="nil"/>
              <w:left w:val="nil"/>
              <w:bottom w:val="single" w:sz="4" w:space="0" w:color="auto"/>
              <w:right w:val="single" w:sz="4" w:space="0" w:color="auto"/>
            </w:tcBorders>
            <w:shd w:val="clear" w:color="000000" w:fill="FFFFFF"/>
          </w:tcPr>
          <w:p w14:paraId="341F9913"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1.5%</w:t>
            </w:r>
          </w:p>
        </w:tc>
        <w:tc>
          <w:tcPr>
            <w:tcW w:w="1559" w:type="dxa"/>
            <w:tcBorders>
              <w:top w:val="nil"/>
              <w:left w:val="nil"/>
              <w:bottom w:val="single" w:sz="4" w:space="0" w:color="auto"/>
              <w:right w:val="single" w:sz="4" w:space="0" w:color="auto"/>
            </w:tcBorders>
            <w:shd w:val="clear" w:color="000000" w:fill="FFFFFF"/>
          </w:tcPr>
          <w:p w14:paraId="3B403DB4"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1.5%</w:t>
            </w:r>
          </w:p>
        </w:tc>
        <w:tc>
          <w:tcPr>
            <w:tcW w:w="1418" w:type="dxa"/>
            <w:tcBorders>
              <w:top w:val="nil"/>
              <w:left w:val="nil"/>
              <w:bottom w:val="single" w:sz="4" w:space="0" w:color="auto"/>
              <w:right w:val="single" w:sz="4" w:space="0" w:color="auto"/>
            </w:tcBorders>
            <w:shd w:val="clear" w:color="000000" w:fill="FFFFFF"/>
          </w:tcPr>
          <w:p w14:paraId="2A8BE707"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1.5%</w:t>
            </w:r>
          </w:p>
        </w:tc>
        <w:tc>
          <w:tcPr>
            <w:tcW w:w="1842" w:type="dxa"/>
            <w:gridSpan w:val="2"/>
            <w:tcBorders>
              <w:top w:val="nil"/>
              <w:left w:val="nil"/>
              <w:bottom w:val="single" w:sz="4" w:space="0" w:color="auto"/>
              <w:right w:val="single" w:sz="4" w:space="0" w:color="auto"/>
            </w:tcBorders>
            <w:shd w:val="clear" w:color="000000" w:fill="FFFFFF"/>
          </w:tcPr>
          <w:p w14:paraId="542AB9B4"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21.3%</w:t>
            </w:r>
          </w:p>
        </w:tc>
        <w:tc>
          <w:tcPr>
            <w:tcW w:w="1701" w:type="dxa"/>
            <w:tcBorders>
              <w:top w:val="nil"/>
              <w:left w:val="nil"/>
              <w:bottom w:val="single" w:sz="4" w:space="0" w:color="auto"/>
              <w:right w:val="single" w:sz="4" w:space="0" w:color="auto"/>
            </w:tcBorders>
            <w:shd w:val="clear" w:color="000000" w:fill="FFFFFF"/>
          </w:tcPr>
          <w:p w14:paraId="06231725"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21.3%</w:t>
            </w:r>
          </w:p>
        </w:tc>
        <w:tc>
          <w:tcPr>
            <w:tcW w:w="1418" w:type="dxa"/>
            <w:gridSpan w:val="2"/>
            <w:tcBorders>
              <w:top w:val="nil"/>
              <w:left w:val="nil"/>
              <w:bottom w:val="single" w:sz="4" w:space="0" w:color="auto"/>
              <w:right w:val="single" w:sz="4" w:space="0" w:color="auto"/>
            </w:tcBorders>
            <w:shd w:val="clear" w:color="000000" w:fill="FFFFFF"/>
          </w:tcPr>
          <w:p w14:paraId="0B3B9760"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21.3%</w:t>
            </w:r>
          </w:p>
        </w:tc>
      </w:tr>
      <w:tr w:rsidR="00413FEE" w:rsidRPr="008376B7" w14:paraId="593B21E9" w14:textId="77777777" w:rsidTr="001D1565">
        <w:trPr>
          <w:trHeight w:val="615"/>
        </w:trPr>
        <w:tc>
          <w:tcPr>
            <w:tcW w:w="4400" w:type="dxa"/>
            <w:gridSpan w:val="2"/>
            <w:tcBorders>
              <w:top w:val="nil"/>
              <w:left w:val="single" w:sz="4" w:space="0" w:color="auto"/>
              <w:bottom w:val="single" w:sz="4" w:space="0" w:color="auto"/>
              <w:right w:val="nil"/>
            </w:tcBorders>
            <w:shd w:val="clear" w:color="000000" w:fill="FFFFFF"/>
          </w:tcPr>
          <w:p w14:paraId="703DD51A" w14:textId="77777777" w:rsidR="00413FEE" w:rsidRPr="00733088" w:rsidRDefault="00413FEE" w:rsidP="00733088">
            <w:pPr>
              <w:rPr>
                <w:rFonts w:ascii="Arial (W1)" w:hAnsi="Arial (W1)" w:cs="Arial"/>
                <w:sz w:val="20"/>
                <w:lang w:eastAsia="en-GB"/>
              </w:rPr>
            </w:pPr>
            <w:r>
              <w:rPr>
                <w:rFonts w:ascii="Arial (W1)" w:hAnsi="Arial (W1)" w:cs="Arial"/>
                <w:sz w:val="20"/>
                <w:lang w:eastAsia="en-GB"/>
              </w:rPr>
              <w:t>Llanrhidian Higher Community Council</w:t>
            </w:r>
          </w:p>
        </w:tc>
        <w:tc>
          <w:tcPr>
            <w:tcW w:w="2180" w:type="dxa"/>
            <w:gridSpan w:val="2"/>
            <w:tcBorders>
              <w:top w:val="nil"/>
              <w:left w:val="single" w:sz="4" w:space="0" w:color="auto"/>
              <w:bottom w:val="single" w:sz="4" w:space="0" w:color="auto"/>
              <w:right w:val="single" w:sz="4" w:space="0" w:color="auto"/>
            </w:tcBorders>
            <w:shd w:val="clear" w:color="000000" w:fill="FFFFFF"/>
          </w:tcPr>
          <w:p w14:paraId="0F252E4D"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22.6%</w:t>
            </w:r>
          </w:p>
        </w:tc>
        <w:tc>
          <w:tcPr>
            <w:tcW w:w="1637" w:type="dxa"/>
            <w:tcBorders>
              <w:top w:val="nil"/>
              <w:left w:val="nil"/>
              <w:bottom w:val="single" w:sz="4" w:space="0" w:color="auto"/>
              <w:right w:val="single" w:sz="4" w:space="0" w:color="auto"/>
            </w:tcBorders>
            <w:shd w:val="clear" w:color="000000" w:fill="FFFFFF"/>
          </w:tcPr>
          <w:p w14:paraId="206DEA29" w14:textId="77777777" w:rsidR="00413FEE" w:rsidRDefault="00413FEE" w:rsidP="00733088">
            <w:pPr>
              <w:jc w:val="center"/>
              <w:rPr>
                <w:rFonts w:ascii="Arial (W1)" w:hAnsi="Arial (W1)" w:cs="Arial"/>
                <w:sz w:val="20"/>
                <w:lang w:eastAsia="en-GB"/>
              </w:rPr>
            </w:pPr>
            <w:r>
              <w:rPr>
                <w:rFonts w:ascii="Arial (W1)" w:hAnsi="Arial (W1)" w:cs="Arial"/>
                <w:sz w:val="20"/>
                <w:lang w:eastAsia="en-GB"/>
              </w:rPr>
              <w:t>1.5% plus</w:t>
            </w:r>
          </w:p>
          <w:p w14:paraId="33BCE47D"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£50</w:t>
            </w:r>
          </w:p>
        </w:tc>
        <w:tc>
          <w:tcPr>
            <w:tcW w:w="1559" w:type="dxa"/>
            <w:tcBorders>
              <w:top w:val="nil"/>
              <w:left w:val="nil"/>
              <w:bottom w:val="single" w:sz="4" w:space="0" w:color="auto"/>
              <w:right w:val="single" w:sz="4" w:space="0" w:color="auto"/>
            </w:tcBorders>
            <w:shd w:val="clear" w:color="000000" w:fill="FFFFFF"/>
          </w:tcPr>
          <w:p w14:paraId="70964EB9" w14:textId="77777777" w:rsidR="00413FEE" w:rsidRDefault="00413FEE" w:rsidP="00733088">
            <w:pPr>
              <w:jc w:val="center"/>
              <w:rPr>
                <w:rFonts w:ascii="Arial (W1)" w:hAnsi="Arial (W1)" w:cs="Arial"/>
                <w:sz w:val="20"/>
                <w:lang w:eastAsia="en-GB"/>
              </w:rPr>
            </w:pPr>
            <w:r>
              <w:rPr>
                <w:rFonts w:ascii="Arial (W1)" w:hAnsi="Arial (W1)" w:cs="Arial"/>
                <w:sz w:val="20"/>
                <w:lang w:eastAsia="en-GB"/>
              </w:rPr>
              <w:t>1.5% plus</w:t>
            </w:r>
          </w:p>
          <w:p w14:paraId="5156FBB4"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£50</w:t>
            </w:r>
          </w:p>
        </w:tc>
        <w:tc>
          <w:tcPr>
            <w:tcW w:w="1418" w:type="dxa"/>
            <w:tcBorders>
              <w:top w:val="nil"/>
              <w:left w:val="nil"/>
              <w:bottom w:val="single" w:sz="4" w:space="0" w:color="auto"/>
              <w:right w:val="single" w:sz="4" w:space="0" w:color="auto"/>
            </w:tcBorders>
            <w:shd w:val="clear" w:color="000000" w:fill="FFFFFF"/>
          </w:tcPr>
          <w:p w14:paraId="110302D5" w14:textId="77777777" w:rsidR="00413FEE" w:rsidRDefault="00413FEE" w:rsidP="00733088">
            <w:pPr>
              <w:jc w:val="center"/>
              <w:rPr>
                <w:rFonts w:ascii="Arial (W1)" w:hAnsi="Arial (W1)" w:cs="Arial"/>
                <w:sz w:val="20"/>
                <w:lang w:eastAsia="en-GB"/>
              </w:rPr>
            </w:pPr>
            <w:r>
              <w:rPr>
                <w:rFonts w:ascii="Arial (W1)" w:hAnsi="Arial (W1)" w:cs="Arial"/>
                <w:sz w:val="20"/>
                <w:lang w:eastAsia="en-GB"/>
              </w:rPr>
              <w:t>1.5% plus</w:t>
            </w:r>
          </w:p>
          <w:p w14:paraId="3B906212"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£60</w:t>
            </w:r>
          </w:p>
        </w:tc>
        <w:tc>
          <w:tcPr>
            <w:tcW w:w="1842" w:type="dxa"/>
            <w:gridSpan w:val="2"/>
            <w:tcBorders>
              <w:top w:val="nil"/>
              <w:left w:val="nil"/>
              <w:bottom w:val="single" w:sz="4" w:space="0" w:color="auto"/>
              <w:right w:val="single" w:sz="4" w:space="0" w:color="auto"/>
            </w:tcBorders>
            <w:shd w:val="clear" w:color="000000" w:fill="FFFFFF"/>
          </w:tcPr>
          <w:p w14:paraId="2D0F2B53" w14:textId="77777777" w:rsidR="00413FEE" w:rsidRDefault="00413FEE" w:rsidP="00733088">
            <w:pPr>
              <w:jc w:val="center"/>
              <w:rPr>
                <w:rFonts w:ascii="Arial (W1)" w:hAnsi="Arial (W1)" w:cs="Arial"/>
                <w:sz w:val="20"/>
                <w:lang w:eastAsia="en-GB"/>
              </w:rPr>
            </w:pPr>
            <w:r>
              <w:rPr>
                <w:rFonts w:ascii="Arial (W1)" w:hAnsi="Arial (W1)" w:cs="Arial"/>
                <w:sz w:val="20"/>
                <w:lang w:eastAsia="en-GB"/>
              </w:rPr>
              <w:t>24.1% plus</w:t>
            </w:r>
          </w:p>
          <w:p w14:paraId="39FDE060"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£50</w:t>
            </w:r>
          </w:p>
        </w:tc>
        <w:tc>
          <w:tcPr>
            <w:tcW w:w="1701" w:type="dxa"/>
            <w:tcBorders>
              <w:top w:val="nil"/>
              <w:left w:val="nil"/>
              <w:bottom w:val="single" w:sz="4" w:space="0" w:color="auto"/>
              <w:right w:val="single" w:sz="4" w:space="0" w:color="auto"/>
            </w:tcBorders>
            <w:shd w:val="clear" w:color="000000" w:fill="FFFFFF"/>
          </w:tcPr>
          <w:p w14:paraId="5B9598D1" w14:textId="77777777" w:rsidR="00413FEE" w:rsidRDefault="00413FEE" w:rsidP="00733088">
            <w:pPr>
              <w:jc w:val="center"/>
              <w:rPr>
                <w:rFonts w:ascii="Arial (W1)" w:hAnsi="Arial (W1)" w:cs="Arial"/>
                <w:sz w:val="20"/>
                <w:lang w:eastAsia="en-GB"/>
              </w:rPr>
            </w:pPr>
            <w:r>
              <w:rPr>
                <w:rFonts w:ascii="Arial (W1)" w:hAnsi="Arial (W1)" w:cs="Arial"/>
                <w:sz w:val="20"/>
                <w:lang w:eastAsia="en-GB"/>
              </w:rPr>
              <w:t>24.1% plus</w:t>
            </w:r>
          </w:p>
          <w:p w14:paraId="151470E1"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£50</w:t>
            </w:r>
          </w:p>
        </w:tc>
        <w:tc>
          <w:tcPr>
            <w:tcW w:w="1418" w:type="dxa"/>
            <w:gridSpan w:val="2"/>
            <w:tcBorders>
              <w:top w:val="nil"/>
              <w:left w:val="nil"/>
              <w:bottom w:val="single" w:sz="4" w:space="0" w:color="auto"/>
              <w:right w:val="single" w:sz="4" w:space="0" w:color="auto"/>
            </w:tcBorders>
            <w:shd w:val="clear" w:color="000000" w:fill="FFFFFF"/>
          </w:tcPr>
          <w:p w14:paraId="4C3B313E" w14:textId="77777777" w:rsidR="00413FEE" w:rsidRDefault="00413FEE" w:rsidP="00733088">
            <w:pPr>
              <w:jc w:val="center"/>
              <w:rPr>
                <w:rFonts w:ascii="Arial (W1)" w:hAnsi="Arial (W1)" w:cs="Arial"/>
                <w:sz w:val="20"/>
                <w:lang w:eastAsia="en-GB"/>
              </w:rPr>
            </w:pPr>
            <w:r>
              <w:rPr>
                <w:rFonts w:ascii="Arial (W1)" w:hAnsi="Arial (W1)" w:cs="Arial"/>
                <w:sz w:val="20"/>
                <w:lang w:eastAsia="en-GB"/>
              </w:rPr>
              <w:t>24.1% plus</w:t>
            </w:r>
          </w:p>
          <w:p w14:paraId="15DCF8A2"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£60</w:t>
            </w:r>
          </w:p>
        </w:tc>
      </w:tr>
      <w:tr w:rsidR="00061B3C" w:rsidRPr="008376B7" w14:paraId="2A3DDC31" w14:textId="77777777" w:rsidTr="001D1565">
        <w:trPr>
          <w:trHeight w:val="615"/>
        </w:trPr>
        <w:tc>
          <w:tcPr>
            <w:tcW w:w="4400" w:type="dxa"/>
            <w:gridSpan w:val="2"/>
            <w:tcBorders>
              <w:top w:val="nil"/>
              <w:left w:val="single" w:sz="4" w:space="0" w:color="auto"/>
              <w:bottom w:val="single" w:sz="4" w:space="0" w:color="auto"/>
              <w:right w:val="nil"/>
            </w:tcBorders>
            <w:shd w:val="clear" w:color="000000" w:fill="FFFFFF"/>
            <w:hideMark/>
          </w:tcPr>
          <w:p w14:paraId="4C90D74A" w14:textId="77777777" w:rsidR="00733088" w:rsidRPr="00733088" w:rsidRDefault="00413FEE" w:rsidP="00733088">
            <w:pPr>
              <w:rPr>
                <w:rFonts w:ascii="Arial (W1)" w:hAnsi="Arial (W1)" w:cs="Arial"/>
                <w:sz w:val="20"/>
                <w:lang w:eastAsia="en-GB"/>
              </w:rPr>
            </w:pPr>
            <w:r>
              <w:rPr>
                <w:rFonts w:ascii="Arial (W1)" w:hAnsi="Arial (W1)" w:cs="Arial"/>
                <w:sz w:val="20"/>
                <w:lang w:eastAsia="en-GB"/>
              </w:rPr>
              <w:t>Mumbles Community Council</w:t>
            </w:r>
          </w:p>
        </w:tc>
        <w:tc>
          <w:tcPr>
            <w:tcW w:w="2180" w:type="dxa"/>
            <w:gridSpan w:val="2"/>
            <w:tcBorders>
              <w:top w:val="nil"/>
              <w:left w:val="single" w:sz="4" w:space="0" w:color="auto"/>
              <w:bottom w:val="single" w:sz="4" w:space="0" w:color="auto"/>
              <w:right w:val="single" w:sz="4" w:space="0" w:color="auto"/>
            </w:tcBorders>
            <w:shd w:val="clear" w:color="000000" w:fill="FFFFFF"/>
          </w:tcPr>
          <w:p w14:paraId="6B9FFE15"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22.6%</w:t>
            </w:r>
          </w:p>
        </w:tc>
        <w:tc>
          <w:tcPr>
            <w:tcW w:w="1637" w:type="dxa"/>
            <w:tcBorders>
              <w:top w:val="nil"/>
              <w:left w:val="nil"/>
              <w:bottom w:val="single" w:sz="4" w:space="0" w:color="auto"/>
              <w:right w:val="single" w:sz="4" w:space="0" w:color="auto"/>
            </w:tcBorders>
            <w:shd w:val="clear" w:color="000000" w:fill="FFFFFF"/>
          </w:tcPr>
          <w:p w14:paraId="73E3616A"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1.5%</w:t>
            </w:r>
          </w:p>
        </w:tc>
        <w:tc>
          <w:tcPr>
            <w:tcW w:w="1559" w:type="dxa"/>
            <w:tcBorders>
              <w:top w:val="nil"/>
              <w:left w:val="nil"/>
              <w:bottom w:val="single" w:sz="4" w:space="0" w:color="auto"/>
              <w:right w:val="single" w:sz="4" w:space="0" w:color="auto"/>
            </w:tcBorders>
            <w:shd w:val="clear" w:color="000000" w:fill="FFFFFF"/>
          </w:tcPr>
          <w:p w14:paraId="751D0E06"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1.5%</w:t>
            </w:r>
          </w:p>
        </w:tc>
        <w:tc>
          <w:tcPr>
            <w:tcW w:w="1418" w:type="dxa"/>
            <w:tcBorders>
              <w:top w:val="nil"/>
              <w:left w:val="nil"/>
              <w:bottom w:val="single" w:sz="4" w:space="0" w:color="auto"/>
              <w:right w:val="single" w:sz="4" w:space="0" w:color="auto"/>
            </w:tcBorders>
            <w:shd w:val="clear" w:color="000000" w:fill="FFFFFF"/>
          </w:tcPr>
          <w:p w14:paraId="76AFF962"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1.5%</w:t>
            </w:r>
          </w:p>
        </w:tc>
        <w:tc>
          <w:tcPr>
            <w:tcW w:w="1842" w:type="dxa"/>
            <w:gridSpan w:val="2"/>
            <w:tcBorders>
              <w:top w:val="nil"/>
              <w:left w:val="nil"/>
              <w:bottom w:val="single" w:sz="4" w:space="0" w:color="auto"/>
              <w:right w:val="single" w:sz="4" w:space="0" w:color="auto"/>
            </w:tcBorders>
            <w:shd w:val="clear" w:color="000000" w:fill="FFFFFF"/>
          </w:tcPr>
          <w:p w14:paraId="57FF1285"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24.1%</w:t>
            </w:r>
          </w:p>
        </w:tc>
        <w:tc>
          <w:tcPr>
            <w:tcW w:w="1701" w:type="dxa"/>
            <w:tcBorders>
              <w:top w:val="nil"/>
              <w:left w:val="nil"/>
              <w:bottom w:val="single" w:sz="4" w:space="0" w:color="auto"/>
              <w:right w:val="single" w:sz="4" w:space="0" w:color="auto"/>
            </w:tcBorders>
            <w:shd w:val="clear" w:color="000000" w:fill="FFFFFF"/>
          </w:tcPr>
          <w:p w14:paraId="6F766423"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24.1%</w:t>
            </w:r>
          </w:p>
        </w:tc>
        <w:tc>
          <w:tcPr>
            <w:tcW w:w="1418" w:type="dxa"/>
            <w:gridSpan w:val="2"/>
            <w:tcBorders>
              <w:top w:val="nil"/>
              <w:left w:val="nil"/>
              <w:bottom w:val="single" w:sz="4" w:space="0" w:color="auto"/>
              <w:right w:val="single" w:sz="4" w:space="0" w:color="auto"/>
            </w:tcBorders>
            <w:shd w:val="clear" w:color="000000" w:fill="FFFFFF"/>
          </w:tcPr>
          <w:p w14:paraId="2BEC7B2B"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24.1%</w:t>
            </w:r>
          </w:p>
        </w:tc>
      </w:tr>
      <w:tr w:rsidR="00061B3C" w:rsidRPr="008376B7" w14:paraId="5E06F336" w14:textId="77777777" w:rsidTr="001D1565">
        <w:trPr>
          <w:trHeight w:val="630"/>
        </w:trPr>
        <w:tc>
          <w:tcPr>
            <w:tcW w:w="4400" w:type="dxa"/>
            <w:gridSpan w:val="2"/>
            <w:tcBorders>
              <w:top w:val="nil"/>
              <w:left w:val="single" w:sz="4" w:space="0" w:color="auto"/>
              <w:bottom w:val="single" w:sz="4" w:space="0" w:color="auto"/>
              <w:right w:val="nil"/>
            </w:tcBorders>
            <w:shd w:val="clear" w:color="000000" w:fill="FFFFFF"/>
            <w:hideMark/>
          </w:tcPr>
          <w:p w14:paraId="223506CA" w14:textId="77777777" w:rsidR="00733088" w:rsidRPr="00733088" w:rsidRDefault="00413FEE" w:rsidP="00733088">
            <w:pPr>
              <w:rPr>
                <w:rFonts w:ascii="Arial (W1)" w:hAnsi="Arial (W1)" w:cs="Arial"/>
                <w:sz w:val="20"/>
                <w:lang w:eastAsia="en-GB"/>
              </w:rPr>
            </w:pPr>
            <w:r>
              <w:rPr>
                <w:rFonts w:ascii="Arial (W1)" w:hAnsi="Arial (W1)" w:cs="Arial"/>
                <w:sz w:val="20"/>
                <w:lang w:eastAsia="en-GB"/>
              </w:rPr>
              <w:t>Margam Joint Crematorium Committee</w:t>
            </w:r>
          </w:p>
        </w:tc>
        <w:tc>
          <w:tcPr>
            <w:tcW w:w="2180" w:type="dxa"/>
            <w:gridSpan w:val="2"/>
            <w:tcBorders>
              <w:top w:val="nil"/>
              <w:left w:val="single" w:sz="4" w:space="0" w:color="auto"/>
              <w:bottom w:val="single" w:sz="4" w:space="0" w:color="auto"/>
              <w:right w:val="single" w:sz="4" w:space="0" w:color="auto"/>
            </w:tcBorders>
            <w:shd w:val="clear" w:color="000000" w:fill="FFFFFF"/>
          </w:tcPr>
          <w:p w14:paraId="675235B1" w14:textId="77777777" w:rsidR="00733088" w:rsidRPr="00733088" w:rsidRDefault="00413FEE" w:rsidP="00733088">
            <w:pPr>
              <w:jc w:val="center"/>
              <w:rPr>
                <w:rFonts w:ascii="Arial (W1)" w:hAnsi="Arial (W1)" w:cs="Arial"/>
                <w:sz w:val="20"/>
                <w:lang w:eastAsia="en-GB"/>
              </w:rPr>
            </w:pPr>
            <w:r>
              <w:rPr>
                <w:rFonts w:ascii="Arial (W1)" w:hAnsi="Arial (W1)" w:cs="Arial"/>
                <w:sz w:val="20"/>
                <w:lang w:eastAsia="en-GB"/>
              </w:rPr>
              <w:t>22.6%</w:t>
            </w:r>
          </w:p>
        </w:tc>
        <w:tc>
          <w:tcPr>
            <w:tcW w:w="1637" w:type="dxa"/>
            <w:tcBorders>
              <w:top w:val="nil"/>
              <w:left w:val="nil"/>
              <w:bottom w:val="single" w:sz="4" w:space="0" w:color="auto"/>
              <w:right w:val="single" w:sz="4" w:space="0" w:color="auto"/>
            </w:tcBorders>
            <w:shd w:val="clear" w:color="000000" w:fill="FFFFFF"/>
          </w:tcPr>
          <w:p w14:paraId="57E2BDFC" w14:textId="77777777" w:rsidR="00413FEE" w:rsidRDefault="00413FEE" w:rsidP="00413FEE">
            <w:pPr>
              <w:jc w:val="center"/>
              <w:rPr>
                <w:rFonts w:ascii="Arial (W1)" w:hAnsi="Arial (W1)" w:cs="Arial"/>
                <w:sz w:val="20"/>
                <w:lang w:eastAsia="en-GB"/>
              </w:rPr>
            </w:pPr>
            <w:r>
              <w:rPr>
                <w:rFonts w:ascii="Arial (W1)" w:hAnsi="Arial (W1)" w:cs="Arial"/>
                <w:sz w:val="20"/>
                <w:lang w:eastAsia="en-GB"/>
              </w:rPr>
              <w:t xml:space="preserve">1.5% plus </w:t>
            </w:r>
          </w:p>
          <w:p w14:paraId="309F61F6" w14:textId="77777777" w:rsidR="00413FEE" w:rsidRPr="00733088" w:rsidRDefault="00413FEE" w:rsidP="00413FEE">
            <w:pPr>
              <w:jc w:val="center"/>
              <w:rPr>
                <w:rFonts w:ascii="Arial (W1)" w:hAnsi="Arial (W1)" w:cs="Arial"/>
                <w:sz w:val="20"/>
                <w:lang w:eastAsia="en-GB"/>
              </w:rPr>
            </w:pPr>
            <w:r>
              <w:rPr>
                <w:rFonts w:ascii="Arial (W1)" w:hAnsi="Arial (W1)" w:cs="Arial"/>
                <w:sz w:val="20"/>
                <w:lang w:eastAsia="en-GB"/>
              </w:rPr>
              <w:t>£5,700</w:t>
            </w:r>
          </w:p>
        </w:tc>
        <w:tc>
          <w:tcPr>
            <w:tcW w:w="1559" w:type="dxa"/>
            <w:tcBorders>
              <w:top w:val="nil"/>
              <w:left w:val="nil"/>
              <w:bottom w:val="single" w:sz="4" w:space="0" w:color="auto"/>
              <w:right w:val="single" w:sz="4" w:space="0" w:color="auto"/>
            </w:tcBorders>
            <w:shd w:val="clear" w:color="000000" w:fill="FFFFFF"/>
          </w:tcPr>
          <w:p w14:paraId="6D7DE60B" w14:textId="77777777" w:rsidR="00733088" w:rsidRDefault="00413FEE" w:rsidP="00733088">
            <w:pPr>
              <w:jc w:val="center"/>
              <w:rPr>
                <w:rFonts w:ascii="Arial (W1)" w:hAnsi="Arial (W1)" w:cs="Arial"/>
                <w:sz w:val="20"/>
                <w:lang w:eastAsia="en-GB"/>
              </w:rPr>
            </w:pPr>
            <w:r>
              <w:rPr>
                <w:rFonts w:ascii="Arial (W1)" w:hAnsi="Arial (W1)" w:cs="Arial"/>
                <w:sz w:val="20"/>
                <w:lang w:eastAsia="en-GB"/>
              </w:rPr>
              <w:t>1.5% plus</w:t>
            </w:r>
          </w:p>
          <w:p w14:paraId="11EF1F5F"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£6,000</w:t>
            </w:r>
          </w:p>
        </w:tc>
        <w:tc>
          <w:tcPr>
            <w:tcW w:w="1418" w:type="dxa"/>
            <w:tcBorders>
              <w:top w:val="nil"/>
              <w:left w:val="nil"/>
              <w:bottom w:val="single" w:sz="4" w:space="0" w:color="auto"/>
              <w:right w:val="single" w:sz="4" w:space="0" w:color="auto"/>
            </w:tcBorders>
            <w:shd w:val="clear" w:color="000000" w:fill="FFFFFF"/>
          </w:tcPr>
          <w:p w14:paraId="1D933E3B" w14:textId="77777777" w:rsidR="00733088" w:rsidRDefault="00413FEE" w:rsidP="00733088">
            <w:pPr>
              <w:jc w:val="center"/>
              <w:rPr>
                <w:rFonts w:ascii="Arial (W1)" w:hAnsi="Arial (W1)" w:cs="Arial"/>
                <w:sz w:val="20"/>
                <w:lang w:eastAsia="en-GB"/>
              </w:rPr>
            </w:pPr>
            <w:r>
              <w:rPr>
                <w:rFonts w:ascii="Arial (W1)" w:hAnsi="Arial (W1)" w:cs="Arial"/>
                <w:sz w:val="20"/>
                <w:lang w:eastAsia="en-GB"/>
              </w:rPr>
              <w:t>1.5% plus</w:t>
            </w:r>
          </w:p>
          <w:p w14:paraId="34C7122F"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£6,200</w:t>
            </w:r>
          </w:p>
        </w:tc>
        <w:tc>
          <w:tcPr>
            <w:tcW w:w="1842" w:type="dxa"/>
            <w:gridSpan w:val="2"/>
            <w:tcBorders>
              <w:top w:val="nil"/>
              <w:left w:val="nil"/>
              <w:bottom w:val="single" w:sz="4" w:space="0" w:color="auto"/>
              <w:right w:val="single" w:sz="4" w:space="0" w:color="auto"/>
            </w:tcBorders>
            <w:shd w:val="clear" w:color="000000" w:fill="FFFFFF"/>
          </w:tcPr>
          <w:p w14:paraId="54116A1E" w14:textId="77777777" w:rsidR="00733088" w:rsidRDefault="00413FEE" w:rsidP="00733088">
            <w:pPr>
              <w:jc w:val="center"/>
              <w:rPr>
                <w:rFonts w:ascii="Arial (W1)" w:hAnsi="Arial (W1)" w:cs="Arial"/>
                <w:sz w:val="20"/>
                <w:lang w:eastAsia="en-GB"/>
              </w:rPr>
            </w:pPr>
            <w:r>
              <w:rPr>
                <w:rFonts w:ascii="Arial (W1)" w:hAnsi="Arial (W1)" w:cs="Arial"/>
                <w:sz w:val="20"/>
                <w:lang w:eastAsia="en-GB"/>
              </w:rPr>
              <w:t>24.1% plus</w:t>
            </w:r>
          </w:p>
          <w:p w14:paraId="3B20E0F5"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£5,700</w:t>
            </w:r>
          </w:p>
        </w:tc>
        <w:tc>
          <w:tcPr>
            <w:tcW w:w="1701" w:type="dxa"/>
            <w:tcBorders>
              <w:top w:val="nil"/>
              <w:left w:val="nil"/>
              <w:bottom w:val="single" w:sz="4" w:space="0" w:color="auto"/>
              <w:right w:val="single" w:sz="4" w:space="0" w:color="auto"/>
            </w:tcBorders>
            <w:shd w:val="clear" w:color="000000" w:fill="FFFFFF"/>
          </w:tcPr>
          <w:p w14:paraId="7762EB98" w14:textId="77777777" w:rsidR="00733088" w:rsidRDefault="00413FEE" w:rsidP="00733088">
            <w:pPr>
              <w:jc w:val="center"/>
              <w:rPr>
                <w:rFonts w:ascii="Arial (W1)" w:hAnsi="Arial (W1)" w:cs="Arial"/>
                <w:sz w:val="20"/>
                <w:lang w:eastAsia="en-GB"/>
              </w:rPr>
            </w:pPr>
            <w:r>
              <w:rPr>
                <w:rFonts w:ascii="Arial (W1)" w:hAnsi="Arial (W1)" w:cs="Arial"/>
                <w:sz w:val="20"/>
                <w:lang w:eastAsia="en-GB"/>
              </w:rPr>
              <w:t>24.1% plus</w:t>
            </w:r>
          </w:p>
          <w:p w14:paraId="28F52932"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£6,000</w:t>
            </w:r>
          </w:p>
        </w:tc>
        <w:tc>
          <w:tcPr>
            <w:tcW w:w="1418" w:type="dxa"/>
            <w:gridSpan w:val="2"/>
            <w:tcBorders>
              <w:top w:val="nil"/>
              <w:left w:val="nil"/>
              <w:bottom w:val="single" w:sz="4" w:space="0" w:color="auto"/>
              <w:right w:val="single" w:sz="4" w:space="0" w:color="auto"/>
            </w:tcBorders>
            <w:shd w:val="clear" w:color="000000" w:fill="FFFFFF"/>
          </w:tcPr>
          <w:p w14:paraId="603A2A1F" w14:textId="77777777" w:rsidR="00733088" w:rsidRDefault="00413FEE" w:rsidP="00733088">
            <w:pPr>
              <w:jc w:val="center"/>
              <w:rPr>
                <w:rFonts w:ascii="Arial (W1)" w:hAnsi="Arial (W1)" w:cs="Arial"/>
                <w:sz w:val="20"/>
                <w:lang w:eastAsia="en-GB"/>
              </w:rPr>
            </w:pPr>
            <w:r>
              <w:rPr>
                <w:rFonts w:ascii="Arial (W1)" w:hAnsi="Arial (W1)" w:cs="Arial"/>
                <w:sz w:val="20"/>
                <w:lang w:eastAsia="en-GB"/>
              </w:rPr>
              <w:t>24.1% plus</w:t>
            </w:r>
          </w:p>
          <w:p w14:paraId="326EC1A0" w14:textId="77777777" w:rsidR="00413FEE" w:rsidRPr="00733088" w:rsidRDefault="00413FEE" w:rsidP="00733088">
            <w:pPr>
              <w:jc w:val="center"/>
              <w:rPr>
                <w:rFonts w:ascii="Arial (W1)" w:hAnsi="Arial (W1)" w:cs="Arial"/>
                <w:sz w:val="20"/>
                <w:lang w:eastAsia="en-GB"/>
              </w:rPr>
            </w:pPr>
            <w:r>
              <w:rPr>
                <w:rFonts w:ascii="Arial (W1)" w:hAnsi="Arial (W1)" w:cs="Arial"/>
                <w:sz w:val="20"/>
                <w:lang w:eastAsia="en-GB"/>
              </w:rPr>
              <w:t>£6,200</w:t>
            </w:r>
          </w:p>
        </w:tc>
      </w:tr>
      <w:tr w:rsidR="00061B3C" w:rsidRPr="008376B7" w14:paraId="6B7CE54D" w14:textId="77777777" w:rsidTr="001D1565">
        <w:trPr>
          <w:trHeight w:val="552"/>
        </w:trPr>
        <w:tc>
          <w:tcPr>
            <w:tcW w:w="4400" w:type="dxa"/>
            <w:gridSpan w:val="2"/>
            <w:tcBorders>
              <w:top w:val="nil"/>
              <w:left w:val="single" w:sz="4" w:space="0" w:color="auto"/>
              <w:bottom w:val="single" w:sz="4" w:space="0" w:color="auto"/>
              <w:right w:val="nil"/>
            </w:tcBorders>
            <w:shd w:val="clear" w:color="000000" w:fill="FFFFFF"/>
            <w:hideMark/>
          </w:tcPr>
          <w:p w14:paraId="4BAD4186" w14:textId="77777777" w:rsidR="00733088" w:rsidRPr="00733088" w:rsidRDefault="00413FEE" w:rsidP="00733088">
            <w:pPr>
              <w:rPr>
                <w:rFonts w:ascii="Arial (W1)" w:hAnsi="Arial (W1)" w:cs="Arial"/>
                <w:sz w:val="20"/>
                <w:lang w:eastAsia="en-GB"/>
              </w:rPr>
            </w:pPr>
            <w:r>
              <w:rPr>
                <w:rFonts w:ascii="Arial (W1)" w:hAnsi="Arial (W1)" w:cs="Arial"/>
                <w:sz w:val="20"/>
                <w:lang w:eastAsia="en-GB"/>
              </w:rPr>
              <w:t>NPTC Group of Colleges</w:t>
            </w:r>
          </w:p>
        </w:tc>
        <w:tc>
          <w:tcPr>
            <w:tcW w:w="2180" w:type="dxa"/>
            <w:gridSpan w:val="2"/>
            <w:tcBorders>
              <w:top w:val="nil"/>
              <w:left w:val="single" w:sz="4" w:space="0" w:color="auto"/>
              <w:bottom w:val="single" w:sz="4" w:space="0" w:color="auto"/>
              <w:right w:val="single" w:sz="4" w:space="0" w:color="auto"/>
            </w:tcBorders>
            <w:shd w:val="clear" w:color="000000" w:fill="FFFFFF"/>
          </w:tcPr>
          <w:p w14:paraId="50B78287"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19.7%</w:t>
            </w:r>
          </w:p>
        </w:tc>
        <w:tc>
          <w:tcPr>
            <w:tcW w:w="1637" w:type="dxa"/>
            <w:tcBorders>
              <w:top w:val="nil"/>
              <w:left w:val="nil"/>
              <w:bottom w:val="single" w:sz="4" w:space="0" w:color="auto"/>
              <w:right w:val="single" w:sz="4" w:space="0" w:color="auto"/>
            </w:tcBorders>
            <w:shd w:val="clear" w:color="000000" w:fill="FFFFFF"/>
          </w:tcPr>
          <w:p w14:paraId="2B174E82"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1.5%</w:t>
            </w:r>
          </w:p>
        </w:tc>
        <w:tc>
          <w:tcPr>
            <w:tcW w:w="1559" w:type="dxa"/>
            <w:tcBorders>
              <w:top w:val="nil"/>
              <w:left w:val="nil"/>
              <w:bottom w:val="single" w:sz="4" w:space="0" w:color="auto"/>
              <w:right w:val="single" w:sz="4" w:space="0" w:color="auto"/>
            </w:tcBorders>
            <w:shd w:val="clear" w:color="000000" w:fill="FFFFFF"/>
          </w:tcPr>
          <w:p w14:paraId="382BA66C"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1.5%</w:t>
            </w:r>
          </w:p>
        </w:tc>
        <w:tc>
          <w:tcPr>
            <w:tcW w:w="1418" w:type="dxa"/>
            <w:tcBorders>
              <w:top w:val="nil"/>
              <w:left w:val="nil"/>
              <w:bottom w:val="single" w:sz="4" w:space="0" w:color="auto"/>
              <w:right w:val="single" w:sz="4" w:space="0" w:color="auto"/>
            </w:tcBorders>
            <w:shd w:val="clear" w:color="000000" w:fill="FFFFFF"/>
          </w:tcPr>
          <w:p w14:paraId="7D9C44DD"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1.5%</w:t>
            </w:r>
          </w:p>
        </w:tc>
        <w:tc>
          <w:tcPr>
            <w:tcW w:w="1842" w:type="dxa"/>
            <w:gridSpan w:val="2"/>
            <w:tcBorders>
              <w:top w:val="nil"/>
              <w:left w:val="nil"/>
              <w:bottom w:val="single" w:sz="4" w:space="0" w:color="auto"/>
              <w:right w:val="single" w:sz="4" w:space="0" w:color="auto"/>
            </w:tcBorders>
            <w:shd w:val="clear" w:color="000000" w:fill="FFFFFF"/>
          </w:tcPr>
          <w:p w14:paraId="6F0AC4FF"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21.2%</w:t>
            </w:r>
          </w:p>
        </w:tc>
        <w:tc>
          <w:tcPr>
            <w:tcW w:w="1701" w:type="dxa"/>
            <w:tcBorders>
              <w:top w:val="nil"/>
              <w:left w:val="nil"/>
              <w:bottom w:val="single" w:sz="4" w:space="0" w:color="auto"/>
              <w:right w:val="single" w:sz="4" w:space="0" w:color="auto"/>
            </w:tcBorders>
            <w:shd w:val="clear" w:color="000000" w:fill="FFFFFF"/>
          </w:tcPr>
          <w:p w14:paraId="0B346E70"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21.2%</w:t>
            </w:r>
          </w:p>
        </w:tc>
        <w:tc>
          <w:tcPr>
            <w:tcW w:w="1418" w:type="dxa"/>
            <w:gridSpan w:val="2"/>
            <w:tcBorders>
              <w:top w:val="nil"/>
              <w:left w:val="nil"/>
              <w:bottom w:val="single" w:sz="4" w:space="0" w:color="auto"/>
              <w:right w:val="single" w:sz="4" w:space="0" w:color="auto"/>
            </w:tcBorders>
            <w:shd w:val="clear" w:color="000000" w:fill="FFFFFF"/>
          </w:tcPr>
          <w:p w14:paraId="757D85A4"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21.2%</w:t>
            </w:r>
          </w:p>
        </w:tc>
      </w:tr>
      <w:tr w:rsidR="00061B3C" w:rsidRPr="008376B7" w14:paraId="3698854B" w14:textId="77777777" w:rsidTr="001D1565">
        <w:trPr>
          <w:trHeight w:val="552"/>
        </w:trPr>
        <w:tc>
          <w:tcPr>
            <w:tcW w:w="4400" w:type="dxa"/>
            <w:gridSpan w:val="2"/>
            <w:tcBorders>
              <w:top w:val="nil"/>
              <w:left w:val="single" w:sz="4" w:space="0" w:color="auto"/>
              <w:bottom w:val="single" w:sz="4" w:space="0" w:color="auto"/>
              <w:right w:val="single" w:sz="4" w:space="0" w:color="auto"/>
            </w:tcBorders>
            <w:shd w:val="clear" w:color="000000" w:fill="FFFFFF"/>
            <w:hideMark/>
          </w:tcPr>
          <w:p w14:paraId="3175BD93" w14:textId="77777777" w:rsidR="00733088" w:rsidRPr="00733088" w:rsidRDefault="00BF3EF3" w:rsidP="00733088">
            <w:pPr>
              <w:rPr>
                <w:rFonts w:ascii="Arial (W1)" w:hAnsi="Arial (W1)" w:cs="Arial"/>
                <w:sz w:val="20"/>
                <w:lang w:eastAsia="en-GB"/>
              </w:rPr>
            </w:pPr>
            <w:r>
              <w:rPr>
                <w:rFonts w:ascii="Arial (W1)" w:hAnsi="Arial (W1)" w:cs="Arial"/>
                <w:sz w:val="20"/>
                <w:lang w:eastAsia="en-GB"/>
              </w:rPr>
              <w:t>Neath Town Council</w:t>
            </w:r>
          </w:p>
        </w:tc>
        <w:tc>
          <w:tcPr>
            <w:tcW w:w="2180" w:type="dxa"/>
            <w:gridSpan w:val="2"/>
            <w:tcBorders>
              <w:top w:val="nil"/>
              <w:left w:val="nil"/>
              <w:bottom w:val="single" w:sz="4" w:space="0" w:color="auto"/>
              <w:right w:val="single" w:sz="4" w:space="0" w:color="auto"/>
            </w:tcBorders>
            <w:shd w:val="clear" w:color="000000" w:fill="FFFFFF"/>
          </w:tcPr>
          <w:p w14:paraId="0CF67AF6"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22.6%</w:t>
            </w:r>
          </w:p>
        </w:tc>
        <w:tc>
          <w:tcPr>
            <w:tcW w:w="1637" w:type="dxa"/>
            <w:tcBorders>
              <w:top w:val="nil"/>
              <w:left w:val="nil"/>
              <w:bottom w:val="single" w:sz="4" w:space="0" w:color="auto"/>
              <w:right w:val="single" w:sz="4" w:space="0" w:color="auto"/>
            </w:tcBorders>
            <w:shd w:val="clear" w:color="000000" w:fill="FFFFFF"/>
          </w:tcPr>
          <w:p w14:paraId="66D7D893" w14:textId="77777777" w:rsidR="00733088" w:rsidRDefault="00BF3EF3" w:rsidP="00733088">
            <w:pPr>
              <w:jc w:val="center"/>
              <w:rPr>
                <w:rFonts w:ascii="Arial (W1)" w:hAnsi="Arial (W1)" w:cs="Arial"/>
                <w:sz w:val="20"/>
                <w:lang w:eastAsia="en-GB"/>
              </w:rPr>
            </w:pPr>
            <w:r>
              <w:rPr>
                <w:rFonts w:ascii="Arial (W1)" w:hAnsi="Arial (W1)" w:cs="Arial"/>
                <w:sz w:val="20"/>
                <w:lang w:eastAsia="en-GB"/>
              </w:rPr>
              <w:t>1.5% plus</w:t>
            </w:r>
          </w:p>
          <w:p w14:paraId="019C7BDD" w14:textId="77777777" w:rsidR="00BF3EF3" w:rsidRPr="00733088" w:rsidRDefault="00BF3EF3" w:rsidP="00733088">
            <w:pPr>
              <w:jc w:val="center"/>
              <w:rPr>
                <w:rFonts w:ascii="Arial (W1)" w:hAnsi="Arial (W1)" w:cs="Arial"/>
                <w:sz w:val="20"/>
                <w:lang w:eastAsia="en-GB"/>
              </w:rPr>
            </w:pPr>
            <w:r>
              <w:rPr>
                <w:rFonts w:ascii="Arial (W1)" w:hAnsi="Arial (W1)" w:cs="Arial"/>
                <w:sz w:val="20"/>
                <w:lang w:eastAsia="en-GB"/>
              </w:rPr>
              <w:t>£5,400</w:t>
            </w:r>
          </w:p>
        </w:tc>
        <w:tc>
          <w:tcPr>
            <w:tcW w:w="1559" w:type="dxa"/>
            <w:tcBorders>
              <w:top w:val="nil"/>
              <w:left w:val="nil"/>
              <w:bottom w:val="single" w:sz="4" w:space="0" w:color="auto"/>
              <w:right w:val="single" w:sz="4" w:space="0" w:color="auto"/>
            </w:tcBorders>
            <w:shd w:val="clear" w:color="000000" w:fill="FFFFFF"/>
          </w:tcPr>
          <w:p w14:paraId="6B487572" w14:textId="77777777" w:rsidR="00733088" w:rsidRDefault="00BF3EF3" w:rsidP="00733088">
            <w:pPr>
              <w:jc w:val="center"/>
              <w:rPr>
                <w:rFonts w:ascii="Arial (W1)" w:hAnsi="Arial (W1)" w:cs="Arial"/>
                <w:sz w:val="20"/>
                <w:lang w:eastAsia="en-GB"/>
              </w:rPr>
            </w:pPr>
            <w:r>
              <w:rPr>
                <w:rFonts w:ascii="Arial (W1)" w:hAnsi="Arial (W1)" w:cs="Arial"/>
                <w:sz w:val="20"/>
                <w:lang w:eastAsia="en-GB"/>
              </w:rPr>
              <w:t>1.5% plus</w:t>
            </w:r>
          </w:p>
          <w:p w14:paraId="55CE7E0A" w14:textId="77777777" w:rsidR="00BF3EF3" w:rsidRPr="00733088" w:rsidRDefault="00BF3EF3" w:rsidP="00733088">
            <w:pPr>
              <w:jc w:val="center"/>
              <w:rPr>
                <w:rFonts w:ascii="Arial (W1)" w:hAnsi="Arial (W1)" w:cs="Arial"/>
                <w:sz w:val="20"/>
                <w:lang w:eastAsia="en-GB"/>
              </w:rPr>
            </w:pPr>
            <w:r>
              <w:rPr>
                <w:rFonts w:ascii="Arial (W1)" w:hAnsi="Arial (W1)" w:cs="Arial"/>
                <w:sz w:val="20"/>
                <w:lang w:eastAsia="en-GB"/>
              </w:rPr>
              <w:t>£5,600</w:t>
            </w:r>
          </w:p>
        </w:tc>
        <w:tc>
          <w:tcPr>
            <w:tcW w:w="1418" w:type="dxa"/>
            <w:tcBorders>
              <w:top w:val="nil"/>
              <w:left w:val="nil"/>
              <w:bottom w:val="single" w:sz="4" w:space="0" w:color="auto"/>
              <w:right w:val="single" w:sz="4" w:space="0" w:color="auto"/>
            </w:tcBorders>
            <w:shd w:val="clear" w:color="000000" w:fill="FFFFFF"/>
          </w:tcPr>
          <w:p w14:paraId="6DC6331A" w14:textId="77777777" w:rsidR="00733088" w:rsidRDefault="00BF3EF3" w:rsidP="00733088">
            <w:pPr>
              <w:jc w:val="center"/>
              <w:rPr>
                <w:rFonts w:ascii="Arial (W1)" w:hAnsi="Arial (W1)" w:cs="Arial"/>
                <w:sz w:val="20"/>
                <w:lang w:eastAsia="en-GB"/>
              </w:rPr>
            </w:pPr>
            <w:r>
              <w:rPr>
                <w:rFonts w:ascii="Arial (W1)" w:hAnsi="Arial (W1)" w:cs="Arial"/>
                <w:sz w:val="20"/>
                <w:lang w:eastAsia="en-GB"/>
              </w:rPr>
              <w:t>1.5% plus</w:t>
            </w:r>
          </w:p>
          <w:p w14:paraId="67A354BE" w14:textId="77777777" w:rsidR="00BF3EF3" w:rsidRPr="00733088" w:rsidRDefault="00BF3EF3" w:rsidP="00733088">
            <w:pPr>
              <w:jc w:val="center"/>
              <w:rPr>
                <w:rFonts w:ascii="Arial (W1)" w:hAnsi="Arial (W1)" w:cs="Arial"/>
                <w:sz w:val="20"/>
                <w:lang w:eastAsia="en-GB"/>
              </w:rPr>
            </w:pPr>
            <w:r>
              <w:rPr>
                <w:rFonts w:ascii="Arial (W1)" w:hAnsi="Arial (W1)" w:cs="Arial"/>
                <w:sz w:val="20"/>
                <w:lang w:eastAsia="en-GB"/>
              </w:rPr>
              <w:t>£5,800</w:t>
            </w:r>
          </w:p>
        </w:tc>
        <w:tc>
          <w:tcPr>
            <w:tcW w:w="1842" w:type="dxa"/>
            <w:gridSpan w:val="2"/>
            <w:tcBorders>
              <w:top w:val="nil"/>
              <w:left w:val="nil"/>
              <w:bottom w:val="single" w:sz="4" w:space="0" w:color="auto"/>
              <w:right w:val="single" w:sz="4" w:space="0" w:color="auto"/>
            </w:tcBorders>
            <w:shd w:val="clear" w:color="000000" w:fill="FFFFFF"/>
          </w:tcPr>
          <w:p w14:paraId="7FF6F73A" w14:textId="77777777" w:rsidR="00733088" w:rsidRDefault="00BF3EF3" w:rsidP="00733088">
            <w:pPr>
              <w:jc w:val="center"/>
              <w:rPr>
                <w:rFonts w:ascii="Arial (W1)" w:hAnsi="Arial (W1)" w:cs="Arial"/>
                <w:sz w:val="20"/>
                <w:lang w:eastAsia="en-GB"/>
              </w:rPr>
            </w:pPr>
            <w:r>
              <w:rPr>
                <w:rFonts w:ascii="Arial (W1)" w:hAnsi="Arial (W1)" w:cs="Arial"/>
                <w:sz w:val="20"/>
                <w:lang w:eastAsia="en-GB"/>
              </w:rPr>
              <w:t>24.1% plus</w:t>
            </w:r>
          </w:p>
          <w:p w14:paraId="40777617" w14:textId="77777777" w:rsidR="00BF3EF3" w:rsidRPr="00733088" w:rsidRDefault="00BF3EF3" w:rsidP="00733088">
            <w:pPr>
              <w:jc w:val="center"/>
              <w:rPr>
                <w:rFonts w:ascii="Arial (W1)" w:hAnsi="Arial (W1)" w:cs="Arial"/>
                <w:sz w:val="20"/>
                <w:lang w:eastAsia="en-GB"/>
              </w:rPr>
            </w:pPr>
            <w:r>
              <w:rPr>
                <w:rFonts w:ascii="Arial (W1)" w:hAnsi="Arial (W1)" w:cs="Arial"/>
                <w:sz w:val="20"/>
                <w:lang w:eastAsia="en-GB"/>
              </w:rPr>
              <w:t>£5,400</w:t>
            </w:r>
          </w:p>
        </w:tc>
        <w:tc>
          <w:tcPr>
            <w:tcW w:w="1701" w:type="dxa"/>
            <w:tcBorders>
              <w:top w:val="nil"/>
              <w:left w:val="nil"/>
              <w:bottom w:val="single" w:sz="4" w:space="0" w:color="auto"/>
              <w:right w:val="single" w:sz="4" w:space="0" w:color="auto"/>
            </w:tcBorders>
            <w:shd w:val="clear" w:color="000000" w:fill="FFFFFF"/>
          </w:tcPr>
          <w:p w14:paraId="41FA1A4F" w14:textId="77777777" w:rsidR="00733088" w:rsidRDefault="00BF3EF3" w:rsidP="00733088">
            <w:pPr>
              <w:jc w:val="center"/>
              <w:rPr>
                <w:rFonts w:ascii="Arial (W1)" w:hAnsi="Arial (W1)" w:cs="Arial"/>
                <w:sz w:val="20"/>
                <w:lang w:eastAsia="en-GB"/>
              </w:rPr>
            </w:pPr>
            <w:r>
              <w:rPr>
                <w:rFonts w:ascii="Arial (W1)" w:hAnsi="Arial (W1)" w:cs="Arial"/>
                <w:sz w:val="20"/>
                <w:lang w:eastAsia="en-GB"/>
              </w:rPr>
              <w:t>24.1% plus</w:t>
            </w:r>
          </w:p>
          <w:p w14:paraId="32D02D41" w14:textId="77777777" w:rsidR="00BF3EF3" w:rsidRPr="00733088" w:rsidRDefault="00BF3EF3" w:rsidP="00733088">
            <w:pPr>
              <w:jc w:val="center"/>
              <w:rPr>
                <w:rFonts w:ascii="Arial (W1)" w:hAnsi="Arial (W1)" w:cs="Arial"/>
                <w:sz w:val="20"/>
                <w:lang w:eastAsia="en-GB"/>
              </w:rPr>
            </w:pPr>
            <w:r>
              <w:rPr>
                <w:rFonts w:ascii="Arial (W1)" w:hAnsi="Arial (W1)" w:cs="Arial"/>
                <w:sz w:val="20"/>
                <w:lang w:eastAsia="en-GB"/>
              </w:rPr>
              <w:t>£5,600</w:t>
            </w:r>
          </w:p>
        </w:tc>
        <w:tc>
          <w:tcPr>
            <w:tcW w:w="1418" w:type="dxa"/>
            <w:gridSpan w:val="2"/>
            <w:tcBorders>
              <w:top w:val="nil"/>
              <w:left w:val="nil"/>
              <w:bottom w:val="single" w:sz="4" w:space="0" w:color="auto"/>
              <w:right w:val="single" w:sz="4" w:space="0" w:color="auto"/>
            </w:tcBorders>
            <w:shd w:val="clear" w:color="000000" w:fill="FFFFFF"/>
          </w:tcPr>
          <w:p w14:paraId="7764E74F" w14:textId="77777777" w:rsidR="00733088" w:rsidRDefault="00BF3EF3" w:rsidP="00733088">
            <w:pPr>
              <w:jc w:val="center"/>
              <w:rPr>
                <w:rFonts w:ascii="Arial (W1)" w:hAnsi="Arial (W1)" w:cs="Arial"/>
                <w:sz w:val="20"/>
                <w:lang w:eastAsia="en-GB"/>
              </w:rPr>
            </w:pPr>
            <w:r>
              <w:rPr>
                <w:rFonts w:ascii="Arial (W1)" w:hAnsi="Arial (W1)" w:cs="Arial"/>
                <w:sz w:val="20"/>
                <w:lang w:eastAsia="en-GB"/>
              </w:rPr>
              <w:t>24.1% plus</w:t>
            </w:r>
          </w:p>
          <w:p w14:paraId="750AB396" w14:textId="77777777" w:rsidR="00BF3EF3" w:rsidRPr="00733088" w:rsidRDefault="00BF3EF3" w:rsidP="00733088">
            <w:pPr>
              <w:jc w:val="center"/>
              <w:rPr>
                <w:rFonts w:ascii="Arial (W1)" w:hAnsi="Arial (W1)" w:cs="Arial"/>
                <w:sz w:val="20"/>
                <w:lang w:eastAsia="en-GB"/>
              </w:rPr>
            </w:pPr>
            <w:r>
              <w:rPr>
                <w:rFonts w:ascii="Arial (W1)" w:hAnsi="Arial (W1)" w:cs="Arial"/>
                <w:sz w:val="20"/>
                <w:lang w:eastAsia="en-GB"/>
              </w:rPr>
              <w:t>£5,800</w:t>
            </w:r>
          </w:p>
        </w:tc>
      </w:tr>
      <w:tr w:rsidR="00061B3C" w:rsidRPr="008376B7" w14:paraId="2F537514" w14:textId="77777777" w:rsidTr="001D1565">
        <w:trPr>
          <w:trHeight w:val="615"/>
        </w:trPr>
        <w:tc>
          <w:tcPr>
            <w:tcW w:w="4400" w:type="dxa"/>
            <w:gridSpan w:val="2"/>
            <w:tcBorders>
              <w:top w:val="nil"/>
              <w:left w:val="single" w:sz="4" w:space="0" w:color="auto"/>
              <w:bottom w:val="single" w:sz="4" w:space="0" w:color="auto"/>
              <w:right w:val="single" w:sz="4" w:space="0" w:color="auto"/>
            </w:tcBorders>
            <w:shd w:val="clear" w:color="000000" w:fill="FFFFFF"/>
            <w:hideMark/>
          </w:tcPr>
          <w:p w14:paraId="143E5535" w14:textId="77777777" w:rsidR="00733088" w:rsidRPr="00733088" w:rsidRDefault="00BF3EF3" w:rsidP="00733088">
            <w:pPr>
              <w:rPr>
                <w:rFonts w:ascii="Arial (W1)" w:hAnsi="Arial (W1)" w:cs="Arial"/>
                <w:sz w:val="20"/>
                <w:lang w:eastAsia="en-GB"/>
              </w:rPr>
            </w:pPr>
            <w:r>
              <w:rPr>
                <w:rFonts w:ascii="Arial (W1)" w:hAnsi="Arial (W1)" w:cs="Arial"/>
                <w:sz w:val="20"/>
                <w:lang w:eastAsia="en-GB"/>
              </w:rPr>
              <w:t>Pelenna Community Council</w:t>
            </w:r>
          </w:p>
        </w:tc>
        <w:tc>
          <w:tcPr>
            <w:tcW w:w="2180" w:type="dxa"/>
            <w:gridSpan w:val="2"/>
            <w:tcBorders>
              <w:top w:val="nil"/>
              <w:left w:val="nil"/>
              <w:bottom w:val="single" w:sz="4" w:space="0" w:color="auto"/>
              <w:right w:val="single" w:sz="4" w:space="0" w:color="auto"/>
            </w:tcBorders>
            <w:shd w:val="clear" w:color="000000" w:fill="FFFFFF"/>
          </w:tcPr>
          <w:p w14:paraId="36578641"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22.6%</w:t>
            </w:r>
          </w:p>
        </w:tc>
        <w:tc>
          <w:tcPr>
            <w:tcW w:w="1637" w:type="dxa"/>
            <w:tcBorders>
              <w:top w:val="nil"/>
              <w:left w:val="nil"/>
              <w:bottom w:val="single" w:sz="4" w:space="0" w:color="auto"/>
              <w:right w:val="single" w:sz="4" w:space="0" w:color="auto"/>
            </w:tcBorders>
            <w:shd w:val="clear" w:color="000000" w:fill="FFFFFF"/>
          </w:tcPr>
          <w:p w14:paraId="56C647B3"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1.5%</w:t>
            </w:r>
          </w:p>
        </w:tc>
        <w:tc>
          <w:tcPr>
            <w:tcW w:w="1559" w:type="dxa"/>
            <w:tcBorders>
              <w:top w:val="nil"/>
              <w:left w:val="nil"/>
              <w:bottom w:val="single" w:sz="4" w:space="0" w:color="auto"/>
              <w:right w:val="single" w:sz="4" w:space="0" w:color="auto"/>
            </w:tcBorders>
            <w:shd w:val="clear" w:color="000000" w:fill="FFFFFF"/>
          </w:tcPr>
          <w:p w14:paraId="0FB980F0"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1.5%</w:t>
            </w:r>
          </w:p>
        </w:tc>
        <w:tc>
          <w:tcPr>
            <w:tcW w:w="1418" w:type="dxa"/>
            <w:tcBorders>
              <w:top w:val="nil"/>
              <w:left w:val="nil"/>
              <w:bottom w:val="single" w:sz="4" w:space="0" w:color="auto"/>
              <w:right w:val="single" w:sz="4" w:space="0" w:color="auto"/>
            </w:tcBorders>
            <w:shd w:val="clear" w:color="000000" w:fill="FFFFFF"/>
          </w:tcPr>
          <w:p w14:paraId="5A9421AC"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1.5%</w:t>
            </w:r>
          </w:p>
        </w:tc>
        <w:tc>
          <w:tcPr>
            <w:tcW w:w="1842" w:type="dxa"/>
            <w:gridSpan w:val="2"/>
            <w:tcBorders>
              <w:top w:val="nil"/>
              <w:left w:val="nil"/>
              <w:bottom w:val="single" w:sz="4" w:space="0" w:color="auto"/>
              <w:right w:val="single" w:sz="4" w:space="0" w:color="auto"/>
            </w:tcBorders>
            <w:shd w:val="clear" w:color="000000" w:fill="FFFFFF"/>
          </w:tcPr>
          <w:p w14:paraId="7FDC9CF2"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24.1%</w:t>
            </w:r>
          </w:p>
        </w:tc>
        <w:tc>
          <w:tcPr>
            <w:tcW w:w="1701" w:type="dxa"/>
            <w:tcBorders>
              <w:top w:val="nil"/>
              <w:left w:val="nil"/>
              <w:bottom w:val="single" w:sz="4" w:space="0" w:color="auto"/>
              <w:right w:val="single" w:sz="4" w:space="0" w:color="auto"/>
            </w:tcBorders>
            <w:shd w:val="clear" w:color="000000" w:fill="FFFFFF"/>
          </w:tcPr>
          <w:p w14:paraId="4D7DEB78"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24.1%</w:t>
            </w:r>
          </w:p>
        </w:tc>
        <w:tc>
          <w:tcPr>
            <w:tcW w:w="1418" w:type="dxa"/>
            <w:gridSpan w:val="2"/>
            <w:tcBorders>
              <w:top w:val="nil"/>
              <w:left w:val="nil"/>
              <w:bottom w:val="single" w:sz="4" w:space="0" w:color="auto"/>
              <w:right w:val="single" w:sz="4" w:space="0" w:color="auto"/>
            </w:tcBorders>
            <w:shd w:val="clear" w:color="000000" w:fill="FFFFFF"/>
          </w:tcPr>
          <w:p w14:paraId="72BF48A9" w14:textId="77777777" w:rsidR="00733088" w:rsidRPr="00733088" w:rsidRDefault="00BF3EF3" w:rsidP="00733088">
            <w:pPr>
              <w:jc w:val="center"/>
              <w:rPr>
                <w:rFonts w:ascii="Arial (W1)" w:hAnsi="Arial (W1)" w:cs="Arial"/>
                <w:sz w:val="20"/>
                <w:lang w:eastAsia="en-GB"/>
              </w:rPr>
            </w:pPr>
            <w:r>
              <w:rPr>
                <w:rFonts w:ascii="Arial (W1)" w:hAnsi="Arial (W1)" w:cs="Arial"/>
                <w:sz w:val="20"/>
                <w:lang w:eastAsia="en-GB"/>
              </w:rPr>
              <w:t>24.1%</w:t>
            </w:r>
          </w:p>
        </w:tc>
      </w:tr>
      <w:tr w:rsidR="00061B3C" w:rsidRPr="008376B7" w14:paraId="61DE61F2" w14:textId="77777777" w:rsidTr="001D1565">
        <w:trPr>
          <w:trHeight w:val="615"/>
        </w:trPr>
        <w:tc>
          <w:tcPr>
            <w:tcW w:w="4400" w:type="dxa"/>
            <w:gridSpan w:val="2"/>
            <w:tcBorders>
              <w:top w:val="single" w:sz="4" w:space="0" w:color="auto"/>
              <w:left w:val="single" w:sz="4" w:space="0" w:color="auto"/>
              <w:bottom w:val="single" w:sz="4" w:space="0" w:color="auto"/>
              <w:right w:val="single" w:sz="4" w:space="0" w:color="auto"/>
            </w:tcBorders>
            <w:shd w:val="clear" w:color="000000" w:fill="FFFFFF"/>
          </w:tcPr>
          <w:p w14:paraId="2FBF5982" w14:textId="77777777" w:rsidR="00E005DB" w:rsidRPr="00733088" w:rsidRDefault="00BF3EF3" w:rsidP="00733088">
            <w:pPr>
              <w:rPr>
                <w:rFonts w:ascii="Arial (W1)" w:hAnsi="Arial (W1)" w:cs="Arial"/>
                <w:sz w:val="20"/>
                <w:lang w:eastAsia="en-GB"/>
              </w:rPr>
            </w:pPr>
            <w:r>
              <w:rPr>
                <w:rFonts w:ascii="Arial (W1)" w:hAnsi="Arial (W1)" w:cs="Arial"/>
                <w:sz w:val="20"/>
                <w:lang w:eastAsia="en-GB"/>
              </w:rPr>
              <w:lastRenderedPageBreak/>
              <w:t>Pontardawe Town Council</w:t>
            </w:r>
          </w:p>
        </w:tc>
        <w:tc>
          <w:tcPr>
            <w:tcW w:w="2180" w:type="dxa"/>
            <w:gridSpan w:val="2"/>
            <w:tcBorders>
              <w:top w:val="single" w:sz="4" w:space="0" w:color="auto"/>
              <w:left w:val="nil"/>
              <w:bottom w:val="single" w:sz="4" w:space="0" w:color="auto"/>
              <w:right w:val="single" w:sz="4" w:space="0" w:color="auto"/>
            </w:tcBorders>
            <w:shd w:val="clear" w:color="000000" w:fill="FFFFFF"/>
          </w:tcPr>
          <w:p w14:paraId="5AD99084" w14:textId="77777777" w:rsidR="00BF3EF3" w:rsidRPr="00733088" w:rsidRDefault="00BF3EF3" w:rsidP="00733088">
            <w:pPr>
              <w:jc w:val="center"/>
              <w:rPr>
                <w:rFonts w:ascii="Arial (W1)" w:hAnsi="Arial (W1)" w:cs="Arial"/>
                <w:sz w:val="20"/>
                <w:lang w:eastAsia="en-GB"/>
              </w:rPr>
            </w:pPr>
            <w:r>
              <w:rPr>
                <w:rFonts w:ascii="Arial (W1)" w:hAnsi="Arial (W1)" w:cs="Arial"/>
                <w:sz w:val="20"/>
                <w:lang w:eastAsia="en-GB"/>
              </w:rPr>
              <w:t>22.6%</w:t>
            </w:r>
          </w:p>
        </w:tc>
        <w:tc>
          <w:tcPr>
            <w:tcW w:w="1637" w:type="dxa"/>
            <w:tcBorders>
              <w:top w:val="single" w:sz="4" w:space="0" w:color="auto"/>
              <w:left w:val="nil"/>
              <w:bottom w:val="single" w:sz="4" w:space="0" w:color="auto"/>
              <w:right w:val="single" w:sz="4" w:space="0" w:color="auto"/>
            </w:tcBorders>
            <w:shd w:val="clear" w:color="000000" w:fill="FFFFFF"/>
          </w:tcPr>
          <w:p w14:paraId="6789EBF2" w14:textId="77777777" w:rsidR="00061B3C" w:rsidRDefault="00BF3EF3" w:rsidP="00733088">
            <w:pPr>
              <w:jc w:val="center"/>
              <w:rPr>
                <w:rFonts w:ascii="Arial (W1)" w:hAnsi="Arial (W1)" w:cs="Arial"/>
                <w:sz w:val="20"/>
                <w:lang w:eastAsia="en-GB"/>
              </w:rPr>
            </w:pPr>
            <w:r>
              <w:rPr>
                <w:rFonts w:ascii="Arial (W1)" w:hAnsi="Arial (W1)" w:cs="Arial"/>
                <w:sz w:val="20"/>
                <w:lang w:eastAsia="en-GB"/>
              </w:rPr>
              <w:t xml:space="preserve">1.5% </w:t>
            </w:r>
          </w:p>
          <w:p w14:paraId="312D9482" w14:textId="77777777" w:rsidR="00BF3EF3" w:rsidRPr="00733088" w:rsidRDefault="00BF3EF3" w:rsidP="00733088">
            <w:pPr>
              <w:jc w:val="center"/>
              <w:rPr>
                <w:rFonts w:ascii="Arial (W1)" w:hAnsi="Arial (W1)" w:cs="Arial"/>
                <w:sz w:val="20"/>
                <w:lang w:eastAsia="en-GB"/>
              </w:rPr>
            </w:pPr>
          </w:p>
        </w:tc>
        <w:tc>
          <w:tcPr>
            <w:tcW w:w="1559" w:type="dxa"/>
            <w:tcBorders>
              <w:top w:val="single" w:sz="4" w:space="0" w:color="auto"/>
              <w:left w:val="nil"/>
              <w:bottom w:val="single" w:sz="4" w:space="0" w:color="auto"/>
              <w:right w:val="single" w:sz="4" w:space="0" w:color="auto"/>
            </w:tcBorders>
            <w:shd w:val="clear" w:color="000000" w:fill="FFFFFF"/>
          </w:tcPr>
          <w:p w14:paraId="3CA700CA" w14:textId="77777777" w:rsidR="00061B3C" w:rsidRPr="00733088" w:rsidRDefault="00BF3EF3" w:rsidP="00733088">
            <w:pPr>
              <w:jc w:val="center"/>
              <w:rPr>
                <w:rFonts w:ascii="Arial (W1)" w:hAnsi="Arial (W1)" w:cs="Arial"/>
                <w:sz w:val="20"/>
                <w:lang w:eastAsia="en-GB"/>
              </w:rPr>
            </w:pPr>
            <w:r>
              <w:rPr>
                <w:rFonts w:ascii="Arial (W1)" w:hAnsi="Arial (W1)" w:cs="Arial"/>
                <w:sz w:val="20"/>
                <w:lang w:eastAsia="en-GB"/>
              </w:rPr>
              <w:t>1.5%</w:t>
            </w:r>
          </w:p>
        </w:tc>
        <w:tc>
          <w:tcPr>
            <w:tcW w:w="1418" w:type="dxa"/>
            <w:tcBorders>
              <w:top w:val="single" w:sz="4" w:space="0" w:color="auto"/>
              <w:left w:val="nil"/>
              <w:bottom w:val="single" w:sz="4" w:space="0" w:color="auto"/>
              <w:right w:val="single" w:sz="4" w:space="0" w:color="auto"/>
            </w:tcBorders>
            <w:shd w:val="clear" w:color="000000" w:fill="FFFFFF"/>
          </w:tcPr>
          <w:p w14:paraId="6DD61CBF" w14:textId="77777777" w:rsidR="00061B3C" w:rsidRPr="00733088" w:rsidRDefault="00BF3EF3" w:rsidP="00061B3C">
            <w:pPr>
              <w:jc w:val="center"/>
              <w:rPr>
                <w:rFonts w:ascii="Arial (W1)" w:hAnsi="Arial (W1)" w:cs="Arial"/>
                <w:sz w:val="20"/>
                <w:lang w:eastAsia="en-GB"/>
              </w:rPr>
            </w:pPr>
            <w:r>
              <w:rPr>
                <w:rFonts w:ascii="Arial (W1)" w:hAnsi="Arial (W1)" w:cs="Arial"/>
                <w:sz w:val="20"/>
                <w:lang w:eastAsia="en-GB"/>
              </w:rPr>
              <w:t>1.5%</w:t>
            </w:r>
          </w:p>
        </w:tc>
        <w:tc>
          <w:tcPr>
            <w:tcW w:w="1842" w:type="dxa"/>
            <w:gridSpan w:val="2"/>
            <w:tcBorders>
              <w:top w:val="single" w:sz="4" w:space="0" w:color="auto"/>
              <w:left w:val="nil"/>
              <w:bottom w:val="single" w:sz="4" w:space="0" w:color="auto"/>
              <w:right w:val="single" w:sz="4" w:space="0" w:color="auto"/>
            </w:tcBorders>
            <w:shd w:val="clear" w:color="000000" w:fill="FFFFFF"/>
          </w:tcPr>
          <w:p w14:paraId="4A19C3A5" w14:textId="77777777" w:rsidR="00061B3C" w:rsidRPr="00733088" w:rsidRDefault="00BF3EF3" w:rsidP="00733088">
            <w:pPr>
              <w:jc w:val="center"/>
              <w:rPr>
                <w:rFonts w:ascii="Arial (W1)" w:hAnsi="Arial (W1)" w:cs="Arial"/>
                <w:sz w:val="20"/>
                <w:lang w:eastAsia="en-GB"/>
              </w:rPr>
            </w:pPr>
            <w:r>
              <w:rPr>
                <w:rFonts w:ascii="Arial (W1)" w:hAnsi="Arial (W1)" w:cs="Arial"/>
                <w:sz w:val="20"/>
                <w:lang w:eastAsia="en-GB"/>
              </w:rPr>
              <w:t>24.1%</w:t>
            </w:r>
          </w:p>
        </w:tc>
        <w:tc>
          <w:tcPr>
            <w:tcW w:w="1701" w:type="dxa"/>
            <w:tcBorders>
              <w:top w:val="single" w:sz="4" w:space="0" w:color="auto"/>
              <w:left w:val="nil"/>
              <w:bottom w:val="single" w:sz="4" w:space="0" w:color="auto"/>
              <w:right w:val="single" w:sz="4" w:space="0" w:color="auto"/>
            </w:tcBorders>
            <w:shd w:val="clear" w:color="000000" w:fill="FFFFFF"/>
          </w:tcPr>
          <w:p w14:paraId="59737F4F" w14:textId="77777777" w:rsidR="00061B3C" w:rsidRPr="00733088" w:rsidRDefault="00BF3EF3" w:rsidP="00733088">
            <w:pPr>
              <w:jc w:val="center"/>
              <w:rPr>
                <w:rFonts w:ascii="Arial (W1)" w:hAnsi="Arial (W1)" w:cs="Arial"/>
                <w:sz w:val="20"/>
                <w:lang w:eastAsia="en-GB"/>
              </w:rPr>
            </w:pPr>
            <w:r>
              <w:rPr>
                <w:rFonts w:ascii="Arial (W1)" w:hAnsi="Arial (W1)" w:cs="Arial"/>
                <w:sz w:val="20"/>
                <w:lang w:eastAsia="en-GB"/>
              </w:rPr>
              <w:t>24.1%</w:t>
            </w:r>
          </w:p>
        </w:tc>
        <w:tc>
          <w:tcPr>
            <w:tcW w:w="1418" w:type="dxa"/>
            <w:gridSpan w:val="2"/>
            <w:tcBorders>
              <w:top w:val="single" w:sz="4" w:space="0" w:color="auto"/>
              <w:left w:val="nil"/>
              <w:bottom w:val="single" w:sz="4" w:space="0" w:color="auto"/>
              <w:right w:val="single" w:sz="4" w:space="0" w:color="auto"/>
            </w:tcBorders>
            <w:shd w:val="clear" w:color="000000" w:fill="FFFFFF"/>
          </w:tcPr>
          <w:p w14:paraId="3EE7E8E5" w14:textId="77777777" w:rsidR="00061B3C" w:rsidRPr="00733088" w:rsidRDefault="00BF3EF3" w:rsidP="00733088">
            <w:pPr>
              <w:jc w:val="center"/>
              <w:rPr>
                <w:rFonts w:ascii="Arial (W1)" w:hAnsi="Arial (W1)" w:cs="Arial"/>
                <w:sz w:val="20"/>
                <w:lang w:eastAsia="en-GB"/>
              </w:rPr>
            </w:pPr>
            <w:r>
              <w:rPr>
                <w:rFonts w:ascii="Arial (W1)" w:hAnsi="Arial (W1)" w:cs="Arial"/>
                <w:sz w:val="20"/>
                <w:lang w:eastAsia="en-GB"/>
              </w:rPr>
              <w:t>24.1%</w:t>
            </w:r>
          </w:p>
        </w:tc>
      </w:tr>
      <w:tr w:rsidR="00BF3EF3" w:rsidRPr="008376B7" w14:paraId="6C3EE601" w14:textId="77777777" w:rsidTr="001D1565">
        <w:trPr>
          <w:trHeight w:val="615"/>
        </w:trPr>
        <w:tc>
          <w:tcPr>
            <w:tcW w:w="4400" w:type="dxa"/>
            <w:gridSpan w:val="2"/>
            <w:tcBorders>
              <w:top w:val="single" w:sz="4" w:space="0" w:color="auto"/>
              <w:left w:val="single" w:sz="4" w:space="0" w:color="auto"/>
              <w:bottom w:val="single" w:sz="4" w:space="0" w:color="auto"/>
              <w:right w:val="single" w:sz="4" w:space="0" w:color="auto"/>
            </w:tcBorders>
            <w:shd w:val="clear" w:color="000000" w:fill="FFFFFF"/>
          </w:tcPr>
          <w:p w14:paraId="2B606911" w14:textId="77777777" w:rsidR="00BF3EF3" w:rsidRDefault="00BF3EF3" w:rsidP="00733088">
            <w:pPr>
              <w:rPr>
                <w:rFonts w:ascii="Arial (W1)" w:hAnsi="Arial (W1)" w:cs="Arial"/>
                <w:sz w:val="20"/>
                <w:lang w:eastAsia="en-GB"/>
              </w:rPr>
            </w:pPr>
            <w:r>
              <w:rPr>
                <w:rFonts w:ascii="Arial (W1)" w:hAnsi="Arial (W1)" w:cs="Arial"/>
                <w:sz w:val="20"/>
                <w:lang w:eastAsia="en-GB"/>
              </w:rPr>
              <w:t>Swansea Bay Port Health Authority</w:t>
            </w:r>
          </w:p>
        </w:tc>
        <w:tc>
          <w:tcPr>
            <w:tcW w:w="2180" w:type="dxa"/>
            <w:gridSpan w:val="2"/>
            <w:tcBorders>
              <w:top w:val="single" w:sz="4" w:space="0" w:color="auto"/>
              <w:left w:val="nil"/>
              <w:bottom w:val="single" w:sz="4" w:space="0" w:color="auto"/>
              <w:right w:val="single" w:sz="4" w:space="0" w:color="auto"/>
            </w:tcBorders>
            <w:shd w:val="clear" w:color="000000" w:fill="FFFFFF"/>
          </w:tcPr>
          <w:p w14:paraId="2CAB7716" w14:textId="77777777" w:rsidR="00BF3EF3" w:rsidRDefault="00BF3EF3" w:rsidP="00C57283">
            <w:pPr>
              <w:jc w:val="center"/>
              <w:rPr>
                <w:rFonts w:ascii="Arial (W1)" w:hAnsi="Arial (W1)" w:cs="Arial"/>
                <w:sz w:val="20"/>
                <w:lang w:eastAsia="en-GB"/>
              </w:rPr>
            </w:pPr>
            <w:r>
              <w:rPr>
                <w:rFonts w:ascii="Arial (W1)" w:hAnsi="Arial (W1)" w:cs="Arial"/>
                <w:sz w:val="20"/>
                <w:lang w:eastAsia="en-GB"/>
              </w:rPr>
              <w:t>2</w:t>
            </w:r>
            <w:r w:rsidR="00C57283">
              <w:rPr>
                <w:rFonts w:ascii="Arial (W1)" w:hAnsi="Arial (W1)" w:cs="Arial"/>
                <w:sz w:val="20"/>
                <w:lang w:eastAsia="en-GB"/>
              </w:rPr>
              <w:t>5</w:t>
            </w:r>
            <w:r>
              <w:rPr>
                <w:rFonts w:ascii="Arial (W1)" w:hAnsi="Arial (W1)" w:cs="Arial"/>
                <w:sz w:val="20"/>
                <w:lang w:eastAsia="en-GB"/>
              </w:rPr>
              <w:t>.4%</w:t>
            </w:r>
          </w:p>
        </w:tc>
        <w:tc>
          <w:tcPr>
            <w:tcW w:w="1637" w:type="dxa"/>
            <w:tcBorders>
              <w:top w:val="single" w:sz="4" w:space="0" w:color="auto"/>
              <w:left w:val="nil"/>
              <w:bottom w:val="single" w:sz="4" w:space="0" w:color="auto"/>
              <w:right w:val="single" w:sz="4" w:space="0" w:color="auto"/>
            </w:tcBorders>
            <w:shd w:val="clear" w:color="000000" w:fill="FFFFFF"/>
          </w:tcPr>
          <w:p w14:paraId="49044C87" w14:textId="77777777" w:rsidR="00BF3EF3" w:rsidRDefault="00BF3EF3" w:rsidP="00733088">
            <w:pPr>
              <w:jc w:val="center"/>
              <w:rPr>
                <w:rFonts w:ascii="Arial (W1)" w:hAnsi="Arial (W1)" w:cs="Arial"/>
                <w:sz w:val="20"/>
                <w:lang w:eastAsia="en-GB"/>
              </w:rPr>
            </w:pPr>
            <w:r>
              <w:rPr>
                <w:rFonts w:ascii="Arial (W1)" w:hAnsi="Arial (W1)" w:cs="Arial"/>
                <w:sz w:val="20"/>
                <w:lang w:eastAsia="en-GB"/>
              </w:rPr>
              <w:t>1.5% plus</w:t>
            </w:r>
          </w:p>
          <w:p w14:paraId="44F8A019" w14:textId="77777777" w:rsidR="00BF3EF3" w:rsidRDefault="00BF3EF3" w:rsidP="00733088">
            <w:pPr>
              <w:jc w:val="center"/>
              <w:rPr>
                <w:rFonts w:ascii="Arial (W1)" w:hAnsi="Arial (W1)" w:cs="Arial"/>
                <w:sz w:val="20"/>
                <w:lang w:eastAsia="en-GB"/>
              </w:rPr>
            </w:pPr>
            <w:r>
              <w:rPr>
                <w:rFonts w:ascii="Arial (W1)" w:hAnsi="Arial (W1)" w:cs="Arial"/>
                <w:sz w:val="20"/>
                <w:lang w:eastAsia="en-GB"/>
              </w:rPr>
              <w:t>£6,900</w:t>
            </w:r>
          </w:p>
        </w:tc>
        <w:tc>
          <w:tcPr>
            <w:tcW w:w="1559" w:type="dxa"/>
            <w:tcBorders>
              <w:top w:val="single" w:sz="4" w:space="0" w:color="auto"/>
              <w:left w:val="nil"/>
              <w:bottom w:val="single" w:sz="4" w:space="0" w:color="auto"/>
              <w:right w:val="single" w:sz="4" w:space="0" w:color="auto"/>
            </w:tcBorders>
            <w:shd w:val="clear" w:color="000000" w:fill="FFFFFF"/>
          </w:tcPr>
          <w:p w14:paraId="1122BCBF" w14:textId="77777777" w:rsidR="00BF3EF3" w:rsidRDefault="00BF3EF3" w:rsidP="00733088">
            <w:pPr>
              <w:jc w:val="center"/>
              <w:rPr>
                <w:rFonts w:ascii="Arial (W1)" w:hAnsi="Arial (W1)" w:cs="Arial"/>
                <w:sz w:val="20"/>
                <w:lang w:eastAsia="en-GB"/>
              </w:rPr>
            </w:pPr>
            <w:r>
              <w:rPr>
                <w:rFonts w:ascii="Arial (W1)" w:hAnsi="Arial (W1)" w:cs="Arial"/>
                <w:sz w:val="20"/>
                <w:lang w:eastAsia="en-GB"/>
              </w:rPr>
              <w:t>1.5% plus</w:t>
            </w:r>
          </w:p>
          <w:p w14:paraId="7CAFA0CF" w14:textId="77777777" w:rsidR="00BF3EF3" w:rsidRDefault="00BF3EF3" w:rsidP="00733088">
            <w:pPr>
              <w:jc w:val="center"/>
              <w:rPr>
                <w:rFonts w:ascii="Arial (W1)" w:hAnsi="Arial (W1)" w:cs="Arial"/>
                <w:sz w:val="20"/>
                <w:lang w:eastAsia="en-GB"/>
              </w:rPr>
            </w:pPr>
            <w:r>
              <w:rPr>
                <w:rFonts w:ascii="Arial (W1)" w:hAnsi="Arial (W1)" w:cs="Arial"/>
                <w:sz w:val="20"/>
                <w:lang w:eastAsia="en-GB"/>
              </w:rPr>
              <w:t>£7,200</w:t>
            </w:r>
          </w:p>
        </w:tc>
        <w:tc>
          <w:tcPr>
            <w:tcW w:w="1418" w:type="dxa"/>
            <w:tcBorders>
              <w:top w:val="single" w:sz="4" w:space="0" w:color="auto"/>
              <w:left w:val="nil"/>
              <w:bottom w:val="single" w:sz="4" w:space="0" w:color="auto"/>
              <w:right w:val="single" w:sz="4" w:space="0" w:color="auto"/>
            </w:tcBorders>
            <w:shd w:val="clear" w:color="000000" w:fill="FFFFFF"/>
          </w:tcPr>
          <w:p w14:paraId="78B91297" w14:textId="77777777" w:rsidR="00BF3EF3" w:rsidRDefault="00BF3EF3" w:rsidP="00061B3C">
            <w:pPr>
              <w:jc w:val="center"/>
              <w:rPr>
                <w:rFonts w:ascii="Arial (W1)" w:hAnsi="Arial (W1)" w:cs="Arial"/>
                <w:sz w:val="20"/>
                <w:lang w:eastAsia="en-GB"/>
              </w:rPr>
            </w:pPr>
            <w:r>
              <w:rPr>
                <w:rFonts w:ascii="Arial (W1)" w:hAnsi="Arial (W1)" w:cs="Arial"/>
                <w:sz w:val="20"/>
                <w:lang w:eastAsia="en-GB"/>
              </w:rPr>
              <w:t>1.5% plus</w:t>
            </w:r>
          </w:p>
          <w:p w14:paraId="6F0B328C" w14:textId="77777777" w:rsidR="00BF3EF3" w:rsidRDefault="00BF3EF3" w:rsidP="00061B3C">
            <w:pPr>
              <w:jc w:val="center"/>
              <w:rPr>
                <w:rFonts w:ascii="Arial (W1)" w:hAnsi="Arial (W1)" w:cs="Arial"/>
                <w:sz w:val="20"/>
                <w:lang w:eastAsia="en-GB"/>
              </w:rPr>
            </w:pPr>
            <w:r>
              <w:rPr>
                <w:rFonts w:ascii="Arial (W1)" w:hAnsi="Arial (W1)" w:cs="Arial"/>
                <w:sz w:val="20"/>
                <w:lang w:eastAsia="en-GB"/>
              </w:rPr>
              <w:t>7,400</w:t>
            </w:r>
          </w:p>
        </w:tc>
        <w:tc>
          <w:tcPr>
            <w:tcW w:w="1842" w:type="dxa"/>
            <w:gridSpan w:val="2"/>
            <w:tcBorders>
              <w:top w:val="single" w:sz="4" w:space="0" w:color="auto"/>
              <w:left w:val="nil"/>
              <w:bottom w:val="single" w:sz="4" w:space="0" w:color="auto"/>
              <w:right w:val="single" w:sz="4" w:space="0" w:color="auto"/>
            </w:tcBorders>
            <w:shd w:val="clear" w:color="000000" w:fill="FFFFFF"/>
          </w:tcPr>
          <w:p w14:paraId="1B9F2344" w14:textId="77777777" w:rsidR="00BF3EF3" w:rsidRDefault="00BF3EF3" w:rsidP="00733088">
            <w:pPr>
              <w:jc w:val="center"/>
              <w:rPr>
                <w:rFonts w:ascii="Arial (W1)" w:hAnsi="Arial (W1)" w:cs="Arial"/>
                <w:sz w:val="20"/>
                <w:lang w:eastAsia="en-GB"/>
              </w:rPr>
            </w:pPr>
            <w:r>
              <w:rPr>
                <w:rFonts w:ascii="Arial (W1)" w:hAnsi="Arial (W1)" w:cs="Arial"/>
                <w:sz w:val="20"/>
                <w:lang w:eastAsia="en-GB"/>
              </w:rPr>
              <w:t>26.9% plus</w:t>
            </w:r>
          </w:p>
          <w:p w14:paraId="4318ABAA" w14:textId="77777777" w:rsidR="00BF3EF3" w:rsidRDefault="00BF3EF3" w:rsidP="00733088">
            <w:pPr>
              <w:jc w:val="center"/>
              <w:rPr>
                <w:rFonts w:ascii="Arial (W1)" w:hAnsi="Arial (W1)" w:cs="Arial"/>
                <w:sz w:val="20"/>
                <w:lang w:eastAsia="en-GB"/>
              </w:rPr>
            </w:pPr>
            <w:r>
              <w:rPr>
                <w:rFonts w:ascii="Arial (W1)" w:hAnsi="Arial (W1)" w:cs="Arial"/>
                <w:sz w:val="20"/>
                <w:lang w:eastAsia="en-GB"/>
              </w:rPr>
              <w:t>£6,900</w:t>
            </w:r>
          </w:p>
        </w:tc>
        <w:tc>
          <w:tcPr>
            <w:tcW w:w="1701" w:type="dxa"/>
            <w:tcBorders>
              <w:top w:val="single" w:sz="4" w:space="0" w:color="auto"/>
              <w:left w:val="nil"/>
              <w:bottom w:val="single" w:sz="4" w:space="0" w:color="auto"/>
              <w:right w:val="single" w:sz="4" w:space="0" w:color="auto"/>
            </w:tcBorders>
            <w:shd w:val="clear" w:color="000000" w:fill="FFFFFF"/>
          </w:tcPr>
          <w:p w14:paraId="247E68EF" w14:textId="77777777" w:rsidR="00BF3EF3" w:rsidRDefault="00BF3EF3" w:rsidP="00733088">
            <w:pPr>
              <w:jc w:val="center"/>
              <w:rPr>
                <w:rFonts w:ascii="Arial (W1)" w:hAnsi="Arial (W1)" w:cs="Arial"/>
                <w:sz w:val="20"/>
                <w:lang w:eastAsia="en-GB"/>
              </w:rPr>
            </w:pPr>
            <w:r>
              <w:rPr>
                <w:rFonts w:ascii="Arial (W1)" w:hAnsi="Arial (W1)" w:cs="Arial"/>
                <w:sz w:val="20"/>
                <w:lang w:eastAsia="en-GB"/>
              </w:rPr>
              <w:t>26.9% plus</w:t>
            </w:r>
          </w:p>
          <w:p w14:paraId="208C59F0" w14:textId="77777777" w:rsidR="00BF3EF3" w:rsidRDefault="00BF3EF3" w:rsidP="00733088">
            <w:pPr>
              <w:jc w:val="center"/>
              <w:rPr>
                <w:rFonts w:ascii="Arial (W1)" w:hAnsi="Arial (W1)" w:cs="Arial"/>
                <w:sz w:val="20"/>
                <w:lang w:eastAsia="en-GB"/>
              </w:rPr>
            </w:pPr>
            <w:r>
              <w:rPr>
                <w:rFonts w:ascii="Arial (W1)" w:hAnsi="Arial (W1)" w:cs="Arial"/>
                <w:sz w:val="20"/>
                <w:lang w:eastAsia="en-GB"/>
              </w:rPr>
              <w:t>£7,200</w:t>
            </w:r>
          </w:p>
        </w:tc>
        <w:tc>
          <w:tcPr>
            <w:tcW w:w="1418" w:type="dxa"/>
            <w:gridSpan w:val="2"/>
            <w:tcBorders>
              <w:top w:val="single" w:sz="4" w:space="0" w:color="auto"/>
              <w:left w:val="nil"/>
              <w:bottom w:val="single" w:sz="4" w:space="0" w:color="auto"/>
              <w:right w:val="single" w:sz="4" w:space="0" w:color="auto"/>
            </w:tcBorders>
            <w:shd w:val="clear" w:color="000000" w:fill="FFFFFF"/>
          </w:tcPr>
          <w:p w14:paraId="4363201B" w14:textId="77777777" w:rsidR="00BF3EF3" w:rsidRDefault="00BF3EF3" w:rsidP="00733088">
            <w:pPr>
              <w:jc w:val="center"/>
              <w:rPr>
                <w:rFonts w:ascii="Arial (W1)" w:hAnsi="Arial (W1)" w:cs="Arial"/>
                <w:sz w:val="20"/>
                <w:lang w:eastAsia="en-GB"/>
              </w:rPr>
            </w:pPr>
            <w:r>
              <w:rPr>
                <w:rFonts w:ascii="Arial (W1)" w:hAnsi="Arial (W1)" w:cs="Arial"/>
                <w:sz w:val="20"/>
                <w:lang w:eastAsia="en-GB"/>
              </w:rPr>
              <w:t>26.9% plus</w:t>
            </w:r>
          </w:p>
          <w:p w14:paraId="4CD3966E" w14:textId="77777777" w:rsidR="00BF3EF3" w:rsidRDefault="00BF3EF3" w:rsidP="00733088">
            <w:pPr>
              <w:jc w:val="center"/>
              <w:rPr>
                <w:rFonts w:ascii="Arial (W1)" w:hAnsi="Arial (W1)" w:cs="Arial"/>
                <w:sz w:val="20"/>
                <w:lang w:eastAsia="en-GB"/>
              </w:rPr>
            </w:pPr>
            <w:r>
              <w:rPr>
                <w:rFonts w:ascii="Arial (W1)" w:hAnsi="Arial (W1)" w:cs="Arial"/>
                <w:sz w:val="20"/>
                <w:lang w:eastAsia="en-GB"/>
              </w:rPr>
              <w:t>7,400</w:t>
            </w:r>
          </w:p>
        </w:tc>
      </w:tr>
      <w:tr w:rsidR="00BF3EF3" w:rsidRPr="008376B7" w14:paraId="3215A61D" w14:textId="77777777" w:rsidTr="001D1565">
        <w:trPr>
          <w:trHeight w:val="615"/>
        </w:trPr>
        <w:tc>
          <w:tcPr>
            <w:tcW w:w="4400" w:type="dxa"/>
            <w:gridSpan w:val="2"/>
            <w:tcBorders>
              <w:top w:val="single" w:sz="4" w:space="0" w:color="auto"/>
              <w:left w:val="single" w:sz="4" w:space="0" w:color="auto"/>
              <w:bottom w:val="single" w:sz="4" w:space="0" w:color="auto"/>
              <w:right w:val="single" w:sz="4" w:space="0" w:color="auto"/>
            </w:tcBorders>
            <w:shd w:val="clear" w:color="000000" w:fill="FFFFFF"/>
          </w:tcPr>
          <w:p w14:paraId="440AB1B8" w14:textId="77777777" w:rsidR="00BF3EF3" w:rsidRDefault="00BF3EF3" w:rsidP="00733088">
            <w:pPr>
              <w:rPr>
                <w:rFonts w:ascii="Arial (W1)" w:hAnsi="Arial (W1)" w:cs="Arial"/>
                <w:sz w:val="20"/>
                <w:lang w:eastAsia="en-GB"/>
              </w:rPr>
            </w:pPr>
            <w:r>
              <w:rPr>
                <w:rFonts w:ascii="Arial (W1)" w:hAnsi="Arial (W1)" w:cs="Arial"/>
                <w:sz w:val="20"/>
                <w:lang w:eastAsia="en-GB"/>
              </w:rPr>
              <w:t>Ystalyfera Community Council</w:t>
            </w:r>
          </w:p>
        </w:tc>
        <w:tc>
          <w:tcPr>
            <w:tcW w:w="2180" w:type="dxa"/>
            <w:gridSpan w:val="2"/>
            <w:tcBorders>
              <w:top w:val="single" w:sz="4" w:space="0" w:color="auto"/>
              <w:left w:val="nil"/>
              <w:bottom w:val="single" w:sz="4" w:space="0" w:color="auto"/>
              <w:right w:val="single" w:sz="4" w:space="0" w:color="auto"/>
            </w:tcBorders>
            <w:shd w:val="clear" w:color="000000" w:fill="FFFFFF"/>
          </w:tcPr>
          <w:p w14:paraId="6950B556" w14:textId="77777777" w:rsidR="00BF3EF3" w:rsidRDefault="00BF3EF3" w:rsidP="00733088">
            <w:pPr>
              <w:jc w:val="center"/>
              <w:rPr>
                <w:rFonts w:ascii="Arial (W1)" w:hAnsi="Arial (W1)" w:cs="Arial"/>
                <w:sz w:val="20"/>
                <w:lang w:eastAsia="en-GB"/>
              </w:rPr>
            </w:pPr>
            <w:r>
              <w:rPr>
                <w:rFonts w:ascii="Arial (W1)" w:hAnsi="Arial (W1)" w:cs="Arial"/>
                <w:sz w:val="20"/>
                <w:lang w:eastAsia="en-GB"/>
              </w:rPr>
              <w:t>22.6%</w:t>
            </w:r>
          </w:p>
        </w:tc>
        <w:tc>
          <w:tcPr>
            <w:tcW w:w="1637" w:type="dxa"/>
            <w:tcBorders>
              <w:top w:val="single" w:sz="4" w:space="0" w:color="auto"/>
              <w:left w:val="nil"/>
              <w:bottom w:val="single" w:sz="4" w:space="0" w:color="auto"/>
              <w:right w:val="single" w:sz="4" w:space="0" w:color="auto"/>
            </w:tcBorders>
            <w:shd w:val="clear" w:color="000000" w:fill="FFFFFF"/>
          </w:tcPr>
          <w:p w14:paraId="584987BF" w14:textId="77777777" w:rsidR="00BF3EF3" w:rsidRDefault="00BF3EF3" w:rsidP="00733088">
            <w:pPr>
              <w:jc w:val="center"/>
              <w:rPr>
                <w:rFonts w:ascii="Arial (W1)" w:hAnsi="Arial (W1)" w:cs="Arial"/>
                <w:sz w:val="20"/>
                <w:lang w:eastAsia="en-GB"/>
              </w:rPr>
            </w:pPr>
            <w:r>
              <w:rPr>
                <w:rFonts w:ascii="Arial (W1)" w:hAnsi="Arial (W1)" w:cs="Arial"/>
                <w:sz w:val="20"/>
                <w:lang w:eastAsia="en-GB"/>
              </w:rPr>
              <w:t>1.5%</w:t>
            </w:r>
          </w:p>
        </w:tc>
        <w:tc>
          <w:tcPr>
            <w:tcW w:w="1559" w:type="dxa"/>
            <w:tcBorders>
              <w:top w:val="single" w:sz="4" w:space="0" w:color="auto"/>
              <w:left w:val="nil"/>
              <w:bottom w:val="single" w:sz="4" w:space="0" w:color="auto"/>
              <w:right w:val="single" w:sz="4" w:space="0" w:color="auto"/>
            </w:tcBorders>
            <w:shd w:val="clear" w:color="000000" w:fill="FFFFFF"/>
          </w:tcPr>
          <w:p w14:paraId="17E98C9F" w14:textId="77777777" w:rsidR="00BF3EF3" w:rsidRDefault="00BF3EF3" w:rsidP="00733088">
            <w:pPr>
              <w:jc w:val="center"/>
              <w:rPr>
                <w:rFonts w:ascii="Arial (W1)" w:hAnsi="Arial (W1)" w:cs="Arial"/>
                <w:sz w:val="20"/>
                <w:lang w:eastAsia="en-GB"/>
              </w:rPr>
            </w:pPr>
            <w:r>
              <w:rPr>
                <w:rFonts w:ascii="Arial (W1)" w:hAnsi="Arial (W1)" w:cs="Arial"/>
                <w:sz w:val="20"/>
                <w:lang w:eastAsia="en-GB"/>
              </w:rPr>
              <w:t>1.5%</w:t>
            </w:r>
          </w:p>
        </w:tc>
        <w:tc>
          <w:tcPr>
            <w:tcW w:w="1418" w:type="dxa"/>
            <w:tcBorders>
              <w:top w:val="single" w:sz="4" w:space="0" w:color="auto"/>
              <w:left w:val="nil"/>
              <w:bottom w:val="single" w:sz="4" w:space="0" w:color="auto"/>
              <w:right w:val="single" w:sz="4" w:space="0" w:color="auto"/>
            </w:tcBorders>
            <w:shd w:val="clear" w:color="000000" w:fill="FFFFFF"/>
          </w:tcPr>
          <w:p w14:paraId="75C46841" w14:textId="77777777" w:rsidR="00BF3EF3" w:rsidRDefault="00BF3EF3" w:rsidP="00061B3C">
            <w:pPr>
              <w:jc w:val="center"/>
              <w:rPr>
                <w:rFonts w:ascii="Arial (W1)" w:hAnsi="Arial (W1)" w:cs="Arial"/>
                <w:sz w:val="20"/>
                <w:lang w:eastAsia="en-GB"/>
              </w:rPr>
            </w:pPr>
            <w:r>
              <w:rPr>
                <w:rFonts w:ascii="Arial (W1)" w:hAnsi="Arial (W1)" w:cs="Arial"/>
                <w:sz w:val="20"/>
                <w:lang w:eastAsia="en-GB"/>
              </w:rPr>
              <w:t>1.5%</w:t>
            </w:r>
          </w:p>
        </w:tc>
        <w:tc>
          <w:tcPr>
            <w:tcW w:w="1842" w:type="dxa"/>
            <w:gridSpan w:val="2"/>
            <w:tcBorders>
              <w:top w:val="single" w:sz="4" w:space="0" w:color="auto"/>
              <w:left w:val="nil"/>
              <w:bottom w:val="single" w:sz="4" w:space="0" w:color="auto"/>
              <w:right w:val="single" w:sz="4" w:space="0" w:color="auto"/>
            </w:tcBorders>
            <w:shd w:val="clear" w:color="000000" w:fill="FFFFFF"/>
          </w:tcPr>
          <w:p w14:paraId="0AE0842C" w14:textId="77777777" w:rsidR="00BF3EF3" w:rsidRDefault="00BF3EF3" w:rsidP="00733088">
            <w:pPr>
              <w:jc w:val="center"/>
              <w:rPr>
                <w:rFonts w:ascii="Arial (W1)" w:hAnsi="Arial (W1)" w:cs="Arial"/>
                <w:sz w:val="20"/>
                <w:lang w:eastAsia="en-GB"/>
              </w:rPr>
            </w:pPr>
            <w:r>
              <w:rPr>
                <w:rFonts w:ascii="Arial (W1)" w:hAnsi="Arial (W1)" w:cs="Arial"/>
                <w:sz w:val="20"/>
                <w:lang w:eastAsia="en-GB"/>
              </w:rPr>
              <w:t>24.1%</w:t>
            </w:r>
          </w:p>
        </w:tc>
        <w:tc>
          <w:tcPr>
            <w:tcW w:w="1701" w:type="dxa"/>
            <w:tcBorders>
              <w:top w:val="single" w:sz="4" w:space="0" w:color="auto"/>
              <w:left w:val="nil"/>
              <w:bottom w:val="single" w:sz="4" w:space="0" w:color="auto"/>
              <w:right w:val="single" w:sz="4" w:space="0" w:color="auto"/>
            </w:tcBorders>
            <w:shd w:val="clear" w:color="000000" w:fill="FFFFFF"/>
          </w:tcPr>
          <w:p w14:paraId="623B3784" w14:textId="77777777" w:rsidR="00BF3EF3" w:rsidRDefault="00BF3EF3" w:rsidP="00733088">
            <w:pPr>
              <w:jc w:val="center"/>
              <w:rPr>
                <w:rFonts w:ascii="Arial (W1)" w:hAnsi="Arial (W1)" w:cs="Arial"/>
                <w:sz w:val="20"/>
                <w:lang w:eastAsia="en-GB"/>
              </w:rPr>
            </w:pPr>
            <w:r>
              <w:rPr>
                <w:rFonts w:ascii="Arial (W1)" w:hAnsi="Arial (W1)" w:cs="Arial"/>
                <w:sz w:val="20"/>
                <w:lang w:eastAsia="en-GB"/>
              </w:rPr>
              <w:t>24.1%</w:t>
            </w:r>
          </w:p>
        </w:tc>
        <w:tc>
          <w:tcPr>
            <w:tcW w:w="1418" w:type="dxa"/>
            <w:gridSpan w:val="2"/>
            <w:tcBorders>
              <w:top w:val="single" w:sz="4" w:space="0" w:color="auto"/>
              <w:left w:val="nil"/>
              <w:bottom w:val="single" w:sz="4" w:space="0" w:color="auto"/>
              <w:right w:val="single" w:sz="4" w:space="0" w:color="auto"/>
            </w:tcBorders>
            <w:shd w:val="clear" w:color="000000" w:fill="FFFFFF"/>
          </w:tcPr>
          <w:p w14:paraId="14CDB140" w14:textId="77777777" w:rsidR="00BF3EF3" w:rsidRDefault="00BF3EF3" w:rsidP="00733088">
            <w:pPr>
              <w:jc w:val="center"/>
              <w:rPr>
                <w:rFonts w:ascii="Arial (W1)" w:hAnsi="Arial (W1)" w:cs="Arial"/>
                <w:sz w:val="20"/>
                <w:lang w:eastAsia="en-GB"/>
              </w:rPr>
            </w:pPr>
            <w:r>
              <w:rPr>
                <w:rFonts w:ascii="Arial (W1)" w:hAnsi="Arial (W1)" w:cs="Arial"/>
                <w:sz w:val="20"/>
                <w:lang w:eastAsia="en-GB"/>
              </w:rPr>
              <w:t>24.1%</w:t>
            </w:r>
          </w:p>
        </w:tc>
      </w:tr>
      <w:tr w:rsidR="00DE4E97" w:rsidRPr="00DE4E97" w14:paraId="24626AEC" w14:textId="77777777" w:rsidTr="001D1565">
        <w:trPr>
          <w:trHeight w:val="405"/>
        </w:trPr>
        <w:tc>
          <w:tcPr>
            <w:tcW w:w="16155" w:type="dxa"/>
            <w:gridSpan w:val="12"/>
            <w:tcBorders>
              <w:top w:val="single" w:sz="4" w:space="0" w:color="auto"/>
              <w:left w:val="single" w:sz="4" w:space="0" w:color="auto"/>
              <w:bottom w:val="single" w:sz="4" w:space="0" w:color="auto"/>
              <w:right w:val="single" w:sz="4" w:space="0" w:color="000000"/>
            </w:tcBorders>
            <w:shd w:val="clear" w:color="000000" w:fill="D9D9D9"/>
            <w:vAlign w:val="bottom"/>
            <w:hideMark/>
          </w:tcPr>
          <w:p w14:paraId="0392736A" w14:textId="77777777" w:rsidR="00DE4E97" w:rsidRPr="00DE4E97" w:rsidRDefault="00DE4E97" w:rsidP="00DE4E97">
            <w:pPr>
              <w:rPr>
                <w:rFonts w:ascii="Arial (W1)" w:hAnsi="Arial (W1)" w:cs="Arial"/>
                <w:b/>
                <w:bCs/>
                <w:sz w:val="22"/>
                <w:szCs w:val="22"/>
                <w:lang w:eastAsia="en-GB"/>
              </w:rPr>
            </w:pPr>
            <w:r w:rsidRPr="00DE4E97">
              <w:rPr>
                <w:rFonts w:ascii="Arial (W1)" w:hAnsi="Arial (W1)" w:cs="Arial"/>
                <w:b/>
                <w:bCs/>
                <w:sz w:val="22"/>
                <w:szCs w:val="22"/>
                <w:lang w:eastAsia="en-GB"/>
              </w:rPr>
              <w:t>Schedule 2 Part 3 bodies (Admission bodies)</w:t>
            </w:r>
          </w:p>
        </w:tc>
      </w:tr>
      <w:tr w:rsidR="00450DDD" w:rsidRPr="00DE4E97" w14:paraId="6ECBE75E" w14:textId="77777777" w:rsidTr="001D1565">
        <w:trPr>
          <w:trHeight w:val="276"/>
        </w:trPr>
        <w:tc>
          <w:tcPr>
            <w:tcW w:w="4390" w:type="dxa"/>
            <w:tcBorders>
              <w:top w:val="nil"/>
              <w:left w:val="single" w:sz="4" w:space="0" w:color="auto"/>
              <w:bottom w:val="single" w:sz="4" w:space="0" w:color="auto"/>
              <w:right w:val="nil"/>
            </w:tcBorders>
            <w:shd w:val="clear" w:color="000000" w:fill="FFFFFF"/>
            <w:hideMark/>
          </w:tcPr>
          <w:p w14:paraId="6EACA929" w14:textId="77777777" w:rsidR="00DE4E97" w:rsidRDefault="00DE4E97" w:rsidP="00DE4E97">
            <w:pPr>
              <w:rPr>
                <w:rFonts w:ascii="Arial (W1)" w:hAnsi="Arial (W1)" w:cs="Arial"/>
                <w:sz w:val="22"/>
                <w:szCs w:val="22"/>
                <w:lang w:eastAsia="en-GB"/>
              </w:rPr>
            </w:pPr>
            <w:r w:rsidRPr="00DE4E97">
              <w:rPr>
                <w:rFonts w:ascii="Arial (W1)" w:hAnsi="Arial (W1)" w:cs="Arial"/>
                <w:sz w:val="22"/>
                <w:szCs w:val="22"/>
                <w:lang w:eastAsia="en-GB"/>
              </w:rPr>
              <w:t>Celtic Community Leisure</w:t>
            </w:r>
          </w:p>
          <w:p w14:paraId="70E28A65" w14:textId="77777777" w:rsidR="001D1565" w:rsidRPr="00DE4E97" w:rsidRDefault="001D1565" w:rsidP="00DE4E97">
            <w:pPr>
              <w:rPr>
                <w:rFonts w:ascii="Arial (W1)" w:hAnsi="Arial (W1)" w:cs="Arial"/>
                <w:sz w:val="22"/>
                <w:szCs w:val="22"/>
                <w:lang w:eastAsia="en-GB"/>
              </w:rPr>
            </w:pPr>
          </w:p>
        </w:tc>
        <w:tc>
          <w:tcPr>
            <w:tcW w:w="2126" w:type="dxa"/>
            <w:gridSpan w:val="2"/>
            <w:tcBorders>
              <w:top w:val="nil"/>
              <w:left w:val="single" w:sz="4" w:space="0" w:color="auto"/>
              <w:bottom w:val="single" w:sz="4" w:space="0" w:color="auto"/>
              <w:right w:val="single" w:sz="4" w:space="0" w:color="auto"/>
            </w:tcBorders>
            <w:shd w:val="clear" w:color="000000" w:fill="FFFFFF"/>
          </w:tcPr>
          <w:p w14:paraId="3DE43250"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17.5%</w:t>
            </w:r>
          </w:p>
        </w:tc>
        <w:tc>
          <w:tcPr>
            <w:tcW w:w="1701" w:type="dxa"/>
            <w:gridSpan w:val="2"/>
            <w:tcBorders>
              <w:top w:val="nil"/>
              <w:left w:val="nil"/>
              <w:bottom w:val="single" w:sz="4" w:space="0" w:color="auto"/>
              <w:right w:val="single" w:sz="4" w:space="0" w:color="auto"/>
            </w:tcBorders>
            <w:shd w:val="clear" w:color="000000" w:fill="FFFFFF"/>
          </w:tcPr>
          <w:p w14:paraId="766AF702"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(4.6%)</w:t>
            </w:r>
          </w:p>
        </w:tc>
        <w:tc>
          <w:tcPr>
            <w:tcW w:w="1559" w:type="dxa"/>
            <w:tcBorders>
              <w:top w:val="nil"/>
              <w:left w:val="nil"/>
              <w:bottom w:val="single" w:sz="4" w:space="0" w:color="auto"/>
              <w:right w:val="single" w:sz="4" w:space="0" w:color="auto"/>
            </w:tcBorders>
            <w:shd w:val="clear" w:color="000000" w:fill="FFFFFF"/>
          </w:tcPr>
          <w:p w14:paraId="009300AA" w14:textId="77777777" w:rsidR="00DE4E97" w:rsidRPr="00DE4E97" w:rsidRDefault="001D1565" w:rsidP="001D1565">
            <w:pPr>
              <w:jc w:val="center"/>
              <w:rPr>
                <w:rFonts w:ascii="Arial (W1)" w:hAnsi="Arial (W1)" w:cs="Arial"/>
                <w:sz w:val="22"/>
                <w:szCs w:val="22"/>
                <w:lang w:eastAsia="en-GB"/>
              </w:rPr>
            </w:pPr>
            <w:r>
              <w:rPr>
                <w:rFonts w:ascii="Arial (W1)" w:hAnsi="Arial (W1)" w:cs="Arial"/>
                <w:sz w:val="22"/>
                <w:szCs w:val="22"/>
                <w:lang w:eastAsia="en-GB"/>
              </w:rPr>
              <w:t>(4.6%)</w:t>
            </w:r>
          </w:p>
        </w:tc>
        <w:tc>
          <w:tcPr>
            <w:tcW w:w="1418" w:type="dxa"/>
            <w:tcBorders>
              <w:top w:val="nil"/>
              <w:left w:val="nil"/>
              <w:bottom w:val="single" w:sz="4" w:space="0" w:color="auto"/>
              <w:right w:val="single" w:sz="4" w:space="0" w:color="auto"/>
            </w:tcBorders>
            <w:shd w:val="clear" w:color="000000" w:fill="FFFFFF"/>
          </w:tcPr>
          <w:p w14:paraId="228D33D4"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(4.6%)</w:t>
            </w:r>
          </w:p>
        </w:tc>
        <w:tc>
          <w:tcPr>
            <w:tcW w:w="1768" w:type="dxa"/>
            <w:tcBorders>
              <w:top w:val="nil"/>
              <w:left w:val="nil"/>
              <w:bottom w:val="single" w:sz="4" w:space="0" w:color="auto"/>
              <w:right w:val="single" w:sz="4" w:space="0" w:color="auto"/>
            </w:tcBorders>
            <w:shd w:val="clear" w:color="000000" w:fill="FFFFFF"/>
          </w:tcPr>
          <w:p w14:paraId="1E0A1D17"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12.9%</w:t>
            </w:r>
          </w:p>
        </w:tc>
        <w:tc>
          <w:tcPr>
            <w:tcW w:w="1811" w:type="dxa"/>
            <w:gridSpan w:val="3"/>
            <w:tcBorders>
              <w:top w:val="nil"/>
              <w:left w:val="nil"/>
              <w:bottom w:val="single" w:sz="4" w:space="0" w:color="auto"/>
              <w:right w:val="single" w:sz="4" w:space="0" w:color="auto"/>
            </w:tcBorders>
            <w:shd w:val="clear" w:color="000000" w:fill="FFFFFF"/>
          </w:tcPr>
          <w:p w14:paraId="050ACEDE"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12.9%</w:t>
            </w:r>
          </w:p>
        </w:tc>
        <w:tc>
          <w:tcPr>
            <w:tcW w:w="1382" w:type="dxa"/>
            <w:tcBorders>
              <w:top w:val="nil"/>
              <w:left w:val="nil"/>
              <w:bottom w:val="single" w:sz="4" w:space="0" w:color="auto"/>
              <w:right w:val="single" w:sz="4" w:space="0" w:color="auto"/>
            </w:tcBorders>
            <w:shd w:val="clear" w:color="000000" w:fill="FFFFFF"/>
          </w:tcPr>
          <w:p w14:paraId="0AAECBC4"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12.9%</w:t>
            </w:r>
          </w:p>
        </w:tc>
      </w:tr>
      <w:tr w:rsidR="001D1565" w:rsidRPr="00DE4E97" w14:paraId="0BA05F96" w14:textId="77777777" w:rsidTr="001D1565">
        <w:trPr>
          <w:trHeight w:val="276"/>
        </w:trPr>
        <w:tc>
          <w:tcPr>
            <w:tcW w:w="4390" w:type="dxa"/>
            <w:tcBorders>
              <w:top w:val="nil"/>
              <w:left w:val="single" w:sz="4" w:space="0" w:color="auto"/>
              <w:bottom w:val="single" w:sz="4" w:space="0" w:color="auto"/>
              <w:right w:val="nil"/>
            </w:tcBorders>
            <w:shd w:val="clear" w:color="000000" w:fill="FFFFFF"/>
          </w:tcPr>
          <w:p w14:paraId="1F77FC72" w14:textId="77777777" w:rsidR="001D1565" w:rsidRDefault="001D1565" w:rsidP="00DE4E97">
            <w:pPr>
              <w:rPr>
                <w:rFonts w:ascii="Arial (W1)" w:hAnsi="Arial (W1)" w:cs="Arial"/>
                <w:sz w:val="22"/>
                <w:szCs w:val="22"/>
                <w:lang w:eastAsia="en-GB"/>
              </w:rPr>
            </w:pPr>
            <w:r>
              <w:rPr>
                <w:rFonts w:ascii="Arial (W1)" w:hAnsi="Arial (W1)" w:cs="Arial"/>
                <w:sz w:val="22"/>
                <w:szCs w:val="22"/>
                <w:lang w:eastAsia="en-GB"/>
              </w:rPr>
              <w:t>Freedom Leisure</w:t>
            </w:r>
          </w:p>
          <w:p w14:paraId="591C63E0" w14:textId="77777777" w:rsidR="001D1565" w:rsidRPr="00DE4E97" w:rsidRDefault="001D1565" w:rsidP="00DE4E97">
            <w:pPr>
              <w:rPr>
                <w:rFonts w:ascii="Arial (W1)" w:hAnsi="Arial (W1)" w:cs="Arial"/>
                <w:sz w:val="22"/>
                <w:szCs w:val="22"/>
                <w:lang w:eastAsia="en-GB"/>
              </w:rPr>
            </w:pPr>
          </w:p>
        </w:tc>
        <w:tc>
          <w:tcPr>
            <w:tcW w:w="2126" w:type="dxa"/>
            <w:gridSpan w:val="2"/>
            <w:tcBorders>
              <w:top w:val="nil"/>
              <w:left w:val="single" w:sz="4" w:space="0" w:color="auto"/>
              <w:bottom w:val="single" w:sz="4" w:space="0" w:color="auto"/>
              <w:right w:val="single" w:sz="4" w:space="0" w:color="auto"/>
            </w:tcBorders>
            <w:shd w:val="clear" w:color="000000" w:fill="FFFFFF"/>
          </w:tcPr>
          <w:p w14:paraId="313066A3" w14:textId="77777777" w:rsidR="001D1565"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20.2%</w:t>
            </w:r>
          </w:p>
        </w:tc>
        <w:tc>
          <w:tcPr>
            <w:tcW w:w="1701" w:type="dxa"/>
            <w:gridSpan w:val="2"/>
            <w:tcBorders>
              <w:top w:val="nil"/>
              <w:left w:val="nil"/>
              <w:bottom w:val="single" w:sz="4" w:space="0" w:color="auto"/>
              <w:right w:val="single" w:sz="4" w:space="0" w:color="auto"/>
            </w:tcBorders>
            <w:shd w:val="clear" w:color="000000" w:fill="FFFFFF"/>
          </w:tcPr>
          <w:p w14:paraId="28DE4206" w14:textId="77777777" w:rsidR="001D1565"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4.5%</w:t>
            </w:r>
          </w:p>
        </w:tc>
        <w:tc>
          <w:tcPr>
            <w:tcW w:w="1559" w:type="dxa"/>
            <w:tcBorders>
              <w:top w:val="nil"/>
              <w:left w:val="nil"/>
              <w:bottom w:val="single" w:sz="4" w:space="0" w:color="auto"/>
              <w:right w:val="single" w:sz="4" w:space="0" w:color="auto"/>
            </w:tcBorders>
            <w:shd w:val="clear" w:color="000000" w:fill="FFFFFF"/>
          </w:tcPr>
          <w:p w14:paraId="7197AC9B" w14:textId="77777777" w:rsidR="001D1565"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4.5%</w:t>
            </w:r>
          </w:p>
        </w:tc>
        <w:tc>
          <w:tcPr>
            <w:tcW w:w="1418" w:type="dxa"/>
            <w:tcBorders>
              <w:top w:val="nil"/>
              <w:left w:val="nil"/>
              <w:bottom w:val="single" w:sz="4" w:space="0" w:color="auto"/>
              <w:right w:val="single" w:sz="4" w:space="0" w:color="auto"/>
            </w:tcBorders>
            <w:shd w:val="clear" w:color="000000" w:fill="FFFFFF"/>
          </w:tcPr>
          <w:p w14:paraId="62C59AA3" w14:textId="77777777" w:rsidR="001D1565"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4.5%</w:t>
            </w:r>
          </w:p>
        </w:tc>
        <w:tc>
          <w:tcPr>
            <w:tcW w:w="1768" w:type="dxa"/>
            <w:tcBorders>
              <w:top w:val="nil"/>
              <w:left w:val="nil"/>
              <w:bottom w:val="single" w:sz="4" w:space="0" w:color="auto"/>
              <w:right w:val="single" w:sz="4" w:space="0" w:color="auto"/>
            </w:tcBorders>
            <w:shd w:val="clear" w:color="000000" w:fill="FFFFFF"/>
          </w:tcPr>
          <w:p w14:paraId="51CA4172" w14:textId="77777777" w:rsidR="001D1565"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24.7%</w:t>
            </w:r>
          </w:p>
        </w:tc>
        <w:tc>
          <w:tcPr>
            <w:tcW w:w="1811" w:type="dxa"/>
            <w:gridSpan w:val="3"/>
            <w:tcBorders>
              <w:top w:val="nil"/>
              <w:left w:val="nil"/>
              <w:bottom w:val="single" w:sz="4" w:space="0" w:color="auto"/>
              <w:right w:val="single" w:sz="4" w:space="0" w:color="auto"/>
            </w:tcBorders>
            <w:shd w:val="clear" w:color="000000" w:fill="FFFFFF"/>
          </w:tcPr>
          <w:p w14:paraId="573D9146" w14:textId="77777777" w:rsidR="001D1565"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24.7%</w:t>
            </w:r>
          </w:p>
        </w:tc>
        <w:tc>
          <w:tcPr>
            <w:tcW w:w="1382" w:type="dxa"/>
            <w:tcBorders>
              <w:top w:val="nil"/>
              <w:left w:val="nil"/>
              <w:bottom w:val="single" w:sz="4" w:space="0" w:color="auto"/>
              <w:right w:val="single" w:sz="4" w:space="0" w:color="auto"/>
            </w:tcBorders>
            <w:shd w:val="clear" w:color="000000" w:fill="FFFFFF"/>
          </w:tcPr>
          <w:p w14:paraId="6FFB029E" w14:textId="77777777" w:rsidR="001D1565"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24.7%</w:t>
            </w:r>
          </w:p>
        </w:tc>
      </w:tr>
      <w:tr w:rsidR="00450DDD" w:rsidRPr="00DE4E97" w14:paraId="1ABEC359" w14:textId="77777777" w:rsidTr="001D1565">
        <w:trPr>
          <w:trHeight w:val="276"/>
        </w:trPr>
        <w:tc>
          <w:tcPr>
            <w:tcW w:w="4390" w:type="dxa"/>
            <w:tcBorders>
              <w:top w:val="nil"/>
              <w:left w:val="single" w:sz="4" w:space="0" w:color="auto"/>
              <w:bottom w:val="single" w:sz="4" w:space="0" w:color="auto"/>
              <w:right w:val="nil"/>
            </w:tcBorders>
            <w:shd w:val="clear" w:color="000000" w:fill="FFFFFF"/>
            <w:hideMark/>
          </w:tcPr>
          <w:p w14:paraId="227FBE75" w14:textId="77777777" w:rsidR="00DE4E97" w:rsidRDefault="00DE4E97" w:rsidP="00DE4E97">
            <w:pPr>
              <w:rPr>
                <w:rFonts w:ascii="Arial (W1)" w:hAnsi="Arial (W1)" w:cs="Arial"/>
                <w:sz w:val="22"/>
                <w:szCs w:val="22"/>
                <w:lang w:eastAsia="en-GB"/>
              </w:rPr>
            </w:pPr>
            <w:r w:rsidRPr="00DE4E97">
              <w:rPr>
                <w:rFonts w:ascii="Arial (W1)" w:hAnsi="Arial (W1)" w:cs="Arial"/>
                <w:sz w:val="22"/>
                <w:szCs w:val="22"/>
                <w:lang w:eastAsia="en-GB"/>
              </w:rPr>
              <w:t>Grwp Gwalia Cyf</w:t>
            </w:r>
          </w:p>
          <w:p w14:paraId="19BA547D" w14:textId="77777777" w:rsidR="001D1565" w:rsidRPr="00DE4E97" w:rsidRDefault="001D1565" w:rsidP="00DE4E97">
            <w:pPr>
              <w:rPr>
                <w:rFonts w:ascii="Arial (W1)" w:hAnsi="Arial (W1)" w:cs="Arial"/>
                <w:sz w:val="22"/>
                <w:szCs w:val="22"/>
                <w:lang w:eastAsia="en-GB"/>
              </w:rPr>
            </w:pPr>
          </w:p>
        </w:tc>
        <w:tc>
          <w:tcPr>
            <w:tcW w:w="2126" w:type="dxa"/>
            <w:gridSpan w:val="2"/>
            <w:tcBorders>
              <w:top w:val="nil"/>
              <w:left w:val="single" w:sz="4" w:space="0" w:color="auto"/>
              <w:bottom w:val="single" w:sz="4" w:space="0" w:color="auto"/>
              <w:right w:val="single" w:sz="4" w:space="0" w:color="auto"/>
            </w:tcBorders>
            <w:shd w:val="clear" w:color="000000" w:fill="FFFFFF"/>
          </w:tcPr>
          <w:p w14:paraId="1C480BEA"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24.9%</w:t>
            </w:r>
          </w:p>
        </w:tc>
        <w:tc>
          <w:tcPr>
            <w:tcW w:w="1701" w:type="dxa"/>
            <w:gridSpan w:val="2"/>
            <w:tcBorders>
              <w:top w:val="nil"/>
              <w:left w:val="nil"/>
              <w:bottom w:val="single" w:sz="4" w:space="0" w:color="auto"/>
              <w:right w:val="single" w:sz="4" w:space="0" w:color="auto"/>
            </w:tcBorders>
            <w:shd w:val="clear" w:color="000000" w:fill="FFFFFF"/>
          </w:tcPr>
          <w:p w14:paraId="12FDD4F2"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(14.2%)</w:t>
            </w:r>
          </w:p>
        </w:tc>
        <w:tc>
          <w:tcPr>
            <w:tcW w:w="1559" w:type="dxa"/>
            <w:tcBorders>
              <w:top w:val="nil"/>
              <w:left w:val="nil"/>
              <w:bottom w:val="single" w:sz="4" w:space="0" w:color="auto"/>
              <w:right w:val="single" w:sz="4" w:space="0" w:color="auto"/>
            </w:tcBorders>
            <w:shd w:val="clear" w:color="000000" w:fill="FFFFFF"/>
          </w:tcPr>
          <w:p w14:paraId="2EDEFF96"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(14.2%)</w:t>
            </w:r>
          </w:p>
        </w:tc>
        <w:tc>
          <w:tcPr>
            <w:tcW w:w="1418" w:type="dxa"/>
            <w:tcBorders>
              <w:top w:val="nil"/>
              <w:left w:val="nil"/>
              <w:bottom w:val="single" w:sz="4" w:space="0" w:color="auto"/>
              <w:right w:val="single" w:sz="4" w:space="0" w:color="auto"/>
            </w:tcBorders>
            <w:shd w:val="clear" w:color="000000" w:fill="FFFFFF"/>
          </w:tcPr>
          <w:p w14:paraId="3BFFF5C2"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(14.2%)</w:t>
            </w:r>
          </w:p>
        </w:tc>
        <w:tc>
          <w:tcPr>
            <w:tcW w:w="1768" w:type="dxa"/>
            <w:tcBorders>
              <w:top w:val="nil"/>
              <w:left w:val="nil"/>
              <w:bottom w:val="single" w:sz="4" w:space="0" w:color="auto"/>
              <w:right w:val="single" w:sz="4" w:space="0" w:color="auto"/>
            </w:tcBorders>
            <w:shd w:val="clear" w:color="000000" w:fill="FFFFFF"/>
          </w:tcPr>
          <w:p w14:paraId="6583EC44"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10.7%</w:t>
            </w:r>
          </w:p>
        </w:tc>
        <w:tc>
          <w:tcPr>
            <w:tcW w:w="1811" w:type="dxa"/>
            <w:gridSpan w:val="3"/>
            <w:tcBorders>
              <w:top w:val="nil"/>
              <w:left w:val="nil"/>
              <w:bottom w:val="single" w:sz="4" w:space="0" w:color="auto"/>
              <w:right w:val="single" w:sz="4" w:space="0" w:color="auto"/>
            </w:tcBorders>
            <w:shd w:val="clear" w:color="000000" w:fill="FFFFFF"/>
          </w:tcPr>
          <w:p w14:paraId="110BCFE9"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10.7%</w:t>
            </w:r>
          </w:p>
        </w:tc>
        <w:tc>
          <w:tcPr>
            <w:tcW w:w="1382" w:type="dxa"/>
            <w:tcBorders>
              <w:top w:val="nil"/>
              <w:left w:val="nil"/>
              <w:bottom w:val="single" w:sz="4" w:space="0" w:color="auto"/>
              <w:right w:val="single" w:sz="4" w:space="0" w:color="auto"/>
            </w:tcBorders>
            <w:shd w:val="clear" w:color="000000" w:fill="FFFFFF"/>
          </w:tcPr>
          <w:p w14:paraId="0D33E401"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10.7%</w:t>
            </w:r>
          </w:p>
        </w:tc>
      </w:tr>
      <w:tr w:rsidR="00450DDD" w:rsidRPr="00DE4E97" w14:paraId="18461717" w14:textId="77777777" w:rsidTr="001D1565">
        <w:trPr>
          <w:trHeight w:val="395"/>
        </w:trPr>
        <w:tc>
          <w:tcPr>
            <w:tcW w:w="4390" w:type="dxa"/>
            <w:tcBorders>
              <w:top w:val="nil"/>
              <w:left w:val="single" w:sz="4" w:space="0" w:color="auto"/>
              <w:bottom w:val="single" w:sz="4" w:space="0" w:color="auto"/>
              <w:right w:val="nil"/>
            </w:tcBorders>
            <w:shd w:val="clear" w:color="000000" w:fill="FFFFFF"/>
            <w:hideMark/>
          </w:tcPr>
          <w:p w14:paraId="2358DDAA" w14:textId="77777777" w:rsidR="00DE4E97" w:rsidRPr="00DE4E97" w:rsidRDefault="001D1565" w:rsidP="00DE4E97">
            <w:pPr>
              <w:rPr>
                <w:rFonts w:ascii="Arial (W1)" w:hAnsi="Arial (W1)" w:cs="Arial"/>
                <w:sz w:val="22"/>
                <w:szCs w:val="22"/>
                <w:lang w:eastAsia="en-GB"/>
              </w:rPr>
            </w:pPr>
            <w:r>
              <w:rPr>
                <w:rFonts w:ascii="Arial (W1)" w:hAnsi="Arial (W1)" w:cs="Arial"/>
                <w:sz w:val="22"/>
                <w:szCs w:val="22"/>
                <w:lang w:eastAsia="en-GB"/>
              </w:rPr>
              <w:t>Tai Tarian **</w:t>
            </w:r>
          </w:p>
        </w:tc>
        <w:tc>
          <w:tcPr>
            <w:tcW w:w="2126" w:type="dxa"/>
            <w:gridSpan w:val="2"/>
            <w:tcBorders>
              <w:top w:val="nil"/>
              <w:left w:val="single" w:sz="4" w:space="0" w:color="auto"/>
              <w:bottom w:val="single" w:sz="4" w:space="0" w:color="auto"/>
              <w:right w:val="single" w:sz="4" w:space="0" w:color="auto"/>
            </w:tcBorders>
            <w:shd w:val="clear" w:color="000000" w:fill="FFFFFF"/>
          </w:tcPr>
          <w:p w14:paraId="233C7C4E"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22.1%</w:t>
            </w:r>
          </w:p>
        </w:tc>
        <w:tc>
          <w:tcPr>
            <w:tcW w:w="1701" w:type="dxa"/>
            <w:gridSpan w:val="2"/>
            <w:tcBorders>
              <w:top w:val="nil"/>
              <w:left w:val="nil"/>
              <w:bottom w:val="single" w:sz="4" w:space="0" w:color="auto"/>
              <w:right w:val="single" w:sz="4" w:space="0" w:color="auto"/>
            </w:tcBorders>
            <w:shd w:val="clear" w:color="000000" w:fill="FFFFFF"/>
          </w:tcPr>
          <w:p w14:paraId="627982FE" w14:textId="77777777" w:rsidR="00DE4E97" w:rsidRDefault="001D1565" w:rsidP="00DE4E97">
            <w:pPr>
              <w:jc w:val="center"/>
              <w:rPr>
                <w:rFonts w:ascii="Arial (W1)" w:hAnsi="Arial (W1)" w:cs="Arial"/>
                <w:sz w:val="22"/>
                <w:szCs w:val="22"/>
                <w:lang w:eastAsia="en-GB"/>
              </w:rPr>
            </w:pPr>
            <w:r>
              <w:rPr>
                <w:rFonts w:ascii="Arial (W1)" w:hAnsi="Arial (W1)" w:cs="Arial"/>
                <w:sz w:val="22"/>
                <w:szCs w:val="22"/>
                <w:lang w:eastAsia="en-GB"/>
              </w:rPr>
              <w:t>4.2% plus</w:t>
            </w:r>
          </w:p>
          <w:p w14:paraId="6AA32F20" w14:textId="77777777" w:rsidR="001D1565"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£17,000</w:t>
            </w:r>
          </w:p>
        </w:tc>
        <w:tc>
          <w:tcPr>
            <w:tcW w:w="1559" w:type="dxa"/>
            <w:tcBorders>
              <w:top w:val="nil"/>
              <w:left w:val="nil"/>
              <w:bottom w:val="single" w:sz="4" w:space="0" w:color="auto"/>
              <w:right w:val="single" w:sz="4" w:space="0" w:color="auto"/>
            </w:tcBorders>
            <w:shd w:val="clear" w:color="000000" w:fill="FFFFFF"/>
          </w:tcPr>
          <w:p w14:paraId="1153CB33" w14:textId="77777777" w:rsidR="00DE4E97" w:rsidRDefault="001D1565" w:rsidP="00DE4E97">
            <w:pPr>
              <w:jc w:val="center"/>
              <w:rPr>
                <w:rFonts w:ascii="Arial (W1)" w:hAnsi="Arial (W1)" w:cs="Arial"/>
                <w:sz w:val="22"/>
                <w:szCs w:val="22"/>
                <w:lang w:eastAsia="en-GB"/>
              </w:rPr>
            </w:pPr>
            <w:r>
              <w:rPr>
                <w:rFonts w:ascii="Arial (W1)" w:hAnsi="Arial (W1)" w:cs="Arial"/>
                <w:sz w:val="22"/>
                <w:szCs w:val="22"/>
                <w:lang w:eastAsia="en-GB"/>
              </w:rPr>
              <w:t>0.2% plus</w:t>
            </w:r>
          </w:p>
          <w:p w14:paraId="56A71E92" w14:textId="77777777" w:rsidR="001D1565"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£17,000</w:t>
            </w:r>
          </w:p>
        </w:tc>
        <w:tc>
          <w:tcPr>
            <w:tcW w:w="1418" w:type="dxa"/>
            <w:tcBorders>
              <w:top w:val="nil"/>
              <w:left w:val="nil"/>
              <w:bottom w:val="single" w:sz="4" w:space="0" w:color="auto"/>
              <w:right w:val="single" w:sz="4" w:space="0" w:color="auto"/>
            </w:tcBorders>
            <w:shd w:val="clear" w:color="000000" w:fill="FFFFFF"/>
          </w:tcPr>
          <w:p w14:paraId="644CA5F9" w14:textId="77777777" w:rsidR="00DE4E97" w:rsidRDefault="001D1565" w:rsidP="00DE4E97">
            <w:pPr>
              <w:jc w:val="center"/>
              <w:rPr>
                <w:rFonts w:ascii="Arial (W1)" w:hAnsi="Arial (W1)" w:cs="Arial"/>
                <w:sz w:val="22"/>
                <w:szCs w:val="22"/>
                <w:lang w:eastAsia="en-GB"/>
              </w:rPr>
            </w:pPr>
            <w:r>
              <w:rPr>
                <w:rFonts w:ascii="Arial (W1)" w:hAnsi="Arial (W1)" w:cs="Arial"/>
                <w:sz w:val="22"/>
                <w:szCs w:val="22"/>
                <w:lang w:eastAsia="en-GB"/>
              </w:rPr>
              <w:t>0.2% plus</w:t>
            </w:r>
          </w:p>
          <w:p w14:paraId="6B88209D" w14:textId="77777777" w:rsidR="001D1565"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£18,000</w:t>
            </w:r>
          </w:p>
        </w:tc>
        <w:tc>
          <w:tcPr>
            <w:tcW w:w="1768" w:type="dxa"/>
            <w:tcBorders>
              <w:top w:val="nil"/>
              <w:left w:val="nil"/>
              <w:bottom w:val="single" w:sz="4" w:space="0" w:color="auto"/>
              <w:right w:val="single" w:sz="4" w:space="0" w:color="auto"/>
            </w:tcBorders>
            <w:shd w:val="clear" w:color="000000" w:fill="FFFFFF"/>
          </w:tcPr>
          <w:p w14:paraId="60581B19" w14:textId="77777777" w:rsid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26.3% plus</w:t>
            </w:r>
          </w:p>
          <w:p w14:paraId="2F1475DC" w14:textId="77777777" w:rsidR="001D1565"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£17,000</w:t>
            </w:r>
          </w:p>
        </w:tc>
        <w:tc>
          <w:tcPr>
            <w:tcW w:w="1811" w:type="dxa"/>
            <w:gridSpan w:val="3"/>
            <w:tcBorders>
              <w:top w:val="nil"/>
              <w:left w:val="nil"/>
              <w:bottom w:val="single" w:sz="4" w:space="0" w:color="auto"/>
              <w:right w:val="single" w:sz="4" w:space="0" w:color="auto"/>
            </w:tcBorders>
            <w:shd w:val="clear" w:color="000000" w:fill="FFFFFF"/>
          </w:tcPr>
          <w:p w14:paraId="3EFA425A" w14:textId="77777777" w:rsid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22.3% plus</w:t>
            </w:r>
          </w:p>
          <w:p w14:paraId="21D050D6" w14:textId="77777777" w:rsidR="001D1565"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£17,000</w:t>
            </w:r>
          </w:p>
        </w:tc>
        <w:tc>
          <w:tcPr>
            <w:tcW w:w="1382" w:type="dxa"/>
            <w:tcBorders>
              <w:top w:val="nil"/>
              <w:left w:val="nil"/>
              <w:bottom w:val="single" w:sz="4" w:space="0" w:color="auto"/>
              <w:right w:val="single" w:sz="4" w:space="0" w:color="auto"/>
            </w:tcBorders>
            <w:shd w:val="clear" w:color="000000" w:fill="FFFFFF"/>
          </w:tcPr>
          <w:p w14:paraId="4FB9E8EC" w14:textId="77777777" w:rsid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22.3% plus</w:t>
            </w:r>
          </w:p>
          <w:p w14:paraId="2A299501" w14:textId="77777777" w:rsidR="001D1565"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£18,000</w:t>
            </w:r>
          </w:p>
        </w:tc>
      </w:tr>
      <w:tr w:rsidR="00450DDD" w:rsidRPr="00DE4E97" w14:paraId="07F36AAC" w14:textId="77777777" w:rsidTr="001D1565">
        <w:trPr>
          <w:trHeight w:val="552"/>
        </w:trPr>
        <w:tc>
          <w:tcPr>
            <w:tcW w:w="4390" w:type="dxa"/>
            <w:tcBorders>
              <w:top w:val="nil"/>
              <w:left w:val="single" w:sz="4" w:space="0" w:color="auto"/>
              <w:bottom w:val="single" w:sz="4" w:space="0" w:color="auto"/>
              <w:right w:val="nil"/>
            </w:tcBorders>
            <w:shd w:val="clear" w:color="000000" w:fill="FFFFFF"/>
            <w:hideMark/>
          </w:tcPr>
          <w:p w14:paraId="53F08B05" w14:textId="77777777" w:rsidR="00DE4E97" w:rsidRPr="00DE4E97" w:rsidRDefault="001D1565" w:rsidP="00DE4E97">
            <w:pPr>
              <w:rPr>
                <w:rFonts w:ascii="Arial (W1)" w:hAnsi="Arial (W1)" w:cs="Arial"/>
                <w:sz w:val="22"/>
                <w:szCs w:val="22"/>
                <w:lang w:eastAsia="en-GB"/>
              </w:rPr>
            </w:pPr>
            <w:r>
              <w:rPr>
                <w:rFonts w:ascii="Arial (W1)" w:hAnsi="Arial (W1)" w:cs="Arial"/>
                <w:sz w:val="22"/>
                <w:szCs w:val="22"/>
                <w:lang w:eastAsia="en-GB"/>
              </w:rPr>
              <w:t>Parkwood Holdings</w:t>
            </w:r>
          </w:p>
        </w:tc>
        <w:tc>
          <w:tcPr>
            <w:tcW w:w="2126" w:type="dxa"/>
            <w:gridSpan w:val="2"/>
            <w:tcBorders>
              <w:top w:val="nil"/>
              <w:left w:val="single" w:sz="4" w:space="0" w:color="auto"/>
              <w:bottom w:val="single" w:sz="4" w:space="0" w:color="auto"/>
              <w:right w:val="single" w:sz="4" w:space="0" w:color="auto"/>
            </w:tcBorders>
            <w:shd w:val="clear" w:color="000000" w:fill="FFFFFF"/>
          </w:tcPr>
          <w:p w14:paraId="4E122B76"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20.2%</w:t>
            </w:r>
          </w:p>
        </w:tc>
        <w:tc>
          <w:tcPr>
            <w:tcW w:w="1701" w:type="dxa"/>
            <w:gridSpan w:val="2"/>
            <w:tcBorders>
              <w:top w:val="nil"/>
              <w:left w:val="nil"/>
              <w:bottom w:val="single" w:sz="4" w:space="0" w:color="auto"/>
              <w:right w:val="single" w:sz="4" w:space="0" w:color="auto"/>
            </w:tcBorders>
            <w:shd w:val="clear" w:color="000000" w:fill="FFFFFF"/>
          </w:tcPr>
          <w:p w14:paraId="2A1A363E"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4.5%</w:t>
            </w:r>
          </w:p>
        </w:tc>
        <w:tc>
          <w:tcPr>
            <w:tcW w:w="1559" w:type="dxa"/>
            <w:tcBorders>
              <w:top w:val="nil"/>
              <w:left w:val="nil"/>
              <w:bottom w:val="single" w:sz="4" w:space="0" w:color="auto"/>
              <w:right w:val="single" w:sz="4" w:space="0" w:color="auto"/>
            </w:tcBorders>
            <w:shd w:val="clear" w:color="000000" w:fill="FFFFFF"/>
          </w:tcPr>
          <w:p w14:paraId="4A9FC356"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4.5%</w:t>
            </w:r>
          </w:p>
        </w:tc>
        <w:tc>
          <w:tcPr>
            <w:tcW w:w="1418" w:type="dxa"/>
            <w:tcBorders>
              <w:top w:val="nil"/>
              <w:left w:val="nil"/>
              <w:bottom w:val="single" w:sz="4" w:space="0" w:color="auto"/>
              <w:right w:val="single" w:sz="4" w:space="0" w:color="auto"/>
            </w:tcBorders>
            <w:shd w:val="clear" w:color="000000" w:fill="FFFFFF"/>
          </w:tcPr>
          <w:p w14:paraId="6E1599C6"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4.5%</w:t>
            </w:r>
          </w:p>
        </w:tc>
        <w:tc>
          <w:tcPr>
            <w:tcW w:w="1768" w:type="dxa"/>
            <w:tcBorders>
              <w:top w:val="nil"/>
              <w:left w:val="nil"/>
              <w:bottom w:val="single" w:sz="4" w:space="0" w:color="auto"/>
              <w:right w:val="single" w:sz="4" w:space="0" w:color="auto"/>
            </w:tcBorders>
            <w:shd w:val="clear" w:color="000000" w:fill="FFFFFF"/>
          </w:tcPr>
          <w:p w14:paraId="4DB93179"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24.7%</w:t>
            </w:r>
          </w:p>
        </w:tc>
        <w:tc>
          <w:tcPr>
            <w:tcW w:w="1811" w:type="dxa"/>
            <w:gridSpan w:val="3"/>
            <w:tcBorders>
              <w:top w:val="nil"/>
              <w:left w:val="nil"/>
              <w:bottom w:val="single" w:sz="4" w:space="0" w:color="auto"/>
              <w:right w:val="single" w:sz="4" w:space="0" w:color="auto"/>
            </w:tcBorders>
            <w:shd w:val="clear" w:color="000000" w:fill="FFFFFF"/>
          </w:tcPr>
          <w:p w14:paraId="54ABC234"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24.7%</w:t>
            </w:r>
          </w:p>
        </w:tc>
        <w:tc>
          <w:tcPr>
            <w:tcW w:w="1382" w:type="dxa"/>
            <w:tcBorders>
              <w:top w:val="nil"/>
              <w:left w:val="nil"/>
              <w:bottom w:val="single" w:sz="4" w:space="0" w:color="auto"/>
              <w:right w:val="single" w:sz="4" w:space="0" w:color="auto"/>
            </w:tcBorders>
            <w:shd w:val="clear" w:color="000000" w:fill="FFFFFF"/>
          </w:tcPr>
          <w:p w14:paraId="5C461729"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24.7%</w:t>
            </w:r>
          </w:p>
        </w:tc>
      </w:tr>
      <w:tr w:rsidR="00450DDD" w:rsidRPr="00DE4E97" w14:paraId="395748EB" w14:textId="77777777" w:rsidTr="001D1565">
        <w:trPr>
          <w:trHeight w:val="397"/>
        </w:trPr>
        <w:tc>
          <w:tcPr>
            <w:tcW w:w="4390" w:type="dxa"/>
            <w:tcBorders>
              <w:top w:val="nil"/>
              <w:left w:val="single" w:sz="4" w:space="0" w:color="auto"/>
              <w:bottom w:val="single" w:sz="4" w:space="0" w:color="auto"/>
              <w:right w:val="nil"/>
            </w:tcBorders>
            <w:shd w:val="clear" w:color="000000" w:fill="FFFFFF"/>
            <w:hideMark/>
          </w:tcPr>
          <w:p w14:paraId="204FF5BE" w14:textId="77777777" w:rsidR="00DE4E97" w:rsidRPr="00DE4E97" w:rsidRDefault="001D1565" w:rsidP="00DE4E97">
            <w:pPr>
              <w:rPr>
                <w:rFonts w:ascii="Arial (W1)" w:hAnsi="Arial (W1)" w:cs="Arial"/>
                <w:sz w:val="22"/>
                <w:szCs w:val="22"/>
                <w:lang w:eastAsia="en-GB"/>
              </w:rPr>
            </w:pPr>
            <w:r>
              <w:rPr>
                <w:rFonts w:ascii="Arial (W1)" w:hAnsi="Arial (W1)" w:cs="Arial"/>
                <w:sz w:val="22"/>
                <w:szCs w:val="22"/>
                <w:lang w:eastAsia="en-GB"/>
              </w:rPr>
              <w:t>Wales National Pool</w:t>
            </w:r>
          </w:p>
        </w:tc>
        <w:tc>
          <w:tcPr>
            <w:tcW w:w="2126" w:type="dxa"/>
            <w:gridSpan w:val="2"/>
            <w:tcBorders>
              <w:top w:val="nil"/>
              <w:left w:val="single" w:sz="4" w:space="0" w:color="auto"/>
              <w:bottom w:val="single" w:sz="4" w:space="0" w:color="auto"/>
              <w:right w:val="single" w:sz="4" w:space="0" w:color="auto"/>
            </w:tcBorders>
            <w:shd w:val="clear" w:color="000000" w:fill="FFFFFF"/>
          </w:tcPr>
          <w:p w14:paraId="369348C6"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16.4%</w:t>
            </w:r>
          </w:p>
        </w:tc>
        <w:tc>
          <w:tcPr>
            <w:tcW w:w="1701" w:type="dxa"/>
            <w:gridSpan w:val="2"/>
            <w:tcBorders>
              <w:top w:val="nil"/>
              <w:left w:val="nil"/>
              <w:bottom w:val="single" w:sz="4" w:space="0" w:color="auto"/>
              <w:right w:val="single" w:sz="4" w:space="0" w:color="auto"/>
            </w:tcBorders>
            <w:shd w:val="clear" w:color="000000" w:fill="FFFFFF"/>
          </w:tcPr>
          <w:p w14:paraId="4B5BAA19"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(2.2%)</w:t>
            </w:r>
          </w:p>
        </w:tc>
        <w:tc>
          <w:tcPr>
            <w:tcW w:w="1559" w:type="dxa"/>
            <w:tcBorders>
              <w:top w:val="nil"/>
              <w:left w:val="nil"/>
              <w:bottom w:val="single" w:sz="4" w:space="0" w:color="auto"/>
              <w:right w:val="single" w:sz="4" w:space="0" w:color="auto"/>
            </w:tcBorders>
            <w:shd w:val="clear" w:color="000000" w:fill="FFFFFF"/>
          </w:tcPr>
          <w:p w14:paraId="16995694" w14:textId="77777777" w:rsidR="00DE4E97" w:rsidRPr="00DE4E97" w:rsidRDefault="001D1565" w:rsidP="001D1565">
            <w:pPr>
              <w:jc w:val="center"/>
              <w:rPr>
                <w:rFonts w:ascii="Arial (W1)" w:hAnsi="Arial (W1)" w:cs="Arial"/>
                <w:sz w:val="22"/>
                <w:szCs w:val="22"/>
                <w:lang w:eastAsia="en-GB"/>
              </w:rPr>
            </w:pPr>
            <w:r>
              <w:rPr>
                <w:rFonts w:ascii="Arial (W1)" w:hAnsi="Arial (W1)" w:cs="Arial"/>
                <w:sz w:val="22"/>
                <w:szCs w:val="22"/>
                <w:lang w:eastAsia="en-GB"/>
              </w:rPr>
              <w:t>(2.2%)</w:t>
            </w:r>
          </w:p>
        </w:tc>
        <w:tc>
          <w:tcPr>
            <w:tcW w:w="1418" w:type="dxa"/>
            <w:tcBorders>
              <w:top w:val="nil"/>
              <w:left w:val="nil"/>
              <w:bottom w:val="single" w:sz="4" w:space="0" w:color="auto"/>
              <w:right w:val="single" w:sz="4" w:space="0" w:color="auto"/>
            </w:tcBorders>
            <w:shd w:val="clear" w:color="000000" w:fill="FFFFFF"/>
          </w:tcPr>
          <w:p w14:paraId="139B28E9" w14:textId="77777777" w:rsidR="00DE4E97" w:rsidRPr="00DE4E97" w:rsidRDefault="001D1565" w:rsidP="00DE4E97">
            <w:pPr>
              <w:jc w:val="center"/>
              <w:rPr>
                <w:rFonts w:ascii="Arial (W1)" w:hAnsi="Arial (W1)" w:cs="Arial"/>
                <w:sz w:val="22"/>
                <w:szCs w:val="22"/>
                <w:lang w:eastAsia="en-GB"/>
              </w:rPr>
            </w:pPr>
            <w:r>
              <w:rPr>
                <w:rFonts w:ascii="Arial (W1)" w:hAnsi="Arial (W1)" w:cs="Arial"/>
                <w:sz w:val="22"/>
                <w:szCs w:val="22"/>
                <w:lang w:eastAsia="en-GB"/>
              </w:rPr>
              <w:t>(2.2%)</w:t>
            </w:r>
          </w:p>
        </w:tc>
        <w:tc>
          <w:tcPr>
            <w:tcW w:w="1768" w:type="dxa"/>
            <w:tcBorders>
              <w:top w:val="nil"/>
              <w:left w:val="nil"/>
              <w:bottom w:val="single" w:sz="4" w:space="0" w:color="auto"/>
              <w:right w:val="single" w:sz="4" w:space="0" w:color="auto"/>
            </w:tcBorders>
            <w:shd w:val="clear" w:color="000000" w:fill="FFFFFF"/>
          </w:tcPr>
          <w:p w14:paraId="427D2E83" w14:textId="77777777" w:rsidR="00DE4E97" w:rsidRPr="00DE4E97" w:rsidRDefault="001907A9" w:rsidP="00DE4E97">
            <w:pPr>
              <w:jc w:val="center"/>
              <w:rPr>
                <w:rFonts w:ascii="Arial (W1)" w:hAnsi="Arial (W1)" w:cs="Arial"/>
                <w:sz w:val="22"/>
                <w:szCs w:val="22"/>
                <w:lang w:eastAsia="en-GB"/>
              </w:rPr>
            </w:pPr>
            <w:r>
              <w:rPr>
                <w:rFonts w:ascii="Arial (W1)" w:hAnsi="Arial (W1)" w:cs="Arial"/>
                <w:sz w:val="22"/>
                <w:szCs w:val="22"/>
                <w:lang w:eastAsia="en-GB"/>
              </w:rPr>
              <w:t>14.2%</w:t>
            </w:r>
          </w:p>
        </w:tc>
        <w:tc>
          <w:tcPr>
            <w:tcW w:w="1811" w:type="dxa"/>
            <w:gridSpan w:val="3"/>
            <w:tcBorders>
              <w:top w:val="nil"/>
              <w:left w:val="nil"/>
              <w:bottom w:val="single" w:sz="4" w:space="0" w:color="auto"/>
              <w:right w:val="single" w:sz="4" w:space="0" w:color="auto"/>
            </w:tcBorders>
            <w:shd w:val="clear" w:color="000000" w:fill="FFFFFF"/>
          </w:tcPr>
          <w:p w14:paraId="576E3673" w14:textId="77777777" w:rsidR="00DE4E97" w:rsidRPr="00DE4E97" w:rsidRDefault="001907A9" w:rsidP="00DE4E97">
            <w:pPr>
              <w:jc w:val="center"/>
              <w:rPr>
                <w:rFonts w:ascii="Arial (W1)" w:hAnsi="Arial (W1)" w:cs="Arial"/>
                <w:sz w:val="22"/>
                <w:szCs w:val="22"/>
                <w:lang w:eastAsia="en-GB"/>
              </w:rPr>
            </w:pPr>
            <w:r>
              <w:rPr>
                <w:rFonts w:ascii="Arial (W1)" w:hAnsi="Arial (W1)" w:cs="Arial"/>
                <w:sz w:val="22"/>
                <w:szCs w:val="22"/>
                <w:lang w:eastAsia="en-GB"/>
              </w:rPr>
              <w:t>14.2%</w:t>
            </w:r>
          </w:p>
        </w:tc>
        <w:tc>
          <w:tcPr>
            <w:tcW w:w="1382" w:type="dxa"/>
            <w:tcBorders>
              <w:top w:val="nil"/>
              <w:left w:val="nil"/>
              <w:bottom w:val="single" w:sz="4" w:space="0" w:color="auto"/>
              <w:right w:val="single" w:sz="4" w:space="0" w:color="auto"/>
            </w:tcBorders>
            <w:shd w:val="clear" w:color="000000" w:fill="FFFFFF"/>
          </w:tcPr>
          <w:p w14:paraId="3A2BB1F8" w14:textId="77777777" w:rsidR="00DE4E97" w:rsidRPr="00DE4E97" w:rsidRDefault="001907A9" w:rsidP="00DE4E97">
            <w:pPr>
              <w:jc w:val="center"/>
              <w:rPr>
                <w:rFonts w:ascii="Arial (W1)" w:hAnsi="Arial (W1)" w:cs="Arial"/>
                <w:sz w:val="22"/>
                <w:szCs w:val="22"/>
                <w:lang w:eastAsia="en-GB"/>
              </w:rPr>
            </w:pPr>
            <w:r>
              <w:rPr>
                <w:rFonts w:ascii="Arial (W1)" w:hAnsi="Arial (W1)" w:cs="Arial"/>
                <w:sz w:val="22"/>
                <w:szCs w:val="22"/>
                <w:lang w:eastAsia="en-GB"/>
              </w:rPr>
              <w:t>14.2%</w:t>
            </w:r>
          </w:p>
        </w:tc>
      </w:tr>
      <w:tr w:rsidR="00450DDD" w:rsidRPr="00DE4E97" w14:paraId="0DDCB822" w14:textId="77777777" w:rsidTr="001D1565">
        <w:trPr>
          <w:trHeight w:val="441"/>
        </w:trPr>
        <w:tc>
          <w:tcPr>
            <w:tcW w:w="4390" w:type="dxa"/>
            <w:tcBorders>
              <w:top w:val="nil"/>
              <w:left w:val="single" w:sz="4" w:space="0" w:color="auto"/>
              <w:bottom w:val="single" w:sz="4" w:space="0" w:color="auto"/>
              <w:right w:val="single" w:sz="4" w:space="0" w:color="auto"/>
            </w:tcBorders>
            <w:shd w:val="clear" w:color="000000" w:fill="FFFFFF"/>
            <w:hideMark/>
          </w:tcPr>
          <w:p w14:paraId="64952055" w14:textId="77777777" w:rsidR="00DE4E97" w:rsidRDefault="001907A9" w:rsidP="00DE4E97">
            <w:pPr>
              <w:rPr>
                <w:rFonts w:ascii="Arial (W1)" w:hAnsi="Arial (W1)" w:cs="Arial"/>
                <w:sz w:val="22"/>
                <w:szCs w:val="22"/>
                <w:lang w:eastAsia="en-GB"/>
              </w:rPr>
            </w:pPr>
            <w:r>
              <w:rPr>
                <w:rFonts w:ascii="Arial (W1)" w:hAnsi="Arial (W1)" w:cs="Arial"/>
                <w:sz w:val="22"/>
                <w:szCs w:val="22"/>
                <w:lang w:eastAsia="en-GB"/>
              </w:rPr>
              <w:t>University of Wales Trinity St David</w:t>
            </w:r>
          </w:p>
          <w:p w14:paraId="4806493A" w14:textId="77777777" w:rsidR="001907A9" w:rsidRPr="00DE4E97" w:rsidRDefault="001907A9" w:rsidP="00DE4E97">
            <w:pPr>
              <w:rPr>
                <w:rFonts w:ascii="Arial (W1)" w:hAnsi="Arial (W1)" w:cs="Arial"/>
                <w:sz w:val="22"/>
                <w:szCs w:val="22"/>
                <w:lang w:eastAsia="en-GB"/>
              </w:rPr>
            </w:pPr>
            <w:r>
              <w:rPr>
                <w:rFonts w:ascii="Arial (W1)" w:hAnsi="Arial (W1)" w:cs="Arial"/>
                <w:sz w:val="22"/>
                <w:szCs w:val="22"/>
                <w:lang w:eastAsia="en-GB"/>
              </w:rPr>
              <w:t>Swansea</w:t>
            </w:r>
          </w:p>
        </w:tc>
        <w:tc>
          <w:tcPr>
            <w:tcW w:w="2126" w:type="dxa"/>
            <w:gridSpan w:val="2"/>
            <w:tcBorders>
              <w:top w:val="nil"/>
              <w:left w:val="nil"/>
              <w:bottom w:val="single" w:sz="4" w:space="0" w:color="auto"/>
              <w:right w:val="single" w:sz="4" w:space="0" w:color="auto"/>
            </w:tcBorders>
            <w:shd w:val="clear" w:color="000000" w:fill="FFFFFF"/>
          </w:tcPr>
          <w:p w14:paraId="34340293" w14:textId="77777777" w:rsidR="00DE4E97" w:rsidRPr="00DE4E97" w:rsidRDefault="001907A9" w:rsidP="00DE4E97">
            <w:pPr>
              <w:jc w:val="center"/>
              <w:rPr>
                <w:rFonts w:ascii="Arial (W1)" w:hAnsi="Arial (W1)" w:cs="Arial"/>
                <w:sz w:val="22"/>
                <w:szCs w:val="22"/>
                <w:lang w:eastAsia="en-GB"/>
              </w:rPr>
            </w:pPr>
            <w:r>
              <w:rPr>
                <w:rFonts w:ascii="Arial (W1)" w:hAnsi="Arial (W1)" w:cs="Arial"/>
                <w:sz w:val="22"/>
                <w:szCs w:val="22"/>
                <w:lang w:eastAsia="en-GB"/>
              </w:rPr>
              <w:t>35.6%</w:t>
            </w:r>
          </w:p>
        </w:tc>
        <w:tc>
          <w:tcPr>
            <w:tcW w:w="1701" w:type="dxa"/>
            <w:gridSpan w:val="2"/>
            <w:tcBorders>
              <w:top w:val="nil"/>
              <w:left w:val="nil"/>
              <w:bottom w:val="single" w:sz="4" w:space="0" w:color="auto"/>
              <w:right w:val="single" w:sz="4" w:space="0" w:color="auto"/>
            </w:tcBorders>
            <w:shd w:val="clear" w:color="000000" w:fill="FFFFFF"/>
          </w:tcPr>
          <w:p w14:paraId="4A538656" w14:textId="77777777" w:rsidR="00DE4E97" w:rsidRPr="00DE4E97" w:rsidRDefault="001907A9" w:rsidP="00DE4E97">
            <w:pPr>
              <w:jc w:val="center"/>
              <w:rPr>
                <w:rFonts w:ascii="Arial (W1)" w:hAnsi="Arial (W1)" w:cs="Arial"/>
                <w:sz w:val="22"/>
                <w:szCs w:val="22"/>
                <w:lang w:eastAsia="en-GB"/>
              </w:rPr>
            </w:pPr>
            <w:r>
              <w:rPr>
                <w:rFonts w:ascii="Arial (W1)" w:hAnsi="Arial (W1)" w:cs="Arial"/>
                <w:sz w:val="22"/>
                <w:szCs w:val="22"/>
                <w:lang w:eastAsia="en-GB"/>
              </w:rPr>
              <w:t>-7.6% / +1.5% plus £533,400 *</w:t>
            </w:r>
          </w:p>
        </w:tc>
        <w:tc>
          <w:tcPr>
            <w:tcW w:w="1559" w:type="dxa"/>
            <w:tcBorders>
              <w:top w:val="nil"/>
              <w:left w:val="nil"/>
              <w:bottom w:val="single" w:sz="4" w:space="0" w:color="auto"/>
              <w:right w:val="single" w:sz="4" w:space="0" w:color="auto"/>
            </w:tcBorders>
            <w:shd w:val="clear" w:color="000000" w:fill="FFFFFF"/>
          </w:tcPr>
          <w:p w14:paraId="01556F48" w14:textId="77777777" w:rsidR="00DE4E97" w:rsidRDefault="001907A9" w:rsidP="00DE4E97">
            <w:pPr>
              <w:jc w:val="center"/>
              <w:rPr>
                <w:rFonts w:ascii="Arial (W1)" w:hAnsi="Arial (W1)" w:cs="Arial"/>
                <w:sz w:val="22"/>
                <w:szCs w:val="22"/>
                <w:lang w:eastAsia="en-GB"/>
              </w:rPr>
            </w:pPr>
            <w:r>
              <w:rPr>
                <w:rFonts w:ascii="Arial (W1)" w:hAnsi="Arial (W1)" w:cs="Arial"/>
                <w:sz w:val="22"/>
                <w:szCs w:val="22"/>
                <w:lang w:eastAsia="en-GB"/>
              </w:rPr>
              <w:t>1.5% plus</w:t>
            </w:r>
          </w:p>
          <w:p w14:paraId="459ACF0F" w14:textId="77777777" w:rsidR="001907A9" w:rsidRPr="00DE4E97" w:rsidRDefault="001907A9" w:rsidP="00DE4E97">
            <w:pPr>
              <w:jc w:val="center"/>
              <w:rPr>
                <w:rFonts w:ascii="Arial (W1)" w:hAnsi="Arial (W1)" w:cs="Arial"/>
                <w:sz w:val="22"/>
                <w:szCs w:val="22"/>
                <w:lang w:eastAsia="en-GB"/>
              </w:rPr>
            </w:pPr>
            <w:r>
              <w:rPr>
                <w:rFonts w:ascii="Arial (W1)" w:hAnsi="Arial (W1)" w:cs="Arial"/>
                <w:sz w:val="22"/>
                <w:szCs w:val="22"/>
                <w:lang w:eastAsia="en-GB"/>
              </w:rPr>
              <w:t>£544,600</w:t>
            </w:r>
          </w:p>
        </w:tc>
        <w:tc>
          <w:tcPr>
            <w:tcW w:w="1418" w:type="dxa"/>
            <w:tcBorders>
              <w:top w:val="nil"/>
              <w:left w:val="nil"/>
              <w:bottom w:val="single" w:sz="4" w:space="0" w:color="auto"/>
              <w:right w:val="single" w:sz="4" w:space="0" w:color="auto"/>
            </w:tcBorders>
            <w:shd w:val="clear" w:color="000000" w:fill="FFFFFF"/>
          </w:tcPr>
          <w:p w14:paraId="5F064B3D" w14:textId="77777777" w:rsidR="00DE4E97" w:rsidRDefault="001907A9" w:rsidP="00DE4E97">
            <w:pPr>
              <w:jc w:val="center"/>
              <w:rPr>
                <w:rFonts w:ascii="Arial (W1)" w:hAnsi="Arial (W1)" w:cs="Arial"/>
                <w:sz w:val="22"/>
                <w:szCs w:val="22"/>
                <w:lang w:eastAsia="en-GB"/>
              </w:rPr>
            </w:pPr>
            <w:r>
              <w:rPr>
                <w:rFonts w:ascii="Arial (W1)" w:hAnsi="Arial (W1)" w:cs="Arial"/>
                <w:sz w:val="22"/>
                <w:szCs w:val="22"/>
                <w:lang w:eastAsia="en-GB"/>
              </w:rPr>
              <w:t>1.5% plus</w:t>
            </w:r>
          </w:p>
          <w:p w14:paraId="0F8151D5" w14:textId="77777777" w:rsidR="001907A9" w:rsidRPr="00DE4E97" w:rsidRDefault="001907A9" w:rsidP="00DE4E97">
            <w:pPr>
              <w:jc w:val="center"/>
              <w:rPr>
                <w:rFonts w:ascii="Arial (W1)" w:hAnsi="Arial (W1)" w:cs="Arial"/>
                <w:sz w:val="22"/>
                <w:szCs w:val="22"/>
                <w:lang w:eastAsia="en-GB"/>
              </w:rPr>
            </w:pPr>
            <w:r>
              <w:rPr>
                <w:rFonts w:ascii="Arial (W1)" w:hAnsi="Arial (W1)" w:cs="Arial"/>
                <w:sz w:val="22"/>
                <w:szCs w:val="22"/>
                <w:lang w:eastAsia="en-GB"/>
              </w:rPr>
              <w:t>£640,800</w:t>
            </w:r>
          </w:p>
        </w:tc>
        <w:tc>
          <w:tcPr>
            <w:tcW w:w="1768" w:type="dxa"/>
            <w:tcBorders>
              <w:top w:val="nil"/>
              <w:left w:val="nil"/>
              <w:bottom w:val="single" w:sz="4" w:space="0" w:color="auto"/>
              <w:right w:val="single" w:sz="4" w:space="0" w:color="auto"/>
            </w:tcBorders>
            <w:shd w:val="clear" w:color="000000" w:fill="FFFFFF"/>
          </w:tcPr>
          <w:p w14:paraId="6F2D16B7" w14:textId="77777777" w:rsidR="00DE4E97" w:rsidRPr="00DE4E97" w:rsidRDefault="001907A9" w:rsidP="00DE4E97">
            <w:pPr>
              <w:jc w:val="center"/>
              <w:rPr>
                <w:rFonts w:ascii="Arial (W1)" w:hAnsi="Arial (W1)" w:cs="Arial"/>
                <w:sz w:val="22"/>
                <w:szCs w:val="22"/>
                <w:lang w:eastAsia="en-GB"/>
              </w:rPr>
            </w:pPr>
            <w:r>
              <w:rPr>
                <w:rFonts w:ascii="Arial (W1)" w:hAnsi="Arial (W1)" w:cs="Arial"/>
                <w:sz w:val="22"/>
                <w:szCs w:val="22"/>
                <w:lang w:eastAsia="en-GB"/>
              </w:rPr>
              <w:t>28.0% / 37.1% plus £533,400 *</w:t>
            </w:r>
          </w:p>
        </w:tc>
        <w:tc>
          <w:tcPr>
            <w:tcW w:w="1811" w:type="dxa"/>
            <w:gridSpan w:val="3"/>
            <w:tcBorders>
              <w:top w:val="nil"/>
              <w:left w:val="nil"/>
              <w:bottom w:val="single" w:sz="4" w:space="0" w:color="auto"/>
              <w:right w:val="single" w:sz="4" w:space="0" w:color="auto"/>
            </w:tcBorders>
            <w:shd w:val="clear" w:color="000000" w:fill="FFFFFF"/>
          </w:tcPr>
          <w:p w14:paraId="2FCD6F7B" w14:textId="77777777" w:rsidR="00DE4E97" w:rsidRDefault="001907A9" w:rsidP="00DE4E97">
            <w:pPr>
              <w:jc w:val="center"/>
              <w:rPr>
                <w:rFonts w:ascii="Arial (W1)" w:hAnsi="Arial (W1)" w:cs="Arial"/>
                <w:sz w:val="22"/>
                <w:szCs w:val="22"/>
                <w:lang w:eastAsia="en-GB"/>
              </w:rPr>
            </w:pPr>
            <w:r>
              <w:rPr>
                <w:rFonts w:ascii="Arial (W1)" w:hAnsi="Arial (W1)" w:cs="Arial"/>
                <w:sz w:val="22"/>
                <w:szCs w:val="22"/>
                <w:lang w:eastAsia="en-GB"/>
              </w:rPr>
              <w:t xml:space="preserve">37.1% plus </w:t>
            </w:r>
          </w:p>
          <w:p w14:paraId="773A850B" w14:textId="77777777" w:rsidR="001907A9" w:rsidRPr="00DE4E97" w:rsidRDefault="001907A9" w:rsidP="00DE4E97">
            <w:pPr>
              <w:jc w:val="center"/>
              <w:rPr>
                <w:rFonts w:ascii="Arial (W1)" w:hAnsi="Arial (W1)" w:cs="Arial"/>
                <w:sz w:val="22"/>
                <w:szCs w:val="22"/>
                <w:lang w:eastAsia="en-GB"/>
              </w:rPr>
            </w:pPr>
            <w:r>
              <w:rPr>
                <w:rFonts w:ascii="Arial (W1)" w:hAnsi="Arial (W1)" w:cs="Arial"/>
                <w:sz w:val="22"/>
                <w:szCs w:val="22"/>
                <w:lang w:eastAsia="en-GB"/>
              </w:rPr>
              <w:t>£544,600</w:t>
            </w:r>
          </w:p>
        </w:tc>
        <w:tc>
          <w:tcPr>
            <w:tcW w:w="1382" w:type="dxa"/>
            <w:tcBorders>
              <w:top w:val="nil"/>
              <w:left w:val="nil"/>
              <w:bottom w:val="single" w:sz="4" w:space="0" w:color="auto"/>
              <w:right w:val="single" w:sz="4" w:space="0" w:color="auto"/>
            </w:tcBorders>
            <w:shd w:val="clear" w:color="000000" w:fill="FFFFFF"/>
          </w:tcPr>
          <w:p w14:paraId="1B0EDC27" w14:textId="77777777" w:rsidR="00DE4E97" w:rsidRDefault="001907A9" w:rsidP="00DE4E97">
            <w:pPr>
              <w:jc w:val="center"/>
              <w:rPr>
                <w:rFonts w:ascii="Arial (W1)" w:hAnsi="Arial (W1)" w:cs="Arial"/>
                <w:sz w:val="22"/>
                <w:szCs w:val="22"/>
                <w:lang w:eastAsia="en-GB"/>
              </w:rPr>
            </w:pPr>
            <w:r>
              <w:rPr>
                <w:rFonts w:ascii="Arial (W1)" w:hAnsi="Arial (W1)" w:cs="Arial"/>
                <w:sz w:val="22"/>
                <w:szCs w:val="22"/>
                <w:lang w:eastAsia="en-GB"/>
              </w:rPr>
              <w:t>37.1% plus</w:t>
            </w:r>
          </w:p>
          <w:p w14:paraId="2420800A" w14:textId="77777777" w:rsidR="001907A9" w:rsidRPr="00DE4E97" w:rsidRDefault="001907A9" w:rsidP="00DE4E97">
            <w:pPr>
              <w:jc w:val="center"/>
              <w:rPr>
                <w:rFonts w:ascii="Arial (W1)" w:hAnsi="Arial (W1)" w:cs="Arial"/>
                <w:sz w:val="22"/>
                <w:szCs w:val="22"/>
                <w:lang w:eastAsia="en-GB"/>
              </w:rPr>
            </w:pPr>
            <w:r>
              <w:rPr>
                <w:rFonts w:ascii="Arial (W1)" w:hAnsi="Arial (W1)" w:cs="Arial"/>
                <w:sz w:val="22"/>
                <w:szCs w:val="22"/>
                <w:lang w:eastAsia="en-GB"/>
              </w:rPr>
              <w:t>£640,800</w:t>
            </w:r>
          </w:p>
        </w:tc>
      </w:tr>
      <w:tr w:rsidR="00450DDD" w:rsidRPr="00DE4E97" w14:paraId="2B0EE988" w14:textId="77777777" w:rsidTr="001D1565">
        <w:trPr>
          <w:trHeight w:val="351"/>
        </w:trPr>
        <w:tc>
          <w:tcPr>
            <w:tcW w:w="4390" w:type="dxa"/>
            <w:tcBorders>
              <w:top w:val="nil"/>
              <w:left w:val="single" w:sz="4" w:space="0" w:color="auto"/>
              <w:bottom w:val="single" w:sz="4" w:space="0" w:color="auto"/>
              <w:right w:val="single" w:sz="4" w:space="0" w:color="auto"/>
            </w:tcBorders>
            <w:shd w:val="clear" w:color="000000" w:fill="FFFFFF"/>
            <w:hideMark/>
          </w:tcPr>
          <w:p w14:paraId="6790A22D" w14:textId="77777777" w:rsidR="00DE4E97" w:rsidRDefault="00DE4E97" w:rsidP="00DE4E97">
            <w:pPr>
              <w:rPr>
                <w:rFonts w:ascii="Arial (W1)" w:hAnsi="Arial (W1)" w:cs="Arial"/>
                <w:b/>
                <w:bCs/>
                <w:sz w:val="22"/>
                <w:szCs w:val="22"/>
                <w:lang w:eastAsia="en-GB"/>
              </w:rPr>
            </w:pPr>
            <w:r w:rsidRPr="00DE4E97">
              <w:rPr>
                <w:rFonts w:ascii="Arial (W1)" w:hAnsi="Arial (W1)" w:cs="Arial"/>
                <w:b/>
                <w:bCs/>
                <w:sz w:val="22"/>
                <w:szCs w:val="22"/>
                <w:lang w:eastAsia="en-GB"/>
              </w:rPr>
              <w:t>Total</w:t>
            </w:r>
          </w:p>
          <w:p w14:paraId="32AA9089" w14:textId="77777777" w:rsidR="001907A9" w:rsidRPr="00DE4E97" w:rsidRDefault="001907A9" w:rsidP="00DE4E97">
            <w:pPr>
              <w:rPr>
                <w:rFonts w:ascii="Arial (W1)" w:hAnsi="Arial (W1)" w:cs="Arial"/>
                <w:b/>
                <w:bCs/>
                <w:sz w:val="22"/>
                <w:szCs w:val="22"/>
                <w:lang w:eastAsia="en-GB"/>
              </w:rPr>
            </w:pPr>
          </w:p>
        </w:tc>
        <w:tc>
          <w:tcPr>
            <w:tcW w:w="2126" w:type="dxa"/>
            <w:gridSpan w:val="2"/>
            <w:tcBorders>
              <w:top w:val="nil"/>
              <w:left w:val="nil"/>
              <w:bottom w:val="single" w:sz="4" w:space="0" w:color="auto"/>
              <w:right w:val="single" w:sz="4" w:space="0" w:color="auto"/>
            </w:tcBorders>
            <w:shd w:val="clear" w:color="000000" w:fill="FFFFFF"/>
          </w:tcPr>
          <w:p w14:paraId="547798BB" w14:textId="77777777" w:rsidR="00DE4E97" w:rsidRPr="00DE4E97" w:rsidRDefault="00F14530" w:rsidP="00DE4E97">
            <w:pPr>
              <w:jc w:val="center"/>
              <w:rPr>
                <w:rFonts w:ascii="Arial (W1)" w:hAnsi="Arial (W1)" w:cs="Arial"/>
                <w:b/>
                <w:bCs/>
                <w:sz w:val="22"/>
                <w:szCs w:val="22"/>
                <w:lang w:eastAsia="en-GB"/>
              </w:rPr>
            </w:pPr>
            <w:r>
              <w:rPr>
                <w:rFonts w:ascii="Arial (W1)" w:hAnsi="Arial (W1)" w:cs="Arial"/>
                <w:b/>
                <w:bCs/>
                <w:sz w:val="22"/>
                <w:szCs w:val="22"/>
                <w:lang w:eastAsia="en-GB"/>
              </w:rPr>
              <w:t>20.3%</w:t>
            </w:r>
          </w:p>
        </w:tc>
        <w:tc>
          <w:tcPr>
            <w:tcW w:w="1701" w:type="dxa"/>
            <w:gridSpan w:val="2"/>
            <w:tcBorders>
              <w:top w:val="nil"/>
              <w:left w:val="nil"/>
              <w:bottom w:val="single" w:sz="4" w:space="0" w:color="auto"/>
              <w:right w:val="single" w:sz="4" w:space="0" w:color="auto"/>
            </w:tcBorders>
            <w:shd w:val="clear" w:color="000000" w:fill="FFFFFF"/>
          </w:tcPr>
          <w:p w14:paraId="0B2B2A49" w14:textId="77777777" w:rsidR="00DE4E97" w:rsidRDefault="00F14530" w:rsidP="00DE4E97">
            <w:pPr>
              <w:jc w:val="center"/>
              <w:rPr>
                <w:rFonts w:ascii="Arial (W1)" w:hAnsi="Arial (W1)" w:cs="Arial"/>
                <w:b/>
                <w:bCs/>
                <w:sz w:val="22"/>
                <w:szCs w:val="22"/>
                <w:lang w:eastAsia="en-GB"/>
              </w:rPr>
            </w:pPr>
            <w:r>
              <w:rPr>
                <w:rFonts w:ascii="Arial (W1)" w:hAnsi="Arial (W1)" w:cs="Arial"/>
                <w:b/>
                <w:bCs/>
                <w:sz w:val="22"/>
                <w:szCs w:val="22"/>
                <w:lang w:eastAsia="en-GB"/>
              </w:rPr>
              <w:t>4.8% plus</w:t>
            </w:r>
          </w:p>
          <w:p w14:paraId="1201D8A9" w14:textId="77777777" w:rsidR="00F14530" w:rsidRPr="00DE4E97" w:rsidRDefault="00F14530" w:rsidP="00DE4E97">
            <w:pPr>
              <w:jc w:val="center"/>
              <w:rPr>
                <w:rFonts w:ascii="Arial (W1)" w:hAnsi="Arial (W1)" w:cs="Arial"/>
                <w:b/>
                <w:bCs/>
                <w:sz w:val="22"/>
                <w:szCs w:val="22"/>
                <w:lang w:eastAsia="en-GB"/>
              </w:rPr>
            </w:pPr>
            <w:r>
              <w:rPr>
                <w:rFonts w:ascii="Arial (W1)" w:hAnsi="Arial (W1)" w:cs="Arial"/>
                <w:b/>
                <w:bCs/>
                <w:sz w:val="22"/>
                <w:szCs w:val="22"/>
                <w:lang w:eastAsia="en-GB"/>
              </w:rPr>
              <w:t>£572,010</w:t>
            </w:r>
          </w:p>
        </w:tc>
        <w:tc>
          <w:tcPr>
            <w:tcW w:w="1559" w:type="dxa"/>
            <w:tcBorders>
              <w:top w:val="nil"/>
              <w:left w:val="nil"/>
              <w:bottom w:val="single" w:sz="4" w:space="0" w:color="auto"/>
              <w:right w:val="single" w:sz="4" w:space="0" w:color="auto"/>
            </w:tcBorders>
            <w:shd w:val="clear" w:color="000000" w:fill="FFFFFF"/>
          </w:tcPr>
          <w:p w14:paraId="6BE19054" w14:textId="77777777" w:rsidR="00DE4E97" w:rsidRDefault="00F14530" w:rsidP="00DE4E97">
            <w:pPr>
              <w:jc w:val="center"/>
              <w:rPr>
                <w:rFonts w:ascii="Arial (W1)" w:hAnsi="Arial (W1)" w:cs="Arial"/>
                <w:b/>
                <w:bCs/>
                <w:sz w:val="22"/>
                <w:szCs w:val="22"/>
                <w:lang w:eastAsia="en-GB"/>
              </w:rPr>
            </w:pPr>
            <w:r>
              <w:rPr>
                <w:rFonts w:ascii="Arial (W1)" w:hAnsi="Arial (W1)" w:cs="Arial"/>
                <w:b/>
                <w:bCs/>
                <w:sz w:val="22"/>
                <w:szCs w:val="22"/>
                <w:lang w:eastAsia="en-GB"/>
              </w:rPr>
              <w:t>4.7% plus</w:t>
            </w:r>
          </w:p>
          <w:p w14:paraId="476AC48D" w14:textId="77777777" w:rsidR="00F14530" w:rsidRPr="00DE4E97" w:rsidRDefault="00F14530" w:rsidP="00DE4E97">
            <w:pPr>
              <w:jc w:val="center"/>
              <w:rPr>
                <w:rFonts w:ascii="Arial (W1)" w:hAnsi="Arial (W1)" w:cs="Arial"/>
                <w:b/>
                <w:bCs/>
                <w:sz w:val="22"/>
                <w:szCs w:val="22"/>
                <w:lang w:eastAsia="en-GB"/>
              </w:rPr>
            </w:pPr>
            <w:r>
              <w:rPr>
                <w:rFonts w:ascii="Arial (W1)" w:hAnsi="Arial (W1)" w:cs="Arial"/>
                <w:b/>
                <w:bCs/>
                <w:sz w:val="22"/>
                <w:szCs w:val="22"/>
                <w:lang w:eastAsia="en-GB"/>
              </w:rPr>
              <w:t>£584,130</w:t>
            </w:r>
          </w:p>
        </w:tc>
        <w:tc>
          <w:tcPr>
            <w:tcW w:w="1418" w:type="dxa"/>
            <w:tcBorders>
              <w:top w:val="nil"/>
              <w:left w:val="nil"/>
              <w:bottom w:val="single" w:sz="4" w:space="0" w:color="auto"/>
              <w:right w:val="single" w:sz="4" w:space="0" w:color="auto"/>
            </w:tcBorders>
            <w:shd w:val="clear" w:color="000000" w:fill="FFFFFF"/>
          </w:tcPr>
          <w:p w14:paraId="66032D90" w14:textId="77777777" w:rsidR="00DE4E97" w:rsidRDefault="00F14530" w:rsidP="00DE4E97">
            <w:pPr>
              <w:jc w:val="center"/>
              <w:rPr>
                <w:rFonts w:ascii="Arial (W1)" w:hAnsi="Arial (W1)" w:cs="Arial"/>
                <w:b/>
                <w:bCs/>
                <w:sz w:val="22"/>
                <w:szCs w:val="22"/>
                <w:lang w:eastAsia="en-GB"/>
              </w:rPr>
            </w:pPr>
            <w:r>
              <w:rPr>
                <w:rFonts w:ascii="Arial (W1)" w:hAnsi="Arial (W1)" w:cs="Arial"/>
                <w:b/>
                <w:bCs/>
                <w:sz w:val="22"/>
                <w:szCs w:val="22"/>
                <w:lang w:eastAsia="en-GB"/>
              </w:rPr>
              <w:t>4.7% plus</w:t>
            </w:r>
          </w:p>
          <w:p w14:paraId="22F7CD13" w14:textId="77777777" w:rsidR="00F14530" w:rsidRPr="00DE4E97" w:rsidRDefault="00F14530" w:rsidP="00DE4E97">
            <w:pPr>
              <w:jc w:val="center"/>
              <w:rPr>
                <w:rFonts w:ascii="Arial (W1)" w:hAnsi="Arial (W1)" w:cs="Arial"/>
                <w:b/>
                <w:bCs/>
                <w:sz w:val="22"/>
                <w:szCs w:val="22"/>
                <w:lang w:eastAsia="en-GB"/>
              </w:rPr>
            </w:pPr>
            <w:r>
              <w:rPr>
                <w:rFonts w:ascii="Arial (W1)" w:hAnsi="Arial (W1)" w:cs="Arial"/>
                <w:b/>
                <w:bCs/>
                <w:sz w:val="22"/>
                <w:szCs w:val="22"/>
                <w:lang w:eastAsia="en-GB"/>
              </w:rPr>
              <w:t>£682,060</w:t>
            </w:r>
          </w:p>
        </w:tc>
        <w:tc>
          <w:tcPr>
            <w:tcW w:w="1768" w:type="dxa"/>
            <w:tcBorders>
              <w:top w:val="nil"/>
              <w:left w:val="nil"/>
              <w:bottom w:val="single" w:sz="4" w:space="0" w:color="auto"/>
              <w:right w:val="single" w:sz="4" w:space="0" w:color="auto"/>
            </w:tcBorders>
            <w:shd w:val="clear" w:color="000000" w:fill="FFFFFF"/>
          </w:tcPr>
          <w:p w14:paraId="17830AA0" w14:textId="77777777" w:rsidR="00DE4E97" w:rsidRDefault="00F14530" w:rsidP="00DE4E97">
            <w:pPr>
              <w:jc w:val="center"/>
              <w:rPr>
                <w:rFonts w:ascii="Arial (W1)" w:hAnsi="Arial (W1)" w:cs="Arial"/>
                <w:b/>
                <w:bCs/>
                <w:sz w:val="22"/>
                <w:szCs w:val="22"/>
                <w:lang w:eastAsia="en-GB"/>
              </w:rPr>
            </w:pPr>
            <w:r>
              <w:rPr>
                <w:rFonts w:ascii="Arial (W1)" w:hAnsi="Arial (W1)" w:cs="Arial"/>
                <w:b/>
                <w:bCs/>
                <w:sz w:val="22"/>
                <w:szCs w:val="22"/>
                <w:lang w:eastAsia="en-GB"/>
              </w:rPr>
              <w:t>25.1% plus</w:t>
            </w:r>
          </w:p>
          <w:p w14:paraId="193B62DC" w14:textId="77777777" w:rsidR="00F14530" w:rsidRPr="00DE4E97" w:rsidRDefault="00F14530" w:rsidP="00DE4E97">
            <w:pPr>
              <w:jc w:val="center"/>
              <w:rPr>
                <w:rFonts w:ascii="Arial (W1)" w:hAnsi="Arial (W1)" w:cs="Arial"/>
                <w:b/>
                <w:bCs/>
                <w:sz w:val="22"/>
                <w:szCs w:val="22"/>
                <w:lang w:eastAsia="en-GB"/>
              </w:rPr>
            </w:pPr>
            <w:r>
              <w:rPr>
                <w:rFonts w:ascii="Arial (W1)" w:hAnsi="Arial (W1)" w:cs="Arial"/>
                <w:b/>
                <w:bCs/>
                <w:sz w:val="22"/>
                <w:szCs w:val="22"/>
                <w:lang w:eastAsia="en-GB"/>
              </w:rPr>
              <w:t>£572,010</w:t>
            </w:r>
          </w:p>
        </w:tc>
        <w:tc>
          <w:tcPr>
            <w:tcW w:w="1811" w:type="dxa"/>
            <w:gridSpan w:val="3"/>
            <w:tcBorders>
              <w:top w:val="nil"/>
              <w:left w:val="nil"/>
              <w:bottom w:val="single" w:sz="4" w:space="0" w:color="auto"/>
              <w:right w:val="single" w:sz="4" w:space="0" w:color="auto"/>
            </w:tcBorders>
            <w:shd w:val="clear" w:color="000000" w:fill="FFFFFF"/>
          </w:tcPr>
          <w:p w14:paraId="164C5762" w14:textId="77777777" w:rsidR="00DE4E97" w:rsidRDefault="00F14530" w:rsidP="00DE4E97">
            <w:pPr>
              <w:jc w:val="center"/>
              <w:rPr>
                <w:rFonts w:ascii="Arial (W1)" w:hAnsi="Arial (W1)" w:cs="Arial"/>
                <w:b/>
                <w:bCs/>
                <w:sz w:val="22"/>
                <w:szCs w:val="22"/>
                <w:lang w:eastAsia="en-GB"/>
              </w:rPr>
            </w:pPr>
            <w:r>
              <w:rPr>
                <w:rFonts w:ascii="Arial (W1)" w:hAnsi="Arial (W1)" w:cs="Arial"/>
                <w:b/>
                <w:bCs/>
                <w:sz w:val="22"/>
                <w:szCs w:val="22"/>
                <w:lang w:eastAsia="en-GB"/>
              </w:rPr>
              <w:t>25.0% plus</w:t>
            </w:r>
          </w:p>
          <w:p w14:paraId="09C10CB1" w14:textId="77777777" w:rsidR="00F14530" w:rsidRPr="00DE4E97" w:rsidRDefault="00F14530" w:rsidP="00DE4E97">
            <w:pPr>
              <w:jc w:val="center"/>
              <w:rPr>
                <w:rFonts w:ascii="Arial (W1)" w:hAnsi="Arial (W1)" w:cs="Arial"/>
                <w:b/>
                <w:bCs/>
                <w:sz w:val="22"/>
                <w:szCs w:val="22"/>
                <w:lang w:eastAsia="en-GB"/>
              </w:rPr>
            </w:pPr>
            <w:r>
              <w:rPr>
                <w:rFonts w:ascii="Arial (W1)" w:hAnsi="Arial (W1)" w:cs="Arial"/>
                <w:b/>
                <w:bCs/>
                <w:sz w:val="22"/>
                <w:szCs w:val="22"/>
                <w:lang w:eastAsia="en-GB"/>
              </w:rPr>
              <w:t>£584,130</w:t>
            </w:r>
          </w:p>
        </w:tc>
        <w:tc>
          <w:tcPr>
            <w:tcW w:w="1382" w:type="dxa"/>
            <w:tcBorders>
              <w:top w:val="nil"/>
              <w:left w:val="nil"/>
              <w:bottom w:val="single" w:sz="4" w:space="0" w:color="auto"/>
              <w:right w:val="single" w:sz="4" w:space="0" w:color="auto"/>
            </w:tcBorders>
            <w:shd w:val="clear" w:color="000000" w:fill="FFFFFF"/>
          </w:tcPr>
          <w:p w14:paraId="4E109DB8" w14:textId="77777777" w:rsidR="00DE4E97" w:rsidRDefault="00F14530" w:rsidP="00DE4E97">
            <w:pPr>
              <w:jc w:val="center"/>
              <w:rPr>
                <w:rFonts w:ascii="Arial (W1)" w:hAnsi="Arial (W1)" w:cs="Arial"/>
                <w:b/>
                <w:bCs/>
                <w:sz w:val="22"/>
                <w:szCs w:val="22"/>
                <w:lang w:eastAsia="en-GB"/>
              </w:rPr>
            </w:pPr>
            <w:r>
              <w:rPr>
                <w:rFonts w:ascii="Arial (W1)" w:hAnsi="Arial (W1)" w:cs="Arial"/>
                <w:b/>
                <w:bCs/>
                <w:sz w:val="22"/>
                <w:szCs w:val="22"/>
                <w:lang w:eastAsia="en-GB"/>
              </w:rPr>
              <w:t>25.0% plus</w:t>
            </w:r>
          </w:p>
          <w:p w14:paraId="6E7F7741" w14:textId="77777777" w:rsidR="00F14530" w:rsidRPr="00DE4E97" w:rsidRDefault="00F14530" w:rsidP="00DE4E97">
            <w:pPr>
              <w:jc w:val="center"/>
              <w:rPr>
                <w:rFonts w:ascii="Arial (W1)" w:hAnsi="Arial (W1)" w:cs="Arial"/>
                <w:b/>
                <w:bCs/>
                <w:sz w:val="22"/>
                <w:szCs w:val="22"/>
                <w:lang w:eastAsia="en-GB"/>
              </w:rPr>
            </w:pPr>
            <w:r>
              <w:rPr>
                <w:rFonts w:ascii="Arial (W1)" w:hAnsi="Arial (W1)" w:cs="Arial"/>
                <w:b/>
                <w:bCs/>
                <w:sz w:val="22"/>
                <w:szCs w:val="22"/>
                <w:lang w:eastAsia="en-GB"/>
              </w:rPr>
              <w:t>£682,060</w:t>
            </w:r>
          </w:p>
        </w:tc>
      </w:tr>
      <w:tr w:rsidR="00450DDD" w:rsidRPr="00DE4E97" w14:paraId="6A445FD9" w14:textId="77777777" w:rsidTr="001D1565">
        <w:trPr>
          <w:trHeight w:val="315"/>
        </w:trPr>
        <w:tc>
          <w:tcPr>
            <w:tcW w:w="4390" w:type="dxa"/>
            <w:tcBorders>
              <w:top w:val="nil"/>
              <w:left w:val="nil"/>
              <w:bottom w:val="nil"/>
              <w:right w:val="nil"/>
            </w:tcBorders>
            <w:shd w:val="clear" w:color="000000" w:fill="FFFFFF"/>
            <w:hideMark/>
          </w:tcPr>
          <w:p w14:paraId="7621D60D" w14:textId="77777777" w:rsidR="00DE4E97" w:rsidRPr="00DE4E97" w:rsidRDefault="00DE4E97" w:rsidP="00DE4E97">
            <w:pPr>
              <w:rPr>
                <w:rFonts w:ascii="Arial (W1)" w:hAnsi="Arial (W1)" w:cs="Arial"/>
                <w:sz w:val="22"/>
                <w:szCs w:val="22"/>
                <w:lang w:eastAsia="en-GB"/>
              </w:rPr>
            </w:pPr>
            <w:r w:rsidRPr="00DE4E97">
              <w:rPr>
                <w:rFonts w:ascii="Arial (W1)" w:hAnsi="Arial (W1)" w:cs="Arial"/>
                <w:sz w:val="22"/>
                <w:szCs w:val="22"/>
                <w:lang w:eastAsia="en-GB"/>
              </w:rPr>
              <w:t> </w:t>
            </w:r>
          </w:p>
        </w:tc>
        <w:tc>
          <w:tcPr>
            <w:tcW w:w="2126" w:type="dxa"/>
            <w:gridSpan w:val="2"/>
            <w:tcBorders>
              <w:top w:val="nil"/>
              <w:left w:val="nil"/>
              <w:bottom w:val="nil"/>
              <w:right w:val="nil"/>
            </w:tcBorders>
            <w:shd w:val="clear" w:color="000000" w:fill="FFFFFF"/>
            <w:hideMark/>
          </w:tcPr>
          <w:p w14:paraId="0B1DB427"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c>
          <w:tcPr>
            <w:tcW w:w="1701" w:type="dxa"/>
            <w:gridSpan w:val="2"/>
            <w:tcBorders>
              <w:top w:val="nil"/>
              <w:left w:val="nil"/>
              <w:bottom w:val="nil"/>
              <w:right w:val="nil"/>
            </w:tcBorders>
            <w:shd w:val="clear" w:color="000000" w:fill="FFFFFF"/>
            <w:hideMark/>
          </w:tcPr>
          <w:p w14:paraId="0D94E05D"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c>
          <w:tcPr>
            <w:tcW w:w="1559" w:type="dxa"/>
            <w:tcBorders>
              <w:top w:val="nil"/>
              <w:left w:val="nil"/>
              <w:bottom w:val="nil"/>
              <w:right w:val="nil"/>
            </w:tcBorders>
            <w:shd w:val="clear" w:color="000000" w:fill="FFFFFF"/>
            <w:hideMark/>
          </w:tcPr>
          <w:p w14:paraId="236FF8FF"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c>
          <w:tcPr>
            <w:tcW w:w="1418" w:type="dxa"/>
            <w:tcBorders>
              <w:top w:val="nil"/>
              <w:left w:val="nil"/>
              <w:bottom w:val="nil"/>
              <w:right w:val="nil"/>
            </w:tcBorders>
            <w:shd w:val="clear" w:color="000000" w:fill="FFFFFF"/>
            <w:hideMark/>
          </w:tcPr>
          <w:p w14:paraId="19B024BB"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c>
          <w:tcPr>
            <w:tcW w:w="1768" w:type="dxa"/>
            <w:tcBorders>
              <w:top w:val="nil"/>
              <w:left w:val="nil"/>
              <w:bottom w:val="nil"/>
              <w:right w:val="nil"/>
            </w:tcBorders>
            <w:shd w:val="clear" w:color="000000" w:fill="FFFFFF"/>
            <w:hideMark/>
          </w:tcPr>
          <w:p w14:paraId="157DE876"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c>
          <w:tcPr>
            <w:tcW w:w="1811" w:type="dxa"/>
            <w:gridSpan w:val="3"/>
            <w:tcBorders>
              <w:top w:val="nil"/>
              <w:left w:val="nil"/>
              <w:bottom w:val="nil"/>
              <w:right w:val="nil"/>
            </w:tcBorders>
            <w:shd w:val="clear" w:color="000000" w:fill="FFFFFF"/>
            <w:hideMark/>
          </w:tcPr>
          <w:p w14:paraId="1A4BB822"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c>
          <w:tcPr>
            <w:tcW w:w="1382" w:type="dxa"/>
            <w:tcBorders>
              <w:top w:val="nil"/>
              <w:left w:val="nil"/>
              <w:bottom w:val="nil"/>
              <w:right w:val="nil"/>
            </w:tcBorders>
            <w:shd w:val="clear" w:color="000000" w:fill="FFFFFF"/>
            <w:hideMark/>
          </w:tcPr>
          <w:p w14:paraId="65E3ABD8"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r>
      <w:tr w:rsidR="00DE4E97" w:rsidRPr="00DE4E97" w14:paraId="4CAE5238" w14:textId="77777777" w:rsidTr="001D1565">
        <w:trPr>
          <w:trHeight w:val="1080"/>
        </w:trPr>
        <w:tc>
          <w:tcPr>
            <w:tcW w:w="16155" w:type="dxa"/>
            <w:gridSpan w:val="12"/>
            <w:tcBorders>
              <w:top w:val="nil"/>
              <w:left w:val="nil"/>
              <w:bottom w:val="nil"/>
              <w:right w:val="nil"/>
            </w:tcBorders>
            <w:shd w:val="clear" w:color="000000" w:fill="FFFFFF"/>
            <w:hideMark/>
          </w:tcPr>
          <w:p w14:paraId="5C1DF4A0" w14:textId="77777777" w:rsidR="00F14530" w:rsidRDefault="00F14530" w:rsidP="00DE4E97">
            <w:pPr>
              <w:rPr>
                <w:rFonts w:ascii="Arial (W1)" w:hAnsi="Arial (W1)" w:cs="Arial"/>
                <w:sz w:val="20"/>
                <w:lang w:eastAsia="en-GB"/>
              </w:rPr>
            </w:pPr>
            <w:r>
              <w:rPr>
                <w:rFonts w:ascii="Arial (W1)" w:hAnsi="Arial (W1)" w:cs="Arial"/>
                <w:sz w:val="20"/>
                <w:lang w:eastAsia="en-GB"/>
              </w:rPr>
              <w:t xml:space="preserve">* </w:t>
            </w:r>
            <w:r w:rsidR="00DE4E97" w:rsidRPr="00C3107D">
              <w:rPr>
                <w:rFonts w:ascii="Arial (W1)" w:hAnsi="Arial (W1)" w:cs="Arial"/>
                <w:sz w:val="20"/>
                <w:lang w:eastAsia="en-GB"/>
              </w:rPr>
              <w:t>The contribution rate</w:t>
            </w:r>
            <w:r>
              <w:rPr>
                <w:rFonts w:ascii="Arial (W1)" w:hAnsi="Arial (W1)" w:cs="Arial"/>
                <w:sz w:val="20"/>
                <w:lang w:eastAsia="en-GB"/>
              </w:rPr>
              <w:t xml:space="preserve"> as a percentage of Pay from 1 April 2020 to 31 July 2020 will be 28.0% of pay and from 1 August 2020 to 31 March 2021 will be 37.1% of pay.</w:t>
            </w:r>
          </w:p>
          <w:p w14:paraId="043E9471" w14:textId="77777777" w:rsidR="00F14530" w:rsidRDefault="00F14530" w:rsidP="00DE4E97">
            <w:pPr>
              <w:rPr>
                <w:rFonts w:ascii="Arial (W1)" w:hAnsi="Arial (W1)" w:cs="Arial"/>
                <w:sz w:val="20"/>
                <w:lang w:eastAsia="en-GB"/>
              </w:rPr>
            </w:pPr>
          </w:p>
          <w:p w14:paraId="6FD15F42" w14:textId="77777777" w:rsidR="00F14530" w:rsidRDefault="00F14530" w:rsidP="00DE4E97">
            <w:pPr>
              <w:rPr>
                <w:rFonts w:ascii="Arial (W1)" w:hAnsi="Arial (W1)" w:cs="Arial"/>
                <w:sz w:val="20"/>
                <w:lang w:eastAsia="en-GB"/>
              </w:rPr>
            </w:pPr>
            <w:r>
              <w:rPr>
                <w:rFonts w:ascii="Arial (W1)" w:hAnsi="Arial (W1)" w:cs="Arial"/>
                <w:sz w:val="20"/>
                <w:lang w:eastAsia="en-GB"/>
              </w:rPr>
              <w:t>** Overall contributions payable as a percentage of Pay over the period covered by the Rates &amp; Adjustments Certificate are subject to an underpin of the equivalent contributions paya</w:t>
            </w:r>
            <w:r w:rsidR="00974335">
              <w:rPr>
                <w:rFonts w:ascii="Arial (W1)" w:hAnsi="Arial (W1)" w:cs="Arial"/>
                <w:sz w:val="20"/>
                <w:lang w:eastAsia="en-GB"/>
              </w:rPr>
              <w:t>ble at 23.6%  of Pay p.a. in aggregate over the three year period.</w:t>
            </w:r>
          </w:p>
          <w:p w14:paraId="4E404742" w14:textId="77777777" w:rsidR="00974335" w:rsidRDefault="00974335" w:rsidP="00DE4E97">
            <w:pPr>
              <w:rPr>
                <w:rFonts w:ascii="Arial (W1)" w:hAnsi="Arial (W1)" w:cs="Arial"/>
                <w:sz w:val="20"/>
                <w:lang w:eastAsia="en-GB"/>
              </w:rPr>
            </w:pPr>
          </w:p>
          <w:p w14:paraId="12FA988E" w14:textId="77777777" w:rsidR="00DE4E97" w:rsidRPr="00C3107D" w:rsidRDefault="00DE4E97" w:rsidP="00DE4E97">
            <w:pPr>
              <w:rPr>
                <w:rFonts w:ascii="Arial (W1)" w:hAnsi="Arial (W1)" w:cs="Arial"/>
                <w:sz w:val="20"/>
                <w:lang w:eastAsia="en-GB"/>
              </w:rPr>
            </w:pPr>
            <w:r w:rsidRPr="00C3107D">
              <w:rPr>
                <w:rFonts w:ascii="Arial (W1)" w:hAnsi="Arial (W1)" w:cs="Arial"/>
                <w:sz w:val="20"/>
                <w:lang w:eastAsia="en-GB"/>
              </w:rPr>
              <w:t xml:space="preserve"> </w:t>
            </w:r>
            <w:r w:rsidR="00974335">
              <w:rPr>
                <w:rFonts w:ascii="Arial (W1)" w:hAnsi="Arial (W1)" w:cs="Arial"/>
                <w:sz w:val="20"/>
                <w:lang w:eastAsia="en-GB"/>
              </w:rPr>
              <w:t xml:space="preserve">The contribution rates </w:t>
            </w:r>
            <w:r w:rsidRPr="00C3107D">
              <w:rPr>
                <w:rFonts w:ascii="Arial (W1)" w:hAnsi="Arial (W1)" w:cs="Arial"/>
                <w:sz w:val="20"/>
                <w:lang w:eastAsia="en-GB"/>
              </w:rPr>
              <w:t>for the City &amp; County of Swansea</w:t>
            </w:r>
            <w:r w:rsidR="00974335">
              <w:rPr>
                <w:rFonts w:ascii="Arial (W1)" w:hAnsi="Arial (W1)" w:cs="Arial"/>
                <w:sz w:val="20"/>
                <w:lang w:eastAsia="en-GB"/>
              </w:rPr>
              <w:t xml:space="preserve"> and</w:t>
            </w:r>
            <w:r w:rsidRPr="00C3107D">
              <w:rPr>
                <w:rFonts w:ascii="Arial (W1)" w:hAnsi="Arial (W1)" w:cs="Arial"/>
                <w:sz w:val="20"/>
                <w:lang w:eastAsia="en-GB"/>
              </w:rPr>
              <w:t xml:space="preserve"> Neath Port Talbot County Borough Council have been set as a percentage of pay. However, minimum monetary contribution amounts for these employers have been agreed with the Administering Authority, and if the contributions actually received fall below this minimum level </w:t>
            </w:r>
            <w:r w:rsidR="00974335">
              <w:rPr>
                <w:rFonts w:ascii="Arial (W1)" w:hAnsi="Arial (W1)" w:cs="Arial"/>
                <w:sz w:val="20"/>
                <w:lang w:eastAsia="en-GB"/>
              </w:rPr>
              <w:t xml:space="preserve">then </w:t>
            </w:r>
            <w:r w:rsidRPr="00C3107D">
              <w:rPr>
                <w:rFonts w:ascii="Arial (W1)" w:hAnsi="Arial (W1)" w:cs="Arial"/>
                <w:sz w:val="20"/>
                <w:lang w:eastAsia="en-GB"/>
              </w:rPr>
              <w:t>additional payments will be required. Theses minim</w:t>
            </w:r>
            <w:r w:rsidR="00974335">
              <w:rPr>
                <w:rFonts w:ascii="Arial (W1)" w:hAnsi="Arial (W1)" w:cs="Arial"/>
                <w:sz w:val="20"/>
                <w:lang w:eastAsia="en-GB"/>
              </w:rPr>
              <w:t>a</w:t>
            </w:r>
            <w:r w:rsidRPr="00C3107D">
              <w:rPr>
                <w:rFonts w:ascii="Arial (W1)" w:hAnsi="Arial (W1)" w:cs="Arial"/>
                <w:sz w:val="20"/>
                <w:lang w:eastAsia="en-GB"/>
              </w:rPr>
              <w:t xml:space="preserve"> are such that the total contributions in aggregate must be no less than :</w:t>
            </w:r>
          </w:p>
          <w:p w14:paraId="32BB3071" w14:textId="77777777" w:rsidR="0094010C" w:rsidRPr="00C3107D" w:rsidRDefault="0094010C" w:rsidP="00DE4E97">
            <w:pPr>
              <w:rPr>
                <w:rFonts w:ascii="Arial (W1)" w:hAnsi="Arial (W1)" w:cs="Arial"/>
                <w:sz w:val="16"/>
                <w:lang w:eastAsia="en-GB"/>
              </w:rPr>
            </w:pPr>
          </w:p>
          <w:p w14:paraId="523E2303" w14:textId="77777777" w:rsidR="0094010C" w:rsidRPr="00C3107D" w:rsidRDefault="0094010C" w:rsidP="00DE4E97">
            <w:pPr>
              <w:rPr>
                <w:rFonts w:ascii="Arial (W1)" w:hAnsi="Arial (W1)" w:cs="Arial"/>
                <w:sz w:val="16"/>
                <w:lang w:eastAsia="en-GB"/>
              </w:rPr>
            </w:pPr>
          </w:p>
          <w:tbl>
            <w:tblPr>
              <w:tblW w:w="16454" w:type="dxa"/>
              <w:tblLayout w:type="fixed"/>
              <w:tblLook w:val="04A0" w:firstRow="1" w:lastRow="0" w:firstColumn="1" w:lastColumn="0" w:noHBand="0" w:noVBand="1"/>
            </w:tblPr>
            <w:tblGrid>
              <w:gridCol w:w="4404"/>
              <w:gridCol w:w="12050"/>
            </w:tblGrid>
            <w:tr w:rsidR="0094010C" w:rsidRPr="00C3107D" w14:paraId="1CE8A96A" w14:textId="77777777" w:rsidTr="001D1565">
              <w:trPr>
                <w:trHeight w:val="695"/>
              </w:trPr>
              <w:tc>
                <w:tcPr>
                  <w:tcW w:w="4404" w:type="dxa"/>
                  <w:tcBorders>
                    <w:top w:val="nil"/>
                    <w:left w:val="nil"/>
                    <w:bottom w:val="nil"/>
                    <w:right w:val="nil"/>
                  </w:tcBorders>
                  <w:shd w:val="clear" w:color="000000" w:fill="FFFFFF"/>
                  <w:hideMark/>
                </w:tcPr>
                <w:p w14:paraId="34D1FA44" w14:textId="77777777" w:rsidR="0094010C" w:rsidRPr="00C3107D" w:rsidRDefault="0094010C" w:rsidP="0094010C">
                  <w:pPr>
                    <w:rPr>
                      <w:rFonts w:ascii="Arial (W1)" w:hAnsi="Arial (W1)" w:cs="Arial"/>
                      <w:sz w:val="20"/>
                      <w:lang w:eastAsia="en-GB"/>
                    </w:rPr>
                  </w:pPr>
                  <w:r w:rsidRPr="00C3107D">
                    <w:rPr>
                      <w:rFonts w:ascii="Arial (W1)" w:hAnsi="Arial (W1)" w:cs="Arial"/>
                      <w:sz w:val="20"/>
                      <w:lang w:eastAsia="en-GB"/>
                    </w:rPr>
                    <w:lastRenderedPageBreak/>
                    <w:t>City &amp; County of Swansea</w:t>
                  </w:r>
                </w:p>
              </w:tc>
              <w:tc>
                <w:tcPr>
                  <w:tcW w:w="12050" w:type="dxa"/>
                  <w:tcBorders>
                    <w:top w:val="nil"/>
                    <w:left w:val="nil"/>
                    <w:bottom w:val="nil"/>
                    <w:right w:val="nil"/>
                  </w:tcBorders>
                  <w:shd w:val="clear" w:color="auto" w:fill="auto"/>
                  <w:hideMark/>
                </w:tcPr>
                <w:p w14:paraId="767AC3D0" w14:textId="77777777" w:rsidR="00974335" w:rsidRDefault="00974335" w:rsidP="0094010C">
                  <w:pPr>
                    <w:rPr>
                      <w:rFonts w:ascii="Arial" w:hAnsi="Arial" w:cs="Arial"/>
                      <w:sz w:val="20"/>
                      <w:lang w:eastAsia="en-GB"/>
                    </w:rPr>
                  </w:pPr>
                  <w:r>
                    <w:rPr>
                      <w:rFonts w:ascii="Arial" w:hAnsi="Arial" w:cs="Arial"/>
                      <w:sz w:val="20"/>
                      <w:lang w:eastAsia="en-GB"/>
                    </w:rPr>
                    <w:t>21.7</w:t>
                  </w:r>
                  <w:r w:rsidR="0094010C" w:rsidRPr="00C3107D">
                    <w:rPr>
                      <w:rFonts w:ascii="Arial" w:hAnsi="Arial" w:cs="Arial"/>
                      <w:sz w:val="20"/>
                      <w:lang w:eastAsia="en-GB"/>
                    </w:rPr>
                    <w:t xml:space="preserve">% </w:t>
                  </w:r>
                  <w:r>
                    <w:rPr>
                      <w:rFonts w:ascii="Arial" w:hAnsi="Arial" w:cs="Arial"/>
                      <w:sz w:val="20"/>
                      <w:lang w:eastAsia="en-GB"/>
                    </w:rPr>
                    <w:t xml:space="preserve">of </w:t>
                  </w:r>
                  <w:r w:rsidR="0094010C" w:rsidRPr="00C3107D">
                    <w:rPr>
                      <w:rFonts w:ascii="Arial" w:hAnsi="Arial" w:cs="Arial"/>
                      <w:sz w:val="20"/>
                      <w:lang w:eastAsia="en-GB"/>
                    </w:rPr>
                    <w:t>pensionable pay plus £</w:t>
                  </w:r>
                  <w:r>
                    <w:rPr>
                      <w:rFonts w:ascii="Arial" w:hAnsi="Arial" w:cs="Arial"/>
                      <w:sz w:val="20"/>
                      <w:lang w:eastAsia="en-GB"/>
                    </w:rPr>
                    <w:t>5.120M in 2020/21</w:t>
                  </w:r>
                </w:p>
                <w:p w14:paraId="5EB6FCD8" w14:textId="77777777" w:rsidR="00E419C5" w:rsidRDefault="00974335" w:rsidP="0094010C">
                  <w:pPr>
                    <w:rPr>
                      <w:rFonts w:ascii="Arial" w:hAnsi="Arial" w:cs="Arial"/>
                      <w:sz w:val="20"/>
                      <w:lang w:eastAsia="en-GB"/>
                    </w:rPr>
                  </w:pPr>
                  <w:r>
                    <w:rPr>
                      <w:rFonts w:ascii="Arial" w:hAnsi="Arial" w:cs="Arial"/>
                      <w:sz w:val="20"/>
                      <w:lang w:eastAsia="en-GB"/>
                    </w:rPr>
                    <w:t>21.7% of pensionable pay plus £5.310M in 2021/22</w:t>
                  </w:r>
                </w:p>
                <w:p w14:paraId="2D0ED518" w14:textId="77777777" w:rsidR="00974335" w:rsidRPr="00C3107D" w:rsidRDefault="00974335" w:rsidP="0094010C">
                  <w:pPr>
                    <w:rPr>
                      <w:rFonts w:ascii="Arial" w:hAnsi="Arial" w:cs="Arial"/>
                      <w:sz w:val="20"/>
                      <w:lang w:eastAsia="en-GB"/>
                    </w:rPr>
                  </w:pPr>
                  <w:r>
                    <w:rPr>
                      <w:rFonts w:ascii="Arial" w:hAnsi="Arial" w:cs="Arial"/>
                      <w:sz w:val="20"/>
                      <w:lang w:eastAsia="en-GB"/>
                    </w:rPr>
                    <w:t>21.7% of pensionable pay plus £5.500M in 2022/23</w:t>
                  </w:r>
                </w:p>
                <w:p w14:paraId="2D11BF67" w14:textId="77777777" w:rsidR="0094010C" w:rsidRPr="00C3107D" w:rsidRDefault="0094010C" w:rsidP="0094010C">
                  <w:pPr>
                    <w:rPr>
                      <w:rFonts w:ascii="Arial" w:hAnsi="Arial" w:cs="Arial"/>
                      <w:sz w:val="20"/>
                      <w:lang w:eastAsia="en-GB"/>
                    </w:rPr>
                  </w:pPr>
                </w:p>
              </w:tc>
            </w:tr>
            <w:tr w:rsidR="0094010C" w:rsidRPr="00C3107D" w14:paraId="1C2389D8" w14:textId="77777777" w:rsidTr="001D1565">
              <w:trPr>
                <w:trHeight w:val="650"/>
              </w:trPr>
              <w:tc>
                <w:tcPr>
                  <w:tcW w:w="4404" w:type="dxa"/>
                  <w:tcBorders>
                    <w:top w:val="nil"/>
                    <w:left w:val="nil"/>
                    <w:bottom w:val="nil"/>
                    <w:right w:val="nil"/>
                  </w:tcBorders>
                  <w:shd w:val="clear" w:color="000000" w:fill="FFFFFF"/>
                  <w:hideMark/>
                </w:tcPr>
                <w:p w14:paraId="24B7F691" w14:textId="77777777" w:rsidR="0094010C" w:rsidRPr="00C3107D" w:rsidRDefault="0094010C" w:rsidP="0094010C">
                  <w:pPr>
                    <w:rPr>
                      <w:rFonts w:ascii="Arial (W1)" w:hAnsi="Arial (W1)" w:cs="Arial"/>
                      <w:sz w:val="20"/>
                      <w:lang w:eastAsia="en-GB"/>
                    </w:rPr>
                  </w:pPr>
                  <w:r w:rsidRPr="00C3107D">
                    <w:rPr>
                      <w:rFonts w:ascii="Arial (W1)" w:hAnsi="Arial (W1)" w:cs="Arial"/>
                      <w:sz w:val="20"/>
                      <w:lang w:eastAsia="en-GB"/>
                    </w:rPr>
                    <w:t>Neath Port Talbot County Borough Council</w:t>
                  </w:r>
                </w:p>
                <w:p w14:paraId="407ACED9" w14:textId="77777777" w:rsidR="00677DF1" w:rsidRPr="00C3107D" w:rsidRDefault="00677DF1" w:rsidP="0094010C">
                  <w:pPr>
                    <w:rPr>
                      <w:rFonts w:ascii="Arial (W1)" w:hAnsi="Arial (W1)" w:cs="Arial"/>
                      <w:sz w:val="20"/>
                      <w:lang w:eastAsia="en-GB"/>
                    </w:rPr>
                  </w:pPr>
                </w:p>
                <w:p w14:paraId="425E412F" w14:textId="77777777" w:rsidR="00677DF1" w:rsidRPr="00C3107D" w:rsidRDefault="00677DF1" w:rsidP="0094010C">
                  <w:pPr>
                    <w:rPr>
                      <w:rFonts w:ascii="Arial (W1)" w:hAnsi="Arial (W1)" w:cs="Arial"/>
                      <w:sz w:val="20"/>
                      <w:lang w:eastAsia="en-GB"/>
                    </w:rPr>
                  </w:pPr>
                </w:p>
                <w:p w14:paraId="34F7868F" w14:textId="77777777" w:rsidR="00677DF1" w:rsidRDefault="00677DF1" w:rsidP="0094010C">
                  <w:pPr>
                    <w:rPr>
                      <w:rFonts w:ascii="Arial (W1)" w:hAnsi="Arial (W1)" w:cs="Arial"/>
                      <w:sz w:val="20"/>
                      <w:lang w:eastAsia="en-GB"/>
                    </w:rPr>
                  </w:pPr>
                </w:p>
                <w:p w14:paraId="16F1F7AA" w14:textId="77777777" w:rsidR="00974335" w:rsidRDefault="00974335" w:rsidP="0094010C">
                  <w:pPr>
                    <w:rPr>
                      <w:rFonts w:ascii="Arial (W1)" w:hAnsi="Arial (W1)" w:cs="Arial"/>
                      <w:sz w:val="20"/>
                      <w:lang w:eastAsia="en-GB"/>
                    </w:rPr>
                  </w:pPr>
                </w:p>
                <w:p w14:paraId="5BB6F4D2" w14:textId="77777777" w:rsidR="00974335" w:rsidRPr="00C3107D" w:rsidRDefault="00974335" w:rsidP="0094010C">
                  <w:pPr>
                    <w:rPr>
                      <w:rFonts w:ascii="Arial (W1)" w:hAnsi="Arial (W1)" w:cs="Arial"/>
                      <w:sz w:val="20"/>
                      <w:lang w:eastAsia="en-GB"/>
                    </w:rPr>
                  </w:pPr>
                </w:p>
              </w:tc>
              <w:tc>
                <w:tcPr>
                  <w:tcW w:w="12050" w:type="dxa"/>
                  <w:tcBorders>
                    <w:top w:val="nil"/>
                    <w:left w:val="nil"/>
                    <w:bottom w:val="nil"/>
                    <w:right w:val="nil"/>
                  </w:tcBorders>
                  <w:shd w:val="clear" w:color="auto" w:fill="auto"/>
                  <w:hideMark/>
                </w:tcPr>
                <w:p w14:paraId="14DB01BF" w14:textId="77777777" w:rsidR="00974335" w:rsidRDefault="00974335" w:rsidP="0094010C">
                  <w:pPr>
                    <w:rPr>
                      <w:rFonts w:ascii="Arial" w:hAnsi="Arial" w:cs="Arial"/>
                      <w:sz w:val="20"/>
                      <w:lang w:eastAsia="en-GB"/>
                    </w:rPr>
                  </w:pPr>
                  <w:r>
                    <w:rPr>
                      <w:rFonts w:ascii="Arial" w:hAnsi="Arial" w:cs="Arial"/>
                      <w:sz w:val="20"/>
                      <w:lang w:eastAsia="en-GB"/>
                    </w:rPr>
                    <w:t xml:space="preserve">21.5% of </w:t>
                  </w:r>
                  <w:r w:rsidR="0094010C" w:rsidRPr="00C3107D">
                    <w:rPr>
                      <w:rFonts w:ascii="Arial" w:hAnsi="Arial" w:cs="Arial"/>
                      <w:sz w:val="20"/>
                      <w:lang w:eastAsia="en-GB"/>
                    </w:rPr>
                    <w:t>pensionable pay plus £</w:t>
                  </w:r>
                  <w:r>
                    <w:rPr>
                      <w:rFonts w:ascii="Arial" w:hAnsi="Arial" w:cs="Arial"/>
                      <w:sz w:val="20"/>
                      <w:lang w:eastAsia="en-GB"/>
                    </w:rPr>
                    <w:t>5.060M in 2020/21</w:t>
                  </w:r>
                </w:p>
                <w:p w14:paraId="30DEAD9E" w14:textId="77777777" w:rsidR="00974335" w:rsidRDefault="00974335" w:rsidP="0094010C">
                  <w:pPr>
                    <w:rPr>
                      <w:rFonts w:ascii="Arial" w:hAnsi="Arial" w:cs="Arial"/>
                      <w:sz w:val="20"/>
                      <w:lang w:eastAsia="en-GB"/>
                    </w:rPr>
                  </w:pPr>
                  <w:r>
                    <w:rPr>
                      <w:rFonts w:ascii="Arial" w:hAnsi="Arial" w:cs="Arial"/>
                      <w:sz w:val="20"/>
                      <w:lang w:eastAsia="en-GB"/>
                    </w:rPr>
                    <w:t>21.5% of pensionable pay plus £5.242M in 2021/22</w:t>
                  </w:r>
                </w:p>
                <w:p w14:paraId="69B746D6" w14:textId="77777777" w:rsidR="00E419C5" w:rsidRPr="00C3107D" w:rsidRDefault="00974335" w:rsidP="0094010C">
                  <w:pPr>
                    <w:rPr>
                      <w:rFonts w:ascii="Arial" w:hAnsi="Arial" w:cs="Arial"/>
                      <w:sz w:val="20"/>
                      <w:lang w:eastAsia="en-GB"/>
                    </w:rPr>
                  </w:pPr>
                  <w:r>
                    <w:rPr>
                      <w:rFonts w:ascii="Arial" w:hAnsi="Arial" w:cs="Arial"/>
                      <w:sz w:val="20"/>
                      <w:lang w:eastAsia="en-GB"/>
                    </w:rPr>
                    <w:t>21.5% of pensionable pay plus £5.431M in 2022/23</w:t>
                  </w:r>
                  <w:r w:rsidR="0094010C" w:rsidRPr="00C3107D">
                    <w:rPr>
                      <w:rFonts w:ascii="Arial" w:hAnsi="Arial" w:cs="Arial"/>
                      <w:sz w:val="20"/>
                      <w:lang w:eastAsia="en-GB"/>
                    </w:rPr>
                    <w:t xml:space="preserve"> </w:t>
                  </w:r>
                </w:p>
                <w:p w14:paraId="372561AD" w14:textId="77777777" w:rsidR="0094010C" w:rsidRDefault="0094010C" w:rsidP="0094010C">
                  <w:pPr>
                    <w:rPr>
                      <w:rFonts w:ascii="Arial" w:hAnsi="Arial" w:cs="Arial"/>
                      <w:sz w:val="20"/>
                      <w:lang w:eastAsia="en-GB"/>
                    </w:rPr>
                  </w:pPr>
                </w:p>
                <w:p w14:paraId="3020ECD6" w14:textId="77777777" w:rsidR="00974335" w:rsidRDefault="00974335" w:rsidP="0094010C">
                  <w:pPr>
                    <w:rPr>
                      <w:rFonts w:ascii="Arial" w:hAnsi="Arial" w:cs="Arial"/>
                      <w:sz w:val="20"/>
                      <w:lang w:eastAsia="en-GB"/>
                    </w:rPr>
                  </w:pPr>
                </w:p>
                <w:p w14:paraId="7A2A900D" w14:textId="77777777" w:rsidR="00974335" w:rsidRDefault="00974335" w:rsidP="0094010C">
                  <w:pPr>
                    <w:rPr>
                      <w:rFonts w:ascii="Arial" w:hAnsi="Arial" w:cs="Arial"/>
                      <w:sz w:val="20"/>
                      <w:lang w:eastAsia="en-GB"/>
                    </w:rPr>
                  </w:pPr>
                </w:p>
                <w:p w14:paraId="4DE53969" w14:textId="77777777" w:rsidR="00974335" w:rsidRDefault="00974335" w:rsidP="0094010C">
                  <w:pPr>
                    <w:rPr>
                      <w:rFonts w:ascii="Arial" w:hAnsi="Arial" w:cs="Arial"/>
                      <w:sz w:val="20"/>
                      <w:lang w:eastAsia="en-GB"/>
                    </w:rPr>
                  </w:pPr>
                </w:p>
                <w:p w14:paraId="6DD84031" w14:textId="77777777" w:rsidR="00677DF1" w:rsidRPr="00C3107D" w:rsidRDefault="00677DF1" w:rsidP="00765965">
                  <w:pPr>
                    <w:rPr>
                      <w:rFonts w:ascii="Arial" w:hAnsi="Arial" w:cs="Arial"/>
                      <w:sz w:val="20"/>
                      <w:lang w:eastAsia="en-GB"/>
                    </w:rPr>
                  </w:pPr>
                </w:p>
              </w:tc>
            </w:tr>
          </w:tbl>
          <w:p w14:paraId="1A6BE8A1" w14:textId="77777777" w:rsidR="00E364D5" w:rsidRPr="00E364D5" w:rsidRDefault="00E364D5" w:rsidP="00E364D5">
            <w:pPr>
              <w:rPr>
                <w:vanish/>
              </w:rPr>
            </w:pPr>
          </w:p>
          <w:tbl>
            <w:tblPr>
              <w:tblpPr w:leftFromText="180" w:rightFromText="180" w:vertAnchor="text" w:horzAnchor="margin" w:tblpY="-6078"/>
              <w:tblOverlap w:val="never"/>
              <w:tblW w:w="15874" w:type="dxa"/>
              <w:tblLayout w:type="fixed"/>
              <w:tblLook w:val="04A0" w:firstRow="1" w:lastRow="0" w:firstColumn="1" w:lastColumn="0" w:noHBand="0" w:noVBand="1"/>
            </w:tblPr>
            <w:tblGrid>
              <w:gridCol w:w="15874"/>
            </w:tblGrid>
            <w:tr w:rsidR="00792C0D" w:rsidRPr="00DE5734" w14:paraId="73A89913" w14:textId="77777777" w:rsidTr="001D1565">
              <w:trPr>
                <w:trHeight w:val="690"/>
              </w:trPr>
              <w:tc>
                <w:tcPr>
                  <w:tcW w:w="15874" w:type="dxa"/>
                  <w:tcBorders>
                    <w:top w:val="nil"/>
                    <w:left w:val="nil"/>
                    <w:bottom w:val="nil"/>
                    <w:right w:val="nil"/>
                  </w:tcBorders>
                  <w:shd w:val="clear" w:color="000000" w:fill="FFFFFF"/>
                  <w:vAlign w:val="center"/>
                  <w:hideMark/>
                </w:tcPr>
                <w:p w14:paraId="38C83511" w14:textId="77777777" w:rsidR="00C3107D" w:rsidRPr="00DE5734" w:rsidRDefault="00C3107D" w:rsidP="003A6B18">
                  <w:pPr>
                    <w:jc w:val="both"/>
                    <w:rPr>
                      <w:rFonts w:ascii="Arial (W1)" w:hAnsi="Arial (W1)" w:cs="Arial"/>
                      <w:sz w:val="20"/>
                      <w:lang w:eastAsia="en-GB"/>
                    </w:rPr>
                  </w:pPr>
                  <w:r w:rsidRPr="00DE5734">
                    <w:rPr>
                      <w:rFonts w:ascii="Arial (W1)" w:hAnsi="Arial (W1)" w:cs="Arial"/>
                      <w:sz w:val="20"/>
                      <w:lang w:eastAsia="en-GB"/>
                    </w:rPr>
                    <w:t xml:space="preserve">The contributions shown above represent the minimum contributions to be paid by each </w:t>
                  </w:r>
                  <w:r w:rsidR="003A6B18">
                    <w:rPr>
                      <w:rFonts w:ascii="Arial (W1)" w:hAnsi="Arial (W1)" w:cs="Arial"/>
                      <w:sz w:val="20"/>
                      <w:lang w:eastAsia="en-GB"/>
                    </w:rPr>
                    <w:t>e</w:t>
                  </w:r>
                  <w:r w:rsidRPr="00DE5734">
                    <w:rPr>
                      <w:rFonts w:ascii="Arial (W1)" w:hAnsi="Arial (W1)" w:cs="Arial"/>
                      <w:sz w:val="20"/>
                      <w:lang w:eastAsia="en-GB"/>
                    </w:rPr>
                    <w:t>mployer. Employers may choose to pay additional contributions from time to time subject to the Administering Authority's agreement.</w:t>
                  </w:r>
                </w:p>
              </w:tc>
            </w:tr>
            <w:tr w:rsidR="00792C0D" w:rsidRPr="00DE5734" w14:paraId="06FEFAE9" w14:textId="77777777" w:rsidTr="001D1565">
              <w:trPr>
                <w:trHeight w:val="1035"/>
              </w:trPr>
              <w:tc>
                <w:tcPr>
                  <w:tcW w:w="15874" w:type="dxa"/>
                  <w:tcBorders>
                    <w:top w:val="nil"/>
                    <w:left w:val="nil"/>
                    <w:bottom w:val="nil"/>
                    <w:right w:val="nil"/>
                  </w:tcBorders>
                  <w:shd w:val="clear" w:color="000000" w:fill="FFFFFF"/>
                  <w:vAlign w:val="center"/>
                  <w:hideMark/>
                </w:tcPr>
                <w:p w14:paraId="26056E2E" w14:textId="77777777" w:rsidR="003A6B18" w:rsidRDefault="003A6B18" w:rsidP="00C3107D">
                  <w:pPr>
                    <w:jc w:val="both"/>
                    <w:rPr>
                      <w:rFonts w:ascii="Arial (W1)" w:hAnsi="Arial (W1)" w:cs="Arial"/>
                      <w:sz w:val="20"/>
                      <w:lang w:eastAsia="en-GB"/>
                    </w:rPr>
                  </w:pPr>
                  <w:r>
                    <w:rPr>
                      <w:rFonts w:ascii="Arial (W1)" w:hAnsi="Arial (W1)" w:cs="Arial"/>
                      <w:sz w:val="20"/>
                      <w:lang w:eastAsia="en-GB"/>
                    </w:rPr>
                    <w:t>Swansea Bay Racial Equality Council exited the Fund prior to signing this Rates &amp; Adjustments Certificate and further payments may be certified under Regulation 64.</w:t>
                  </w:r>
                </w:p>
                <w:p w14:paraId="3960B35A" w14:textId="77777777" w:rsidR="003A6B18" w:rsidRDefault="003A6B18" w:rsidP="00C3107D">
                  <w:pPr>
                    <w:jc w:val="both"/>
                    <w:rPr>
                      <w:rFonts w:ascii="Arial (W1)" w:hAnsi="Arial (W1)" w:cs="Arial"/>
                      <w:sz w:val="20"/>
                      <w:lang w:eastAsia="en-GB"/>
                    </w:rPr>
                  </w:pPr>
                </w:p>
                <w:p w14:paraId="4DCD58F7" w14:textId="77777777" w:rsidR="003A6B18" w:rsidRDefault="003A6B18" w:rsidP="00C3107D">
                  <w:pPr>
                    <w:jc w:val="both"/>
                    <w:rPr>
                      <w:rFonts w:ascii="Arial (W1)" w:hAnsi="Arial (W1)" w:cs="Arial"/>
                      <w:sz w:val="20"/>
                      <w:lang w:eastAsia="en-GB"/>
                    </w:rPr>
                  </w:pPr>
                  <w:r>
                    <w:rPr>
                      <w:rFonts w:ascii="Arial (W1)" w:hAnsi="Arial (W1)" w:cs="Arial"/>
                      <w:sz w:val="20"/>
                      <w:lang w:eastAsia="en-GB"/>
                    </w:rPr>
                    <w:t>Additional contributions may be payable by any other employers which have ceased to participate in the Fund since 31 March 2019 and these will be certified separately.</w:t>
                  </w:r>
                </w:p>
                <w:p w14:paraId="59DACA54" w14:textId="77777777" w:rsidR="003A6B18" w:rsidRDefault="003A6B18" w:rsidP="00C3107D">
                  <w:pPr>
                    <w:jc w:val="both"/>
                    <w:rPr>
                      <w:rFonts w:ascii="Arial (W1)" w:hAnsi="Arial (W1)" w:cs="Arial"/>
                      <w:sz w:val="20"/>
                      <w:lang w:eastAsia="en-GB"/>
                    </w:rPr>
                  </w:pPr>
                </w:p>
                <w:p w14:paraId="3990E71C" w14:textId="77777777" w:rsidR="00C3107D" w:rsidRPr="00DE5734" w:rsidRDefault="00C3107D" w:rsidP="003A6B18">
                  <w:pPr>
                    <w:jc w:val="both"/>
                    <w:rPr>
                      <w:rFonts w:ascii="Arial (W1)" w:hAnsi="Arial (W1)" w:cs="Arial"/>
                      <w:sz w:val="20"/>
                      <w:lang w:eastAsia="en-GB"/>
                    </w:rPr>
                  </w:pPr>
                  <w:r w:rsidRPr="00DE5734">
                    <w:rPr>
                      <w:rFonts w:ascii="Arial (W1)" w:hAnsi="Arial (W1)" w:cs="Arial"/>
                      <w:sz w:val="20"/>
                      <w:lang w:eastAsia="en-GB"/>
                    </w:rPr>
                    <w:t xml:space="preserve">Where payments due from an Employer are expressed as monetary amounts, the amounts payable by that </w:t>
                  </w:r>
                  <w:r w:rsidR="003A6B18">
                    <w:rPr>
                      <w:rFonts w:ascii="Arial (W1)" w:hAnsi="Arial (W1)" w:cs="Arial"/>
                      <w:sz w:val="20"/>
                      <w:lang w:eastAsia="en-GB"/>
                    </w:rPr>
                    <w:t>e</w:t>
                  </w:r>
                  <w:r w:rsidRPr="00DE5734">
                    <w:rPr>
                      <w:rFonts w:ascii="Arial (W1)" w:hAnsi="Arial (W1)" w:cs="Arial"/>
                      <w:sz w:val="20"/>
                      <w:lang w:eastAsia="en-GB"/>
                    </w:rPr>
                    <w:t>mployer may be adjusted to take account of any amounts payable, in respect of surplus or shortfall to which those monetary payments relate, by new employers created after the valuation date which have been credited with proportions of the assets and liabilities of the relevant Employer.</w:t>
                  </w:r>
                </w:p>
              </w:tc>
            </w:tr>
            <w:tr w:rsidR="00792C0D" w:rsidRPr="00DE5734" w14:paraId="50EC378B" w14:textId="77777777" w:rsidTr="001D1565">
              <w:trPr>
                <w:trHeight w:val="900"/>
              </w:trPr>
              <w:tc>
                <w:tcPr>
                  <w:tcW w:w="15874" w:type="dxa"/>
                  <w:tcBorders>
                    <w:top w:val="nil"/>
                    <w:left w:val="nil"/>
                    <w:bottom w:val="nil"/>
                    <w:right w:val="nil"/>
                  </w:tcBorders>
                  <w:shd w:val="clear" w:color="000000" w:fill="FFFFFF"/>
                  <w:vAlign w:val="center"/>
                  <w:hideMark/>
                </w:tcPr>
                <w:p w14:paraId="7EEC7909" w14:textId="77777777" w:rsidR="00C3107D" w:rsidRPr="00DE5734" w:rsidRDefault="00C3107D" w:rsidP="003A6B18">
                  <w:pPr>
                    <w:jc w:val="both"/>
                    <w:rPr>
                      <w:rFonts w:ascii="Arial (W1)" w:hAnsi="Arial (W1)" w:cs="Arial"/>
                      <w:sz w:val="20"/>
                      <w:lang w:eastAsia="en-GB"/>
                    </w:rPr>
                  </w:pPr>
                  <w:r w:rsidRPr="00DE5734">
                    <w:rPr>
                      <w:rFonts w:ascii="Arial (W1)" w:hAnsi="Arial (W1)" w:cs="Arial"/>
                      <w:sz w:val="20"/>
                      <w:lang w:eastAsia="en-GB"/>
                    </w:rPr>
                    <w:t xml:space="preserve">Additional contributions may be required in respect of any additional liabilities that arise under the provisions of Regulations 30, 31, 35 and 38 of the 2013 Regulations and </w:t>
                  </w:r>
                  <w:r w:rsidR="003A6B18">
                    <w:rPr>
                      <w:rFonts w:ascii="Arial (W1)" w:hAnsi="Arial (W1)" w:cs="Arial"/>
                      <w:sz w:val="20"/>
                      <w:lang w:eastAsia="en-GB"/>
                    </w:rPr>
                    <w:t>e</w:t>
                  </w:r>
                  <w:r w:rsidRPr="00DE5734">
                    <w:rPr>
                      <w:rFonts w:ascii="Arial (W1)" w:hAnsi="Arial (W1)" w:cs="Arial"/>
                      <w:sz w:val="20"/>
                      <w:lang w:eastAsia="en-GB"/>
                    </w:rPr>
                    <w:t>mployers will be notified of such contributions separately by the Administering Authority.</w:t>
                  </w:r>
                </w:p>
              </w:tc>
            </w:tr>
            <w:tr w:rsidR="00792C0D" w:rsidRPr="00DE5734" w14:paraId="6E6CCC34" w14:textId="77777777" w:rsidTr="001D1565">
              <w:trPr>
                <w:trHeight w:val="510"/>
              </w:trPr>
              <w:tc>
                <w:tcPr>
                  <w:tcW w:w="15874" w:type="dxa"/>
                  <w:tcBorders>
                    <w:top w:val="nil"/>
                    <w:left w:val="nil"/>
                    <w:bottom w:val="nil"/>
                    <w:right w:val="nil"/>
                  </w:tcBorders>
                  <w:shd w:val="clear" w:color="000000" w:fill="FFFFFF"/>
                  <w:vAlign w:val="center"/>
                  <w:hideMark/>
                </w:tcPr>
                <w:p w14:paraId="111BB148" w14:textId="77777777" w:rsidR="00C3107D" w:rsidRPr="00DE5734" w:rsidRDefault="00C3107D" w:rsidP="003A6B18">
                  <w:pPr>
                    <w:jc w:val="both"/>
                    <w:rPr>
                      <w:rFonts w:ascii="Arial (W1)" w:hAnsi="Arial (W1)" w:cs="Arial"/>
                      <w:sz w:val="20"/>
                      <w:lang w:eastAsia="en-GB"/>
                    </w:rPr>
                  </w:pPr>
                  <w:r w:rsidRPr="00DE5734">
                    <w:rPr>
                      <w:rFonts w:ascii="Arial (W1)" w:hAnsi="Arial (W1)" w:cs="Arial"/>
                      <w:sz w:val="20"/>
                      <w:lang w:eastAsia="en-GB"/>
                    </w:rPr>
                    <w:t>Contribution rates for Employers commencing participation in the Fund after 31 March 201</w:t>
                  </w:r>
                  <w:r w:rsidR="003A6B18">
                    <w:rPr>
                      <w:rFonts w:ascii="Arial (W1)" w:hAnsi="Arial (W1)" w:cs="Arial"/>
                      <w:sz w:val="20"/>
                      <w:lang w:eastAsia="en-GB"/>
                    </w:rPr>
                    <w:t>9</w:t>
                  </w:r>
                  <w:r w:rsidRPr="00DE5734">
                    <w:rPr>
                      <w:rFonts w:ascii="Arial (W1)" w:hAnsi="Arial (W1)" w:cs="Arial"/>
                      <w:sz w:val="20"/>
                      <w:lang w:eastAsia="en-GB"/>
                    </w:rPr>
                    <w:t xml:space="preserve"> will be advised separately.</w:t>
                  </w:r>
                </w:p>
              </w:tc>
            </w:tr>
            <w:tr w:rsidR="00792C0D" w:rsidRPr="00DE5734" w14:paraId="5D6734E4" w14:textId="77777777" w:rsidTr="001D1565">
              <w:trPr>
                <w:trHeight w:val="300"/>
              </w:trPr>
              <w:tc>
                <w:tcPr>
                  <w:tcW w:w="15874" w:type="dxa"/>
                  <w:tcBorders>
                    <w:top w:val="nil"/>
                    <w:left w:val="nil"/>
                    <w:bottom w:val="nil"/>
                    <w:right w:val="nil"/>
                  </w:tcBorders>
                  <w:shd w:val="clear" w:color="000000" w:fill="FFFFFF"/>
                  <w:hideMark/>
                </w:tcPr>
                <w:p w14:paraId="5EE2D7CE" w14:textId="77777777" w:rsidR="003A6B18" w:rsidRDefault="003A6B18" w:rsidP="00C3107D">
                  <w:pPr>
                    <w:rPr>
                      <w:rFonts w:ascii="Arial (W1)" w:hAnsi="Arial (W1)" w:cs="Arial"/>
                      <w:sz w:val="20"/>
                      <w:lang w:eastAsia="en-GB"/>
                    </w:rPr>
                  </w:pPr>
                </w:p>
                <w:p w14:paraId="3F7DEFD9" w14:textId="77777777" w:rsidR="00C3107D" w:rsidRPr="00DE5734" w:rsidRDefault="003A6B18" w:rsidP="002B1A2B">
                  <w:pPr>
                    <w:jc w:val="both"/>
                    <w:rPr>
                      <w:rFonts w:ascii="Arial (W1)" w:hAnsi="Arial (W1)" w:cs="Arial"/>
                      <w:sz w:val="20"/>
                      <w:lang w:eastAsia="en-GB"/>
                    </w:rPr>
                  </w:pPr>
                  <w:r>
                    <w:rPr>
                      <w:rFonts w:ascii="Arial (W1)" w:hAnsi="Arial (W1)" w:cs="Arial"/>
                      <w:sz w:val="20"/>
                      <w:lang w:eastAsia="en-GB"/>
                    </w:rPr>
                    <w:t>Regulation 62(8) requires a statement to be made of the assumptions on which the certificate is given as regards the number of members, and the associated amount of liabilities arising, who will become entitled to payment of pensions under the LGPS regulations during the period covered by the certificate. These assumptions can be found in section e of the Further Information Section of the formal report on the valuation as at 31</w:t>
                  </w:r>
                  <w:r>
                    <w:rPr>
                      <w:rFonts w:ascii="Arial (W1)" w:hAnsi="Arial (W1)" w:cs="Arial"/>
                      <w:sz w:val="20"/>
                      <w:vertAlign w:val="superscript"/>
                      <w:lang w:eastAsia="en-GB"/>
                    </w:rPr>
                    <w:t xml:space="preserve"> </w:t>
                  </w:r>
                  <w:r>
                    <w:rPr>
                      <w:rFonts w:ascii="Arial (W1)" w:hAnsi="Arial (W1)" w:cs="Arial"/>
                      <w:sz w:val="20"/>
                      <w:lang w:eastAsia="en-GB"/>
                    </w:rPr>
                    <w:t>March 2019. They include assumptions relating to the members who are expected to become entitled to payment of pensions via normal retirement and ill health retirement. In practice members will also become entitled to payment of pension</w:t>
                  </w:r>
                  <w:r w:rsidR="002B1A2B">
                    <w:rPr>
                      <w:rFonts w:ascii="Arial (W1)" w:hAnsi="Arial (W1)" w:cs="Arial"/>
                      <w:sz w:val="20"/>
                      <w:lang w:eastAsia="en-GB"/>
                    </w:rPr>
                    <w:t xml:space="preserve"> via early retirement for reasons of redundancy or efficiency reasons as well as on voluntary early retirement, for which no assumption has been made.</w:t>
                  </w:r>
                </w:p>
              </w:tc>
            </w:tr>
          </w:tbl>
          <w:p w14:paraId="5B64FF98" w14:textId="77777777" w:rsidR="0094010C" w:rsidRPr="00C3107D" w:rsidRDefault="0094010C" w:rsidP="00DE4E97">
            <w:pPr>
              <w:rPr>
                <w:rFonts w:ascii="Arial (W1)" w:hAnsi="Arial (W1)" w:cs="Arial"/>
                <w:sz w:val="16"/>
                <w:lang w:eastAsia="en-GB"/>
              </w:rPr>
            </w:pPr>
          </w:p>
        </w:tc>
      </w:tr>
      <w:tr w:rsidR="00C3107D" w:rsidRPr="00DE4E97" w14:paraId="595D6035" w14:textId="77777777" w:rsidTr="001D1565">
        <w:trPr>
          <w:trHeight w:val="690"/>
        </w:trPr>
        <w:tc>
          <w:tcPr>
            <w:tcW w:w="4390" w:type="dxa"/>
            <w:tcBorders>
              <w:top w:val="nil"/>
              <w:left w:val="nil"/>
              <w:bottom w:val="nil"/>
              <w:right w:val="nil"/>
            </w:tcBorders>
            <w:shd w:val="clear" w:color="000000" w:fill="FFFFFF"/>
          </w:tcPr>
          <w:p w14:paraId="56950CAD" w14:textId="77777777" w:rsidR="00C3107D" w:rsidRDefault="00C3107D" w:rsidP="00C3107D">
            <w:pPr>
              <w:rPr>
                <w:rFonts w:ascii="Arial (W1)" w:hAnsi="Arial (W1)" w:cs="Arial"/>
                <w:sz w:val="20"/>
                <w:lang w:eastAsia="en-GB"/>
              </w:rPr>
            </w:pPr>
          </w:p>
          <w:p w14:paraId="2F143CFD" w14:textId="77777777" w:rsidR="00C3107D" w:rsidRPr="00DE4E97" w:rsidRDefault="00C3107D" w:rsidP="00C3107D">
            <w:pPr>
              <w:rPr>
                <w:rFonts w:ascii="Arial (W1)" w:hAnsi="Arial (W1)" w:cs="Arial"/>
                <w:sz w:val="20"/>
                <w:lang w:eastAsia="en-GB"/>
              </w:rPr>
            </w:pPr>
          </w:p>
        </w:tc>
        <w:tc>
          <w:tcPr>
            <w:tcW w:w="11765" w:type="dxa"/>
            <w:gridSpan w:val="11"/>
            <w:tcBorders>
              <w:top w:val="nil"/>
              <w:left w:val="nil"/>
              <w:bottom w:val="nil"/>
              <w:right w:val="nil"/>
            </w:tcBorders>
            <w:shd w:val="clear" w:color="auto" w:fill="auto"/>
          </w:tcPr>
          <w:p w14:paraId="36747E38" w14:textId="77777777" w:rsidR="00C3107D" w:rsidRDefault="00C3107D" w:rsidP="00C3107D">
            <w:pPr>
              <w:rPr>
                <w:rFonts w:ascii="Arial (W1)" w:hAnsi="Arial (W1)" w:cs="Arial"/>
                <w:sz w:val="20"/>
                <w:lang w:eastAsia="en-GB"/>
              </w:rPr>
            </w:pPr>
          </w:p>
          <w:p w14:paraId="2E1AE8AF" w14:textId="07AC3B12" w:rsidR="00EB2F8F" w:rsidRPr="00DE4E97" w:rsidRDefault="00516E75" w:rsidP="00C3107D">
            <w:pPr>
              <w:rPr>
                <w:rFonts w:ascii="Arial (W1)" w:hAnsi="Arial (W1)" w:cs="Arial"/>
                <w:sz w:val="20"/>
                <w:lang w:eastAsia="en-GB"/>
              </w:rPr>
            </w:pPr>
            <w:r>
              <w:rPr>
                <w:noProof/>
                <w:lang w:eastAsia="en-GB"/>
              </w:rPr>
              <w:lastRenderedPageBreak/>
              <w:drawing>
                <wp:inline distT="0" distB="0" distL="0" distR="0" wp14:anchorId="7FABBE17" wp14:editId="684A5BAF">
                  <wp:extent cx="6172200" cy="218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2200" cy="2184400"/>
                          </a:xfrm>
                          <a:prstGeom prst="rect">
                            <a:avLst/>
                          </a:prstGeom>
                          <a:noFill/>
                          <a:ln>
                            <a:noFill/>
                          </a:ln>
                        </pic:spPr>
                      </pic:pic>
                    </a:graphicData>
                  </a:graphic>
                </wp:inline>
              </w:drawing>
            </w:r>
          </w:p>
        </w:tc>
      </w:tr>
    </w:tbl>
    <w:p w14:paraId="6E40BAE6" w14:textId="77777777" w:rsidR="00C060EE" w:rsidRDefault="00C060EE" w:rsidP="004271D0">
      <w:pPr>
        <w:spacing w:after="80"/>
        <w:rPr>
          <w:rFonts w:ascii="Arial" w:hAnsi="Arial" w:cs="Arial"/>
          <w:sz w:val="24"/>
          <w:szCs w:val="24"/>
        </w:rPr>
        <w:sectPr w:rsidR="00C060EE" w:rsidSect="00BC69B1">
          <w:pgSz w:w="16840" w:h="11907" w:orient="landscape" w:code="9"/>
          <w:pgMar w:top="1440" w:right="340" w:bottom="1440" w:left="284" w:header="720" w:footer="720" w:gutter="0"/>
          <w:cols w:space="720"/>
          <w:docGrid w:linePitch="381"/>
        </w:sectPr>
      </w:pPr>
    </w:p>
    <w:p w14:paraId="444F0E1A" w14:textId="77777777" w:rsidR="00AF3C71" w:rsidRPr="008E7A43" w:rsidRDefault="00412014" w:rsidP="009247DD">
      <w:pPr>
        <w:pStyle w:val="Heading7"/>
        <w:jc w:val="right"/>
        <w:rPr>
          <w:sz w:val="20"/>
        </w:rPr>
      </w:pPr>
      <w:r>
        <w:rPr>
          <w:sz w:val="20"/>
        </w:rPr>
        <w:lastRenderedPageBreak/>
        <w:t>A</w:t>
      </w:r>
      <w:r w:rsidR="007915BD" w:rsidRPr="008E7A43">
        <w:rPr>
          <w:sz w:val="20"/>
        </w:rPr>
        <w:t>ppendix 1</w:t>
      </w:r>
      <w:r w:rsidR="00AF3C71" w:rsidRPr="008E7A43">
        <w:rPr>
          <w:sz w:val="20"/>
        </w:rPr>
        <w:t xml:space="preserve">                                                                                                                 </w:t>
      </w:r>
    </w:p>
    <w:p w14:paraId="27DCE1B9" w14:textId="77777777" w:rsidR="00AF3C71" w:rsidRPr="008E7A43" w:rsidRDefault="00AF3C71" w:rsidP="00AF3C71">
      <w:pPr>
        <w:jc w:val="center"/>
        <w:rPr>
          <w:rFonts w:ascii="Arial" w:hAnsi="Arial"/>
          <w:b/>
          <w:sz w:val="20"/>
        </w:rPr>
      </w:pPr>
      <w:r w:rsidRPr="008E7A43">
        <w:rPr>
          <w:rFonts w:ascii="Arial" w:hAnsi="Arial"/>
          <w:b/>
          <w:sz w:val="20"/>
        </w:rPr>
        <w:t>SCHEDULE OF EMPLOYING BODIES AND CONTRIBUTION RATES FOR THE PERIOD 1</w:t>
      </w:r>
      <w:r w:rsidRPr="008E7A43">
        <w:rPr>
          <w:rFonts w:ascii="Arial" w:hAnsi="Arial"/>
          <w:b/>
          <w:sz w:val="20"/>
          <w:vertAlign w:val="superscript"/>
        </w:rPr>
        <w:t>ST</w:t>
      </w:r>
      <w:r w:rsidRPr="008E7A43">
        <w:rPr>
          <w:rFonts w:ascii="Arial" w:hAnsi="Arial"/>
          <w:b/>
          <w:sz w:val="20"/>
        </w:rPr>
        <w:t xml:space="preserve"> APRIL 20</w:t>
      </w:r>
      <w:r w:rsidR="001D2ED4">
        <w:rPr>
          <w:rFonts w:ascii="Arial" w:hAnsi="Arial"/>
          <w:b/>
          <w:sz w:val="20"/>
        </w:rPr>
        <w:t>2</w:t>
      </w:r>
      <w:r w:rsidR="00101296">
        <w:rPr>
          <w:rFonts w:ascii="Arial" w:hAnsi="Arial"/>
          <w:b/>
          <w:sz w:val="20"/>
        </w:rPr>
        <w:t xml:space="preserve">1 </w:t>
      </w:r>
      <w:r w:rsidRPr="008E7A43">
        <w:rPr>
          <w:rFonts w:ascii="Arial" w:hAnsi="Arial"/>
          <w:b/>
          <w:sz w:val="20"/>
        </w:rPr>
        <w:t>TO 31</w:t>
      </w:r>
      <w:r w:rsidRPr="008E7A43">
        <w:rPr>
          <w:rFonts w:ascii="Arial" w:hAnsi="Arial"/>
          <w:b/>
          <w:sz w:val="20"/>
          <w:vertAlign w:val="superscript"/>
        </w:rPr>
        <w:t>ST</w:t>
      </w:r>
      <w:r w:rsidRPr="008E7A43">
        <w:rPr>
          <w:rFonts w:ascii="Arial" w:hAnsi="Arial"/>
          <w:b/>
          <w:sz w:val="20"/>
        </w:rPr>
        <w:t xml:space="preserve"> MARCH </w:t>
      </w:r>
      <w:r w:rsidR="001D2ED4">
        <w:rPr>
          <w:rFonts w:ascii="Arial" w:hAnsi="Arial"/>
          <w:b/>
          <w:sz w:val="20"/>
        </w:rPr>
        <w:t>202</w:t>
      </w:r>
      <w:r w:rsidR="00101296">
        <w:rPr>
          <w:rFonts w:ascii="Arial" w:hAnsi="Arial"/>
          <w:b/>
          <w:sz w:val="20"/>
        </w:rPr>
        <w:t>2</w:t>
      </w:r>
    </w:p>
    <w:tbl>
      <w:tblPr>
        <w:tblW w:w="11118" w:type="dxa"/>
        <w:jc w:val="center"/>
        <w:tblLayout w:type="fixed"/>
        <w:tblLook w:val="0000" w:firstRow="0" w:lastRow="0" w:firstColumn="0" w:lastColumn="0" w:noHBand="0" w:noVBand="0"/>
      </w:tblPr>
      <w:tblGrid>
        <w:gridCol w:w="4313"/>
        <w:gridCol w:w="1449"/>
        <w:gridCol w:w="840"/>
        <w:gridCol w:w="436"/>
        <w:gridCol w:w="535"/>
        <w:gridCol w:w="1256"/>
        <w:gridCol w:w="2289"/>
      </w:tblGrid>
      <w:tr w:rsidR="00AF3C71" w:rsidRPr="008E7A43" w14:paraId="36CEBFB4" w14:textId="77777777" w:rsidTr="004E24A3">
        <w:trPr>
          <w:jc w:val="center"/>
        </w:trPr>
        <w:tc>
          <w:tcPr>
            <w:tcW w:w="4313" w:type="dxa"/>
          </w:tcPr>
          <w:p w14:paraId="5FCC4DB9" w14:textId="77777777" w:rsidR="00AF3C71" w:rsidRPr="008E7A43" w:rsidRDefault="00AF3C71" w:rsidP="007A4392">
            <w:pPr>
              <w:tabs>
                <w:tab w:val="left" w:pos="604"/>
                <w:tab w:val="right" w:pos="3628"/>
                <w:tab w:val="right" w:pos="4636"/>
                <w:tab w:val="right" w:pos="6048"/>
                <w:tab w:val="right" w:pos="7056"/>
              </w:tabs>
              <w:rPr>
                <w:rFonts w:ascii="Arial" w:hAnsi="Arial"/>
                <w:b/>
                <w:sz w:val="20"/>
              </w:rPr>
            </w:pPr>
            <w:r w:rsidRPr="008E7A43">
              <w:rPr>
                <w:rFonts w:ascii="Arial" w:hAnsi="Arial"/>
                <w:b/>
                <w:sz w:val="20"/>
              </w:rPr>
              <w:tab/>
            </w:r>
          </w:p>
          <w:p w14:paraId="3BCE920A" w14:textId="77777777" w:rsidR="00AF3C71" w:rsidRPr="008E7A43" w:rsidRDefault="00AF3C71" w:rsidP="007A4392">
            <w:pPr>
              <w:tabs>
                <w:tab w:val="left" w:pos="604"/>
                <w:tab w:val="right" w:pos="3628"/>
                <w:tab w:val="right" w:pos="4636"/>
                <w:tab w:val="right" w:pos="6048"/>
                <w:tab w:val="right" w:pos="7056"/>
              </w:tabs>
              <w:rPr>
                <w:rFonts w:ascii="Arial" w:hAnsi="Arial"/>
                <w:b/>
                <w:sz w:val="20"/>
              </w:rPr>
            </w:pPr>
          </w:p>
        </w:tc>
        <w:tc>
          <w:tcPr>
            <w:tcW w:w="1449" w:type="dxa"/>
          </w:tcPr>
          <w:p w14:paraId="7EC56FAE"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p>
          <w:p w14:paraId="775A758C"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r w:rsidRPr="008E7A43">
              <w:rPr>
                <w:rFonts w:ascii="Arial" w:hAnsi="Arial"/>
                <w:b/>
                <w:sz w:val="20"/>
              </w:rPr>
              <w:t>Contributors</w:t>
            </w:r>
          </w:p>
        </w:tc>
        <w:tc>
          <w:tcPr>
            <w:tcW w:w="1811" w:type="dxa"/>
            <w:gridSpan w:val="3"/>
          </w:tcPr>
          <w:p w14:paraId="645C6821"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p>
          <w:p w14:paraId="4813A5F6"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r w:rsidRPr="008E7A43">
              <w:rPr>
                <w:rFonts w:ascii="Arial" w:hAnsi="Arial"/>
                <w:b/>
                <w:sz w:val="20"/>
              </w:rPr>
              <w:t>Pensioners</w:t>
            </w:r>
          </w:p>
        </w:tc>
        <w:tc>
          <w:tcPr>
            <w:tcW w:w="1256" w:type="dxa"/>
          </w:tcPr>
          <w:p w14:paraId="34D29E64"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p>
          <w:p w14:paraId="0F133BDF"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r w:rsidRPr="008E7A43">
              <w:rPr>
                <w:rFonts w:ascii="Arial" w:hAnsi="Arial"/>
                <w:b/>
                <w:sz w:val="20"/>
              </w:rPr>
              <w:t>Deferred</w:t>
            </w:r>
          </w:p>
          <w:p w14:paraId="6FEC8FCF"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r w:rsidRPr="008E7A43">
              <w:rPr>
                <w:rFonts w:ascii="Arial" w:hAnsi="Arial"/>
                <w:b/>
                <w:sz w:val="20"/>
              </w:rPr>
              <w:t>Benefits</w:t>
            </w:r>
          </w:p>
        </w:tc>
        <w:tc>
          <w:tcPr>
            <w:tcW w:w="2289" w:type="dxa"/>
          </w:tcPr>
          <w:p w14:paraId="6155E212"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r w:rsidRPr="008E7A43">
              <w:rPr>
                <w:rFonts w:ascii="Arial" w:hAnsi="Arial"/>
                <w:b/>
                <w:sz w:val="20"/>
              </w:rPr>
              <w:t>Employer Contribution Rate (% of Pensionable Pay) plus additional annual monetary amount</w:t>
            </w:r>
          </w:p>
        </w:tc>
      </w:tr>
      <w:tr w:rsidR="00AF3C71" w:rsidRPr="008E7A43" w14:paraId="61B9FF91" w14:textId="77777777" w:rsidTr="004E24A3">
        <w:trPr>
          <w:jc w:val="center"/>
        </w:trPr>
        <w:tc>
          <w:tcPr>
            <w:tcW w:w="4313" w:type="dxa"/>
          </w:tcPr>
          <w:p w14:paraId="349D3D33" w14:textId="77777777" w:rsidR="00AF3C71" w:rsidRPr="008E7A43" w:rsidRDefault="00AF3C71" w:rsidP="007A4392">
            <w:pPr>
              <w:tabs>
                <w:tab w:val="left" w:pos="604"/>
                <w:tab w:val="right" w:pos="3628"/>
                <w:tab w:val="right" w:pos="4636"/>
                <w:tab w:val="right" w:pos="6048"/>
                <w:tab w:val="right" w:pos="7056"/>
              </w:tabs>
              <w:rPr>
                <w:rFonts w:ascii="Arial" w:hAnsi="Arial"/>
                <w:b/>
                <w:sz w:val="20"/>
              </w:rPr>
            </w:pPr>
            <w:r w:rsidRPr="008E7A43">
              <w:rPr>
                <w:rFonts w:ascii="Arial" w:hAnsi="Arial"/>
                <w:b/>
                <w:sz w:val="20"/>
              </w:rPr>
              <w:t>Administering Authority</w:t>
            </w:r>
          </w:p>
        </w:tc>
        <w:tc>
          <w:tcPr>
            <w:tcW w:w="1449" w:type="dxa"/>
          </w:tcPr>
          <w:p w14:paraId="0F419B15" w14:textId="77777777" w:rsidR="004E24A3" w:rsidRDefault="00AF3C71" w:rsidP="004E24A3">
            <w:pPr>
              <w:tabs>
                <w:tab w:val="left" w:pos="604"/>
                <w:tab w:val="right" w:pos="3628"/>
                <w:tab w:val="right" w:pos="4636"/>
                <w:tab w:val="right" w:pos="6048"/>
                <w:tab w:val="right" w:pos="7056"/>
              </w:tabs>
              <w:jc w:val="center"/>
              <w:rPr>
                <w:rFonts w:ascii="Arial" w:hAnsi="Arial"/>
                <w:b/>
                <w:sz w:val="20"/>
              </w:rPr>
            </w:pPr>
            <w:r w:rsidRPr="008E7A43">
              <w:rPr>
                <w:rFonts w:ascii="Arial" w:hAnsi="Arial"/>
                <w:b/>
                <w:sz w:val="20"/>
              </w:rPr>
              <w:t>Number</w:t>
            </w:r>
          </w:p>
          <w:p w14:paraId="62E72807" w14:textId="77777777" w:rsidR="00E27ED1" w:rsidRPr="008E7A43" w:rsidRDefault="00E27ED1" w:rsidP="00101296">
            <w:pPr>
              <w:tabs>
                <w:tab w:val="left" w:pos="604"/>
                <w:tab w:val="right" w:pos="3628"/>
                <w:tab w:val="right" w:pos="4636"/>
                <w:tab w:val="right" w:pos="6048"/>
                <w:tab w:val="right" w:pos="7056"/>
              </w:tabs>
              <w:jc w:val="center"/>
              <w:rPr>
                <w:rFonts w:ascii="Arial" w:hAnsi="Arial"/>
                <w:b/>
                <w:sz w:val="20"/>
              </w:rPr>
            </w:pPr>
            <w:r w:rsidRPr="008E7A43">
              <w:rPr>
                <w:rFonts w:ascii="Arial" w:hAnsi="Arial"/>
                <w:b/>
                <w:sz w:val="20"/>
              </w:rPr>
              <w:t>@ 31</w:t>
            </w:r>
            <w:r w:rsidR="004F3C06" w:rsidRPr="008E7A43">
              <w:rPr>
                <w:rFonts w:ascii="Arial" w:hAnsi="Arial"/>
                <w:b/>
                <w:sz w:val="20"/>
              </w:rPr>
              <w:t>/</w:t>
            </w:r>
            <w:r w:rsidRPr="008E7A43">
              <w:rPr>
                <w:rFonts w:ascii="Arial" w:hAnsi="Arial"/>
                <w:b/>
                <w:sz w:val="20"/>
              </w:rPr>
              <w:t>03/</w:t>
            </w:r>
            <w:r w:rsidR="00137467">
              <w:rPr>
                <w:rFonts w:ascii="Arial" w:hAnsi="Arial"/>
                <w:b/>
                <w:sz w:val="20"/>
              </w:rPr>
              <w:t>2</w:t>
            </w:r>
            <w:r w:rsidR="00101296">
              <w:rPr>
                <w:rFonts w:ascii="Arial" w:hAnsi="Arial"/>
                <w:b/>
                <w:sz w:val="20"/>
              </w:rPr>
              <w:t>2</w:t>
            </w:r>
          </w:p>
        </w:tc>
        <w:tc>
          <w:tcPr>
            <w:tcW w:w="1276" w:type="dxa"/>
            <w:gridSpan w:val="2"/>
          </w:tcPr>
          <w:p w14:paraId="58F7859C"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r w:rsidRPr="008E7A43">
              <w:rPr>
                <w:rFonts w:ascii="Arial" w:hAnsi="Arial"/>
                <w:b/>
                <w:sz w:val="20"/>
              </w:rPr>
              <w:t>Number</w:t>
            </w:r>
          </w:p>
          <w:p w14:paraId="2ACD8F2F" w14:textId="77777777" w:rsidR="00E27ED1" w:rsidRPr="008E7A43" w:rsidRDefault="00E27ED1" w:rsidP="00101296">
            <w:pPr>
              <w:tabs>
                <w:tab w:val="left" w:pos="604"/>
                <w:tab w:val="right" w:pos="3628"/>
                <w:tab w:val="right" w:pos="4636"/>
                <w:tab w:val="right" w:pos="6048"/>
                <w:tab w:val="right" w:pos="7056"/>
              </w:tabs>
              <w:jc w:val="center"/>
              <w:rPr>
                <w:rFonts w:ascii="Arial" w:hAnsi="Arial"/>
                <w:b/>
                <w:sz w:val="20"/>
              </w:rPr>
            </w:pPr>
            <w:r w:rsidRPr="008E7A43">
              <w:rPr>
                <w:rFonts w:ascii="Arial" w:hAnsi="Arial"/>
                <w:b/>
                <w:sz w:val="20"/>
              </w:rPr>
              <w:t xml:space="preserve">@ </w:t>
            </w:r>
            <w:r w:rsidR="004E24A3">
              <w:rPr>
                <w:rFonts w:ascii="Arial" w:hAnsi="Arial"/>
                <w:b/>
                <w:sz w:val="20"/>
              </w:rPr>
              <w:t>3</w:t>
            </w:r>
            <w:r w:rsidRPr="008E7A43">
              <w:rPr>
                <w:rFonts w:ascii="Arial" w:hAnsi="Arial"/>
                <w:b/>
                <w:sz w:val="20"/>
              </w:rPr>
              <w:t>1/03/</w:t>
            </w:r>
            <w:r w:rsidR="00137467">
              <w:rPr>
                <w:rFonts w:ascii="Arial" w:hAnsi="Arial"/>
                <w:b/>
                <w:sz w:val="20"/>
              </w:rPr>
              <w:t>2</w:t>
            </w:r>
            <w:r w:rsidR="00101296">
              <w:rPr>
                <w:rFonts w:ascii="Arial" w:hAnsi="Arial"/>
                <w:b/>
                <w:sz w:val="20"/>
              </w:rPr>
              <w:t>2</w:t>
            </w:r>
          </w:p>
        </w:tc>
        <w:tc>
          <w:tcPr>
            <w:tcW w:w="1791" w:type="dxa"/>
            <w:gridSpan w:val="2"/>
          </w:tcPr>
          <w:p w14:paraId="2AFACBED"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r w:rsidRPr="008E7A43">
              <w:rPr>
                <w:rFonts w:ascii="Arial" w:hAnsi="Arial"/>
                <w:b/>
                <w:sz w:val="20"/>
              </w:rPr>
              <w:t>Number</w:t>
            </w:r>
          </w:p>
          <w:p w14:paraId="726E125E" w14:textId="77777777" w:rsidR="00E27ED1" w:rsidRDefault="00E27ED1" w:rsidP="004E24A3">
            <w:pPr>
              <w:tabs>
                <w:tab w:val="left" w:pos="604"/>
                <w:tab w:val="right" w:pos="3628"/>
                <w:tab w:val="right" w:pos="4636"/>
                <w:tab w:val="right" w:pos="6048"/>
                <w:tab w:val="right" w:pos="7056"/>
              </w:tabs>
              <w:jc w:val="center"/>
              <w:rPr>
                <w:rFonts w:ascii="Arial" w:hAnsi="Arial"/>
                <w:b/>
                <w:sz w:val="20"/>
              </w:rPr>
            </w:pPr>
            <w:r w:rsidRPr="008E7A43">
              <w:rPr>
                <w:rFonts w:ascii="Arial" w:hAnsi="Arial"/>
                <w:b/>
                <w:sz w:val="20"/>
              </w:rPr>
              <w:t>@ 31/03/</w:t>
            </w:r>
            <w:r w:rsidR="00137467">
              <w:rPr>
                <w:rFonts w:ascii="Arial" w:hAnsi="Arial"/>
                <w:b/>
                <w:sz w:val="20"/>
              </w:rPr>
              <w:t>2</w:t>
            </w:r>
            <w:r w:rsidR="00101296">
              <w:rPr>
                <w:rFonts w:ascii="Arial" w:hAnsi="Arial"/>
                <w:b/>
                <w:sz w:val="20"/>
              </w:rPr>
              <w:t>2</w:t>
            </w:r>
          </w:p>
          <w:p w14:paraId="03C3A719" w14:textId="77777777" w:rsidR="004E24A3" w:rsidRPr="008E7A43" w:rsidRDefault="004E24A3" w:rsidP="004E24A3">
            <w:pPr>
              <w:tabs>
                <w:tab w:val="left" w:pos="604"/>
                <w:tab w:val="right" w:pos="3628"/>
                <w:tab w:val="right" w:pos="4636"/>
                <w:tab w:val="right" w:pos="6048"/>
                <w:tab w:val="right" w:pos="7056"/>
              </w:tabs>
              <w:jc w:val="center"/>
              <w:rPr>
                <w:rFonts w:ascii="Arial" w:hAnsi="Arial"/>
                <w:b/>
                <w:sz w:val="20"/>
              </w:rPr>
            </w:pPr>
          </w:p>
        </w:tc>
        <w:tc>
          <w:tcPr>
            <w:tcW w:w="2289" w:type="dxa"/>
          </w:tcPr>
          <w:p w14:paraId="03EE22CF"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p>
        </w:tc>
      </w:tr>
      <w:tr w:rsidR="00AF3C71" w:rsidRPr="008E7A43" w14:paraId="5C6103C1" w14:textId="77777777" w:rsidTr="004E24A3">
        <w:trPr>
          <w:jc w:val="center"/>
        </w:trPr>
        <w:tc>
          <w:tcPr>
            <w:tcW w:w="4313" w:type="dxa"/>
          </w:tcPr>
          <w:p w14:paraId="378E4980" w14:textId="77777777" w:rsidR="00AF3C71" w:rsidRPr="008E7A43" w:rsidRDefault="00AF3C7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City &amp; County of Swansea</w:t>
            </w:r>
          </w:p>
        </w:tc>
        <w:tc>
          <w:tcPr>
            <w:tcW w:w="1449" w:type="dxa"/>
          </w:tcPr>
          <w:p w14:paraId="68A67596" w14:textId="77777777" w:rsidR="00AF3C71" w:rsidRPr="008E7A43" w:rsidRDefault="00CF5FDB"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13,083</w:t>
            </w:r>
          </w:p>
        </w:tc>
        <w:tc>
          <w:tcPr>
            <w:tcW w:w="1276" w:type="dxa"/>
            <w:gridSpan w:val="2"/>
          </w:tcPr>
          <w:p w14:paraId="54F9DD46" w14:textId="77777777" w:rsidR="00AF3C71" w:rsidRPr="008E7A43" w:rsidRDefault="00CF5FDB"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5,943</w:t>
            </w:r>
          </w:p>
        </w:tc>
        <w:tc>
          <w:tcPr>
            <w:tcW w:w="1791" w:type="dxa"/>
            <w:gridSpan w:val="2"/>
          </w:tcPr>
          <w:p w14:paraId="10AAA1D8" w14:textId="77777777" w:rsidR="00AF3C71" w:rsidRPr="008E7A43" w:rsidRDefault="00CF5FDB"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5,664</w:t>
            </w:r>
          </w:p>
        </w:tc>
        <w:tc>
          <w:tcPr>
            <w:tcW w:w="2289" w:type="dxa"/>
          </w:tcPr>
          <w:p w14:paraId="7D0FA605" w14:textId="77777777" w:rsidR="00AF3C71" w:rsidRPr="008E7A43" w:rsidRDefault="004E24A3" w:rsidP="00137467">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24.7</w:t>
            </w:r>
            <w:r w:rsidR="007E6A54">
              <w:rPr>
                <w:rFonts w:ascii="Arial" w:hAnsi="Arial" w:cs="Arial"/>
                <w:sz w:val="20"/>
              </w:rPr>
              <w:t>%</w:t>
            </w:r>
          </w:p>
        </w:tc>
      </w:tr>
      <w:tr w:rsidR="00AF3C71" w:rsidRPr="008E7A43" w14:paraId="03FC2764" w14:textId="77777777" w:rsidTr="004E24A3">
        <w:trPr>
          <w:jc w:val="center"/>
        </w:trPr>
        <w:tc>
          <w:tcPr>
            <w:tcW w:w="4313" w:type="dxa"/>
          </w:tcPr>
          <w:p w14:paraId="10D9D95C" w14:textId="77777777" w:rsidR="00AF3C71" w:rsidRPr="008E7A43" w:rsidRDefault="00AF3C71" w:rsidP="007A4392">
            <w:pPr>
              <w:tabs>
                <w:tab w:val="left" w:pos="604"/>
                <w:tab w:val="right" w:pos="3628"/>
                <w:tab w:val="right" w:pos="4636"/>
                <w:tab w:val="right" w:pos="6048"/>
                <w:tab w:val="right" w:pos="7056"/>
              </w:tabs>
              <w:rPr>
                <w:rFonts w:ascii="Arial" w:hAnsi="Arial"/>
                <w:b/>
                <w:sz w:val="20"/>
              </w:rPr>
            </w:pPr>
            <w:r w:rsidRPr="008E7A43">
              <w:rPr>
                <w:rFonts w:ascii="Arial" w:hAnsi="Arial"/>
                <w:b/>
                <w:sz w:val="20"/>
              </w:rPr>
              <w:t>Scheduled Bodies</w:t>
            </w:r>
          </w:p>
        </w:tc>
        <w:tc>
          <w:tcPr>
            <w:tcW w:w="1449" w:type="dxa"/>
          </w:tcPr>
          <w:p w14:paraId="10745486" w14:textId="77777777" w:rsidR="00AF3C71" w:rsidRPr="008E7A43" w:rsidRDefault="00AF3C71" w:rsidP="007A4392">
            <w:pPr>
              <w:tabs>
                <w:tab w:val="left" w:pos="604"/>
                <w:tab w:val="right" w:pos="3628"/>
                <w:tab w:val="right" w:pos="4636"/>
                <w:tab w:val="right" w:pos="6048"/>
                <w:tab w:val="right" w:pos="7056"/>
              </w:tabs>
              <w:jc w:val="right"/>
              <w:rPr>
                <w:rFonts w:ascii="Arial" w:hAnsi="Arial" w:cs="Arial"/>
                <w:sz w:val="20"/>
              </w:rPr>
            </w:pPr>
          </w:p>
        </w:tc>
        <w:tc>
          <w:tcPr>
            <w:tcW w:w="1276" w:type="dxa"/>
            <w:gridSpan w:val="2"/>
          </w:tcPr>
          <w:p w14:paraId="59DB51B3" w14:textId="77777777" w:rsidR="00AF3C71" w:rsidRPr="008E7A43" w:rsidRDefault="00AF3C71" w:rsidP="007A4392">
            <w:pPr>
              <w:tabs>
                <w:tab w:val="left" w:pos="604"/>
                <w:tab w:val="right" w:pos="3628"/>
                <w:tab w:val="right" w:pos="4636"/>
                <w:tab w:val="right" w:pos="6048"/>
                <w:tab w:val="right" w:pos="7056"/>
              </w:tabs>
              <w:jc w:val="right"/>
              <w:rPr>
                <w:rFonts w:ascii="Arial" w:hAnsi="Arial" w:cs="Arial"/>
                <w:sz w:val="20"/>
              </w:rPr>
            </w:pPr>
          </w:p>
        </w:tc>
        <w:tc>
          <w:tcPr>
            <w:tcW w:w="1791" w:type="dxa"/>
            <w:gridSpan w:val="2"/>
          </w:tcPr>
          <w:p w14:paraId="4DDA22A2" w14:textId="77777777" w:rsidR="00AF3C71" w:rsidRPr="008E7A43" w:rsidRDefault="00AF3C71" w:rsidP="007A4392">
            <w:pPr>
              <w:tabs>
                <w:tab w:val="left" w:pos="604"/>
                <w:tab w:val="right" w:pos="3628"/>
                <w:tab w:val="right" w:pos="4636"/>
                <w:tab w:val="right" w:pos="6048"/>
                <w:tab w:val="right" w:pos="7056"/>
              </w:tabs>
              <w:jc w:val="right"/>
              <w:rPr>
                <w:rFonts w:ascii="Arial" w:hAnsi="Arial" w:cs="Arial"/>
                <w:sz w:val="20"/>
              </w:rPr>
            </w:pPr>
          </w:p>
        </w:tc>
        <w:tc>
          <w:tcPr>
            <w:tcW w:w="2289" w:type="dxa"/>
          </w:tcPr>
          <w:p w14:paraId="446F7C30" w14:textId="77777777" w:rsidR="00AF3C71" w:rsidRPr="008E7A43" w:rsidRDefault="00AF3C71" w:rsidP="007A4392">
            <w:pPr>
              <w:tabs>
                <w:tab w:val="left" w:pos="604"/>
                <w:tab w:val="right" w:pos="3628"/>
                <w:tab w:val="right" w:pos="4636"/>
                <w:tab w:val="right" w:pos="6048"/>
                <w:tab w:val="right" w:pos="7056"/>
              </w:tabs>
              <w:jc w:val="right"/>
              <w:rPr>
                <w:rFonts w:ascii="Arial" w:hAnsi="Arial" w:cs="Arial"/>
                <w:sz w:val="20"/>
              </w:rPr>
            </w:pPr>
          </w:p>
        </w:tc>
      </w:tr>
      <w:tr w:rsidR="00AF3C71" w:rsidRPr="008E7A43" w14:paraId="5AF1C947" w14:textId="77777777" w:rsidTr="004E24A3">
        <w:trPr>
          <w:jc w:val="center"/>
        </w:trPr>
        <w:tc>
          <w:tcPr>
            <w:tcW w:w="4313" w:type="dxa"/>
          </w:tcPr>
          <w:p w14:paraId="7B7FD4A8" w14:textId="77777777" w:rsidR="00AF3C71" w:rsidRPr="008E7A43" w:rsidRDefault="00AF3C7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Neath Port Talbot County Borough Council.</w:t>
            </w:r>
          </w:p>
        </w:tc>
        <w:tc>
          <w:tcPr>
            <w:tcW w:w="1449" w:type="dxa"/>
          </w:tcPr>
          <w:p w14:paraId="720E2D1C" w14:textId="77777777" w:rsidR="00AF3C71" w:rsidRPr="008E7A43" w:rsidRDefault="00CF5FDB"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6,072</w:t>
            </w:r>
          </w:p>
        </w:tc>
        <w:tc>
          <w:tcPr>
            <w:tcW w:w="1276" w:type="dxa"/>
            <w:gridSpan w:val="2"/>
          </w:tcPr>
          <w:p w14:paraId="24E58395" w14:textId="77777777" w:rsidR="00AF3C71" w:rsidRPr="008E7A43" w:rsidRDefault="00137467"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4,</w:t>
            </w:r>
            <w:r w:rsidR="00CF5FDB">
              <w:rPr>
                <w:rFonts w:ascii="Arial" w:hAnsi="Arial" w:cs="Arial"/>
                <w:sz w:val="20"/>
              </w:rPr>
              <w:t>049</w:t>
            </w:r>
          </w:p>
        </w:tc>
        <w:tc>
          <w:tcPr>
            <w:tcW w:w="1791" w:type="dxa"/>
            <w:gridSpan w:val="2"/>
          </w:tcPr>
          <w:p w14:paraId="13F5C113" w14:textId="77777777" w:rsidR="00AF3C71" w:rsidRPr="008E7A43" w:rsidRDefault="00D71F66"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4</w:t>
            </w:r>
            <w:r w:rsidR="00137467">
              <w:rPr>
                <w:rFonts w:ascii="Arial" w:hAnsi="Arial" w:cs="Arial"/>
                <w:sz w:val="20"/>
              </w:rPr>
              <w:t>,</w:t>
            </w:r>
            <w:r w:rsidR="00CF5FDB">
              <w:rPr>
                <w:rFonts w:ascii="Arial" w:hAnsi="Arial" w:cs="Arial"/>
                <w:sz w:val="20"/>
              </w:rPr>
              <w:t>435</w:t>
            </w:r>
          </w:p>
        </w:tc>
        <w:tc>
          <w:tcPr>
            <w:tcW w:w="2289" w:type="dxa"/>
          </w:tcPr>
          <w:p w14:paraId="55FCB67D" w14:textId="77777777" w:rsidR="00AF3C71" w:rsidRPr="008E7A43" w:rsidRDefault="004E24A3" w:rsidP="004E24A3">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26.</w:t>
            </w:r>
            <w:r w:rsidR="00F359BE">
              <w:rPr>
                <w:rFonts w:ascii="Arial" w:hAnsi="Arial" w:cs="Arial"/>
                <w:sz w:val="20"/>
              </w:rPr>
              <w:t>8</w:t>
            </w:r>
            <w:r w:rsidR="00AF3C71" w:rsidRPr="008E7A43">
              <w:rPr>
                <w:rFonts w:ascii="Arial" w:hAnsi="Arial" w:cs="Arial"/>
                <w:sz w:val="20"/>
              </w:rPr>
              <w:t>%</w:t>
            </w:r>
          </w:p>
        </w:tc>
      </w:tr>
      <w:tr w:rsidR="00AF3C71" w:rsidRPr="008E7A43" w14:paraId="692916C6" w14:textId="77777777" w:rsidTr="004E24A3">
        <w:trPr>
          <w:jc w:val="center"/>
        </w:trPr>
        <w:tc>
          <w:tcPr>
            <w:tcW w:w="4313" w:type="dxa"/>
          </w:tcPr>
          <w:p w14:paraId="08C389E7" w14:textId="77777777" w:rsidR="00AF3C71" w:rsidRPr="008E7A43" w:rsidRDefault="00AF3C7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Briton Ferry Town Council</w:t>
            </w:r>
          </w:p>
        </w:tc>
        <w:tc>
          <w:tcPr>
            <w:tcW w:w="1449" w:type="dxa"/>
          </w:tcPr>
          <w:p w14:paraId="508E25FA" w14:textId="77777777" w:rsidR="00AF3C71" w:rsidRPr="008E7A43" w:rsidRDefault="00137467"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p>
        </w:tc>
        <w:tc>
          <w:tcPr>
            <w:tcW w:w="1276" w:type="dxa"/>
            <w:gridSpan w:val="2"/>
          </w:tcPr>
          <w:p w14:paraId="7853D776" w14:textId="77777777" w:rsidR="00AF3C71" w:rsidRPr="008E7A43" w:rsidRDefault="00137467"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w:t>
            </w:r>
          </w:p>
        </w:tc>
        <w:tc>
          <w:tcPr>
            <w:tcW w:w="1791" w:type="dxa"/>
            <w:gridSpan w:val="2"/>
          </w:tcPr>
          <w:p w14:paraId="437DBC6F" w14:textId="77777777" w:rsidR="00AF3C71" w:rsidRPr="008E7A43" w:rsidRDefault="00137467"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tc>
        <w:tc>
          <w:tcPr>
            <w:tcW w:w="2289" w:type="dxa"/>
          </w:tcPr>
          <w:p w14:paraId="49B2BDD3" w14:textId="77777777" w:rsidR="00AF3C71" w:rsidRPr="008E7A43" w:rsidRDefault="00C150E3" w:rsidP="004E24A3">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2</w:t>
            </w:r>
            <w:r w:rsidR="004E24A3">
              <w:rPr>
                <w:rFonts w:ascii="Arial" w:hAnsi="Arial" w:cs="Arial"/>
                <w:sz w:val="20"/>
              </w:rPr>
              <w:t>4.1</w:t>
            </w:r>
            <w:r w:rsidRPr="008E7A43">
              <w:rPr>
                <w:rFonts w:ascii="Arial" w:hAnsi="Arial" w:cs="Arial"/>
                <w:sz w:val="20"/>
              </w:rPr>
              <w:t>%</w:t>
            </w:r>
            <w:r w:rsidR="0008550B" w:rsidRPr="008E7A43">
              <w:rPr>
                <w:rFonts w:ascii="Arial" w:hAnsi="Arial" w:cs="Arial"/>
                <w:sz w:val="20"/>
              </w:rPr>
              <w:t xml:space="preserve"> (+£</w:t>
            </w:r>
            <w:r w:rsidR="004E24A3">
              <w:rPr>
                <w:rFonts w:ascii="Arial" w:hAnsi="Arial" w:cs="Arial"/>
                <w:sz w:val="20"/>
              </w:rPr>
              <w:t>6</w:t>
            </w:r>
            <w:r w:rsidR="00F359BE">
              <w:rPr>
                <w:rFonts w:ascii="Arial" w:hAnsi="Arial" w:cs="Arial"/>
                <w:sz w:val="20"/>
              </w:rPr>
              <w:t>8</w:t>
            </w:r>
            <w:r w:rsidR="004E24A3">
              <w:rPr>
                <w:rFonts w:ascii="Arial" w:hAnsi="Arial" w:cs="Arial"/>
                <w:sz w:val="20"/>
              </w:rPr>
              <w:t>0</w:t>
            </w:r>
            <w:r w:rsidR="0008550B" w:rsidRPr="008E7A43">
              <w:rPr>
                <w:rFonts w:ascii="Arial" w:hAnsi="Arial" w:cs="Arial"/>
                <w:sz w:val="20"/>
              </w:rPr>
              <w:t>)</w:t>
            </w:r>
          </w:p>
        </w:tc>
      </w:tr>
      <w:tr w:rsidR="00AF3C71" w:rsidRPr="008E7A43" w14:paraId="69EC5776" w14:textId="77777777" w:rsidTr="004E24A3">
        <w:trPr>
          <w:jc w:val="center"/>
        </w:trPr>
        <w:tc>
          <w:tcPr>
            <w:tcW w:w="4313" w:type="dxa"/>
          </w:tcPr>
          <w:p w14:paraId="685BA2F0" w14:textId="77777777" w:rsidR="00AF3C71" w:rsidRPr="008E7A43" w:rsidRDefault="00AF3C7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Cilybebyll Community Council</w:t>
            </w:r>
          </w:p>
        </w:tc>
        <w:tc>
          <w:tcPr>
            <w:tcW w:w="1449" w:type="dxa"/>
          </w:tcPr>
          <w:p w14:paraId="1E86B871" w14:textId="77777777" w:rsidR="00AF3C71" w:rsidRPr="008E7A43" w:rsidRDefault="00C928E4"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4</w:t>
            </w:r>
          </w:p>
        </w:tc>
        <w:tc>
          <w:tcPr>
            <w:tcW w:w="1276" w:type="dxa"/>
            <w:gridSpan w:val="2"/>
          </w:tcPr>
          <w:p w14:paraId="315E8611" w14:textId="77777777" w:rsidR="00AF3C71" w:rsidRPr="008E7A43" w:rsidRDefault="00D71F66"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w:t>
            </w:r>
          </w:p>
        </w:tc>
        <w:tc>
          <w:tcPr>
            <w:tcW w:w="1791" w:type="dxa"/>
            <w:gridSpan w:val="2"/>
          </w:tcPr>
          <w:p w14:paraId="124A0ACD" w14:textId="77777777" w:rsidR="00AF3C71" w:rsidRPr="008E7A43" w:rsidRDefault="00C928E4"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w:t>
            </w:r>
          </w:p>
        </w:tc>
        <w:tc>
          <w:tcPr>
            <w:tcW w:w="2289" w:type="dxa"/>
          </w:tcPr>
          <w:p w14:paraId="3D8D1F08" w14:textId="77777777" w:rsidR="00AF3C71" w:rsidRPr="008E7A43" w:rsidRDefault="004E24A3" w:rsidP="00137467">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23.5</w:t>
            </w:r>
            <w:r w:rsidR="00AF3C71" w:rsidRPr="008E7A43">
              <w:rPr>
                <w:rFonts w:ascii="Arial" w:hAnsi="Arial" w:cs="Arial"/>
                <w:sz w:val="20"/>
              </w:rPr>
              <w:t>%</w:t>
            </w:r>
          </w:p>
        </w:tc>
      </w:tr>
      <w:tr w:rsidR="00AF3C71" w:rsidRPr="008E7A43" w14:paraId="2C4651CF" w14:textId="77777777" w:rsidTr="004E24A3">
        <w:trPr>
          <w:jc w:val="center"/>
        </w:trPr>
        <w:tc>
          <w:tcPr>
            <w:tcW w:w="4313" w:type="dxa"/>
          </w:tcPr>
          <w:p w14:paraId="2AE436BD" w14:textId="77777777" w:rsidR="00AF3C71" w:rsidRPr="008E7A43" w:rsidRDefault="00AF3C7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Clydach Community Council</w:t>
            </w:r>
          </w:p>
        </w:tc>
        <w:tc>
          <w:tcPr>
            <w:tcW w:w="1449" w:type="dxa"/>
          </w:tcPr>
          <w:p w14:paraId="1014C795" w14:textId="77777777" w:rsidR="00AF3C71" w:rsidRPr="008E7A43" w:rsidRDefault="00137467"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tc>
        <w:tc>
          <w:tcPr>
            <w:tcW w:w="1276" w:type="dxa"/>
            <w:gridSpan w:val="2"/>
          </w:tcPr>
          <w:p w14:paraId="08394738" w14:textId="77777777" w:rsidR="00AF3C71" w:rsidRPr="008E7A43"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p>
        </w:tc>
        <w:tc>
          <w:tcPr>
            <w:tcW w:w="1791" w:type="dxa"/>
            <w:gridSpan w:val="2"/>
          </w:tcPr>
          <w:p w14:paraId="186DE9A4" w14:textId="77777777" w:rsidR="00AF3C71" w:rsidRPr="008E7A43"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tc>
        <w:tc>
          <w:tcPr>
            <w:tcW w:w="2289" w:type="dxa"/>
          </w:tcPr>
          <w:p w14:paraId="4BA8F831" w14:textId="77777777" w:rsidR="00AF3C71" w:rsidRPr="008E7A43" w:rsidRDefault="00AF3C71" w:rsidP="007A4392">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tc>
      </w:tr>
      <w:tr w:rsidR="00AF3C71" w:rsidRPr="008E7A43" w14:paraId="748F4A18" w14:textId="77777777" w:rsidTr="004E24A3">
        <w:trPr>
          <w:jc w:val="center"/>
        </w:trPr>
        <w:tc>
          <w:tcPr>
            <w:tcW w:w="4313" w:type="dxa"/>
          </w:tcPr>
          <w:p w14:paraId="20BD3C28" w14:textId="77777777" w:rsidR="00AF3C71" w:rsidRPr="008E7A43" w:rsidRDefault="00AF3C7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 xml:space="preserve">Coedffranc Community Council </w:t>
            </w:r>
          </w:p>
        </w:tc>
        <w:tc>
          <w:tcPr>
            <w:tcW w:w="1449" w:type="dxa"/>
          </w:tcPr>
          <w:p w14:paraId="16B988B9" w14:textId="77777777" w:rsidR="00AF3C71" w:rsidRPr="008E7A43" w:rsidRDefault="00137467"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r w:rsidR="00D71F66">
              <w:rPr>
                <w:rFonts w:ascii="Arial" w:hAnsi="Arial" w:cs="Arial"/>
                <w:sz w:val="20"/>
              </w:rPr>
              <w:t>2</w:t>
            </w:r>
          </w:p>
        </w:tc>
        <w:tc>
          <w:tcPr>
            <w:tcW w:w="1276" w:type="dxa"/>
            <w:gridSpan w:val="2"/>
          </w:tcPr>
          <w:p w14:paraId="66BEF1E7" w14:textId="77777777" w:rsidR="00AF3C71" w:rsidRPr="008E7A43" w:rsidRDefault="00137467"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3</w:t>
            </w:r>
          </w:p>
        </w:tc>
        <w:tc>
          <w:tcPr>
            <w:tcW w:w="1791" w:type="dxa"/>
            <w:gridSpan w:val="2"/>
          </w:tcPr>
          <w:p w14:paraId="46531CCF" w14:textId="77777777" w:rsidR="00AF3C71" w:rsidRPr="008E7A43" w:rsidRDefault="00C928E4"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3</w:t>
            </w:r>
          </w:p>
        </w:tc>
        <w:tc>
          <w:tcPr>
            <w:tcW w:w="2289" w:type="dxa"/>
          </w:tcPr>
          <w:p w14:paraId="7D850EA2" w14:textId="77777777" w:rsidR="00AF3C71" w:rsidRPr="008E7A43" w:rsidRDefault="0008550B" w:rsidP="004E24A3">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2</w:t>
            </w:r>
            <w:r w:rsidR="004E24A3">
              <w:rPr>
                <w:rFonts w:ascii="Arial" w:hAnsi="Arial" w:cs="Arial"/>
                <w:sz w:val="20"/>
              </w:rPr>
              <w:t>4.1</w:t>
            </w:r>
            <w:r w:rsidR="00AF3C71" w:rsidRPr="008E7A43">
              <w:rPr>
                <w:rFonts w:ascii="Arial" w:hAnsi="Arial" w:cs="Arial"/>
                <w:sz w:val="20"/>
              </w:rPr>
              <w:t>%(+£</w:t>
            </w:r>
            <w:r w:rsidR="00F359BE">
              <w:rPr>
                <w:rFonts w:ascii="Arial" w:hAnsi="Arial" w:cs="Arial"/>
                <w:sz w:val="20"/>
              </w:rPr>
              <w:t>3,000</w:t>
            </w:r>
            <w:r w:rsidR="00AF3C71" w:rsidRPr="008E7A43">
              <w:rPr>
                <w:rFonts w:ascii="Arial" w:hAnsi="Arial" w:cs="Arial"/>
                <w:sz w:val="20"/>
              </w:rPr>
              <w:t>)</w:t>
            </w:r>
          </w:p>
        </w:tc>
      </w:tr>
      <w:tr w:rsidR="00AF3C71" w:rsidRPr="008E7A43" w14:paraId="6E2F5BE3" w14:textId="77777777" w:rsidTr="004E24A3">
        <w:trPr>
          <w:trHeight w:val="219"/>
          <w:jc w:val="center"/>
        </w:trPr>
        <w:tc>
          <w:tcPr>
            <w:tcW w:w="4313" w:type="dxa"/>
          </w:tcPr>
          <w:p w14:paraId="381A74A1" w14:textId="77777777" w:rsidR="007E6A54" w:rsidRDefault="00AF3C71" w:rsidP="00D77331">
            <w:pPr>
              <w:tabs>
                <w:tab w:val="left" w:pos="604"/>
                <w:tab w:val="right" w:pos="3628"/>
                <w:tab w:val="right" w:pos="4636"/>
                <w:tab w:val="right" w:pos="6048"/>
                <w:tab w:val="right" w:pos="7056"/>
              </w:tabs>
              <w:rPr>
                <w:rFonts w:ascii="Arial" w:hAnsi="Arial"/>
                <w:sz w:val="20"/>
              </w:rPr>
            </w:pPr>
            <w:r w:rsidRPr="008E7A43">
              <w:rPr>
                <w:rFonts w:ascii="Arial" w:hAnsi="Arial"/>
                <w:sz w:val="20"/>
              </w:rPr>
              <w:t>Gower College Swansea</w:t>
            </w:r>
          </w:p>
          <w:p w14:paraId="69F90C58" w14:textId="77777777" w:rsidR="00D77331" w:rsidRPr="008E7A43" w:rsidRDefault="00D77331" w:rsidP="00D77331">
            <w:pPr>
              <w:tabs>
                <w:tab w:val="left" w:pos="604"/>
                <w:tab w:val="right" w:pos="3628"/>
                <w:tab w:val="right" w:pos="4636"/>
                <w:tab w:val="right" w:pos="6048"/>
                <w:tab w:val="right" w:pos="7056"/>
              </w:tabs>
              <w:rPr>
                <w:rFonts w:ascii="Arial" w:hAnsi="Arial"/>
                <w:sz w:val="20"/>
              </w:rPr>
            </w:pPr>
            <w:r>
              <w:rPr>
                <w:rFonts w:ascii="Arial" w:hAnsi="Arial"/>
                <w:sz w:val="20"/>
              </w:rPr>
              <w:t>Neath Town Council</w:t>
            </w:r>
          </w:p>
        </w:tc>
        <w:tc>
          <w:tcPr>
            <w:tcW w:w="1449" w:type="dxa"/>
          </w:tcPr>
          <w:p w14:paraId="125B6D3B" w14:textId="77777777" w:rsidR="00D77331" w:rsidRDefault="00C928E4"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705</w:t>
            </w:r>
          </w:p>
          <w:p w14:paraId="587A1B11" w14:textId="77777777" w:rsidR="00137467" w:rsidRPr="008E7A43" w:rsidRDefault="00C928E4"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9</w:t>
            </w:r>
          </w:p>
        </w:tc>
        <w:tc>
          <w:tcPr>
            <w:tcW w:w="1276" w:type="dxa"/>
            <w:gridSpan w:val="2"/>
          </w:tcPr>
          <w:p w14:paraId="5F6D4293" w14:textId="77777777" w:rsidR="0008550B" w:rsidRDefault="00C928E4" w:rsidP="00D77331">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170</w:t>
            </w:r>
          </w:p>
          <w:p w14:paraId="7D9FF4B7" w14:textId="77777777" w:rsidR="00137467" w:rsidRPr="008E7A43" w:rsidRDefault="00137467"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r w:rsidR="00C928E4">
              <w:rPr>
                <w:rFonts w:ascii="Arial" w:hAnsi="Arial" w:cs="Arial"/>
                <w:sz w:val="20"/>
              </w:rPr>
              <w:t>9</w:t>
            </w:r>
          </w:p>
        </w:tc>
        <w:tc>
          <w:tcPr>
            <w:tcW w:w="1791" w:type="dxa"/>
            <w:gridSpan w:val="2"/>
          </w:tcPr>
          <w:p w14:paraId="7C7BFF39" w14:textId="77777777" w:rsidR="00D77331" w:rsidRDefault="00C928E4"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263</w:t>
            </w:r>
          </w:p>
          <w:p w14:paraId="3BFB1988" w14:textId="77777777" w:rsidR="00137467" w:rsidRPr="008E7A43" w:rsidRDefault="00137467"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5</w:t>
            </w:r>
          </w:p>
        </w:tc>
        <w:tc>
          <w:tcPr>
            <w:tcW w:w="2289" w:type="dxa"/>
          </w:tcPr>
          <w:p w14:paraId="2B0F3892" w14:textId="77777777" w:rsidR="007915BD" w:rsidRDefault="0008550B" w:rsidP="007E6A54">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21.</w:t>
            </w:r>
            <w:r w:rsidR="004E24A3">
              <w:rPr>
                <w:rFonts w:ascii="Arial" w:hAnsi="Arial" w:cs="Arial"/>
                <w:sz w:val="20"/>
              </w:rPr>
              <w:t>3</w:t>
            </w:r>
            <w:r w:rsidRPr="008E7A43">
              <w:rPr>
                <w:rFonts w:ascii="Arial" w:hAnsi="Arial" w:cs="Arial"/>
                <w:sz w:val="20"/>
              </w:rPr>
              <w:t>%</w:t>
            </w:r>
          </w:p>
          <w:p w14:paraId="01F9FB6E" w14:textId="77777777" w:rsidR="00D77331" w:rsidRPr="008E7A43" w:rsidRDefault="00D77331" w:rsidP="004E24A3">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w:t>
            </w:r>
            <w:r w:rsidR="004E24A3">
              <w:rPr>
                <w:rFonts w:ascii="Arial" w:hAnsi="Arial" w:cs="Arial"/>
                <w:sz w:val="20"/>
              </w:rPr>
              <w:t>4.1</w:t>
            </w:r>
            <w:r>
              <w:rPr>
                <w:rFonts w:ascii="Arial" w:hAnsi="Arial" w:cs="Arial"/>
                <w:sz w:val="20"/>
              </w:rPr>
              <w:t>% (+£</w:t>
            </w:r>
            <w:r w:rsidR="004E24A3">
              <w:rPr>
                <w:rFonts w:ascii="Arial" w:hAnsi="Arial" w:cs="Arial"/>
                <w:sz w:val="20"/>
              </w:rPr>
              <w:t>5</w:t>
            </w:r>
            <w:r>
              <w:rPr>
                <w:rFonts w:ascii="Arial" w:hAnsi="Arial" w:cs="Arial"/>
                <w:sz w:val="20"/>
              </w:rPr>
              <w:t>,</w:t>
            </w:r>
            <w:r w:rsidR="00F359BE">
              <w:rPr>
                <w:rFonts w:ascii="Arial" w:hAnsi="Arial" w:cs="Arial"/>
                <w:sz w:val="20"/>
              </w:rPr>
              <w:t>6</w:t>
            </w:r>
            <w:r>
              <w:rPr>
                <w:rFonts w:ascii="Arial" w:hAnsi="Arial" w:cs="Arial"/>
                <w:sz w:val="20"/>
              </w:rPr>
              <w:t>00)</w:t>
            </w:r>
          </w:p>
        </w:tc>
      </w:tr>
      <w:tr w:rsidR="00AF3C71" w:rsidRPr="008E7A43" w14:paraId="5C1FD995" w14:textId="77777777" w:rsidTr="004E24A3">
        <w:trPr>
          <w:jc w:val="center"/>
        </w:trPr>
        <w:tc>
          <w:tcPr>
            <w:tcW w:w="4313" w:type="dxa"/>
          </w:tcPr>
          <w:p w14:paraId="29E504C3" w14:textId="77777777" w:rsidR="00AF3C71" w:rsidRPr="008E7A43" w:rsidRDefault="00D77331" w:rsidP="007A4392">
            <w:pPr>
              <w:tabs>
                <w:tab w:val="left" w:pos="604"/>
                <w:tab w:val="right" w:pos="3628"/>
                <w:tab w:val="right" w:pos="4636"/>
                <w:tab w:val="right" w:pos="6048"/>
                <w:tab w:val="right" w:pos="7056"/>
              </w:tabs>
              <w:rPr>
                <w:rFonts w:ascii="Arial" w:hAnsi="Arial"/>
                <w:sz w:val="20"/>
              </w:rPr>
            </w:pPr>
            <w:r>
              <w:rPr>
                <w:rFonts w:ascii="Arial" w:hAnsi="Arial"/>
                <w:sz w:val="20"/>
              </w:rPr>
              <w:t>L</w:t>
            </w:r>
            <w:r w:rsidR="00AF3C71" w:rsidRPr="008E7A43">
              <w:rPr>
                <w:rFonts w:ascii="Arial" w:hAnsi="Arial"/>
                <w:sz w:val="20"/>
              </w:rPr>
              <w:t>liw Valley BC</w:t>
            </w:r>
          </w:p>
        </w:tc>
        <w:tc>
          <w:tcPr>
            <w:tcW w:w="1449" w:type="dxa"/>
          </w:tcPr>
          <w:p w14:paraId="51F4699B" w14:textId="77777777" w:rsidR="00AF3C71" w:rsidRPr="008E7A43" w:rsidRDefault="00137467"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tc>
        <w:tc>
          <w:tcPr>
            <w:tcW w:w="1276" w:type="dxa"/>
            <w:gridSpan w:val="2"/>
          </w:tcPr>
          <w:p w14:paraId="28844510" w14:textId="77777777" w:rsidR="00AF3C71" w:rsidRPr="008E7A43" w:rsidRDefault="00D71F66"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r w:rsidR="00C928E4">
              <w:rPr>
                <w:rFonts w:ascii="Arial" w:hAnsi="Arial" w:cs="Arial"/>
                <w:sz w:val="20"/>
              </w:rPr>
              <w:t>76</w:t>
            </w:r>
          </w:p>
        </w:tc>
        <w:tc>
          <w:tcPr>
            <w:tcW w:w="1791" w:type="dxa"/>
            <w:gridSpan w:val="2"/>
          </w:tcPr>
          <w:p w14:paraId="755A43E9" w14:textId="77777777" w:rsidR="00AF3C71" w:rsidRPr="008E7A43" w:rsidRDefault="00D71F66"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r w:rsidR="00C928E4">
              <w:rPr>
                <w:rFonts w:ascii="Arial" w:hAnsi="Arial" w:cs="Arial"/>
                <w:sz w:val="20"/>
              </w:rPr>
              <w:t>0</w:t>
            </w:r>
          </w:p>
        </w:tc>
        <w:tc>
          <w:tcPr>
            <w:tcW w:w="2289" w:type="dxa"/>
          </w:tcPr>
          <w:p w14:paraId="22EC3E54" w14:textId="77777777" w:rsidR="00AF3C71" w:rsidRPr="008E7A43" w:rsidRDefault="00AF3C71" w:rsidP="007A4392">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tc>
      </w:tr>
      <w:tr w:rsidR="00AF3C71" w:rsidRPr="008E7A43" w14:paraId="0545ABB2" w14:textId="77777777" w:rsidTr="004E24A3">
        <w:trPr>
          <w:jc w:val="center"/>
        </w:trPr>
        <w:tc>
          <w:tcPr>
            <w:tcW w:w="4313" w:type="dxa"/>
          </w:tcPr>
          <w:p w14:paraId="4CEB0464" w14:textId="77777777" w:rsidR="00AF3C71" w:rsidRPr="008E7A43" w:rsidRDefault="00AF3C7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Margam Joint Cremation Committee</w:t>
            </w:r>
          </w:p>
        </w:tc>
        <w:tc>
          <w:tcPr>
            <w:tcW w:w="1449" w:type="dxa"/>
          </w:tcPr>
          <w:p w14:paraId="6F14534E" w14:textId="77777777" w:rsidR="00AF3C71" w:rsidRPr="008E7A43" w:rsidRDefault="00C928E4"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10</w:t>
            </w:r>
          </w:p>
        </w:tc>
        <w:tc>
          <w:tcPr>
            <w:tcW w:w="1276" w:type="dxa"/>
            <w:gridSpan w:val="2"/>
          </w:tcPr>
          <w:p w14:paraId="79CCD583" w14:textId="77777777" w:rsidR="00AF3C71" w:rsidRPr="008E7A43" w:rsidRDefault="00137467"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r w:rsidR="00D71F66">
              <w:rPr>
                <w:rFonts w:ascii="Arial" w:hAnsi="Arial" w:cs="Arial"/>
                <w:sz w:val="20"/>
              </w:rPr>
              <w:t>3</w:t>
            </w:r>
          </w:p>
        </w:tc>
        <w:tc>
          <w:tcPr>
            <w:tcW w:w="1791" w:type="dxa"/>
            <w:gridSpan w:val="2"/>
          </w:tcPr>
          <w:p w14:paraId="4227FE4C" w14:textId="77777777" w:rsidR="00AF3C71" w:rsidRPr="008E7A43" w:rsidRDefault="00137467"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4</w:t>
            </w:r>
          </w:p>
        </w:tc>
        <w:tc>
          <w:tcPr>
            <w:tcW w:w="2289" w:type="dxa"/>
          </w:tcPr>
          <w:p w14:paraId="13537F41" w14:textId="77777777" w:rsidR="00AF3C71" w:rsidRPr="008E7A43" w:rsidRDefault="0008550B" w:rsidP="004E24A3">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2</w:t>
            </w:r>
            <w:r w:rsidR="004E24A3">
              <w:rPr>
                <w:rFonts w:ascii="Arial" w:hAnsi="Arial" w:cs="Arial"/>
                <w:sz w:val="20"/>
              </w:rPr>
              <w:t>4.1</w:t>
            </w:r>
            <w:r w:rsidR="00AF3C71" w:rsidRPr="008E7A43">
              <w:rPr>
                <w:rFonts w:ascii="Arial" w:hAnsi="Arial" w:cs="Arial"/>
                <w:sz w:val="20"/>
              </w:rPr>
              <w:t>% (+£</w:t>
            </w:r>
            <w:r w:rsidR="00F359BE">
              <w:rPr>
                <w:rFonts w:ascii="Arial" w:hAnsi="Arial" w:cs="Arial"/>
                <w:sz w:val="20"/>
              </w:rPr>
              <w:t>6</w:t>
            </w:r>
            <w:r w:rsidRPr="008E7A43">
              <w:rPr>
                <w:rFonts w:ascii="Arial" w:hAnsi="Arial" w:cs="Arial"/>
                <w:sz w:val="20"/>
              </w:rPr>
              <w:t>,</w:t>
            </w:r>
            <w:r w:rsidR="00F359BE">
              <w:rPr>
                <w:rFonts w:ascii="Arial" w:hAnsi="Arial" w:cs="Arial"/>
                <w:sz w:val="20"/>
              </w:rPr>
              <w:t>0</w:t>
            </w:r>
            <w:r w:rsidRPr="008E7A43">
              <w:rPr>
                <w:rFonts w:ascii="Arial" w:hAnsi="Arial" w:cs="Arial"/>
                <w:sz w:val="20"/>
              </w:rPr>
              <w:t>00</w:t>
            </w:r>
            <w:r w:rsidR="00AF3C71" w:rsidRPr="008E7A43">
              <w:rPr>
                <w:rFonts w:ascii="Arial" w:hAnsi="Arial" w:cs="Arial"/>
                <w:sz w:val="20"/>
              </w:rPr>
              <w:t>)</w:t>
            </w:r>
          </w:p>
        </w:tc>
      </w:tr>
      <w:tr w:rsidR="00AF3C71" w:rsidRPr="008E7A43" w14:paraId="5CB5E8E8" w14:textId="77777777" w:rsidTr="004E24A3">
        <w:trPr>
          <w:jc w:val="center"/>
        </w:trPr>
        <w:tc>
          <w:tcPr>
            <w:tcW w:w="4313" w:type="dxa"/>
          </w:tcPr>
          <w:p w14:paraId="5CD87F4A" w14:textId="77777777" w:rsidR="00AF3C71" w:rsidRPr="008E7A43" w:rsidRDefault="00AF3C7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NPTC Group</w:t>
            </w:r>
          </w:p>
        </w:tc>
        <w:tc>
          <w:tcPr>
            <w:tcW w:w="1449" w:type="dxa"/>
          </w:tcPr>
          <w:p w14:paraId="7898197D" w14:textId="77777777" w:rsidR="00137467" w:rsidRPr="008E7A43" w:rsidRDefault="00C928E4"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617</w:t>
            </w:r>
          </w:p>
        </w:tc>
        <w:tc>
          <w:tcPr>
            <w:tcW w:w="1276" w:type="dxa"/>
            <w:gridSpan w:val="2"/>
          </w:tcPr>
          <w:p w14:paraId="7E16C7EB" w14:textId="77777777" w:rsidR="00AF3C71" w:rsidRPr="008E7A43" w:rsidRDefault="00C928E4"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194</w:t>
            </w:r>
          </w:p>
        </w:tc>
        <w:tc>
          <w:tcPr>
            <w:tcW w:w="1791" w:type="dxa"/>
            <w:gridSpan w:val="2"/>
          </w:tcPr>
          <w:p w14:paraId="4B0077C9" w14:textId="77777777" w:rsidR="00AF3C71" w:rsidRPr="008E7A43" w:rsidRDefault="00C928E4"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365</w:t>
            </w:r>
          </w:p>
        </w:tc>
        <w:tc>
          <w:tcPr>
            <w:tcW w:w="2289" w:type="dxa"/>
          </w:tcPr>
          <w:p w14:paraId="6C0025C5" w14:textId="77777777" w:rsidR="00AF3C71" w:rsidRPr="008E7A43" w:rsidRDefault="004E24A3" w:rsidP="00137467">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21.2%</w:t>
            </w:r>
          </w:p>
        </w:tc>
      </w:tr>
      <w:tr w:rsidR="00AF3C71" w:rsidRPr="008E7A43" w14:paraId="613EDACC" w14:textId="77777777" w:rsidTr="004E24A3">
        <w:trPr>
          <w:jc w:val="center"/>
        </w:trPr>
        <w:tc>
          <w:tcPr>
            <w:tcW w:w="4313" w:type="dxa"/>
          </w:tcPr>
          <w:p w14:paraId="49B4ED50" w14:textId="77777777" w:rsidR="00AF3C71" w:rsidRPr="008E7A43" w:rsidRDefault="00AF3C7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Neath Port Talbot Waste Management Co. Ltd.</w:t>
            </w:r>
          </w:p>
        </w:tc>
        <w:tc>
          <w:tcPr>
            <w:tcW w:w="1449" w:type="dxa"/>
          </w:tcPr>
          <w:p w14:paraId="3D00F885" w14:textId="77777777" w:rsidR="00AF3C71" w:rsidRPr="008E7A43" w:rsidRDefault="00137467"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tc>
        <w:tc>
          <w:tcPr>
            <w:tcW w:w="1276" w:type="dxa"/>
            <w:gridSpan w:val="2"/>
          </w:tcPr>
          <w:p w14:paraId="694AD3B7" w14:textId="77777777" w:rsidR="00AF3C71" w:rsidRPr="008E7A43" w:rsidRDefault="00137467"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p>
        </w:tc>
        <w:tc>
          <w:tcPr>
            <w:tcW w:w="1791" w:type="dxa"/>
            <w:gridSpan w:val="2"/>
          </w:tcPr>
          <w:p w14:paraId="76A905AB" w14:textId="77777777" w:rsidR="00AF3C71" w:rsidRPr="008E7A43" w:rsidRDefault="00137467"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tc>
        <w:tc>
          <w:tcPr>
            <w:tcW w:w="2289" w:type="dxa"/>
          </w:tcPr>
          <w:p w14:paraId="4D4B6A6E" w14:textId="77777777" w:rsidR="00AF3C71" w:rsidRPr="008E7A43" w:rsidRDefault="00F42A49" w:rsidP="007A4392">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tc>
      </w:tr>
      <w:tr w:rsidR="00D77331" w:rsidRPr="008E7A43" w14:paraId="6F0BB197" w14:textId="77777777" w:rsidTr="004E24A3">
        <w:trPr>
          <w:jc w:val="center"/>
        </w:trPr>
        <w:tc>
          <w:tcPr>
            <w:tcW w:w="4313" w:type="dxa"/>
          </w:tcPr>
          <w:p w14:paraId="435C9FF9" w14:textId="77777777" w:rsidR="00D77331" w:rsidRPr="008E7A43" w:rsidRDefault="00D7733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Pelenna Community Council</w:t>
            </w:r>
          </w:p>
        </w:tc>
        <w:tc>
          <w:tcPr>
            <w:tcW w:w="1449" w:type="dxa"/>
          </w:tcPr>
          <w:p w14:paraId="5371E175" w14:textId="77777777" w:rsidR="00D77331" w:rsidRPr="008E7A43"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p>
        </w:tc>
        <w:tc>
          <w:tcPr>
            <w:tcW w:w="1276" w:type="dxa"/>
            <w:gridSpan w:val="2"/>
          </w:tcPr>
          <w:p w14:paraId="52E322B7" w14:textId="77777777" w:rsidR="00D77331" w:rsidRPr="008E7A43"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3</w:t>
            </w:r>
          </w:p>
        </w:tc>
        <w:tc>
          <w:tcPr>
            <w:tcW w:w="1791" w:type="dxa"/>
            <w:gridSpan w:val="2"/>
          </w:tcPr>
          <w:p w14:paraId="6EB79ED2" w14:textId="77777777" w:rsidR="00D77331" w:rsidRPr="008E7A43" w:rsidRDefault="00137467"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3</w:t>
            </w:r>
          </w:p>
        </w:tc>
        <w:tc>
          <w:tcPr>
            <w:tcW w:w="2289" w:type="dxa"/>
          </w:tcPr>
          <w:p w14:paraId="1554BE0D" w14:textId="77777777" w:rsidR="00D77331" w:rsidRPr="008E7A43" w:rsidRDefault="00D77331" w:rsidP="00275669">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2</w:t>
            </w:r>
            <w:r w:rsidR="00275669">
              <w:rPr>
                <w:rFonts w:ascii="Arial" w:hAnsi="Arial" w:cs="Arial"/>
                <w:sz w:val="20"/>
              </w:rPr>
              <w:t>4.1</w:t>
            </w:r>
            <w:r w:rsidRPr="008E7A43">
              <w:rPr>
                <w:rFonts w:ascii="Arial" w:hAnsi="Arial" w:cs="Arial"/>
                <w:sz w:val="20"/>
              </w:rPr>
              <w:t>%</w:t>
            </w:r>
          </w:p>
        </w:tc>
      </w:tr>
      <w:tr w:rsidR="00D77331" w:rsidRPr="008E7A43" w14:paraId="45770316" w14:textId="77777777" w:rsidTr="004E24A3">
        <w:trPr>
          <w:jc w:val="center"/>
        </w:trPr>
        <w:tc>
          <w:tcPr>
            <w:tcW w:w="4313" w:type="dxa"/>
          </w:tcPr>
          <w:p w14:paraId="2EA8E8E4" w14:textId="77777777" w:rsidR="00D77331" w:rsidRPr="008E7A43" w:rsidRDefault="00D7733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Pontardawe Town Council</w:t>
            </w:r>
          </w:p>
        </w:tc>
        <w:tc>
          <w:tcPr>
            <w:tcW w:w="1449" w:type="dxa"/>
          </w:tcPr>
          <w:p w14:paraId="20FB3032" w14:textId="77777777" w:rsidR="00D77331" w:rsidRPr="008E7A43"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5</w:t>
            </w:r>
          </w:p>
        </w:tc>
        <w:tc>
          <w:tcPr>
            <w:tcW w:w="1276" w:type="dxa"/>
            <w:gridSpan w:val="2"/>
          </w:tcPr>
          <w:p w14:paraId="5F74BEEF" w14:textId="77777777" w:rsidR="00D77331" w:rsidRPr="008E7A43" w:rsidRDefault="00D71F66"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3</w:t>
            </w:r>
          </w:p>
        </w:tc>
        <w:tc>
          <w:tcPr>
            <w:tcW w:w="1791" w:type="dxa"/>
            <w:gridSpan w:val="2"/>
          </w:tcPr>
          <w:p w14:paraId="1CCDCFB0" w14:textId="77777777" w:rsidR="00D77331" w:rsidRPr="008E7A43" w:rsidRDefault="00137467"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tc>
        <w:tc>
          <w:tcPr>
            <w:tcW w:w="2289" w:type="dxa"/>
          </w:tcPr>
          <w:p w14:paraId="1EA545E4" w14:textId="77777777" w:rsidR="00D77331" w:rsidRPr="008E7A43" w:rsidRDefault="00D77331" w:rsidP="00275669">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2</w:t>
            </w:r>
            <w:r w:rsidR="00275669">
              <w:rPr>
                <w:rFonts w:ascii="Arial" w:hAnsi="Arial" w:cs="Arial"/>
                <w:sz w:val="20"/>
              </w:rPr>
              <w:t>4.1</w:t>
            </w:r>
            <w:r w:rsidRPr="008E7A43">
              <w:rPr>
                <w:rFonts w:ascii="Arial" w:hAnsi="Arial" w:cs="Arial"/>
                <w:sz w:val="20"/>
              </w:rPr>
              <w:t>%</w:t>
            </w:r>
          </w:p>
        </w:tc>
      </w:tr>
      <w:tr w:rsidR="00D77331" w:rsidRPr="008E7A43" w14:paraId="2C8355F7" w14:textId="77777777" w:rsidTr="004E24A3">
        <w:trPr>
          <w:jc w:val="center"/>
        </w:trPr>
        <w:tc>
          <w:tcPr>
            <w:tcW w:w="4313" w:type="dxa"/>
          </w:tcPr>
          <w:p w14:paraId="01BE32DF" w14:textId="77777777" w:rsidR="00D77331" w:rsidRPr="008E7A43" w:rsidRDefault="00D7733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Swansea Bay Port Health Authority</w:t>
            </w:r>
          </w:p>
        </w:tc>
        <w:tc>
          <w:tcPr>
            <w:tcW w:w="1449" w:type="dxa"/>
          </w:tcPr>
          <w:p w14:paraId="78B23A3F" w14:textId="77777777" w:rsidR="00D77331" w:rsidRPr="008E7A43" w:rsidRDefault="00137467"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p>
        </w:tc>
        <w:tc>
          <w:tcPr>
            <w:tcW w:w="1276" w:type="dxa"/>
            <w:gridSpan w:val="2"/>
          </w:tcPr>
          <w:p w14:paraId="68718DA7" w14:textId="77777777" w:rsidR="00D77331" w:rsidRPr="008E7A43" w:rsidRDefault="00137467"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r w:rsidR="00D71F66">
              <w:rPr>
                <w:rFonts w:ascii="Arial" w:hAnsi="Arial" w:cs="Arial"/>
                <w:sz w:val="20"/>
              </w:rPr>
              <w:t>0</w:t>
            </w:r>
          </w:p>
        </w:tc>
        <w:tc>
          <w:tcPr>
            <w:tcW w:w="1791" w:type="dxa"/>
            <w:gridSpan w:val="2"/>
          </w:tcPr>
          <w:p w14:paraId="67543FDE" w14:textId="77777777" w:rsidR="00D77331" w:rsidRPr="008E7A43" w:rsidRDefault="00137467"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p>
        </w:tc>
        <w:tc>
          <w:tcPr>
            <w:tcW w:w="2289" w:type="dxa"/>
          </w:tcPr>
          <w:p w14:paraId="26231FAF" w14:textId="77777777" w:rsidR="00D77331" w:rsidRPr="008E7A43" w:rsidRDefault="00D77331" w:rsidP="00275669">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2</w:t>
            </w:r>
            <w:r w:rsidR="00275669">
              <w:rPr>
                <w:rFonts w:ascii="Arial" w:hAnsi="Arial" w:cs="Arial"/>
                <w:sz w:val="20"/>
              </w:rPr>
              <w:t>6.9</w:t>
            </w:r>
            <w:r w:rsidRPr="008E7A43">
              <w:rPr>
                <w:rFonts w:ascii="Arial" w:hAnsi="Arial" w:cs="Arial"/>
                <w:sz w:val="20"/>
              </w:rPr>
              <w:t>%</w:t>
            </w:r>
            <w:r w:rsidR="00275669">
              <w:rPr>
                <w:rFonts w:ascii="Arial" w:hAnsi="Arial" w:cs="Arial"/>
                <w:sz w:val="20"/>
              </w:rPr>
              <w:t xml:space="preserve"> </w:t>
            </w:r>
            <w:r>
              <w:rPr>
                <w:rFonts w:ascii="Arial" w:hAnsi="Arial" w:cs="Arial"/>
                <w:sz w:val="20"/>
              </w:rPr>
              <w:t>(+£</w:t>
            </w:r>
            <w:r w:rsidR="00F359BE">
              <w:rPr>
                <w:rFonts w:ascii="Arial" w:hAnsi="Arial" w:cs="Arial"/>
                <w:sz w:val="20"/>
              </w:rPr>
              <w:t>7</w:t>
            </w:r>
            <w:r w:rsidR="00275669">
              <w:rPr>
                <w:rFonts w:ascii="Arial" w:hAnsi="Arial" w:cs="Arial"/>
                <w:sz w:val="20"/>
              </w:rPr>
              <w:t>,</w:t>
            </w:r>
            <w:r w:rsidR="00F359BE">
              <w:rPr>
                <w:rFonts w:ascii="Arial" w:hAnsi="Arial" w:cs="Arial"/>
                <w:sz w:val="20"/>
              </w:rPr>
              <w:t>2</w:t>
            </w:r>
            <w:r>
              <w:rPr>
                <w:rFonts w:ascii="Arial" w:hAnsi="Arial" w:cs="Arial"/>
                <w:sz w:val="20"/>
              </w:rPr>
              <w:t>00)</w:t>
            </w:r>
          </w:p>
        </w:tc>
      </w:tr>
      <w:tr w:rsidR="00D77331" w:rsidRPr="008E7A43" w14:paraId="3574F78B" w14:textId="77777777" w:rsidTr="004E24A3">
        <w:trPr>
          <w:jc w:val="center"/>
        </w:trPr>
        <w:tc>
          <w:tcPr>
            <w:tcW w:w="4313" w:type="dxa"/>
          </w:tcPr>
          <w:p w14:paraId="4585B2F5" w14:textId="77777777" w:rsidR="00D71F66" w:rsidRPr="008E7A43" w:rsidRDefault="00D77331" w:rsidP="00D71F66">
            <w:pPr>
              <w:tabs>
                <w:tab w:val="left" w:pos="604"/>
                <w:tab w:val="right" w:pos="3628"/>
                <w:tab w:val="right" w:pos="4636"/>
                <w:tab w:val="right" w:pos="6048"/>
                <w:tab w:val="right" w:pos="7056"/>
              </w:tabs>
              <w:rPr>
                <w:rFonts w:ascii="Arial" w:hAnsi="Arial"/>
                <w:sz w:val="20"/>
              </w:rPr>
            </w:pPr>
            <w:r w:rsidRPr="008E7A43">
              <w:rPr>
                <w:rFonts w:ascii="Arial" w:hAnsi="Arial"/>
                <w:sz w:val="20"/>
              </w:rPr>
              <w:t>Swansea City Waste Disposal Company</w:t>
            </w:r>
          </w:p>
        </w:tc>
        <w:tc>
          <w:tcPr>
            <w:tcW w:w="1449" w:type="dxa"/>
          </w:tcPr>
          <w:p w14:paraId="352F2CC2" w14:textId="77777777" w:rsidR="00D71F66" w:rsidRPr="008E7A43" w:rsidRDefault="002622D7"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tc>
        <w:tc>
          <w:tcPr>
            <w:tcW w:w="1276" w:type="dxa"/>
            <w:gridSpan w:val="2"/>
          </w:tcPr>
          <w:p w14:paraId="6DD4DA74" w14:textId="77777777" w:rsidR="00D71F66" w:rsidRPr="008E7A43" w:rsidRDefault="002622D7"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r w:rsidR="00C928E4">
              <w:rPr>
                <w:rFonts w:ascii="Arial" w:hAnsi="Arial" w:cs="Arial"/>
                <w:sz w:val="20"/>
              </w:rPr>
              <w:t>7</w:t>
            </w:r>
          </w:p>
        </w:tc>
        <w:tc>
          <w:tcPr>
            <w:tcW w:w="1791" w:type="dxa"/>
            <w:gridSpan w:val="2"/>
          </w:tcPr>
          <w:p w14:paraId="19CD7507" w14:textId="77777777" w:rsidR="00D71F66" w:rsidRPr="008E7A43" w:rsidRDefault="00C928E4"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p>
        </w:tc>
        <w:tc>
          <w:tcPr>
            <w:tcW w:w="2289" w:type="dxa"/>
          </w:tcPr>
          <w:p w14:paraId="7A0F3BC5" w14:textId="77777777" w:rsidR="00D77331" w:rsidRPr="008E7A43" w:rsidRDefault="00D77331" w:rsidP="007A4392">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tc>
      </w:tr>
      <w:tr w:rsidR="00D77331" w:rsidRPr="008E7A43" w14:paraId="5B77C533" w14:textId="77777777" w:rsidTr="004E24A3">
        <w:trPr>
          <w:jc w:val="center"/>
        </w:trPr>
        <w:tc>
          <w:tcPr>
            <w:tcW w:w="4313" w:type="dxa"/>
          </w:tcPr>
          <w:p w14:paraId="63495674" w14:textId="77777777" w:rsidR="00D77331" w:rsidRPr="008E7A43" w:rsidRDefault="00D7733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West Glamorgan County Council</w:t>
            </w:r>
          </w:p>
        </w:tc>
        <w:tc>
          <w:tcPr>
            <w:tcW w:w="1449" w:type="dxa"/>
          </w:tcPr>
          <w:p w14:paraId="0F867A82" w14:textId="77777777" w:rsidR="00D77331" w:rsidRPr="008E7A43" w:rsidRDefault="002622D7"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tc>
        <w:tc>
          <w:tcPr>
            <w:tcW w:w="1276" w:type="dxa"/>
            <w:gridSpan w:val="2"/>
          </w:tcPr>
          <w:p w14:paraId="351682F3" w14:textId="77777777" w:rsidR="00D77331" w:rsidRPr="008E7A43" w:rsidRDefault="000516BD"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r w:rsidR="00C928E4">
              <w:rPr>
                <w:rFonts w:ascii="Arial" w:hAnsi="Arial" w:cs="Arial"/>
                <w:sz w:val="20"/>
              </w:rPr>
              <w:t>756</w:t>
            </w:r>
          </w:p>
        </w:tc>
        <w:tc>
          <w:tcPr>
            <w:tcW w:w="1791" w:type="dxa"/>
            <w:gridSpan w:val="2"/>
          </w:tcPr>
          <w:p w14:paraId="3BAA872F" w14:textId="77777777" w:rsidR="00D77331" w:rsidRPr="008E7A43" w:rsidRDefault="00C928E4"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138</w:t>
            </w:r>
          </w:p>
        </w:tc>
        <w:tc>
          <w:tcPr>
            <w:tcW w:w="2289" w:type="dxa"/>
          </w:tcPr>
          <w:p w14:paraId="1810E6ED" w14:textId="77777777" w:rsidR="00D77331" w:rsidRPr="008E7A43" w:rsidRDefault="00D77331" w:rsidP="007E6A54">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tc>
      </w:tr>
      <w:tr w:rsidR="00D77331" w:rsidRPr="008E7A43" w14:paraId="4D0402D4" w14:textId="77777777" w:rsidTr="004E24A3">
        <w:trPr>
          <w:jc w:val="center"/>
        </w:trPr>
        <w:tc>
          <w:tcPr>
            <w:tcW w:w="4313" w:type="dxa"/>
          </w:tcPr>
          <w:p w14:paraId="1CD50AB9" w14:textId="77777777" w:rsidR="00D77331" w:rsidRPr="008E7A43" w:rsidRDefault="00D7733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West Glamorgan Magistrates Courts</w:t>
            </w:r>
          </w:p>
        </w:tc>
        <w:tc>
          <w:tcPr>
            <w:tcW w:w="1449" w:type="dxa"/>
          </w:tcPr>
          <w:p w14:paraId="340922D7" w14:textId="77777777" w:rsidR="00D77331" w:rsidRPr="008E7A43" w:rsidRDefault="002622D7"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tc>
        <w:tc>
          <w:tcPr>
            <w:tcW w:w="1276" w:type="dxa"/>
            <w:gridSpan w:val="2"/>
          </w:tcPr>
          <w:p w14:paraId="5D8A5E75" w14:textId="77777777" w:rsidR="00D77331" w:rsidRPr="008E7A43" w:rsidRDefault="002622D7"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3</w:t>
            </w:r>
            <w:r w:rsidR="00D71F66">
              <w:rPr>
                <w:rFonts w:ascii="Arial" w:hAnsi="Arial" w:cs="Arial"/>
                <w:sz w:val="20"/>
              </w:rPr>
              <w:t>7</w:t>
            </w:r>
          </w:p>
        </w:tc>
        <w:tc>
          <w:tcPr>
            <w:tcW w:w="1791" w:type="dxa"/>
            <w:gridSpan w:val="2"/>
          </w:tcPr>
          <w:p w14:paraId="20568BDE" w14:textId="77777777" w:rsidR="00D77331" w:rsidRPr="008E7A43" w:rsidRDefault="00C928E4" w:rsidP="00D71F66">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8</w:t>
            </w:r>
          </w:p>
        </w:tc>
        <w:tc>
          <w:tcPr>
            <w:tcW w:w="2289" w:type="dxa"/>
          </w:tcPr>
          <w:p w14:paraId="33408390" w14:textId="77777777" w:rsidR="00D77331" w:rsidRPr="008E7A43" w:rsidRDefault="00D77331" w:rsidP="007A4392">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tc>
      </w:tr>
      <w:tr w:rsidR="00D77331" w:rsidRPr="008E7A43" w14:paraId="2E8FABC9" w14:textId="77777777" w:rsidTr="00AE27DF">
        <w:trPr>
          <w:jc w:val="center"/>
        </w:trPr>
        <w:tc>
          <w:tcPr>
            <w:tcW w:w="4313" w:type="dxa"/>
          </w:tcPr>
          <w:p w14:paraId="2DED5EDA" w14:textId="77777777" w:rsidR="00D77331" w:rsidRDefault="00D77331" w:rsidP="007A4392">
            <w:pPr>
              <w:tabs>
                <w:tab w:val="left" w:pos="604"/>
                <w:tab w:val="right" w:pos="3628"/>
                <w:tab w:val="right" w:pos="4636"/>
                <w:tab w:val="right" w:pos="6048"/>
                <w:tab w:val="right" w:pos="7056"/>
              </w:tabs>
              <w:rPr>
                <w:rFonts w:ascii="Arial" w:hAnsi="Arial"/>
                <w:sz w:val="20"/>
              </w:rPr>
            </w:pPr>
            <w:r w:rsidRPr="008E7A43">
              <w:rPr>
                <w:rFonts w:ascii="Arial" w:hAnsi="Arial"/>
                <w:sz w:val="20"/>
              </w:rPr>
              <w:t>West Glamorgan Valuation Panel</w:t>
            </w:r>
          </w:p>
          <w:p w14:paraId="065C90E3" w14:textId="77777777" w:rsidR="002622D7" w:rsidRPr="008E7A43" w:rsidRDefault="002622D7" w:rsidP="007A4392">
            <w:pPr>
              <w:tabs>
                <w:tab w:val="left" w:pos="604"/>
                <w:tab w:val="right" w:pos="3628"/>
                <w:tab w:val="right" w:pos="4636"/>
                <w:tab w:val="right" w:pos="6048"/>
                <w:tab w:val="right" w:pos="7056"/>
              </w:tabs>
              <w:rPr>
                <w:rFonts w:ascii="Arial" w:hAnsi="Arial"/>
                <w:sz w:val="20"/>
              </w:rPr>
            </w:pPr>
            <w:r>
              <w:rPr>
                <w:rFonts w:ascii="Arial" w:hAnsi="Arial"/>
                <w:sz w:val="20"/>
              </w:rPr>
              <w:t>Mumbles Community Council</w:t>
            </w:r>
          </w:p>
          <w:p w14:paraId="282F1714" w14:textId="77777777" w:rsidR="00D77331" w:rsidRPr="008E7A43" w:rsidRDefault="002F1173" w:rsidP="007A4392">
            <w:pPr>
              <w:tabs>
                <w:tab w:val="left" w:pos="604"/>
                <w:tab w:val="right" w:pos="3628"/>
                <w:tab w:val="right" w:pos="4636"/>
                <w:tab w:val="right" w:pos="6048"/>
                <w:tab w:val="right" w:pos="7056"/>
              </w:tabs>
              <w:rPr>
                <w:rFonts w:ascii="Arial" w:hAnsi="Arial"/>
                <w:sz w:val="20"/>
              </w:rPr>
            </w:pPr>
            <w:r>
              <w:rPr>
                <w:rFonts w:ascii="Arial" w:hAnsi="Arial"/>
                <w:sz w:val="20"/>
              </w:rPr>
              <w:t>Llanrhidian Higher Community Council</w:t>
            </w:r>
          </w:p>
        </w:tc>
        <w:tc>
          <w:tcPr>
            <w:tcW w:w="1449" w:type="dxa"/>
          </w:tcPr>
          <w:p w14:paraId="3195201A" w14:textId="77777777" w:rsidR="00D77331" w:rsidRDefault="002622D7"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40FD4403" w14:textId="77777777" w:rsidR="002622D7"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5</w:t>
            </w:r>
          </w:p>
          <w:p w14:paraId="4F26F444" w14:textId="77777777" w:rsidR="002F1173" w:rsidRPr="008E7A43" w:rsidRDefault="002F117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p>
        </w:tc>
        <w:tc>
          <w:tcPr>
            <w:tcW w:w="1276" w:type="dxa"/>
            <w:gridSpan w:val="2"/>
          </w:tcPr>
          <w:p w14:paraId="2475B1FE" w14:textId="77777777" w:rsidR="00D77331" w:rsidRDefault="00C928E4"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w:t>
            </w:r>
          </w:p>
          <w:p w14:paraId="523A1638" w14:textId="77777777" w:rsidR="002622D7" w:rsidRDefault="002622D7"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19733DFC" w14:textId="77777777" w:rsidR="002F1173" w:rsidRPr="008E7A43" w:rsidRDefault="002F1173" w:rsidP="002F1173">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tc>
        <w:tc>
          <w:tcPr>
            <w:tcW w:w="1791" w:type="dxa"/>
            <w:gridSpan w:val="2"/>
          </w:tcPr>
          <w:p w14:paraId="751DA5A4" w14:textId="77777777" w:rsidR="00D77331" w:rsidRDefault="002622D7"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0D686E28" w14:textId="77777777" w:rsidR="002622D7" w:rsidRDefault="002622D7"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7A56A575" w14:textId="77777777" w:rsidR="002F1173" w:rsidRPr="008E7A43" w:rsidRDefault="002F1173" w:rsidP="007E6A54">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tc>
        <w:tc>
          <w:tcPr>
            <w:tcW w:w="2289" w:type="dxa"/>
          </w:tcPr>
          <w:p w14:paraId="69166ACB" w14:textId="77777777" w:rsidR="00D77331" w:rsidRPr="008E7A43" w:rsidRDefault="00D77331" w:rsidP="007A4392">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p w14:paraId="1C0BE02A" w14:textId="77777777" w:rsidR="00D77331" w:rsidRDefault="00275669"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24.1</w:t>
            </w:r>
            <w:r w:rsidR="002622D7">
              <w:rPr>
                <w:rFonts w:ascii="Arial" w:hAnsi="Arial" w:cs="Arial"/>
                <w:sz w:val="20"/>
              </w:rPr>
              <w:t>%</w:t>
            </w:r>
          </w:p>
          <w:p w14:paraId="0EA36CC0" w14:textId="77777777" w:rsidR="002F1173" w:rsidRPr="008E7A43" w:rsidRDefault="00275669" w:rsidP="00275669">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24.1% (+£50)</w:t>
            </w:r>
          </w:p>
        </w:tc>
      </w:tr>
      <w:tr w:rsidR="00D77331" w:rsidRPr="008E7A43" w14:paraId="7C22411B" w14:textId="77777777" w:rsidTr="00AE27DF">
        <w:trPr>
          <w:jc w:val="center"/>
        </w:trPr>
        <w:tc>
          <w:tcPr>
            <w:tcW w:w="4313" w:type="dxa"/>
          </w:tcPr>
          <w:p w14:paraId="58BE1409" w14:textId="77777777" w:rsidR="00D77331" w:rsidRPr="00D66A79" w:rsidRDefault="002F1173"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Ystalyfera Community Council</w:t>
            </w:r>
          </w:p>
          <w:p w14:paraId="0F138B31" w14:textId="77777777" w:rsidR="003F537E" w:rsidRDefault="003F537E"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Llangyfelach Community Council</w:t>
            </w:r>
          </w:p>
          <w:p w14:paraId="7BCF9C2E" w14:textId="77777777" w:rsidR="00D53553" w:rsidRDefault="00D53553" w:rsidP="007A4392">
            <w:pPr>
              <w:tabs>
                <w:tab w:val="left" w:pos="604"/>
                <w:tab w:val="right" w:pos="3628"/>
                <w:tab w:val="right" w:pos="4636"/>
                <w:tab w:val="right" w:pos="6048"/>
                <w:tab w:val="right" w:pos="7056"/>
              </w:tabs>
              <w:rPr>
                <w:rFonts w:ascii="Arial" w:hAnsi="Arial"/>
                <w:sz w:val="20"/>
              </w:rPr>
            </w:pPr>
            <w:r>
              <w:rPr>
                <w:rFonts w:ascii="Arial" w:hAnsi="Arial"/>
                <w:sz w:val="20"/>
              </w:rPr>
              <w:t>Port Talbot Borough Council</w:t>
            </w:r>
          </w:p>
          <w:p w14:paraId="66A7988E" w14:textId="77777777" w:rsidR="00D53553" w:rsidRDefault="00D53553" w:rsidP="007A4392">
            <w:pPr>
              <w:tabs>
                <w:tab w:val="left" w:pos="604"/>
                <w:tab w:val="right" w:pos="3628"/>
                <w:tab w:val="right" w:pos="4636"/>
                <w:tab w:val="right" w:pos="6048"/>
                <w:tab w:val="right" w:pos="7056"/>
              </w:tabs>
              <w:rPr>
                <w:rFonts w:ascii="Arial" w:hAnsi="Arial"/>
                <w:sz w:val="20"/>
              </w:rPr>
            </w:pPr>
            <w:r>
              <w:rPr>
                <w:rFonts w:ascii="Arial" w:hAnsi="Arial"/>
                <w:sz w:val="20"/>
              </w:rPr>
              <w:t>Swansea City Council</w:t>
            </w:r>
          </w:p>
          <w:p w14:paraId="46946590" w14:textId="77777777" w:rsidR="00D53553" w:rsidRDefault="00D53553" w:rsidP="007A4392">
            <w:pPr>
              <w:tabs>
                <w:tab w:val="left" w:pos="604"/>
                <w:tab w:val="right" w:pos="3628"/>
                <w:tab w:val="right" w:pos="4636"/>
                <w:tab w:val="right" w:pos="6048"/>
                <w:tab w:val="right" w:pos="7056"/>
              </w:tabs>
              <w:rPr>
                <w:rFonts w:ascii="Arial" w:hAnsi="Arial"/>
                <w:sz w:val="20"/>
              </w:rPr>
            </w:pPr>
            <w:r>
              <w:rPr>
                <w:rFonts w:ascii="Arial" w:hAnsi="Arial"/>
                <w:sz w:val="20"/>
              </w:rPr>
              <w:t>Neath Borough Council</w:t>
            </w:r>
          </w:p>
          <w:p w14:paraId="46092752" w14:textId="77777777" w:rsidR="00D53553" w:rsidRDefault="00D53553" w:rsidP="007A4392">
            <w:pPr>
              <w:tabs>
                <w:tab w:val="left" w:pos="604"/>
                <w:tab w:val="right" w:pos="3628"/>
                <w:tab w:val="right" w:pos="4636"/>
                <w:tab w:val="right" w:pos="6048"/>
                <w:tab w:val="right" w:pos="7056"/>
              </w:tabs>
              <w:rPr>
                <w:rFonts w:ascii="Arial" w:hAnsi="Arial"/>
                <w:sz w:val="20"/>
              </w:rPr>
            </w:pPr>
            <w:r>
              <w:rPr>
                <w:rFonts w:ascii="Arial" w:hAnsi="Arial"/>
                <w:sz w:val="20"/>
              </w:rPr>
              <w:t>Bishop Vaughan School</w:t>
            </w:r>
          </w:p>
          <w:p w14:paraId="68363EBE" w14:textId="77777777" w:rsidR="00D53553" w:rsidRDefault="00D53553" w:rsidP="007A4392">
            <w:pPr>
              <w:tabs>
                <w:tab w:val="left" w:pos="604"/>
                <w:tab w:val="right" w:pos="3628"/>
                <w:tab w:val="right" w:pos="4636"/>
                <w:tab w:val="right" w:pos="6048"/>
                <w:tab w:val="right" w:pos="7056"/>
              </w:tabs>
              <w:rPr>
                <w:rFonts w:ascii="Arial" w:hAnsi="Arial"/>
                <w:sz w:val="20"/>
              </w:rPr>
            </w:pPr>
            <w:r>
              <w:rPr>
                <w:rFonts w:ascii="Arial" w:hAnsi="Arial"/>
                <w:sz w:val="20"/>
              </w:rPr>
              <w:t>Swansea College</w:t>
            </w:r>
          </w:p>
          <w:p w14:paraId="0411E395" w14:textId="77777777" w:rsidR="00D53553" w:rsidRDefault="00D53553" w:rsidP="007A4392">
            <w:pPr>
              <w:tabs>
                <w:tab w:val="left" w:pos="604"/>
                <w:tab w:val="right" w:pos="3628"/>
                <w:tab w:val="right" w:pos="4636"/>
                <w:tab w:val="right" w:pos="6048"/>
                <w:tab w:val="right" w:pos="7056"/>
              </w:tabs>
              <w:rPr>
                <w:rFonts w:ascii="Arial" w:hAnsi="Arial"/>
                <w:sz w:val="20"/>
              </w:rPr>
            </w:pPr>
            <w:r>
              <w:rPr>
                <w:rFonts w:ascii="Arial" w:hAnsi="Arial"/>
                <w:sz w:val="20"/>
              </w:rPr>
              <w:t>Afan College</w:t>
            </w:r>
          </w:p>
          <w:p w14:paraId="3D547577" w14:textId="77777777" w:rsidR="00D53553" w:rsidRDefault="00D53553" w:rsidP="007A4392">
            <w:pPr>
              <w:tabs>
                <w:tab w:val="left" w:pos="604"/>
                <w:tab w:val="right" w:pos="3628"/>
                <w:tab w:val="right" w:pos="4636"/>
                <w:tab w:val="right" w:pos="6048"/>
                <w:tab w:val="right" w:pos="7056"/>
              </w:tabs>
              <w:rPr>
                <w:rFonts w:ascii="Arial" w:hAnsi="Arial"/>
                <w:sz w:val="20"/>
              </w:rPr>
            </w:pPr>
            <w:r>
              <w:rPr>
                <w:rFonts w:ascii="Arial" w:hAnsi="Arial"/>
                <w:sz w:val="20"/>
              </w:rPr>
              <w:t>Neath College</w:t>
            </w:r>
          </w:p>
          <w:p w14:paraId="6C2B21C1" w14:textId="77777777" w:rsidR="00D53553" w:rsidRDefault="00D53553" w:rsidP="007A4392">
            <w:pPr>
              <w:tabs>
                <w:tab w:val="left" w:pos="604"/>
                <w:tab w:val="right" w:pos="3628"/>
                <w:tab w:val="right" w:pos="4636"/>
                <w:tab w:val="right" w:pos="6048"/>
                <w:tab w:val="right" w:pos="7056"/>
              </w:tabs>
              <w:rPr>
                <w:rFonts w:ascii="Arial" w:hAnsi="Arial"/>
                <w:sz w:val="20"/>
              </w:rPr>
            </w:pPr>
            <w:r>
              <w:rPr>
                <w:rFonts w:ascii="Arial" w:hAnsi="Arial"/>
                <w:sz w:val="20"/>
              </w:rPr>
              <w:t>Gorseinon College</w:t>
            </w:r>
          </w:p>
          <w:p w14:paraId="4DBAECE9" w14:textId="77777777" w:rsidR="00D53553" w:rsidRDefault="00D53553" w:rsidP="007A4392">
            <w:pPr>
              <w:tabs>
                <w:tab w:val="left" w:pos="604"/>
                <w:tab w:val="right" w:pos="3628"/>
                <w:tab w:val="right" w:pos="4636"/>
                <w:tab w:val="right" w:pos="6048"/>
                <w:tab w:val="right" w:pos="7056"/>
              </w:tabs>
              <w:rPr>
                <w:rFonts w:ascii="Arial" w:hAnsi="Arial"/>
                <w:sz w:val="20"/>
              </w:rPr>
            </w:pPr>
            <w:r>
              <w:rPr>
                <w:rFonts w:ascii="Arial" w:hAnsi="Arial"/>
                <w:sz w:val="20"/>
              </w:rPr>
              <w:t>Neath Port Talbot College</w:t>
            </w:r>
          </w:p>
          <w:p w14:paraId="171F93F8" w14:textId="77777777" w:rsidR="00D53553" w:rsidRDefault="00D53553" w:rsidP="007A4392">
            <w:pPr>
              <w:tabs>
                <w:tab w:val="left" w:pos="604"/>
                <w:tab w:val="right" w:pos="3628"/>
                <w:tab w:val="right" w:pos="4636"/>
                <w:tab w:val="right" w:pos="6048"/>
                <w:tab w:val="right" w:pos="7056"/>
              </w:tabs>
              <w:rPr>
                <w:rFonts w:ascii="Arial" w:hAnsi="Arial"/>
                <w:sz w:val="20"/>
              </w:rPr>
            </w:pPr>
            <w:r>
              <w:rPr>
                <w:rFonts w:ascii="Arial" w:hAnsi="Arial"/>
                <w:sz w:val="20"/>
              </w:rPr>
              <w:t>West Glamorgan Fire Service</w:t>
            </w:r>
          </w:p>
          <w:p w14:paraId="317C4518" w14:textId="77777777" w:rsidR="00D53553" w:rsidRDefault="00D53553" w:rsidP="007A4392">
            <w:pPr>
              <w:tabs>
                <w:tab w:val="left" w:pos="604"/>
                <w:tab w:val="right" w:pos="3628"/>
                <w:tab w:val="right" w:pos="4636"/>
                <w:tab w:val="right" w:pos="6048"/>
                <w:tab w:val="right" w:pos="7056"/>
              </w:tabs>
              <w:rPr>
                <w:rFonts w:ascii="Arial" w:hAnsi="Arial"/>
                <w:sz w:val="20"/>
              </w:rPr>
            </w:pPr>
            <w:r>
              <w:rPr>
                <w:rFonts w:ascii="Arial" w:hAnsi="Arial"/>
                <w:sz w:val="20"/>
              </w:rPr>
              <w:t>Swansea Councillors</w:t>
            </w:r>
          </w:p>
          <w:p w14:paraId="077385CF" w14:textId="77777777" w:rsidR="00D53553" w:rsidRDefault="00D53553" w:rsidP="007A4392">
            <w:pPr>
              <w:tabs>
                <w:tab w:val="left" w:pos="604"/>
                <w:tab w:val="right" w:pos="3628"/>
                <w:tab w:val="right" w:pos="4636"/>
                <w:tab w:val="right" w:pos="6048"/>
                <w:tab w:val="right" w:pos="7056"/>
              </w:tabs>
              <w:rPr>
                <w:rFonts w:ascii="Arial" w:hAnsi="Arial"/>
                <w:sz w:val="20"/>
              </w:rPr>
            </w:pPr>
            <w:r>
              <w:rPr>
                <w:rFonts w:ascii="Arial" w:hAnsi="Arial"/>
                <w:sz w:val="20"/>
              </w:rPr>
              <w:t>Neath Councillors</w:t>
            </w:r>
          </w:p>
          <w:p w14:paraId="75E112BD" w14:textId="77777777" w:rsidR="00D53553" w:rsidRDefault="00D53553" w:rsidP="007A4392">
            <w:pPr>
              <w:tabs>
                <w:tab w:val="left" w:pos="604"/>
                <w:tab w:val="right" w:pos="3628"/>
                <w:tab w:val="right" w:pos="4636"/>
                <w:tab w:val="right" w:pos="6048"/>
                <w:tab w:val="right" w:pos="7056"/>
              </w:tabs>
              <w:rPr>
                <w:rFonts w:ascii="Arial" w:hAnsi="Arial"/>
                <w:sz w:val="20"/>
              </w:rPr>
            </w:pPr>
          </w:p>
          <w:p w14:paraId="5698D3DF" w14:textId="77777777" w:rsidR="00D53553" w:rsidRDefault="00D53553" w:rsidP="007A4392">
            <w:pPr>
              <w:tabs>
                <w:tab w:val="left" w:pos="604"/>
                <w:tab w:val="right" w:pos="3628"/>
                <w:tab w:val="right" w:pos="4636"/>
                <w:tab w:val="right" w:pos="6048"/>
                <w:tab w:val="right" w:pos="7056"/>
              </w:tabs>
              <w:rPr>
                <w:rFonts w:ascii="Arial" w:hAnsi="Arial"/>
                <w:sz w:val="20"/>
              </w:rPr>
            </w:pPr>
          </w:p>
          <w:p w14:paraId="4004EB8D" w14:textId="77777777" w:rsidR="00D53553" w:rsidRDefault="00D53553" w:rsidP="007A4392">
            <w:pPr>
              <w:tabs>
                <w:tab w:val="left" w:pos="604"/>
                <w:tab w:val="right" w:pos="3628"/>
                <w:tab w:val="right" w:pos="4636"/>
                <w:tab w:val="right" w:pos="6048"/>
                <w:tab w:val="right" w:pos="7056"/>
              </w:tabs>
              <w:rPr>
                <w:rFonts w:ascii="Arial" w:hAnsi="Arial"/>
                <w:sz w:val="20"/>
              </w:rPr>
            </w:pPr>
          </w:p>
          <w:p w14:paraId="17CD5C63" w14:textId="77777777" w:rsidR="00D53553" w:rsidRDefault="00D53553" w:rsidP="007A4392">
            <w:pPr>
              <w:tabs>
                <w:tab w:val="left" w:pos="604"/>
                <w:tab w:val="right" w:pos="3628"/>
                <w:tab w:val="right" w:pos="4636"/>
                <w:tab w:val="right" w:pos="6048"/>
                <w:tab w:val="right" w:pos="7056"/>
              </w:tabs>
              <w:rPr>
                <w:rFonts w:ascii="Arial" w:hAnsi="Arial"/>
                <w:sz w:val="20"/>
              </w:rPr>
            </w:pPr>
          </w:p>
          <w:p w14:paraId="3C5E057A" w14:textId="77777777" w:rsidR="00D53553" w:rsidRDefault="00D53553" w:rsidP="007A4392">
            <w:pPr>
              <w:tabs>
                <w:tab w:val="left" w:pos="604"/>
                <w:tab w:val="right" w:pos="3628"/>
                <w:tab w:val="right" w:pos="4636"/>
                <w:tab w:val="right" w:pos="6048"/>
                <w:tab w:val="right" w:pos="7056"/>
              </w:tabs>
              <w:rPr>
                <w:rFonts w:ascii="Arial" w:hAnsi="Arial"/>
                <w:sz w:val="20"/>
              </w:rPr>
            </w:pPr>
          </w:p>
          <w:p w14:paraId="7E04E60B" w14:textId="77777777" w:rsidR="00D53553" w:rsidRDefault="00D53553" w:rsidP="007A4392">
            <w:pPr>
              <w:tabs>
                <w:tab w:val="left" w:pos="604"/>
                <w:tab w:val="right" w:pos="3628"/>
                <w:tab w:val="right" w:pos="4636"/>
                <w:tab w:val="right" w:pos="6048"/>
                <w:tab w:val="right" w:pos="7056"/>
              </w:tabs>
              <w:rPr>
                <w:rFonts w:ascii="Arial" w:hAnsi="Arial"/>
                <w:sz w:val="20"/>
              </w:rPr>
            </w:pPr>
          </w:p>
          <w:p w14:paraId="1CFA3433" w14:textId="77777777" w:rsidR="00D53553" w:rsidRDefault="00D53553" w:rsidP="007A4392">
            <w:pPr>
              <w:tabs>
                <w:tab w:val="left" w:pos="604"/>
                <w:tab w:val="right" w:pos="3628"/>
                <w:tab w:val="right" w:pos="4636"/>
                <w:tab w:val="right" w:pos="6048"/>
                <w:tab w:val="right" w:pos="7056"/>
              </w:tabs>
              <w:rPr>
                <w:rFonts w:ascii="Arial" w:hAnsi="Arial"/>
                <w:sz w:val="20"/>
              </w:rPr>
            </w:pPr>
          </w:p>
          <w:p w14:paraId="45B15A46" w14:textId="77777777" w:rsidR="00D53553" w:rsidRPr="00D66A79" w:rsidRDefault="00D53553" w:rsidP="007A4392">
            <w:pPr>
              <w:tabs>
                <w:tab w:val="left" w:pos="604"/>
                <w:tab w:val="right" w:pos="3628"/>
                <w:tab w:val="right" w:pos="4636"/>
                <w:tab w:val="right" w:pos="6048"/>
                <w:tab w:val="right" w:pos="7056"/>
              </w:tabs>
              <w:rPr>
                <w:rFonts w:ascii="Arial" w:hAnsi="Arial"/>
                <w:sz w:val="20"/>
              </w:rPr>
            </w:pPr>
          </w:p>
          <w:p w14:paraId="3FE10FCA"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b/>
                <w:sz w:val="20"/>
              </w:rPr>
              <w:t>Admitted Bodies</w:t>
            </w:r>
          </w:p>
          <w:p w14:paraId="3827827D"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BABTIE</w:t>
            </w:r>
          </w:p>
          <w:p w14:paraId="5EC5C189"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Celtic Community Leisure</w:t>
            </w:r>
          </w:p>
          <w:p w14:paraId="639E9396"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Colin Laver Heating Ltd</w:t>
            </w:r>
          </w:p>
          <w:p w14:paraId="5590D422"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Swansea Bay Racial Equality Council</w:t>
            </w:r>
          </w:p>
          <w:p w14:paraId="3026F2BF"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 xml:space="preserve">The Careers </w:t>
            </w:r>
            <w:r w:rsidR="00E27149" w:rsidRPr="00D66A79">
              <w:rPr>
                <w:rFonts w:ascii="Arial" w:hAnsi="Arial"/>
                <w:sz w:val="20"/>
              </w:rPr>
              <w:t>Service</w:t>
            </w:r>
          </w:p>
          <w:p w14:paraId="613B4D6B"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Wales National Pool</w:t>
            </w:r>
          </w:p>
          <w:p w14:paraId="3B15FF60"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West Wales Arts Association</w:t>
            </w:r>
          </w:p>
          <w:p w14:paraId="55F2E93B"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Cap Gemini</w:t>
            </w:r>
          </w:p>
          <w:p w14:paraId="62EA50BA"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Tai Tarian</w:t>
            </w:r>
          </w:p>
          <w:p w14:paraId="5227D6AC"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Phoenix Trust</w:t>
            </w:r>
          </w:p>
          <w:p w14:paraId="5D635BED"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Pobl Group</w:t>
            </w:r>
          </w:p>
          <w:p w14:paraId="47CA6BF6"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Rathbone CCS</w:t>
            </w:r>
          </w:p>
          <w:p w14:paraId="3B9CA68B"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Rathbone Gower College</w:t>
            </w:r>
          </w:p>
          <w:p w14:paraId="03ADE4BD"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Freedom Leisure</w:t>
            </w:r>
          </w:p>
          <w:p w14:paraId="412CC9A7"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Parkwood Leisure</w:t>
            </w:r>
          </w:p>
          <w:p w14:paraId="6E40DED6" w14:textId="77777777" w:rsidR="00D77331" w:rsidRPr="00D66A79" w:rsidRDefault="00D71F66"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University of Wales Trinity St David</w:t>
            </w:r>
          </w:p>
          <w:p w14:paraId="49B1A968" w14:textId="77777777" w:rsidR="00CA6A5F" w:rsidRPr="00D66A79" w:rsidRDefault="00CA6A5F" w:rsidP="007A4392">
            <w:pPr>
              <w:tabs>
                <w:tab w:val="left" w:pos="604"/>
                <w:tab w:val="right" w:pos="3628"/>
                <w:tab w:val="right" w:pos="4636"/>
                <w:tab w:val="right" w:pos="6048"/>
                <w:tab w:val="right" w:pos="7056"/>
              </w:tabs>
              <w:rPr>
                <w:rFonts w:ascii="Arial" w:hAnsi="Arial"/>
                <w:sz w:val="20"/>
              </w:rPr>
            </w:pPr>
            <w:r w:rsidRPr="00D66A79">
              <w:rPr>
                <w:rFonts w:ascii="Arial" w:hAnsi="Arial"/>
                <w:sz w:val="20"/>
              </w:rPr>
              <w:t>The Wallich</w:t>
            </w:r>
          </w:p>
        </w:tc>
        <w:tc>
          <w:tcPr>
            <w:tcW w:w="1449" w:type="dxa"/>
            <w:tcBorders>
              <w:bottom w:val="single" w:sz="4" w:space="0" w:color="auto"/>
            </w:tcBorders>
          </w:tcPr>
          <w:p w14:paraId="3FBCE9C0" w14:textId="77777777" w:rsidR="00D77331" w:rsidRPr="00D66A79" w:rsidRDefault="002F1173"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lastRenderedPageBreak/>
              <w:t>1</w:t>
            </w:r>
          </w:p>
          <w:p w14:paraId="4D6044F7" w14:textId="77777777" w:rsidR="00275669" w:rsidRDefault="003F537E"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1</w:t>
            </w:r>
          </w:p>
          <w:p w14:paraId="014285E3"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7016F3E2"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3B971B91"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2F094F6F"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1339334A"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147148D2"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590356D6"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70273292"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2ACBFB49"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6E73D6E4"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6D07CB95"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52</w:t>
            </w:r>
          </w:p>
          <w:p w14:paraId="5F19FC8D"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20</w:t>
            </w:r>
          </w:p>
          <w:p w14:paraId="02FA9CF2"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63639CB8"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7F803082"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73D1F11F"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581C22E1"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4A72EBE0"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35CFDDEC"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02816FA5" w14:textId="77777777" w:rsidR="00D53553" w:rsidRPr="00D66A79" w:rsidRDefault="00D53553" w:rsidP="007A4392">
            <w:pPr>
              <w:tabs>
                <w:tab w:val="left" w:pos="604"/>
                <w:tab w:val="right" w:pos="3628"/>
                <w:tab w:val="right" w:pos="4636"/>
                <w:tab w:val="right" w:pos="6048"/>
                <w:tab w:val="right" w:pos="7056"/>
              </w:tabs>
              <w:jc w:val="right"/>
              <w:rPr>
                <w:rFonts w:ascii="Arial" w:hAnsi="Arial" w:cs="Arial"/>
                <w:sz w:val="20"/>
              </w:rPr>
            </w:pPr>
          </w:p>
          <w:p w14:paraId="3AA4B64D" w14:textId="77777777" w:rsidR="002F1173" w:rsidRPr="00D66A79" w:rsidRDefault="002F1173" w:rsidP="007A4392">
            <w:pPr>
              <w:tabs>
                <w:tab w:val="left" w:pos="604"/>
                <w:tab w:val="right" w:pos="3628"/>
                <w:tab w:val="right" w:pos="4636"/>
                <w:tab w:val="right" w:pos="6048"/>
                <w:tab w:val="right" w:pos="7056"/>
              </w:tabs>
              <w:jc w:val="right"/>
              <w:rPr>
                <w:rFonts w:ascii="Arial" w:hAnsi="Arial" w:cs="Arial"/>
                <w:sz w:val="20"/>
              </w:rPr>
            </w:pPr>
          </w:p>
          <w:p w14:paraId="5BF28C01" w14:textId="77777777" w:rsidR="002622D7" w:rsidRPr="00D66A79" w:rsidRDefault="002622D7"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0</w:t>
            </w:r>
          </w:p>
          <w:p w14:paraId="02F1DFA7" w14:textId="77777777" w:rsidR="002622D7" w:rsidRPr="00D66A79" w:rsidRDefault="00D71F66"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1</w:t>
            </w:r>
            <w:r w:rsidR="00C928E4">
              <w:rPr>
                <w:rFonts w:ascii="Arial" w:hAnsi="Arial" w:cs="Arial"/>
                <w:sz w:val="20"/>
              </w:rPr>
              <w:t>06</w:t>
            </w:r>
          </w:p>
          <w:p w14:paraId="141DC29E" w14:textId="77777777" w:rsidR="002622D7" w:rsidRPr="00D66A79" w:rsidRDefault="002622D7"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0</w:t>
            </w:r>
          </w:p>
          <w:p w14:paraId="54BFDCAD" w14:textId="77777777" w:rsidR="002622D7" w:rsidRPr="00D66A79" w:rsidRDefault="002622D7"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0</w:t>
            </w:r>
          </w:p>
          <w:p w14:paraId="5F81A8F2" w14:textId="77777777" w:rsidR="002622D7" w:rsidRPr="00D66A79" w:rsidRDefault="002622D7"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0</w:t>
            </w:r>
          </w:p>
          <w:p w14:paraId="0C3B2C6D"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85</w:t>
            </w:r>
          </w:p>
          <w:p w14:paraId="55240346" w14:textId="77777777" w:rsidR="002622D7" w:rsidRPr="00D66A79" w:rsidRDefault="002622D7"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0</w:t>
            </w:r>
          </w:p>
          <w:p w14:paraId="619E7EAD" w14:textId="77777777" w:rsidR="002622D7" w:rsidRPr="00D66A79" w:rsidRDefault="002622D7"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0</w:t>
            </w:r>
          </w:p>
          <w:p w14:paraId="186EA26B"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281</w:t>
            </w:r>
          </w:p>
          <w:p w14:paraId="6759A81A" w14:textId="77777777" w:rsidR="002622D7" w:rsidRPr="00D66A79" w:rsidRDefault="002622D7"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0</w:t>
            </w:r>
          </w:p>
          <w:p w14:paraId="7592E75A"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93</w:t>
            </w:r>
          </w:p>
          <w:p w14:paraId="1FC255D8" w14:textId="77777777" w:rsidR="002622D7" w:rsidRPr="00D66A79" w:rsidRDefault="002622D7"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0</w:t>
            </w:r>
          </w:p>
          <w:p w14:paraId="7D63F38A" w14:textId="77777777" w:rsidR="002622D7" w:rsidRPr="00D66A79" w:rsidRDefault="003F537E"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0</w:t>
            </w:r>
          </w:p>
          <w:p w14:paraId="7E82FE8C" w14:textId="77777777" w:rsidR="002622D7" w:rsidRPr="00D66A79" w:rsidRDefault="003F537E"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1</w:t>
            </w:r>
            <w:r w:rsidR="00C928E4">
              <w:rPr>
                <w:rFonts w:ascii="Arial" w:hAnsi="Arial" w:cs="Arial"/>
                <w:sz w:val="20"/>
              </w:rPr>
              <w:t>50</w:t>
            </w:r>
          </w:p>
          <w:p w14:paraId="026C4629" w14:textId="77777777" w:rsidR="002622D7" w:rsidRPr="00D66A79" w:rsidRDefault="003F537E"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4</w:t>
            </w:r>
          </w:p>
          <w:p w14:paraId="0ECC4BC5" w14:textId="77777777" w:rsidR="002F1173" w:rsidRPr="00D66A79" w:rsidRDefault="00D71F66"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1</w:t>
            </w:r>
            <w:r w:rsidR="00C928E4">
              <w:rPr>
                <w:rFonts w:ascii="Arial" w:hAnsi="Arial" w:cs="Arial"/>
                <w:sz w:val="20"/>
              </w:rPr>
              <w:t>02</w:t>
            </w:r>
          </w:p>
          <w:p w14:paraId="4E8372E0" w14:textId="77777777" w:rsidR="00CA6A5F" w:rsidRPr="00D66A79" w:rsidRDefault="00CA6A5F"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3</w:t>
            </w:r>
          </w:p>
        </w:tc>
        <w:tc>
          <w:tcPr>
            <w:tcW w:w="1276" w:type="dxa"/>
            <w:gridSpan w:val="2"/>
            <w:tcBorders>
              <w:bottom w:val="single" w:sz="4" w:space="0" w:color="auto"/>
            </w:tcBorders>
          </w:tcPr>
          <w:p w14:paraId="23DACF99" w14:textId="77777777" w:rsidR="00D77331" w:rsidRPr="00D66A79" w:rsidRDefault="002F1173"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lastRenderedPageBreak/>
              <w:t>0</w:t>
            </w:r>
          </w:p>
          <w:p w14:paraId="1C5ADA5B" w14:textId="77777777" w:rsidR="00275669" w:rsidRDefault="003F537E"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0</w:t>
            </w:r>
          </w:p>
          <w:p w14:paraId="64778A41"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243</w:t>
            </w:r>
          </w:p>
          <w:p w14:paraId="58FFDE77"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647</w:t>
            </w:r>
          </w:p>
          <w:p w14:paraId="6B0668EC"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152</w:t>
            </w:r>
          </w:p>
          <w:p w14:paraId="6FF422F0"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8</w:t>
            </w:r>
          </w:p>
          <w:p w14:paraId="03ED3F1C"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124</w:t>
            </w:r>
          </w:p>
          <w:p w14:paraId="3F9ADAA1"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11</w:t>
            </w:r>
          </w:p>
          <w:p w14:paraId="32C23AF0"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11</w:t>
            </w:r>
          </w:p>
          <w:p w14:paraId="605BEAF8"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44</w:t>
            </w:r>
          </w:p>
          <w:p w14:paraId="41520782"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104</w:t>
            </w:r>
          </w:p>
          <w:p w14:paraId="02F6D0C9"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p>
          <w:p w14:paraId="51B4583B"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22</w:t>
            </w:r>
          </w:p>
          <w:p w14:paraId="0EA9A588"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8</w:t>
            </w:r>
          </w:p>
          <w:p w14:paraId="1D401193"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3DEEEC99"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11F78C44"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60CCC8A5"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2B3A47C5"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75E024A2"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32EA536A"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628EC706" w14:textId="77777777" w:rsidR="00D53553" w:rsidRPr="00D66A79" w:rsidRDefault="00D53553" w:rsidP="007A4392">
            <w:pPr>
              <w:tabs>
                <w:tab w:val="left" w:pos="604"/>
                <w:tab w:val="right" w:pos="3628"/>
                <w:tab w:val="right" w:pos="4636"/>
                <w:tab w:val="right" w:pos="6048"/>
                <w:tab w:val="right" w:pos="7056"/>
              </w:tabs>
              <w:jc w:val="right"/>
              <w:rPr>
                <w:rFonts w:ascii="Arial" w:hAnsi="Arial" w:cs="Arial"/>
                <w:sz w:val="20"/>
              </w:rPr>
            </w:pPr>
          </w:p>
          <w:p w14:paraId="1A760FE4" w14:textId="77777777" w:rsidR="002F1173" w:rsidRPr="00D66A79" w:rsidRDefault="002F1173" w:rsidP="007A4392">
            <w:pPr>
              <w:tabs>
                <w:tab w:val="left" w:pos="604"/>
                <w:tab w:val="right" w:pos="3628"/>
                <w:tab w:val="right" w:pos="4636"/>
                <w:tab w:val="right" w:pos="6048"/>
                <w:tab w:val="right" w:pos="7056"/>
              </w:tabs>
              <w:jc w:val="right"/>
              <w:rPr>
                <w:rFonts w:ascii="Arial" w:hAnsi="Arial" w:cs="Arial"/>
                <w:sz w:val="20"/>
              </w:rPr>
            </w:pPr>
          </w:p>
          <w:p w14:paraId="3E4C6815" w14:textId="77777777" w:rsidR="002622D7" w:rsidRPr="00D66A79" w:rsidRDefault="00D71F66"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7</w:t>
            </w:r>
          </w:p>
          <w:p w14:paraId="1441C7B2"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48</w:t>
            </w:r>
          </w:p>
          <w:p w14:paraId="3A96B7E1" w14:textId="77777777" w:rsidR="002622D7" w:rsidRPr="00D66A79" w:rsidRDefault="00D71F66"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3</w:t>
            </w:r>
          </w:p>
          <w:p w14:paraId="4318FFC4" w14:textId="77777777" w:rsidR="002622D7" w:rsidRPr="00D66A79" w:rsidRDefault="002622D7"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1</w:t>
            </w:r>
          </w:p>
          <w:p w14:paraId="3118D18E" w14:textId="77777777" w:rsidR="002622D7" w:rsidRPr="00D66A79" w:rsidRDefault="002622D7"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8</w:t>
            </w:r>
          </w:p>
          <w:p w14:paraId="202BF5C7"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8</w:t>
            </w:r>
          </w:p>
          <w:p w14:paraId="518087D1" w14:textId="77777777" w:rsidR="002622D7" w:rsidRPr="00D66A79" w:rsidRDefault="002622D7"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1</w:t>
            </w:r>
          </w:p>
          <w:p w14:paraId="4AE7436D"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w:t>
            </w:r>
          </w:p>
          <w:p w14:paraId="25129905"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138</w:t>
            </w:r>
          </w:p>
          <w:p w14:paraId="55852849"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w:t>
            </w:r>
          </w:p>
          <w:p w14:paraId="70675FB1" w14:textId="77777777" w:rsidR="002622D7" w:rsidRPr="00D66A79" w:rsidRDefault="003F537E"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1</w:t>
            </w:r>
            <w:r w:rsidR="00C928E4">
              <w:rPr>
                <w:rFonts w:ascii="Arial" w:hAnsi="Arial" w:cs="Arial"/>
                <w:sz w:val="20"/>
              </w:rPr>
              <w:t>14</w:t>
            </w:r>
          </w:p>
          <w:p w14:paraId="48CF0E13"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4A5BC3A5"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w:t>
            </w:r>
          </w:p>
          <w:p w14:paraId="3D6D7B7D"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3</w:t>
            </w:r>
          </w:p>
          <w:p w14:paraId="2C274F7D" w14:textId="77777777" w:rsidR="002F1173" w:rsidRPr="00D66A79" w:rsidRDefault="00D71F66"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1</w:t>
            </w:r>
          </w:p>
          <w:p w14:paraId="7B214985" w14:textId="77777777" w:rsidR="00CA6A5F"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178</w:t>
            </w:r>
          </w:p>
          <w:p w14:paraId="470E6EB9" w14:textId="77777777" w:rsidR="00C928E4"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w:t>
            </w:r>
          </w:p>
        </w:tc>
        <w:tc>
          <w:tcPr>
            <w:tcW w:w="1791" w:type="dxa"/>
            <w:gridSpan w:val="2"/>
            <w:tcBorders>
              <w:bottom w:val="single" w:sz="4" w:space="0" w:color="auto"/>
            </w:tcBorders>
          </w:tcPr>
          <w:p w14:paraId="0FBA8F58" w14:textId="77777777" w:rsidR="00D77331" w:rsidRPr="00D66A79" w:rsidRDefault="002F1173"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lastRenderedPageBreak/>
              <w:t>0</w:t>
            </w:r>
          </w:p>
          <w:p w14:paraId="0319D82C" w14:textId="77777777" w:rsidR="00275669" w:rsidRDefault="003F537E"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0</w:t>
            </w:r>
          </w:p>
          <w:p w14:paraId="1186C21D"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23</w:t>
            </w:r>
          </w:p>
          <w:p w14:paraId="79D199DE"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110</w:t>
            </w:r>
          </w:p>
          <w:p w14:paraId="7908C77D"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21</w:t>
            </w:r>
          </w:p>
          <w:p w14:paraId="60DA11B3"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w:t>
            </w:r>
          </w:p>
          <w:p w14:paraId="28E5F3A5"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203</w:t>
            </w:r>
          </w:p>
          <w:p w14:paraId="18C0BED6"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3565CC91"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4</w:t>
            </w:r>
          </w:p>
          <w:p w14:paraId="1D65B2B1"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39</w:t>
            </w:r>
          </w:p>
          <w:p w14:paraId="6184E5DF"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140</w:t>
            </w:r>
          </w:p>
          <w:p w14:paraId="42739758"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0</w:t>
            </w:r>
          </w:p>
          <w:p w14:paraId="6781E40E"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14</w:t>
            </w:r>
          </w:p>
          <w:p w14:paraId="7D16EC29"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5</w:t>
            </w:r>
          </w:p>
          <w:p w14:paraId="736EE37E"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001A49B2"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0B89DAF4"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42A17957"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47B8D763"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192BC4E3"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3F2CFCBA"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3BE83141" w14:textId="77777777" w:rsidR="00D53553" w:rsidRPr="00D66A79" w:rsidRDefault="00D53553" w:rsidP="007A4392">
            <w:pPr>
              <w:tabs>
                <w:tab w:val="left" w:pos="604"/>
                <w:tab w:val="right" w:pos="3628"/>
                <w:tab w:val="right" w:pos="4636"/>
                <w:tab w:val="right" w:pos="6048"/>
                <w:tab w:val="right" w:pos="7056"/>
              </w:tabs>
              <w:jc w:val="right"/>
              <w:rPr>
                <w:rFonts w:ascii="Arial" w:hAnsi="Arial" w:cs="Arial"/>
                <w:sz w:val="20"/>
              </w:rPr>
            </w:pPr>
          </w:p>
          <w:p w14:paraId="55B6619B" w14:textId="77777777" w:rsidR="002F1173" w:rsidRPr="00D66A79" w:rsidRDefault="002F1173" w:rsidP="007A4392">
            <w:pPr>
              <w:tabs>
                <w:tab w:val="left" w:pos="604"/>
                <w:tab w:val="right" w:pos="3628"/>
                <w:tab w:val="right" w:pos="4636"/>
                <w:tab w:val="right" w:pos="6048"/>
                <w:tab w:val="right" w:pos="7056"/>
              </w:tabs>
              <w:jc w:val="right"/>
              <w:rPr>
                <w:rFonts w:ascii="Arial" w:hAnsi="Arial" w:cs="Arial"/>
                <w:sz w:val="20"/>
              </w:rPr>
            </w:pPr>
          </w:p>
          <w:p w14:paraId="50CB4CBA" w14:textId="77777777" w:rsidR="002622D7" w:rsidRPr="00D66A79" w:rsidRDefault="004E24A3"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8</w:t>
            </w:r>
          </w:p>
          <w:p w14:paraId="224B581C" w14:textId="77777777" w:rsidR="002622D7" w:rsidRPr="00D66A79" w:rsidRDefault="00D71F66"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2</w:t>
            </w:r>
            <w:r w:rsidR="00C928E4">
              <w:rPr>
                <w:rFonts w:ascii="Arial" w:hAnsi="Arial" w:cs="Arial"/>
                <w:sz w:val="20"/>
              </w:rPr>
              <w:t>09</w:t>
            </w:r>
          </w:p>
          <w:p w14:paraId="3F7FEA29" w14:textId="77777777" w:rsidR="002622D7" w:rsidRPr="00D66A79" w:rsidRDefault="00D71F66"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1</w:t>
            </w:r>
          </w:p>
          <w:p w14:paraId="29470561" w14:textId="77777777" w:rsidR="002622D7" w:rsidRPr="00D66A79" w:rsidRDefault="002622D7"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4</w:t>
            </w:r>
          </w:p>
          <w:p w14:paraId="24A635F4" w14:textId="77777777" w:rsidR="002622D7" w:rsidRPr="00D66A79" w:rsidRDefault="00D71F66"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5</w:t>
            </w:r>
          </w:p>
          <w:p w14:paraId="177091B5"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82</w:t>
            </w:r>
          </w:p>
          <w:p w14:paraId="54928BD8" w14:textId="77777777" w:rsidR="002622D7" w:rsidRPr="00D66A79" w:rsidRDefault="002622D7"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0</w:t>
            </w:r>
          </w:p>
          <w:p w14:paraId="150BB510"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3</w:t>
            </w:r>
          </w:p>
          <w:p w14:paraId="7D2DE73F" w14:textId="77777777" w:rsidR="002622D7" w:rsidRPr="00D66A79" w:rsidRDefault="003F537E"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13</w:t>
            </w:r>
            <w:r w:rsidR="00C928E4">
              <w:rPr>
                <w:rFonts w:ascii="Arial" w:hAnsi="Arial" w:cs="Arial"/>
                <w:sz w:val="20"/>
              </w:rPr>
              <w:t>1</w:t>
            </w:r>
          </w:p>
          <w:p w14:paraId="650D642E"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w:t>
            </w:r>
          </w:p>
          <w:p w14:paraId="4DC92222"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97</w:t>
            </w:r>
          </w:p>
          <w:p w14:paraId="382F61FF" w14:textId="77777777" w:rsidR="002622D7" w:rsidRPr="00D66A79" w:rsidRDefault="003F537E"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2</w:t>
            </w:r>
          </w:p>
          <w:p w14:paraId="0CCF3FD8" w14:textId="77777777" w:rsidR="002622D7" w:rsidRPr="00D66A79" w:rsidRDefault="003F537E"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2</w:t>
            </w:r>
          </w:p>
          <w:p w14:paraId="05D0EA89"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22</w:t>
            </w:r>
          </w:p>
          <w:p w14:paraId="3AC22B90" w14:textId="77777777" w:rsidR="002622D7" w:rsidRPr="00D66A79" w:rsidRDefault="00C928E4"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4</w:t>
            </w:r>
          </w:p>
          <w:p w14:paraId="460E0A14" w14:textId="77777777" w:rsidR="002622D7" w:rsidRPr="00D66A79" w:rsidRDefault="00D71F66"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2</w:t>
            </w:r>
            <w:r w:rsidR="00C928E4">
              <w:rPr>
                <w:rFonts w:ascii="Arial" w:hAnsi="Arial" w:cs="Arial"/>
                <w:sz w:val="20"/>
              </w:rPr>
              <w:t>29</w:t>
            </w:r>
          </w:p>
          <w:p w14:paraId="23A58825" w14:textId="77777777" w:rsidR="00CA6A5F" w:rsidRPr="00D66A79" w:rsidRDefault="00CA6A5F"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0</w:t>
            </w:r>
          </w:p>
        </w:tc>
        <w:tc>
          <w:tcPr>
            <w:tcW w:w="2289" w:type="dxa"/>
          </w:tcPr>
          <w:p w14:paraId="2064B5FB" w14:textId="77777777" w:rsidR="00D77331"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lastRenderedPageBreak/>
              <w:t>24.1</w:t>
            </w:r>
            <w:r w:rsidR="002F1173" w:rsidRPr="00D66A79">
              <w:rPr>
                <w:rFonts w:ascii="Arial" w:hAnsi="Arial" w:cs="Arial"/>
                <w:sz w:val="20"/>
              </w:rPr>
              <w:t>%</w:t>
            </w:r>
          </w:p>
          <w:p w14:paraId="52A61D0C" w14:textId="77777777" w:rsidR="00275669"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24.1%</w:t>
            </w:r>
          </w:p>
          <w:p w14:paraId="49B53E69" w14:textId="77777777" w:rsidR="002F1173" w:rsidRPr="00D66A79"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49280EF2"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20D23AB9"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3C2398C2"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3CA8243E"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1983293B"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57D17394"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194BE8FB"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1035B476"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7758CD15"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24C0A401"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0D607A21"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493A0D91"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53275BC0"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27F7BA0E"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65A974BD"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30F065B5"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117A8B93"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2549506F"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089F777D"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68B79C9F" w14:textId="77777777" w:rsidR="00037312" w:rsidRDefault="00037312" w:rsidP="007A4392">
            <w:pPr>
              <w:tabs>
                <w:tab w:val="left" w:pos="604"/>
                <w:tab w:val="right" w:pos="3628"/>
                <w:tab w:val="right" w:pos="4636"/>
                <w:tab w:val="right" w:pos="6048"/>
                <w:tab w:val="right" w:pos="7056"/>
              </w:tabs>
              <w:jc w:val="right"/>
              <w:rPr>
                <w:rFonts w:ascii="Arial" w:hAnsi="Arial" w:cs="Arial"/>
                <w:sz w:val="20"/>
              </w:rPr>
            </w:pPr>
          </w:p>
          <w:p w14:paraId="67007206" w14:textId="77777777" w:rsidR="00D53553" w:rsidRDefault="00037312"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17235076" w14:textId="77777777" w:rsidR="00D77331"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12.9</w:t>
            </w:r>
            <w:r w:rsidR="00D77331" w:rsidRPr="00D66A79">
              <w:rPr>
                <w:rFonts w:ascii="Arial" w:hAnsi="Arial" w:cs="Arial"/>
                <w:sz w:val="20"/>
              </w:rPr>
              <w:t>%</w:t>
            </w:r>
          </w:p>
          <w:p w14:paraId="40D27125" w14:textId="77777777" w:rsidR="00D77331" w:rsidRPr="00D66A79" w:rsidRDefault="00D77331"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w:t>
            </w:r>
          </w:p>
          <w:p w14:paraId="644B6DB5" w14:textId="77777777" w:rsidR="00D77331"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w:t>
            </w:r>
          </w:p>
          <w:p w14:paraId="3CBCADB8" w14:textId="77777777" w:rsidR="00D77331" w:rsidRPr="00D66A79" w:rsidRDefault="00D77331"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w:t>
            </w:r>
          </w:p>
          <w:p w14:paraId="2D613413" w14:textId="77777777" w:rsidR="00D77331"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14.2%</w:t>
            </w:r>
          </w:p>
          <w:p w14:paraId="05179AA4" w14:textId="77777777" w:rsidR="00D77331"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 xml:space="preserve">   -</w:t>
            </w:r>
          </w:p>
          <w:p w14:paraId="759441F8" w14:textId="77777777" w:rsidR="00D77331" w:rsidRPr="00D66A79" w:rsidRDefault="00D77331"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w:t>
            </w:r>
          </w:p>
          <w:p w14:paraId="53B3B05E" w14:textId="77777777" w:rsidR="00D77331"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2</w:t>
            </w:r>
            <w:r w:rsidR="000C3C46">
              <w:rPr>
                <w:rFonts w:ascii="Arial" w:hAnsi="Arial" w:cs="Arial"/>
                <w:sz w:val="20"/>
              </w:rPr>
              <w:t>2</w:t>
            </w:r>
            <w:r w:rsidRPr="00D66A79">
              <w:rPr>
                <w:rFonts w:ascii="Arial" w:hAnsi="Arial" w:cs="Arial"/>
                <w:sz w:val="20"/>
              </w:rPr>
              <w:t>.3% (+£17,000)</w:t>
            </w:r>
          </w:p>
          <w:p w14:paraId="2F81E7EE" w14:textId="77777777" w:rsidR="00D77331" w:rsidRPr="00D66A79" w:rsidRDefault="00D77331"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w:t>
            </w:r>
          </w:p>
          <w:p w14:paraId="25AB70E0" w14:textId="77777777" w:rsidR="00D77331"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10.7</w:t>
            </w:r>
            <w:r w:rsidR="00D77331" w:rsidRPr="00D66A79">
              <w:rPr>
                <w:rFonts w:ascii="Arial" w:hAnsi="Arial" w:cs="Arial"/>
                <w:sz w:val="20"/>
              </w:rPr>
              <w:t>%</w:t>
            </w:r>
          </w:p>
          <w:p w14:paraId="3D160BEE" w14:textId="77777777" w:rsidR="00D77331"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 xml:space="preserve">  - </w:t>
            </w:r>
          </w:p>
          <w:p w14:paraId="11D4790A" w14:textId="77777777" w:rsidR="00D77331"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w:t>
            </w:r>
          </w:p>
          <w:p w14:paraId="1F34245D" w14:textId="77777777" w:rsidR="00275669" w:rsidRPr="00D66A79" w:rsidRDefault="00275669" w:rsidP="008E7A43">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24.7%</w:t>
            </w:r>
          </w:p>
          <w:p w14:paraId="2E63D250" w14:textId="77777777" w:rsidR="00D77331" w:rsidRPr="00D66A79" w:rsidRDefault="00275669" w:rsidP="008E7A43">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24.7</w:t>
            </w:r>
            <w:r w:rsidR="00D77331" w:rsidRPr="00D66A79">
              <w:rPr>
                <w:rFonts w:ascii="Arial" w:hAnsi="Arial" w:cs="Arial"/>
                <w:sz w:val="20"/>
              </w:rPr>
              <w:t>%</w:t>
            </w:r>
          </w:p>
          <w:p w14:paraId="46880853" w14:textId="77777777" w:rsidR="002F1173" w:rsidRPr="00D66A79" w:rsidRDefault="00211ABA" w:rsidP="008E7A43">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37.1</w:t>
            </w:r>
            <w:r w:rsidR="00275669" w:rsidRPr="00D66A79">
              <w:rPr>
                <w:rFonts w:ascii="Arial" w:hAnsi="Arial" w:cs="Arial"/>
                <w:sz w:val="20"/>
              </w:rPr>
              <w:t>% (+£5</w:t>
            </w:r>
            <w:r>
              <w:rPr>
                <w:rFonts w:ascii="Arial" w:hAnsi="Arial" w:cs="Arial"/>
                <w:sz w:val="20"/>
              </w:rPr>
              <w:t>44</w:t>
            </w:r>
            <w:r w:rsidR="00275669" w:rsidRPr="00D66A79">
              <w:rPr>
                <w:rFonts w:ascii="Arial" w:hAnsi="Arial" w:cs="Arial"/>
                <w:sz w:val="20"/>
              </w:rPr>
              <w:t>,</w:t>
            </w:r>
            <w:r>
              <w:rPr>
                <w:rFonts w:ascii="Arial" w:hAnsi="Arial" w:cs="Arial"/>
                <w:sz w:val="20"/>
              </w:rPr>
              <w:t>6</w:t>
            </w:r>
            <w:r w:rsidR="00275669" w:rsidRPr="00D66A79">
              <w:rPr>
                <w:rFonts w:ascii="Arial" w:hAnsi="Arial" w:cs="Arial"/>
                <w:sz w:val="20"/>
              </w:rPr>
              <w:t>00)</w:t>
            </w:r>
          </w:p>
          <w:p w14:paraId="6BB43A02" w14:textId="77777777" w:rsidR="00CA6A5F" w:rsidRPr="00D66A79" w:rsidRDefault="00CA6A5F" w:rsidP="008E7A43">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26.8%</w:t>
            </w:r>
          </w:p>
        </w:tc>
      </w:tr>
      <w:tr w:rsidR="00D77331" w:rsidRPr="008E7A43" w14:paraId="26BA0A4B" w14:textId="77777777" w:rsidTr="00AE27DF">
        <w:trPr>
          <w:jc w:val="center"/>
        </w:trPr>
        <w:tc>
          <w:tcPr>
            <w:tcW w:w="4313" w:type="dxa"/>
          </w:tcPr>
          <w:p w14:paraId="492895AE"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p>
        </w:tc>
        <w:tc>
          <w:tcPr>
            <w:tcW w:w="1449" w:type="dxa"/>
            <w:tcBorders>
              <w:top w:val="single" w:sz="4" w:space="0" w:color="auto"/>
            </w:tcBorders>
          </w:tcPr>
          <w:p w14:paraId="35030B34" w14:textId="77777777" w:rsidR="00D77331" w:rsidRPr="00D66A79" w:rsidRDefault="00037312" w:rsidP="00CA6A5F">
            <w:pPr>
              <w:tabs>
                <w:tab w:val="left" w:pos="604"/>
                <w:tab w:val="right" w:pos="3628"/>
                <w:tab w:val="right" w:pos="4636"/>
                <w:tab w:val="right" w:pos="6048"/>
                <w:tab w:val="right" w:pos="7056"/>
              </w:tabs>
              <w:jc w:val="right"/>
              <w:rPr>
                <w:rFonts w:ascii="Arial" w:hAnsi="Arial" w:cs="Arial"/>
                <w:b/>
                <w:sz w:val="20"/>
              </w:rPr>
            </w:pPr>
            <w:r>
              <w:rPr>
                <w:rFonts w:ascii="Arial" w:hAnsi="Arial" w:cs="Arial"/>
                <w:b/>
                <w:sz w:val="20"/>
              </w:rPr>
              <w:t>21,424</w:t>
            </w:r>
          </w:p>
        </w:tc>
        <w:tc>
          <w:tcPr>
            <w:tcW w:w="1276" w:type="dxa"/>
            <w:gridSpan w:val="2"/>
            <w:tcBorders>
              <w:top w:val="single" w:sz="4" w:space="0" w:color="auto"/>
            </w:tcBorders>
          </w:tcPr>
          <w:p w14:paraId="50D19F4F" w14:textId="77777777" w:rsidR="00D77331" w:rsidRPr="00D66A79" w:rsidRDefault="00AE27DF" w:rsidP="00CA6A5F">
            <w:pPr>
              <w:tabs>
                <w:tab w:val="left" w:pos="604"/>
                <w:tab w:val="right" w:pos="3628"/>
                <w:tab w:val="right" w:pos="4636"/>
                <w:tab w:val="right" w:pos="6048"/>
                <w:tab w:val="right" w:pos="7056"/>
              </w:tabs>
              <w:jc w:val="right"/>
              <w:rPr>
                <w:rFonts w:ascii="Arial" w:hAnsi="Arial" w:cs="Arial"/>
                <w:b/>
                <w:sz w:val="20"/>
              </w:rPr>
            </w:pPr>
            <w:r>
              <w:rPr>
                <w:rFonts w:ascii="Arial" w:hAnsi="Arial" w:cs="Arial"/>
                <w:b/>
                <w:sz w:val="20"/>
              </w:rPr>
              <w:t>1</w:t>
            </w:r>
            <w:r w:rsidR="00037312">
              <w:rPr>
                <w:rFonts w:ascii="Arial" w:hAnsi="Arial" w:cs="Arial"/>
                <w:b/>
                <w:sz w:val="20"/>
              </w:rPr>
              <w:t>4,294</w:t>
            </w:r>
          </w:p>
        </w:tc>
        <w:tc>
          <w:tcPr>
            <w:tcW w:w="1791" w:type="dxa"/>
            <w:gridSpan w:val="2"/>
            <w:tcBorders>
              <w:top w:val="single" w:sz="4" w:space="0" w:color="auto"/>
            </w:tcBorders>
          </w:tcPr>
          <w:p w14:paraId="14D9763D" w14:textId="77777777" w:rsidR="00D77331" w:rsidRPr="00D66A79" w:rsidRDefault="00037312" w:rsidP="004E24A3">
            <w:pPr>
              <w:tabs>
                <w:tab w:val="left" w:pos="604"/>
                <w:tab w:val="right" w:pos="3628"/>
                <w:tab w:val="right" w:pos="4636"/>
                <w:tab w:val="right" w:pos="6048"/>
                <w:tab w:val="right" w:pos="7056"/>
              </w:tabs>
              <w:jc w:val="right"/>
              <w:rPr>
                <w:rFonts w:ascii="Arial" w:hAnsi="Arial" w:cs="Arial"/>
                <w:b/>
                <w:sz w:val="20"/>
              </w:rPr>
            </w:pPr>
            <w:r>
              <w:rPr>
                <w:rFonts w:ascii="Arial" w:hAnsi="Arial" w:cs="Arial"/>
                <w:b/>
                <w:sz w:val="20"/>
              </w:rPr>
              <w:t>12,263</w:t>
            </w:r>
          </w:p>
        </w:tc>
        <w:tc>
          <w:tcPr>
            <w:tcW w:w="2289" w:type="dxa"/>
          </w:tcPr>
          <w:p w14:paraId="7599C225" w14:textId="77777777" w:rsidR="00D77331" w:rsidRPr="00D66A79" w:rsidRDefault="00D77331" w:rsidP="007A4392">
            <w:pPr>
              <w:tabs>
                <w:tab w:val="left" w:pos="604"/>
                <w:tab w:val="right" w:pos="3628"/>
                <w:tab w:val="right" w:pos="4636"/>
                <w:tab w:val="right" w:pos="6048"/>
                <w:tab w:val="right" w:pos="7056"/>
              </w:tabs>
              <w:jc w:val="right"/>
              <w:rPr>
                <w:rFonts w:ascii="Arial" w:hAnsi="Arial" w:cs="Arial"/>
                <w:sz w:val="20"/>
              </w:rPr>
            </w:pPr>
          </w:p>
        </w:tc>
      </w:tr>
      <w:tr w:rsidR="00346B28" w:rsidRPr="008E7A43" w14:paraId="09F9164A" w14:textId="77777777" w:rsidTr="00D77331">
        <w:trPr>
          <w:gridAfter w:val="4"/>
          <w:wAfter w:w="4516" w:type="dxa"/>
          <w:jc w:val="center"/>
        </w:trPr>
        <w:tc>
          <w:tcPr>
            <w:tcW w:w="4313" w:type="dxa"/>
          </w:tcPr>
          <w:p w14:paraId="4A2994AB" w14:textId="77777777" w:rsidR="00346B28" w:rsidRPr="008E7A43" w:rsidRDefault="00346B28" w:rsidP="007A4392">
            <w:pPr>
              <w:tabs>
                <w:tab w:val="left" w:pos="604"/>
                <w:tab w:val="right" w:pos="3628"/>
                <w:tab w:val="right" w:pos="4636"/>
                <w:tab w:val="right" w:pos="6048"/>
                <w:tab w:val="right" w:pos="7056"/>
              </w:tabs>
              <w:rPr>
                <w:rFonts w:ascii="Arial" w:hAnsi="Arial"/>
                <w:sz w:val="20"/>
              </w:rPr>
            </w:pPr>
          </w:p>
        </w:tc>
        <w:tc>
          <w:tcPr>
            <w:tcW w:w="2289" w:type="dxa"/>
            <w:gridSpan w:val="2"/>
          </w:tcPr>
          <w:p w14:paraId="38395184" w14:textId="77777777" w:rsidR="00346B28" w:rsidRPr="008E7A43" w:rsidRDefault="00346B28" w:rsidP="007A4392">
            <w:pPr>
              <w:tabs>
                <w:tab w:val="left" w:pos="604"/>
                <w:tab w:val="right" w:pos="3628"/>
                <w:tab w:val="right" w:pos="4636"/>
                <w:tab w:val="right" w:pos="6048"/>
                <w:tab w:val="right" w:pos="7056"/>
              </w:tabs>
              <w:jc w:val="right"/>
              <w:rPr>
                <w:rFonts w:ascii="Arial" w:hAnsi="Arial" w:cs="Arial"/>
                <w:sz w:val="20"/>
              </w:rPr>
            </w:pPr>
          </w:p>
        </w:tc>
      </w:tr>
    </w:tbl>
    <w:p w14:paraId="33D8C67D" w14:textId="77777777" w:rsidR="00523A22" w:rsidRDefault="00523A22" w:rsidP="009247DD">
      <w:pPr>
        <w:ind w:left="3600" w:hanging="3600"/>
        <w:jc w:val="right"/>
        <w:outlineLvl w:val="0"/>
        <w:rPr>
          <w:rFonts w:ascii="Arial" w:hAnsi="Arial"/>
          <w:b/>
        </w:rPr>
      </w:pPr>
    </w:p>
    <w:p w14:paraId="1E436654" w14:textId="77777777" w:rsidR="00523A22" w:rsidRDefault="00523A22" w:rsidP="009247DD">
      <w:pPr>
        <w:ind w:left="3600" w:hanging="3600"/>
        <w:jc w:val="right"/>
        <w:outlineLvl w:val="0"/>
        <w:rPr>
          <w:rFonts w:ascii="Arial" w:hAnsi="Arial"/>
          <w:b/>
        </w:rPr>
      </w:pPr>
    </w:p>
    <w:p w14:paraId="1AB971D8" w14:textId="77777777" w:rsidR="00523A22" w:rsidRDefault="00523A22" w:rsidP="009247DD">
      <w:pPr>
        <w:ind w:left="3600" w:hanging="3600"/>
        <w:jc w:val="right"/>
        <w:outlineLvl w:val="0"/>
        <w:rPr>
          <w:rFonts w:ascii="Arial" w:hAnsi="Arial"/>
          <w:b/>
        </w:rPr>
      </w:pPr>
    </w:p>
    <w:p w14:paraId="57513054" w14:textId="77777777" w:rsidR="00523A22" w:rsidRDefault="00523A22" w:rsidP="009247DD">
      <w:pPr>
        <w:ind w:left="3600" w:hanging="3600"/>
        <w:jc w:val="right"/>
        <w:outlineLvl w:val="0"/>
        <w:rPr>
          <w:rFonts w:ascii="Arial" w:hAnsi="Arial"/>
          <w:b/>
        </w:rPr>
      </w:pPr>
    </w:p>
    <w:p w14:paraId="60B7DD95" w14:textId="77777777" w:rsidR="00523A22" w:rsidRDefault="00523A22" w:rsidP="009247DD">
      <w:pPr>
        <w:ind w:left="3600" w:hanging="3600"/>
        <w:jc w:val="right"/>
        <w:outlineLvl w:val="0"/>
        <w:rPr>
          <w:rFonts w:ascii="Arial" w:hAnsi="Arial"/>
          <w:b/>
        </w:rPr>
      </w:pPr>
    </w:p>
    <w:p w14:paraId="08BC7985" w14:textId="77777777" w:rsidR="00523A22" w:rsidRDefault="00523A22" w:rsidP="009247DD">
      <w:pPr>
        <w:ind w:left="3600" w:hanging="3600"/>
        <w:jc w:val="right"/>
        <w:outlineLvl w:val="0"/>
        <w:rPr>
          <w:rFonts w:ascii="Arial" w:hAnsi="Arial"/>
          <w:b/>
        </w:rPr>
      </w:pPr>
    </w:p>
    <w:p w14:paraId="418E955E" w14:textId="77777777" w:rsidR="00523A22" w:rsidRDefault="00523A22" w:rsidP="009247DD">
      <w:pPr>
        <w:ind w:left="3600" w:hanging="3600"/>
        <w:jc w:val="right"/>
        <w:outlineLvl w:val="0"/>
        <w:rPr>
          <w:rFonts w:ascii="Arial" w:hAnsi="Arial"/>
          <w:b/>
        </w:rPr>
      </w:pPr>
    </w:p>
    <w:p w14:paraId="16051DE1" w14:textId="77777777" w:rsidR="00523A22" w:rsidRDefault="00523A22" w:rsidP="009247DD">
      <w:pPr>
        <w:ind w:left="3600" w:hanging="3600"/>
        <w:jc w:val="right"/>
        <w:outlineLvl w:val="0"/>
        <w:rPr>
          <w:rFonts w:ascii="Arial" w:hAnsi="Arial"/>
          <w:b/>
        </w:rPr>
      </w:pPr>
    </w:p>
    <w:p w14:paraId="5D57F556" w14:textId="77777777" w:rsidR="00523A22" w:rsidRDefault="00523A22" w:rsidP="009247DD">
      <w:pPr>
        <w:ind w:left="3600" w:hanging="3600"/>
        <w:jc w:val="right"/>
        <w:outlineLvl w:val="0"/>
        <w:rPr>
          <w:rFonts w:ascii="Arial" w:hAnsi="Arial"/>
          <w:b/>
        </w:rPr>
      </w:pPr>
    </w:p>
    <w:p w14:paraId="126BD1B7" w14:textId="77777777" w:rsidR="00523A22" w:rsidRDefault="00523A22" w:rsidP="009247DD">
      <w:pPr>
        <w:ind w:left="3600" w:hanging="3600"/>
        <w:jc w:val="right"/>
        <w:outlineLvl w:val="0"/>
        <w:rPr>
          <w:rFonts w:ascii="Arial" w:hAnsi="Arial"/>
          <w:b/>
        </w:rPr>
      </w:pPr>
    </w:p>
    <w:p w14:paraId="4D591B6B" w14:textId="77777777" w:rsidR="00523A22" w:rsidRDefault="00523A22" w:rsidP="009247DD">
      <w:pPr>
        <w:ind w:left="3600" w:hanging="3600"/>
        <w:jc w:val="right"/>
        <w:outlineLvl w:val="0"/>
        <w:rPr>
          <w:rFonts w:ascii="Arial" w:hAnsi="Arial"/>
          <w:b/>
        </w:rPr>
      </w:pPr>
    </w:p>
    <w:p w14:paraId="6E7DABB7" w14:textId="77777777" w:rsidR="00523A22" w:rsidRDefault="00523A22" w:rsidP="009247DD">
      <w:pPr>
        <w:ind w:left="3600" w:hanging="3600"/>
        <w:jc w:val="right"/>
        <w:outlineLvl w:val="0"/>
        <w:rPr>
          <w:rFonts w:ascii="Arial" w:hAnsi="Arial"/>
          <w:b/>
        </w:rPr>
      </w:pPr>
    </w:p>
    <w:p w14:paraId="66316F22" w14:textId="77777777" w:rsidR="00523A22" w:rsidRDefault="00523A22" w:rsidP="009247DD">
      <w:pPr>
        <w:ind w:left="3600" w:hanging="3600"/>
        <w:jc w:val="right"/>
        <w:outlineLvl w:val="0"/>
        <w:rPr>
          <w:rFonts w:ascii="Arial" w:hAnsi="Arial"/>
          <w:b/>
        </w:rPr>
      </w:pPr>
    </w:p>
    <w:p w14:paraId="11815BAC" w14:textId="77777777" w:rsidR="00523A22" w:rsidRDefault="00523A22" w:rsidP="009247DD">
      <w:pPr>
        <w:ind w:left="3600" w:hanging="3600"/>
        <w:jc w:val="right"/>
        <w:outlineLvl w:val="0"/>
        <w:rPr>
          <w:rFonts w:ascii="Arial" w:hAnsi="Arial"/>
          <w:b/>
        </w:rPr>
      </w:pPr>
    </w:p>
    <w:p w14:paraId="2AA693AD" w14:textId="77777777" w:rsidR="00523A22" w:rsidRDefault="00523A22" w:rsidP="009247DD">
      <w:pPr>
        <w:ind w:left="3600" w:hanging="3600"/>
        <w:jc w:val="right"/>
        <w:outlineLvl w:val="0"/>
        <w:rPr>
          <w:rFonts w:ascii="Arial" w:hAnsi="Arial"/>
          <w:b/>
        </w:rPr>
      </w:pPr>
    </w:p>
    <w:p w14:paraId="537C248B" w14:textId="77777777" w:rsidR="00523A22" w:rsidRDefault="00523A22" w:rsidP="009247DD">
      <w:pPr>
        <w:ind w:left="3600" w:hanging="3600"/>
        <w:jc w:val="right"/>
        <w:outlineLvl w:val="0"/>
        <w:rPr>
          <w:rFonts w:ascii="Arial" w:hAnsi="Arial"/>
          <w:b/>
        </w:rPr>
      </w:pPr>
    </w:p>
    <w:p w14:paraId="5C92DA63" w14:textId="77777777" w:rsidR="00523A22" w:rsidRDefault="00523A22" w:rsidP="009247DD">
      <w:pPr>
        <w:ind w:left="3600" w:hanging="3600"/>
        <w:jc w:val="right"/>
        <w:outlineLvl w:val="0"/>
        <w:rPr>
          <w:rFonts w:ascii="Arial" w:hAnsi="Arial"/>
          <w:b/>
        </w:rPr>
      </w:pPr>
    </w:p>
    <w:p w14:paraId="08D0E567" w14:textId="77777777" w:rsidR="00523A22" w:rsidRDefault="00523A22" w:rsidP="009247DD">
      <w:pPr>
        <w:ind w:left="3600" w:hanging="3600"/>
        <w:jc w:val="right"/>
        <w:outlineLvl w:val="0"/>
        <w:rPr>
          <w:rFonts w:ascii="Arial" w:hAnsi="Arial"/>
          <w:b/>
        </w:rPr>
      </w:pPr>
    </w:p>
    <w:p w14:paraId="50FD674D" w14:textId="77777777" w:rsidR="00523A22" w:rsidRDefault="00523A22" w:rsidP="009247DD">
      <w:pPr>
        <w:ind w:left="3600" w:hanging="3600"/>
        <w:jc w:val="right"/>
        <w:outlineLvl w:val="0"/>
        <w:rPr>
          <w:rFonts w:ascii="Arial" w:hAnsi="Arial"/>
          <w:b/>
        </w:rPr>
      </w:pPr>
    </w:p>
    <w:p w14:paraId="2470C85F" w14:textId="77777777" w:rsidR="00523A22" w:rsidRDefault="00523A22" w:rsidP="009247DD">
      <w:pPr>
        <w:ind w:left="3600" w:hanging="3600"/>
        <w:jc w:val="right"/>
        <w:outlineLvl w:val="0"/>
        <w:rPr>
          <w:rFonts w:ascii="Arial" w:hAnsi="Arial"/>
          <w:b/>
        </w:rPr>
      </w:pPr>
    </w:p>
    <w:p w14:paraId="15C39E5C" w14:textId="77777777" w:rsidR="00523A22" w:rsidRDefault="00523A22" w:rsidP="009247DD">
      <w:pPr>
        <w:ind w:left="3600" w:hanging="3600"/>
        <w:jc w:val="right"/>
        <w:outlineLvl w:val="0"/>
        <w:rPr>
          <w:rFonts w:ascii="Arial" w:hAnsi="Arial"/>
          <w:b/>
        </w:rPr>
      </w:pPr>
    </w:p>
    <w:p w14:paraId="0C9EEB98" w14:textId="77777777" w:rsidR="00523A22" w:rsidRDefault="00523A22" w:rsidP="009247DD">
      <w:pPr>
        <w:ind w:left="3600" w:hanging="3600"/>
        <w:jc w:val="right"/>
        <w:outlineLvl w:val="0"/>
        <w:rPr>
          <w:rFonts w:ascii="Arial" w:hAnsi="Arial"/>
          <w:b/>
        </w:rPr>
      </w:pPr>
    </w:p>
    <w:p w14:paraId="47C0D439" w14:textId="77777777" w:rsidR="00523A22" w:rsidRDefault="00523A22" w:rsidP="009247DD">
      <w:pPr>
        <w:ind w:left="3600" w:hanging="3600"/>
        <w:jc w:val="right"/>
        <w:outlineLvl w:val="0"/>
        <w:rPr>
          <w:rFonts w:ascii="Arial" w:hAnsi="Arial"/>
          <w:b/>
        </w:rPr>
      </w:pPr>
    </w:p>
    <w:p w14:paraId="4B9A7CC7" w14:textId="77777777" w:rsidR="00523A22" w:rsidRDefault="00523A22" w:rsidP="009247DD">
      <w:pPr>
        <w:ind w:left="3600" w:hanging="3600"/>
        <w:jc w:val="right"/>
        <w:outlineLvl w:val="0"/>
        <w:rPr>
          <w:rFonts w:ascii="Arial" w:hAnsi="Arial"/>
          <w:b/>
        </w:rPr>
      </w:pPr>
    </w:p>
    <w:p w14:paraId="00B1B19E" w14:textId="77777777" w:rsidR="00523A22" w:rsidRDefault="00523A22" w:rsidP="009247DD">
      <w:pPr>
        <w:ind w:left="3600" w:hanging="3600"/>
        <w:jc w:val="right"/>
        <w:outlineLvl w:val="0"/>
        <w:rPr>
          <w:rFonts w:ascii="Arial" w:hAnsi="Arial"/>
          <w:b/>
        </w:rPr>
      </w:pPr>
    </w:p>
    <w:p w14:paraId="3BF7AD46" w14:textId="77777777" w:rsidR="00902B91" w:rsidRPr="00F47FAB" w:rsidRDefault="00626E87" w:rsidP="009247DD">
      <w:pPr>
        <w:ind w:left="3600" w:hanging="3600"/>
        <w:jc w:val="right"/>
        <w:outlineLvl w:val="0"/>
        <w:rPr>
          <w:rFonts w:ascii="Arial" w:hAnsi="Arial"/>
          <w:b/>
        </w:rPr>
      </w:pPr>
      <w:r>
        <w:rPr>
          <w:rFonts w:ascii="Arial" w:hAnsi="Arial"/>
          <w:b/>
        </w:rPr>
        <w:lastRenderedPageBreak/>
        <w:t xml:space="preserve">                                                                                                         </w:t>
      </w:r>
      <w:r w:rsidR="00902B91" w:rsidRPr="00F47FAB">
        <w:rPr>
          <w:rFonts w:ascii="Arial" w:hAnsi="Arial"/>
          <w:b/>
        </w:rPr>
        <w:t>Appendix 2</w:t>
      </w:r>
    </w:p>
    <w:p w14:paraId="27BF3D16" w14:textId="77777777" w:rsidR="00902B91" w:rsidRPr="00E25AE4" w:rsidRDefault="00902B91" w:rsidP="005E4F16">
      <w:pPr>
        <w:ind w:left="3600" w:hanging="3600"/>
        <w:rPr>
          <w:rFonts w:ascii="Arial" w:hAnsi="Arial"/>
          <w:sz w:val="24"/>
          <w:szCs w:val="24"/>
        </w:rPr>
      </w:pPr>
    </w:p>
    <w:p w14:paraId="6E972E16" w14:textId="77777777" w:rsidR="00902B91" w:rsidRDefault="00891EB3" w:rsidP="005E4F16">
      <w:pPr>
        <w:ind w:left="3600" w:hanging="3600"/>
        <w:outlineLvl w:val="0"/>
        <w:rPr>
          <w:rFonts w:ascii="Arial" w:hAnsi="Arial"/>
          <w:b/>
        </w:rPr>
      </w:pPr>
      <w:r>
        <w:rPr>
          <w:rFonts w:ascii="Arial" w:hAnsi="Arial"/>
          <w:b/>
        </w:rPr>
        <w:t xml:space="preserve">Pension Fund </w:t>
      </w:r>
      <w:r w:rsidR="007C7459">
        <w:rPr>
          <w:rFonts w:ascii="Arial" w:hAnsi="Arial"/>
          <w:b/>
        </w:rPr>
        <w:t>Committee</w:t>
      </w:r>
      <w:r w:rsidR="00902B91" w:rsidRPr="006F08B4">
        <w:rPr>
          <w:rFonts w:ascii="Arial" w:hAnsi="Arial"/>
          <w:b/>
        </w:rPr>
        <w:t xml:space="preserve"> </w:t>
      </w:r>
      <w:r w:rsidR="00101296">
        <w:rPr>
          <w:rFonts w:ascii="Arial" w:hAnsi="Arial"/>
          <w:b/>
        </w:rPr>
        <w:t>2021/22</w:t>
      </w:r>
    </w:p>
    <w:p w14:paraId="38CFEB91" w14:textId="77777777" w:rsidR="00902B91" w:rsidRPr="00E25AE4" w:rsidRDefault="00902B91" w:rsidP="005E4F16">
      <w:pPr>
        <w:ind w:left="3600" w:hanging="3600"/>
        <w:rPr>
          <w:rFonts w:ascii="Arial" w:hAnsi="Arial"/>
          <w:sz w:val="24"/>
          <w:szCs w:val="24"/>
        </w:rPr>
      </w:pPr>
    </w:p>
    <w:tbl>
      <w:tblPr>
        <w:tblW w:w="10137" w:type="dxa"/>
        <w:tblLayout w:type="fixed"/>
        <w:tblLook w:val="0000" w:firstRow="0" w:lastRow="0" w:firstColumn="0" w:lastColumn="0" w:noHBand="0" w:noVBand="0"/>
      </w:tblPr>
      <w:tblGrid>
        <w:gridCol w:w="390"/>
        <w:gridCol w:w="2837"/>
        <w:gridCol w:w="390"/>
        <w:gridCol w:w="6130"/>
        <w:gridCol w:w="390"/>
      </w:tblGrid>
      <w:tr w:rsidR="00902B91" w:rsidRPr="0074619B" w14:paraId="73D67648" w14:textId="77777777" w:rsidTr="0003487F">
        <w:tc>
          <w:tcPr>
            <w:tcW w:w="3227" w:type="dxa"/>
            <w:gridSpan w:val="2"/>
          </w:tcPr>
          <w:p w14:paraId="1B8CF0F8" w14:textId="77777777" w:rsidR="00902B91" w:rsidRPr="00A3427C" w:rsidRDefault="00902B91" w:rsidP="005E4F16">
            <w:pPr>
              <w:outlineLvl w:val="0"/>
              <w:rPr>
                <w:rFonts w:ascii="Arial" w:hAnsi="Arial"/>
                <w:b/>
                <w:sz w:val="24"/>
              </w:rPr>
            </w:pPr>
            <w:r w:rsidRPr="00A3427C">
              <w:rPr>
                <w:rFonts w:ascii="Arial" w:hAnsi="Arial"/>
                <w:b/>
                <w:sz w:val="24"/>
              </w:rPr>
              <w:t>Chairman</w:t>
            </w:r>
          </w:p>
        </w:tc>
        <w:tc>
          <w:tcPr>
            <w:tcW w:w="6520" w:type="dxa"/>
            <w:gridSpan w:val="2"/>
          </w:tcPr>
          <w:p w14:paraId="09052507" w14:textId="77777777" w:rsidR="00902B91" w:rsidRPr="00A3427C" w:rsidRDefault="00EC5496" w:rsidP="009203F8">
            <w:pPr>
              <w:outlineLvl w:val="0"/>
              <w:rPr>
                <w:rFonts w:ascii="Arial" w:hAnsi="Arial"/>
                <w:sz w:val="24"/>
              </w:rPr>
            </w:pPr>
            <w:r w:rsidRPr="00A3427C">
              <w:rPr>
                <w:rFonts w:ascii="Arial" w:hAnsi="Arial"/>
                <w:sz w:val="24"/>
              </w:rPr>
              <w:t xml:space="preserve">Cllr </w:t>
            </w:r>
            <w:r w:rsidR="009203F8">
              <w:rPr>
                <w:rFonts w:ascii="Arial" w:hAnsi="Arial"/>
                <w:sz w:val="24"/>
              </w:rPr>
              <w:t>C</w:t>
            </w:r>
            <w:r w:rsidR="003B3A31">
              <w:rPr>
                <w:rFonts w:ascii="Arial" w:hAnsi="Arial"/>
                <w:sz w:val="24"/>
              </w:rPr>
              <w:t xml:space="preserve"> E</w:t>
            </w:r>
            <w:r w:rsidR="009203F8">
              <w:rPr>
                <w:rFonts w:ascii="Arial" w:hAnsi="Arial"/>
                <w:sz w:val="24"/>
              </w:rPr>
              <w:t xml:space="preserve"> Lloyd</w:t>
            </w:r>
          </w:p>
        </w:tc>
        <w:tc>
          <w:tcPr>
            <w:tcW w:w="390" w:type="dxa"/>
          </w:tcPr>
          <w:p w14:paraId="256A233C" w14:textId="77777777" w:rsidR="00902B91" w:rsidRPr="0074619B" w:rsidRDefault="00902B91" w:rsidP="005E4F16">
            <w:pPr>
              <w:outlineLvl w:val="0"/>
              <w:rPr>
                <w:rFonts w:ascii="Arial" w:hAnsi="Arial"/>
                <w:color w:val="FF0000"/>
                <w:sz w:val="24"/>
              </w:rPr>
            </w:pPr>
          </w:p>
        </w:tc>
      </w:tr>
      <w:tr w:rsidR="00902B91" w:rsidRPr="0074619B" w14:paraId="77D755BC" w14:textId="77777777" w:rsidTr="0003487F">
        <w:tc>
          <w:tcPr>
            <w:tcW w:w="3227" w:type="dxa"/>
            <w:gridSpan w:val="2"/>
          </w:tcPr>
          <w:p w14:paraId="05849EEC" w14:textId="77777777" w:rsidR="00902B91" w:rsidRPr="00A3427C" w:rsidRDefault="00902B91" w:rsidP="005E4F16">
            <w:pPr>
              <w:outlineLvl w:val="0"/>
              <w:rPr>
                <w:rFonts w:ascii="Arial" w:hAnsi="Arial"/>
                <w:b/>
                <w:sz w:val="24"/>
              </w:rPr>
            </w:pPr>
          </w:p>
        </w:tc>
        <w:tc>
          <w:tcPr>
            <w:tcW w:w="6520" w:type="dxa"/>
            <w:gridSpan w:val="2"/>
          </w:tcPr>
          <w:p w14:paraId="4BD17377" w14:textId="77777777" w:rsidR="00902B91" w:rsidRPr="00A3427C" w:rsidRDefault="00902B91" w:rsidP="005E4F16">
            <w:pPr>
              <w:pStyle w:val="NormalWeb"/>
              <w:spacing w:before="0" w:after="0"/>
              <w:outlineLvl w:val="0"/>
              <w:rPr>
                <w:rFonts w:ascii="Arial" w:hAnsi="Arial"/>
              </w:rPr>
            </w:pPr>
          </w:p>
        </w:tc>
        <w:tc>
          <w:tcPr>
            <w:tcW w:w="390" w:type="dxa"/>
          </w:tcPr>
          <w:p w14:paraId="3D476AC1" w14:textId="77777777" w:rsidR="00902B91" w:rsidRPr="0074619B" w:rsidRDefault="00902B91" w:rsidP="005E4F16">
            <w:pPr>
              <w:outlineLvl w:val="0"/>
              <w:rPr>
                <w:rFonts w:ascii="Arial" w:hAnsi="Arial"/>
                <w:color w:val="FF0000"/>
                <w:sz w:val="24"/>
              </w:rPr>
            </w:pPr>
          </w:p>
        </w:tc>
      </w:tr>
      <w:tr w:rsidR="00902B91" w:rsidRPr="0074619B" w14:paraId="0DB0D895" w14:textId="77777777" w:rsidTr="0003487F">
        <w:tc>
          <w:tcPr>
            <w:tcW w:w="3227" w:type="dxa"/>
            <w:gridSpan w:val="2"/>
          </w:tcPr>
          <w:p w14:paraId="1B011585" w14:textId="77777777" w:rsidR="00902B91" w:rsidRPr="00A3427C" w:rsidRDefault="00902B91" w:rsidP="005E4F16">
            <w:pPr>
              <w:outlineLvl w:val="0"/>
              <w:rPr>
                <w:rFonts w:ascii="Arial" w:hAnsi="Arial"/>
                <w:b/>
                <w:sz w:val="24"/>
              </w:rPr>
            </w:pPr>
            <w:r w:rsidRPr="00A3427C">
              <w:rPr>
                <w:rFonts w:ascii="Arial" w:hAnsi="Arial"/>
                <w:b/>
                <w:sz w:val="24"/>
              </w:rPr>
              <w:t>Vice Chairman</w:t>
            </w:r>
          </w:p>
        </w:tc>
        <w:tc>
          <w:tcPr>
            <w:tcW w:w="6520" w:type="dxa"/>
            <w:gridSpan w:val="2"/>
          </w:tcPr>
          <w:p w14:paraId="13A34B7D" w14:textId="77777777" w:rsidR="00902B91" w:rsidRPr="00A3427C" w:rsidRDefault="00EC5496" w:rsidP="005E4F16">
            <w:pPr>
              <w:outlineLvl w:val="0"/>
              <w:rPr>
                <w:rFonts w:ascii="Arial" w:hAnsi="Arial"/>
                <w:sz w:val="24"/>
              </w:rPr>
            </w:pPr>
            <w:r w:rsidRPr="00A3427C">
              <w:rPr>
                <w:rFonts w:ascii="Arial" w:hAnsi="Arial"/>
                <w:sz w:val="24"/>
              </w:rPr>
              <w:t xml:space="preserve">Cllr </w:t>
            </w:r>
            <w:r w:rsidR="003E6792" w:rsidRPr="00A3427C">
              <w:rPr>
                <w:rFonts w:ascii="Arial" w:hAnsi="Arial"/>
                <w:sz w:val="24"/>
              </w:rPr>
              <w:t>P Downing</w:t>
            </w:r>
          </w:p>
        </w:tc>
        <w:tc>
          <w:tcPr>
            <w:tcW w:w="390" w:type="dxa"/>
          </w:tcPr>
          <w:p w14:paraId="7A93A86A" w14:textId="77777777" w:rsidR="00902B91" w:rsidRPr="0074619B" w:rsidRDefault="00902B91" w:rsidP="005E4F16">
            <w:pPr>
              <w:outlineLvl w:val="0"/>
              <w:rPr>
                <w:rFonts w:ascii="Arial" w:hAnsi="Arial"/>
                <w:color w:val="FF0000"/>
                <w:sz w:val="24"/>
              </w:rPr>
            </w:pPr>
          </w:p>
        </w:tc>
      </w:tr>
      <w:tr w:rsidR="00902B91" w:rsidRPr="0074619B" w14:paraId="7D33E030" w14:textId="77777777" w:rsidTr="0003487F">
        <w:tc>
          <w:tcPr>
            <w:tcW w:w="3227" w:type="dxa"/>
            <w:gridSpan w:val="2"/>
          </w:tcPr>
          <w:p w14:paraId="54717929" w14:textId="77777777" w:rsidR="00902B91" w:rsidRPr="003E6792" w:rsidRDefault="00902B91" w:rsidP="005E4F16">
            <w:pPr>
              <w:outlineLvl w:val="0"/>
              <w:rPr>
                <w:rFonts w:ascii="Arial" w:hAnsi="Arial"/>
                <w:b/>
                <w:sz w:val="24"/>
              </w:rPr>
            </w:pPr>
          </w:p>
        </w:tc>
        <w:tc>
          <w:tcPr>
            <w:tcW w:w="6520" w:type="dxa"/>
            <w:gridSpan w:val="2"/>
          </w:tcPr>
          <w:p w14:paraId="2041FA1B" w14:textId="77777777" w:rsidR="00902B91" w:rsidRPr="003E6792" w:rsidRDefault="00902B91" w:rsidP="005E4F16">
            <w:pPr>
              <w:outlineLvl w:val="0"/>
              <w:rPr>
                <w:rFonts w:ascii="Arial" w:hAnsi="Arial"/>
                <w:sz w:val="24"/>
              </w:rPr>
            </w:pPr>
          </w:p>
        </w:tc>
        <w:tc>
          <w:tcPr>
            <w:tcW w:w="390" w:type="dxa"/>
          </w:tcPr>
          <w:p w14:paraId="1E2499FA" w14:textId="77777777" w:rsidR="00902B91" w:rsidRPr="0074619B" w:rsidRDefault="00902B91" w:rsidP="005E4F16">
            <w:pPr>
              <w:outlineLvl w:val="0"/>
              <w:rPr>
                <w:rFonts w:ascii="Arial" w:hAnsi="Arial"/>
                <w:color w:val="FF0000"/>
                <w:sz w:val="24"/>
              </w:rPr>
            </w:pPr>
          </w:p>
        </w:tc>
      </w:tr>
      <w:tr w:rsidR="00A40485" w:rsidRPr="0074619B" w14:paraId="2522CCA0" w14:textId="77777777" w:rsidTr="0003487F">
        <w:tc>
          <w:tcPr>
            <w:tcW w:w="3227" w:type="dxa"/>
            <w:gridSpan w:val="2"/>
          </w:tcPr>
          <w:p w14:paraId="4A2C7F82" w14:textId="77777777" w:rsidR="00A40485" w:rsidRPr="003E6792" w:rsidRDefault="007C7459" w:rsidP="005E4F16">
            <w:pPr>
              <w:outlineLvl w:val="0"/>
              <w:rPr>
                <w:rFonts w:ascii="Arial" w:hAnsi="Arial"/>
                <w:b/>
                <w:sz w:val="24"/>
              </w:rPr>
            </w:pPr>
            <w:r>
              <w:rPr>
                <w:rFonts w:ascii="Arial" w:hAnsi="Arial"/>
                <w:b/>
                <w:sz w:val="24"/>
              </w:rPr>
              <w:t>Committee M</w:t>
            </w:r>
            <w:r w:rsidR="00A40485" w:rsidRPr="003E6792">
              <w:rPr>
                <w:rFonts w:ascii="Arial" w:hAnsi="Arial"/>
                <w:b/>
                <w:sz w:val="24"/>
              </w:rPr>
              <w:t>embers</w:t>
            </w:r>
          </w:p>
        </w:tc>
        <w:tc>
          <w:tcPr>
            <w:tcW w:w="6520" w:type="dxa"/>
            <w:gridSpan w:val="2"/>
          </w:tcPr>
          <w:p w14:paraId="282471A0" w14:textId="77777777" w:rsidR="00A40485" w:rsidRPr="003E6792" w:rsidRDefault="00A40485" w:rsidP="005E4F16">
            <w:pPr>
              <w:outlineLvl w:val="0"/>
              <w:rPr>
                <w:rFonts w:ascii="Arial" w:hAnsi="Arial"/>
                <w:sz w:val="24"/>
              </w:rPr>
            </w:pPr>
          </w:p>
        </w:tc>
        <w:tc>
          <w:tcPr>
            <w:tcW w:w="390" w:type="dxa"/>
          </w:tcPr>
          <w:p w14:paraId="1927C0F9" w14:textId="77777777" w:rsidR="00A40485" w:rsidRPr="0074619B" w:rsidRDefault="00A40485" w:rsidP="005E4F16">
            <w:pPr>
              <w:outlineLvl w:val="0"/>
              <w:rPr>
                <w:rFonts w:ascii="Arial" w:hAnsi="Arial"/>
                <w:color w:val="FF0000"/>
                <w:sz w:val="24"/>
              </w:rPr>
            </w:pPr>
          </w:p>
        </w:tc>
      </w:tr>
      <w:tr w:rsidR="00A40485" w:rsidRPr="0074619B" w14:paraId="4CCD049F" w14:textId="77777777" w:rsidTr="0003487F">
        <w:tc>
          <w:tcPr>
            <w:tcW w:w="3227" w:type="dxa"/>
            <w:gridSpan w:val="2"/>
          </w:tcPr>
          <w:p w14:paraId="4310EA7F" w14:textId="77777777" w:rsidR="00A40485" w:rsidRPr="003E6792" w:rsidRDefault="00A40485" w:rsidP="005E4F16">
            <w:pPr>
              <w:outlineLvl w:val="0"/>
              <w:rPr>
                <w:rFonts w:ascii="Arial" w:hAnsi="Arial"/>
                <w:b/>
                <w:sz w:val="24"/>
              </w:rPr>
            </w:pPr>
          </w:p>
        </w:tc>
        <w:tc>
          <w:tcPr>
            <w:tcW w:w="6520" w:type="dxa"/>
            <w:gridSpan w:val="2"/>
          </w:tcPr>
          <w:p w14:paraId="7B00D1D7" w14:textId="77777777" w:rsidR="008768B3" w:rsidRPr="003E6792" w:rsidRDefault="00A40485" w:rsidP="003B3A31">
            <w:pPr>
              <w:outlineLvl w:val="0"/>
              <w:rPr>
                <w:rFonts w:ascii="Arial" w:hAnsi="Arial"/>
                <w:sz w:val="24"/>
              </w:rPr>
            </w:pPr>
            <w:r w:rsidRPr="003E6792">
              <w:rPr>
                <w:rFonts w:ascii="Arial" w:hAnsi="Arial"/>
                <w:sz w:val="24"/>
              </w:rPr>
              <w:t xml:space="preserve">Cllr </w:t>
            </w:r>
            <w:r w:rsidR="009203F8">
              <w:rPr>
                <w:rFonts w:ascii="Arial" w:hAnsi="Arial"/>
                <w:sz w:val="24"/>
              </w:rPr>
              <w:t xml:space="preserve">M </w:t>
            </w:r>
            <w:r w:rsidR="003B3A31">
              <w:rPr>
                <w:rFonts w:ascii="Arial" w:hAnsi="Arial"/>
                <w:sz w:val="24"/>
              </w:rPr>
              <w:t xml:space="preserve">B </w:t>
            </w:r>
            <w:r w:rsidR="009203F8">
              <w:rPr>
                <w:rFonts w:ascii="Arial" w:hAnsi="Arial"/>
                <w:sz w:val="24"/>
              </w:rPr>
              <w:t>Lewis</w:t>
            </w:r>
          </w:p>
        </w:tc>
        <w:tc>
          <w:tcPr>
            <w:tcW w:w="390" w:type="dxa"/>
          </w:tcPr>
          <w:p w14:paraId="697F1EC9" w14:textId="77777777" w:rsidR="00A40485" w:rsidRPr="0074619B" w:rsidRDefault="00A40485" w:rsidP="005E4F16">
            <w:pPr>
              <w:outlineLvl w:val="0"/>
              <w:rPr>
                <w:rFonts w:ascii="Arial" w:hAnsi="Arial"/>
                <w:color w:val="FF0000"/>
                <w:sz w:val="24"/>
              </w:rPr>
            </w:pPr>
          </w:p>
        </w:tc>
      </w:tr>
      <w:tr w:rsidR="004E5A5F" w:rsidRPr="0074619B" w14:paraId="376BA627" w14:textId="77777777" w:rsidTr="0003487F">
        <w:tc>
          <w:tcPr>
            <w:tcW w:w="3227" w:type="dxa"/>
            <w:gridSpan w:val="2"/>
          </w:tcPr>
          <w:p w14:paraId="70372E69" w14:textId="77777777" w:rsidR="004E5A5F" w:rsidRPr="003E6792" w:rsidRDefault="004E5A5F" w:rsidP="005E4F16">
            <w:pPr>
              <w:outlineLvl w:val="0"/>
              <w:rPr>
                <w:rFonts w:ascii="Arial" w:hAnsi="Arial"/>
                <w:b/>
                <w:sz w:val="24"/>
              </w:rPr>
            </w:pPr>
          </w:p>
        </w:tc>
        <w:tc>
          <w:tcPr>
            <w:tcW w:w="6520" w:type="dxa"/>
            <w:gridSpan w:val="2"/>
          </w:tcPr>
          <w:p w14:paraId="0FFC6C81" w14:textId="77777777" w:rsidR="004E5A5F" w:rsidRPr="003E6792" w:rsidRDefault="004E5A5F" w:rsidP="003B3A31">
            <w:pPr>
              <w:outlineLvl w:val="0"/>
              <w:rPr>
                <w:rFonts w:ascii="Arial" w:hAnsi="Arial"/>
                <w:sz w:val="24"/>
              </w:rPr>
            </w:pPr>
            <w:r w:rsidRPr="003E6792">
              <w:rPr>
                <w:rFonts w:ascii="Arial" w:hAnsi="Arial"/>
                <w:sz w:val="24"/>
              </w:rPr>
              <w:t xml:space="preserve">Cllr </w:t>
            </w:r>
            <w:r w:rsidR="009203F8">
              <w:rPr>
                <w:rFonts w:ascii="Arial" w:hAnsi="Arial"/>
                <w:sz w:val="24"/>
              </w:rPr>
              <w:t xml:space="preserve">D </w:t>
            </w:r>
            <w:r w:rsidR="003B3A31">
              <w:rPr>
                <w:rFonts w:ascii="Arial" w:hAnsi="Arial"/>
                <w:sz w:val="24"/>
              </w:rPr>
              <w:t xml:space="preserve">G </w:t>
            </w:r>
            <w:r w:rsidR="009203F8">
              <w:rPr>
                <w:rFonts w:ascii="Arial" w:hAnsi="Arial"/>
                <w:sz w:val="24"/>
              </w:rPr>
              <w:t>Sullivan</w:t>
            </w:r>
          </w:p>
        </w:tc>
        <w:tc>
          <w:tcPr>
            <w:tcW w:w="390" w:type="dxa"/>
          </w:tcPr>
          <w:p w14:paraId="61DB5C2A" w14:textId="77777777" w:rsidR="004E5A5F" w:rsidRPr="0074619B" w:rsidRDefault="004E5A5F" w:rsidP="005E4F16">
            <w:pPr>
              <w:outlineLvl w:val="0"/>
              <w:rPr>
                <w:rFonts w:ascii="Arial" w:hAnsi="Arial"/>
                <w:color w:val="FF0000"/>
                <w:sz w:val="24"/>
              </w:rPr>
            </w:pPr>
          </w:p>
        </w:tc>
      </w:tr>
      <w:tr w:rsidR="00A40485" w:rsidRPr="0074619B" w14:paraId="1ABD15DD" w14:textId="77777777" w:rsidTr="0003487F">
        <w:tc>
          <w:tcPr>
            <w:tcW w:w="3227" w:type="dxa"/>
            <w:gridSpan w:val="2"/>
          </w:tcPr>
          <w:p w14:paraId="37D1F96A" w14:textId="77777777" w:rsidR="00A40485" w:rsidRPr="003E6792" w:rsidRDefault="00A40485" w:rsidP="005E4F16">
            <w:pPr>
              <w:outlineLvl w:val="0"/>
              <w:rPr>
                <w:rFonts w:ascii="Arial" w:hAnsi="Arial"/>
                <w:b/>
                <w:sz w:val="24"/>
              </w:rPr>
            </w:pPr>
          </w:p>
        </w:tc>
        <w:tc>
          <w:tcPr>
            <w:tcW w:w="6520" w:type="dxa"/>
            <w:gridSpan w:val="2"/>
          </w:tcPr>
          <w:p w14:paraId="0D5A29C8" w14:textId="77777777" w:rsidR="00A40485" w:rsidRDefault="003E6792" w:rsidP="009203F8">
            <w:pPr>
              <w:outlineLvl w:val="0"/>
              <w:rPr>
                <w:rFonts w:ascii="Arial" w:hAnsi="Arial"/>
                <w:sz w:val="24"/>
              </w:rPr>
            </w:pPr>
            <w:r w:rsidRPr="003E6792">
              <w:rPr>
                <w:rFonts w:ascii="Arial" w:hAnsi="Arial"/>
                <w:sz w:val="24"/>
              </w:rPr>
              <w:t xml:space="preserve">Cllr </w:t>
            </w:r>
            <w:r w:rsidR="009203F8">
              <w:rPr>
                <w:rFonts w:ascii="Arial" w:hAnsi="Arial"/>
                <w:sz w:val="24"/>
              </w:rPr>
              <w:t xml:space="preserve">W </w:t>
            </w:r>
            <w:r w:rsidR="003B3A31">
              <w:rPr>
                <w:rFonts w:ascii="Arial" w:hAnsi="Arial"/>
                <w:sz w:val="24"/>
              </w:rPr>
              <w:t xml:space="preserve">G </w:t>
            </w:r>
            <w:r w:rsidR="009203F8">
              <w:rPr>
                <w:rFonts w:ascii="Arial" w:hAnsi="Arial"/>
                <w:sz w:val="24"/>
              </w:rPr>
              <w:t>Thomas</w:t>
            </w:r>
          </w:p>
          <w:p w14:paraId="5701A211" w14:textId="77777777" w:rsidR="009203F8" w:rsidRPr="003E6792" w:rsidRDefault="009203F8" w:rsidP="003B3A31">
            <w:pPr>
              <w:outlineLvl w:val="0"/>
              <w:rPr>
                <w:rFonts w:ascii="Arial" w:hAnsi="Arial"/>
                <w:sz w:val="24"/>
              </w:rPr>
            </w:pPr>
            <w:r>
              <w:rPr>
                <w:rFonts w:ascii="Arial" w:hAnsi="Arial"/>
                <w:sz w:val="24"/>
              </w:rPr>
              <w:t xml:space="preserve">Cllr </w:t>
            </w:r>
            <w:r w:rsidR="003B3A31">
              <w:rPr>
                <w:rFonts w:ascii="Arial" w:hAnsi="Arial"/>
                <w:sz w:val="24"/>
              </w:rPr>
              <w:t>J P Curtice</w:t>
            </w:r>
          </w:p>
        </w:tc>
        <w:tc>
          <w:tcPr>
            <w:tcW w:w="390" w:type="dxa"/>
          </w:tcPr>
          <w:p w14:paraId="74B339CB" w14:textId="77777777" w:rsidR="00A40485" w:rsidRPr="0074619B" w:rsidRDefault="00A40485" w:rsidP="005E4F16">
            <w:pPr>
              <w:outlineLvl w:val="0"/>
              <w:rPr>
                <w:rFonts w:ascii="Arial" w:hAnsi="Arial"/>
                <w:color w:val="FF0000"/>
                <w:sz w:val="24"/>
              </w:rPr>
            </w:pPr>
          </w:p>
        </w:tc>
      </w:tr>
      <w:tr w:rsidR="00A40485" w:rsidRPr="0074619B" w14:paraId="1B2DC7AE" w14:textId="77777777" w:rsidTr="0003487F">
        <w:tc>
          <w:tcPr>
            <w:tcW w:w="3227" w:type="dxa"/>
            <w:gridSpan w:val="2"/>
          </w:tcPr>
          <w:p w14:paraId="62FC6F2A" w14:textId="77777777" w:rsidR="00A40485" w:rsidRPr="003E6792" w:rsidRDefault="00A40485" w:rsidP="005E4F16">
            <w:pPr>
              <w:outlineLvl w:val="0"/>
              <w:rPr>
                <w:rFonts w:ascii="Arial" w:hAnsi="Arial"/>
                <w:b/>
                <w:sz w:val="24"/>
              </w:rPr>
            </w:pPr>
          </w:p>
        </w:tc>
        <w:tc>
          <w:tcPr>
            <w:tcW w:w="6520" w:type="dxa"/>
            <w:gridSpan w:val="2"/>
          </w:tcPr>
          <w:p w14:paraId="09417AB9" w14:textId="77777777" w:rsidR="00A40485" w:rsidRPr="003E6792" w:rsidRDefault="003E6792" w:rsidP="005E4F16">
            <w:pPr>
              <w:outlineLvl w:val="0"/>
              <w:rPr>
                <w:rFonts w:ascii="Arial" w:hAnsi="Arial"/>
                <w:sz w:val="24"/>
              </w:rPr>
            </w:pPr>
            <w:r w:rsidRPr="003E6792">
              <w:rPr>
                <w:rFonts w:ascii="Arial" w:hAnsi="Arial"/>
                <w:sz w:val="24"/>
              </w:rPr>
              <w:t>Cllr P Rees (Neath Port Talbot CBC)</w:t>
            </w:r>
          </w:p>
        </w:tc>
        <w:tc>
          <w:tcPr>
            <w:tcW w:w="390" w:type="dxa"/>
          </w:tcPr>
          <w:p w14:paraId="300DC43B" w14:textId="77777777" w:rsidR="00A40485" w:rsidRPr="0074619B" w:rsidRDefault="00A40485" w:rsidP="005E4F16">
            <w:pPr>
              <w:outlineLvl w:val="0"/>
              <w:rPr>
                <w:rFonts w:ascii="Arial" w:hAnsi="Arial"/>
                <w:color w:val="FF0000"/>
                <w:sz w:val="24"/>
              </w:rPr>
            </w:pPr>
          </w:p>
        </w:tc>
      </w:tr>
      <w:tr w:rsidR="00A40485" w:rsidRPr="0074619B" w14:paraId="699F5817" w14:textId="77777777" w:rsidTr="0003487F">
        <w:tc>
          <w:tcPr>
            <w:tcW w:w="3227" w:type="dxa"/>
            <w:gridSpan w:val="2"/>
          </w:tcPr>
          <w:p w14:paraId="4652132F" w14:textId="77777777" w:rsidR="00A40485" w:rsidRPr="003E6792" w:rsidRDefault="007C7459" w:rsidP="005E4F16">
            <w:pPr>
              <w:outlineLvl w:val="0"/>
              <w:rPr>
                <w:rFonts w:ascii="Arial" w:hAnsi="Arial"/>
                <w:b/>
                <w:sz w:val="24"/>
              </w:rPr>
            </w:pPr>
            <w:r>
              <w:rPr>
                <w:rFonts w:ascii="Arial" w:hAnsi="Arial"/>
                <w:b/>
                <w:sz w:val="24"/>
              </w:rPr>
              <w:t>Advised by:</w:t>
            </w:r>
          </w:p>
        </w:tc>
        <w:tc>
          <w:tcPr>
            <w:tcW w:w="6520" w:type="dxa"/>
            <w:gridSpan w:val="2"/>
          </w:tcPr>
          <w:p w14:paraId="55B6DC06" w14:textId="77777777" w:rsidR="00A40485" w:rsidRPr="003E6792" w:rsidRDefault="00A40485" w:rsidP="005E4F16">
            <w:pPr>
              <w:outlineLvl w:val="0"/>
              <w:rPr>
                <w:rFonts w:ascii="Arial" w:hAnsi="Arial"/>
                <w:sz w:val="24"/>
              </w:rPr>
            </w:pPr>
          </w:p>
        </w:tc>
        <w:tc>
          <w:tcPr>
            <w:tcW w:w="390" w:type="dxa"/>
          </w:tcPr>
          <w:p w14:paraId="6323A5DF" w14:textId="77777777" w:rsidR="00A40485" w:rsidRPr="0074619B" w:rsidRDefault="00A40485" w:rsidP="005E4F16">
            <w:pPr>
              <w:outlineLvl w:val="0"/>
              <w:rPr>
                <w:rFonts w:ascii="Arial" w:hAnsi="Arial"/>
                <w:color w:val="FF0000"/>
                <w:sz w:val="24"/>
              </w:rPr>
            </w:pPr>
          </w:p>
        </w:tc>
      </w:tr>
      <w:tr w:rsidR="00A40485" w:rsidRPr="0074619B" w14:paraId="575A734E" w14:textId="77777777" w:rsidTr="0003487F">
        <w:tc>
          <w:tcPr>
            <w:tcW w:w="3227" w:type="dxa"/>
            <w:gridSpan w:val="2"/>
          </w:tcPr>
          <w:p w14:paraId="210362C4" w14:textId="77777777" w:rsidR="00A40485" w:rsidRPr="003E6792" w:rsidRDefault="00A40485" w:rsidP="005E4F16">
            <w:pPr>
              <w:outlineLvl w:val="0"/>
              <w:rPr>
                <w:rFonts w:ascii="Arial" w:hAnsi="Arial"/>
                <w:b/>
                <w:sz w:val="24"/>
              </w:rPr>
            </w:pPr>
            <w:r w:rsidRPr="003E6792">
              <w:rPr>
                <w:rFonts w:ascii="Arial" w:hAnsi="Arial"/>
                <w:b/>
                <w:sz w:val="24"/>
              </w:rPr>
              <w:t>Council Officers</w:t>
            </w:r>
          </w:p>
        </w:tc>
        <w:tc>
          <w:tcPr>
            <w:tcW w:w="6520" w:type="dxa"/>
            <w:gridSpan w:val="2"/>
          </w:tcPr>
          <w:p w14:paraId="19F0CF13" w14:textId="77777777" w:rsidR="00A40485" w:rsidRPr="003E6792" w:rsidRDefault="009203F8" w:rsidP="00925888">
            <w:pPr>
              <w:outlineLvl w:val="0"/>
              <w:rPr>
                <w:rFonts w:ascii="Arial" w:hAnsi="Arial"/>
                <w:sz w:val="24"/>
              </w:rPr>
            </w:pPr>
            <w:r>
              <w:rPr>
                <w:rFonts w:ascii="Arial" w:hAnsi="Arial"/>
                <w:sz w:val="24"/>
              </w:rPr>
              <w:t>B Smith,</w:t>
            </w:r>
            <w:r w:rsidR="00A40485" w:rsidRPr="003E6792">
              <w:rPr>
                <w:rFonts w:ascii="Arial" w:hAnsi="Arial"/>
                <w:sz w:val="24"/>
              </w:rPr>
              <w:t xml:space="preserve"> </w:t>
            </w:r>
            <w:r w:rsidR="00925888">
              <w:rPr>
                <w:rFonts w:ascii="Arial" w:hAnsi="Arial"/>
                <w:sz w:val="24"/>
              </w:rPr>
              <w:t>Section 151</w:t>
            </w:r>
            <w:r w:rsidR="00945EB1">
              <w:rPr>
                <w:rFonts w:ascii="Arial" w:hAnsi="Arial"/>
                <w:sz w:val="24"/>
              </w:rPr>
              <w:t xml:space="preserve"> &amp; </w:t>
            </w:r>
            <w:r w:rsidR="00E23135">
              <w:rPr>
                <w:rFonts w:ascii="Arial" w:hAnsi="Arial"/>
                <w:sz w:val="24"/>
              </w:rPr>
              <w:t>Director of</w:t>
            </w:r>
            <w:r w:rsidR="00925888">
              <w:rPr>
                <w:rFonts w:ascii="Arial" w:hAnsi="Arial"/>
                <w:sz w:val="24"/>
              </w:rPr>
              <w:t xml:space="preserve"> Finance</w:t>
            </w:r>
          </w:p>
        </w:tc>
        <w:tc>
          <w:tcPr>
            <w:tcW w:w="390" w:type="dxa"/>
          </w:tcPr>
          <w:p w14:paraId="4644C586" w14:textId="77777777" w:rsidR="00A40485" w:rsidRPr="0074619B" w:rsidRDefault="00A40485" w:rsidP="005E4F16">
            <w:pPr>
              <w:outlineLvl w:val="0"/>
              <w:rPr>
                <w:rFonts w:ascii="Arial" w:hAnsi="Arial"/>
                <w:color w:val="FF0000"/>
                <w:sz w:val="24"/>
              </w:rPr>
            </w:pPr>
          </w:p>
        </w:tc>
      </w:tr>
      <w:tr w:rsidR="00A40485" w:rsidRPr="0074619B" w14:paraId="4D3BCC22" w14:textId="77777777" w:rsidTr="0003487F">
        <w:tc>
          <w:tcPr>
            <w:tcW w:w="3227" w:type="dxa"/>
            <w:gridSpan w:val="2"/>
          </w:tcPr>
          <w:p w14:paraId="44065812" w14:textId="77777777" w:rsidR="00A40485" w:rsidRPr="003E6792" w:rsidRDefault="00A40485" w:rsidP="005E4F16">
            <w:pPr>
              <w:outlineLvl w:val="0"/>
              <w:rPr>
                <w:rFonts w:ascii="Arial" w:hAnsi="Arial"/>
                <w:b/>
                <w:sz w:val="24"/>
              </w:rPr>
            </w:pPr>
          </w:p>
        </w:tc>
        <w:tc>
          <w:tcPr>
            <w:tcW w:w="6520" w:type="dxa"/>
            <w:gridSpan w:val="2"/>
          </w:tcPr>
          <w:p w14:paraId="426D711F" w14:textId="77777777" w:rsidR="00A40485" w:rsidRPr="003E6792" w:rsidRDefault="00945EB1" w:rsidP="00945EB1">
            <w:pPr>
              <w:outlineLvl w:val="0"/>
              <w:rPr>
                <w:rFonts w:ascii="Arial" w:hAnsi="Arial"/>
                <w:sz w:val="24"/>
              </w:rPr>
            </w:pPr>
            <w:r>
              <w:rPr>
                <w:rFonts w:ascii="Arial" w:hAnsi="Arial"/>
                <w:sz w:val="24"/>
              </w:rPr>
              <w:t>J Dong, Deputy Chief Finance Officer</w:t>
            </w:r>
          </w:p>
        </w:tc>
        <w:tc>
          <w:tcPr>
            <w:tcW w:w="390" w:type="dxa"/>
          </w:tcPr>
          <w:p w14:paraId="7B999025" w14:textId="77777777" w:rsidR="00A40485" w:rsidRPr="0074619B" w:rsidRDefault="00A40485" w:rsidP="005E4F16">
            <w:pPr>
              <w:outlineLvl w:val="0"/>
              <w:rPr>
                <w:rFonts w:ascii="Arial" w:hAnsi="Arial"/>
                <w:color w:val="FF0000"/>
                <w:sz w:val="24"/>
              </w:rPr>
            </w:pPr>
          </w:p>
        </w:tc>
      </w:tr>
      <w:tr w:rsidR="00186DDE" w:rsidRPr="0074619B" w14:paraId="363B93DA" w14:textId="77777777" w:rsidTr="0003487F">
        <w:trPr>
          <w:gridAfter w:val="2"/>
          <w:wAfter w:w="6520" w:type="dxa"/>
        </w:trPr>
        <w:tc>
          <w:tcPr>
            <w:tcW w:w="3227" w:type="dxa"/>
            <w:gridSpan w:val="2"/>
          </w:tcPr>
          <w:p w14:paraId="0A131563" w14:textId="77777777" w:rsidR="00186DDE" w:rsidRPr="003E6792" w:rsidRDefault="00186DDE" w:rsidP="005E4F16">
            <w:pPr>
              <w:outlineLvl w:val="0"/>
              <w:rPr>
                <w:rFonts w:ascii="Arial" w:hAnsi="Arial"/>
                <w:b/>
                <w:sz w:val="24"/>
              </w:rPr>
            </w:pPr>
          </w:p>
        </w:tc>
        <w:tc>
          <w:tcPr>
            <w:tcW w:w="390" w:type="dxa"/>
          </w:tcPr>
          <w:p w14:paraId="1928330F" w14:textId="77777777" w:rsidR="00186DDE" w:rsidRPr="0074619B" w:rsidRDefault="00186DDE" w:rsidP="005E4F16">
            <w:pPr>
              <w:outlineLvl w:val="0"/>
              <w:rPr>
                <w:rFonts w:ascii="Arial" w:hAnsi="Arial"/>
                <w:color w:val="FF0000"/>
                <w:sz w:val="24"/>
              </w:rPr>
            </w:pPr>
          </w:p>
        </w:tc>
      </w:tr>
      <w:tr w:rsidR="00186DDE" w:rsidRPr="0074619B" w14:paraId="77895F1F" w14:textId="77777777" w:rsidTr="0003487F">
        <w:trPr>
          <w:gridAfter w:val="4"/>
          <w:wAfter w:w="9747" w:type="dxa"/>
        </w:trPr>
        <w:tc>
          <w:tcPr>
            <w:tcW w:w="390" w:type="dxa"/>
          </w:tcPr>
          <w:p w14:paraId="26A3DE06" w14:textId="77777777" w:rsidR="00186DDE" w:rsidRPr="0074619B" w:rsidRDefault="00186DDE" w:rsidP="005E4F16">
            <w:pPr>
              <w:outlineLvl w:val="0"/>
              <w:rPr>
                <w:rFonts w:ascii="Arial" w:hAnsi="Arial"/>
                <w:color w:val="FF0000"/>
                <w:sz w:val="24"/>
              </w:rPr>
            </w:pPr>
          </w:p>
        </w:tc>
      </w:tr>
      <w:tr w:rsidR="00A40485" w:rsidRPr="0074619B" w14:paraId="244FF7C7" w14:textId="77777777" w:rsidTr="0003487F">
        <w:tc>
          <w:tcPr>
            <w:tcW w:w="3227" w:type="dxa"/>
            <w:gridSpan w:val="2"/>
          </w:tcPr>
          <w:p w14:paraId="6C132B62" w14:textId="77777777" w:rsidR="003B3A31" w:rsidRDefault="00186DDE" w:rsidP="005E4F16">
            <w:pPr>
              <w:outlineLvl w:val="0"/>
              <w:rPr>
                <w:rFonts w:ascii="Arial" w:hAnsi="Arial"/>
                <w:b/>
                <w:sz w:val="24"/>
              </w:rPr>
            </w:pPr>
            <w:r>
              <w:rPr>
                <w:rFonts w:ascii="Arial" w:hAnsi="Arial"/>
                <w:b/>
                <w:sz w:val="24"/>
              </w:rPr>
              <w:t>C</w:t>
            </w:r>
            <w:r w:rsidR="009203F8" w:rsidRPr="00D66A79">
              <w:rPr>
                <w:rFonts w:ascii="Arial" w:hAnsi="Arial"/>
                <w:b/>
                <w:sz w:val="24"/>
              </w:rPr>
              <w:t>onsultancy Service</w:t>
            </w:r>
            <w:r w:rsidR="009203F8">
              <w:rPr>
                <w:rFonts w:ascii="Arial" w:hAnsi="Arial"/>
                <w:b/>
                <w:sz w:val="24"/>
              </w:rPr>
              <w:t xml:space="preserve">   </w:t>
            </w:r>
          </w:p>
          <w:p w14:paraId="36744A02" w14:textId="77777777" w:rsidR="006B28BC" w:rsidRDefault="006B28BC" w:rsidP="005E4F16">
            <w:pPr>
              <w:outlineLvl w:val="0"/>
              <w:rPr>
                <w:rFonts w:ascii="Arial" w:hAnsi="Arial"/>
                <w:b/>
                <w:sz w:val="24"/>
              </w:rPr>
            </w:pPr>
          </w:p>
          <w:p w14:paraId="26480EDD" w14:textId="77777777" w:rsidR="0029724C" w:rsidRDefault="003B3A31" w:rsidP="005E4F16">
            <w:pPr>
              <w:outlineLvl w:val="0"/>
              <w:rPr>
                <w:rFonts w:ascii="Arial" w:hAnsi="Arial"/>
                <w:b/>
                <w:sz w:val="24"/>
              </w:rPr>
            </w:pPr>
            <w:r>
              <w:rPr>
                <w:rFonts w:ascii="Arial" w:hAnsi="Arial"/>
                <w:b/>
                <w:sz w:val="24"/>
              </w:rPr>
              <w:t>Local Pension Board</w:t>
            </w:r>
            <w:r w:rsidR="009203F8">
              <w:rPr>
                <w:rFonts w:ascii="Arial" w:hAnsi="Arial"/>
                <w:b/>
                <w:sz w:val="24"/>
              </w:rPr>
              <w:t xml:space="preserve">  </w:t>
            </w:r>
          </w:p>
          <w:p w14:paraId="356EE97C" w14:textId="77777777" w:rsidR="009203F8" w:rsidRPr="003E6792" w:rsidRDefault="0029724C" w:rsidP="0003487F">
            <w:pPr>
              <w:outlineLvl w:val="0"/>
              <w:rPr>
                <w:rFonts w:ascii="Arial" w:hAnsi="Arial"/>
                <w:b/>
                <w:sz w:val="24"/>
              </w:rPr>
            </w:pPr>
            <w:r>
              <w:rPr>
                <w:rFonts w:ascii="Arial" w:hAnsi="Arial"/>
                <w:b/>
                <w:sz w:val="24"/>
              </w:rPr>
              <w:t>(as at 31</w:t>
            </w:r>
            <w:r w:rsidRPr="0029724C">
              <w:rPr>
                <w:rFonts w:ascii="Arial" w:hAnsi="Arial"/>
                <w:b/>
                <w:sz w:val="24"/>
                <w:vertAlign w:val="superscript"/>
              </w:rPr>
              <w:t>st</w:t>
            </w:r>
            <w:r>
              <w:rPr>
                <w:rFonts w:ascii="Arial" w:hAnsi="Arial"/>
                <w:b/>
                <w:sz w:val="24"/>
              </w:rPr>
              <w:t xml:space="preserve"> March 20</w:t>
            </w:r>
            <w:r w:rsidR="006B4CD8">
              <w:rPr>
                <w:rFonts w:ascii="Arial" w:hAnsi="Arial"/>
                <w:b/>
                <w:sz w:val="24"/>
              </w:rPr>
              <w:t>2</w:t>
            </w:r>
            <w:r w:rsidR="00186DDE">
              <w:rPr>
                <w:rFonts w:ascii="Arial" w:hAnsi="Arial"/>
                <w:b/>
                <w:sz w:val="24"/>
              </w:rPr>
              <w:t>2</w:t>
            </w:r>
            <w:r>
              <w:rPr>
                <w:rFonts w:ascii="Arial" w:hAnsi="Arial"/>
                <w:b/>
                <w:sz w:val="24"/>
              </w:rPr>
              <w:t>)</w:t>
            </w:r>
            <w:r w:rsidR="009203F8">
              <w:rPr>
                <w:rFonts w:ascii="Arial" w:hAnsi="Arial"/>
                <w:b/>
                <w:sz w:val="24"/>
              </w:rPr>
              <w:t xml:space="preserve">                      </w:t>
            </w:r>
          </w:p>
        </w:tc>
        <w:tc>
          <w:tcPr>
            <w:tcW w:w="6520" w:type="dxa"/>
            <w:gridSpan w:val="2"/>
          </w:tcPr>
          <w:p w14:paraId="7B001289" w14:textId="77777777" w:rsidR="009203F8" w:rsidRDefault="009203F8" w:rsidP="005E4F16">
            <w:pPr>
              <w:outlineLvl w:val="0"/>
              <w:rPr>
                <w:rFonts w:ascii="Arial" w:hAnsi="Arial"/>
                <w:sz w:val="24"/>
              </w:rPr>
            </w:pPr>
            <w:r>
              <w:rPr>
                <w:rFonts w:ascii="Arial" w:hAnsi="Arial"/>
                <w:sz w:val="24"/>
              </w:rPr>
              <w:t>Hymans Robertson</w:t>
            </w:r>
            <w:r w:rsidR="00B71855">
              <w:rPr>
                <w:rFonts w:ascii="Arial" w:hAnsi="Arial"/>
                <w:sz w:val="24"/>
              </w:rPr>
              <w:t xml:space="preserve"> LLP</w:t>
            </w:r>
          </w:p>
          <w:p w14:paraId="4CD3FF77" w14:textId="77777777" w:rsidR="003B3A31" w:rsidRDefault="003B3A31" w:rsidP="005E4F16">
            <w:pPr>
              <w:outlineLvl w:val="0"/>
              <w:rPr>
                <w:rFonts w:ascii="Arial" w:hAnsi="Arial"/>
                <w:sz w:val="24"/>
              </w:rPr>
            </w:pPr>
          </w:p>
          <w:p w14:paraId="7BFC4F12" w14:textId="77777777" w:rsidR="003B3A31" w:rsidRDefault="0003487F" w:rsidP="005E4F16">
            <w:pPr>
              <w:outlineLvl w:val="0"/>
              <w:rPr>
                <w:rFonts w:ascii="Arial" w:hAnsi="Arial"/>
                <w:sz w:val="24"/>
              </w:rPr>
            </w:pPr>
            <w:r>
              <w:rPr>
                <w:rFonts w:ascii="Arial" w:hAnsi="Arial"/>
                <w:sz w:val="24"/>
              </w:rPr>
              <w:t>Mr Ian Guy</w:t>
            </w:r>
          </w:p>
          <w:p w14:paraId="19725363" w14:textId="77777777" w:rsidR="009203F8" w:rsidRDefault="0029724C" w:rsidP="005E4F16">
            <w:pPr>
              <w:outlineLvl w:val="0"/>
              <w:rPr>
                <w:rFonts w:ascii="Arial" w:hAnsi="Arial"/>
                <w:sz w:val="24"/>
              </w:rPr>
            </w:pPr>
            <w:r>
              <w:rPr>
                <w:rFonts w:ascii="Arial" w:hAnsi="Arial"/>
                <w:sz w:val="24"/>
              </w:rPr>
              <w:t xml:space="preserve">Cllr </w:t>
            </w:r>
            <w:r w:rsidR="00186DDE">
              <w:rPr>
                <w:rFonts w:ascii="Arial" w:hAnsi="Arial"/>
                <w:sz w:val="24"/>
              </w:rPr>
              <w:t>Peter Jones</w:t>
            </w:r>
          </w:p>
          <w:p w14:paraId="51F5BB87" w14:textId="77777777" w:rsidR="0029724C" w:rsidRDefault="006B4CD8" w:rsidP="005E4F16">
            <w:pPr>
              <w:outlineLvl w:val="0"/>
              <w:rPr>
                <w:rFonts w:ascii="Arial" w:hAnsi="Arial"/>
                <w:sz w:val="24"/>
              </w:rPr>
            </w:pPr>
            <w:r>
              <w:rPr>
                <w:rFonts w:ascii="Arial" w:hAnsi="Arial"/>
                <w:sz w:val="24"/>
              </w:rPr>
              <w:t>Ms Rosemary Broad</w:t>
            </w:r>
          </w:p>
          <w:p w14:paraId="5B281D95" w14:textId="77777777" w:rsidR="0029724C" w:rsidRDefault="0029724C" w:rsidP="005E4F16">
            <w:pPr>
              <w:outlineLvl w:val="0"/>
              <w:rPr>
                <w:rFonts w:ascii="Arial" w:hAnsi="Arial"/>
                <w:sz w:val="24"/>
              </w:rPr>
            </w:pPr>
            <w:r>
              <w:rPr>
                <w:rFonts w:ascii="Arial" w:hAnsi="Arial"/>
                <w:sz w:val="24"/>
              </w:rPr>
              <w:t>Mr David White</w:t>
            </w:r>
          </w:p>
          <w:p w14:paraId="2D03BA6B" w14:textId="77777777" w:rsidR="009203F8" w:rsidRDefault="0003487F" w:rsidP="005E4F16">
            <w:pPr>
              <w:outlineLvl w:val="0"/>
              <w:rPr>
                <w:rFonts w:ascii="Arial" w:hAnsi="Arial"/>
                <w:sz w:val="24"/>
              </w:rPr>
            </w:pPr>
            <w:r>
              <w:rPr>
                <w:rFonts w:ascii="Arial" w:hAnsi="Arial"/>
                <w:sz w:val="24"/>
              </w:rPr>
              <w:t>Cllr Alan Lockyer</w:t>
            </w:r>
          </w:p>
          <w:p w14:paraId="031353D2" w14:textId="77777777" w:rsidR="009203F8" w:rsidRPr="003E6792" w:rsidRDefault="009203F8" w:rsidP="005E4F16">
            <w:pPr>
              <w:outlineLvl w:val="0"/>
              <w:rPr>
                <w:rFonts w:ascii="Arial" w:hAnsi="Arial"/>
                <w:sz w:val="24"/>
              </w:rPr>
            </w:pPr>
          </w:p>
        </w:tc>
        <w:tc>
          <w:tcPr>
            <w:tcW w:w="390" w:type="dxa"/>
          </w:tcPr>
          <w:p w14:paraId="17835491" w14:textId="77777777" w:rsidR="00A40485" w:rsidRPr="0074619B" w:rsidRDefault="00A40485" w:rsidP="005E4F16">
            <w:pPr>
              <w:outlineLvl w:val="0"/>
              <w:rPr>
                <w:rFonts w:ascii="Arial" w:hAnsi="Arial"/>
                <w:color w:val="FF0000"/>
                <w:sz w:val="24"/>
              </w:rPr>
            </w:pPr>
          </w:p>
        </w:tc>
      </w:tr>
    </w:tbl>
    <w:p w14:paraId="2AE14125" w14:textId="77777777" w:rsidR="00486CD6" w:rsidRPr="00CF4566" w:rsidRDefault="00486CD6" w:rsidP="007C7459">
      <w:pPr>
        <w:ind w:left="3600" w:hanging="3600"/>
        <w:outlineLvl w:val="0"/>
        <w:rPr>
          <w:rFonts w:ascii="Arial" w:hAnsi="Arial"/>
          <w:b/>
          <w:sz w:val="24"/>
          <w:szCs w:val="24"/>
        </w:rPr>
      </w:pPr>
      <w:r w:rsidRPr="00CF4566">
        <w:rPr>
          <w:rFonts w:ascii="Arial" w:hAnsi="Arial"/>
          <w:b/>
          <w:sz w:val="24"/>
          <w:szCs w:val="24"/>
        </w:rPr>
        <w:t>Investment Managers</w:t>
      </w:r>
    </w:p>
    <w:p w14:paraId="1E8CF698" w14:textId="77777777" w:rsidR="00065E18" w:rsidRDefault="00065E18" w:rsidP="009E72D7">
      <w:pPr>
        <w:numPr>
          <w:ilvl w:val="0"/>
          <w:numId w:val="2"/>
        </w:numPr>
        <w:ind w:right="-1"/>
        <w:jc w:val="both"/>
        <w:rPr>
          <w:rFonts w:ascii="Arial" w:hAnsi="Arial"/>
          <w:color w:val="000000"/>
          <w:sz w:val="24"/>
          <w:szCs w:val="24"/>
        </w:rPr>
      </w:pPr>
      <w:r w:rsidRPr="00F7205C">
        <w:rPr>
          <w:rFonts w:ascii="Arial" w:hAnsi="Arial"/>
          <w:color w:val="000000"/>
          <w:sz w:val="24"/>
          <w:szCs w:val="24"/>
        </w:rPr>
        <w:t xml:space="preserve">Global Equities </w:t>
      </w:r>
      <w:r w:rsidR="006B28BC">
        <w:rPr>
          <w:rFonts w:ascii="Arial" w:hAnsi="Arial"/>
          <w:color w:val="000000"/>
          <w:sz w:val="24"/>
          <w:szCs w:val="24"/>
        </w:rPr>
        <w:t xml:space="preserve">and Fixed Income </w:t>
      </w:r>
      <w:r w:rsidR="00945EB1">
        <w:rPr>
          <w:rFonts w:ascii="Arial" w:hAnsi="Arial"/>
          <w:color w:val="000000"/>
          <w:sz w:val="24"/>
          <w:szCs w:val="24"/>
        </w:rPr>
        <w:t>–</w:t>
      </w:r>
      <w:r w:rsidRPr="00F7205C">
        <w:rPr>
          <w:rFonts w:ascii="Arial" w:hAnsi="Arial"/>
          <w:color w:val="000000"/>
          <w:sz w:val="24"/>
          <w:szCs w:val="24"/>
        </w:rPr>
        <w:t xml:space="preserve"> </w:t>
      </w:r>
      <w:r w:rsidR="003623C6">
        <w:rPr>
          <w:rFonts w:ascii="Arial" w:hAnsi="Arial"/>
          <w:color w:val="000000"/>
          <w:sz w:val="24"/>
          <w:szCs w:val="24"/>
        </w:rPr>
        <w:t xml:space="preserve">Russell Investments on behalf of </w:t>
      </w:r>
      <w:r w:rsidR="00945EB1">
        <w:rPr>
          <w:rFonts w:ascii="Arial" w:hAnsi="Arial"/>
          <w:color w:val="000000"/>
          <w:sz w:val="24"/>
          <w:szCs w:val="24"/>
        </w:rPr>
        <w:t>Wales Pension Partnership</w:t>
      </w:r>
    </w:p>
    <w:p w14:paraId="20DCEA01" w14:textId="77777777" w:rsidR="00065E18" w:rsidRPr="00F7205C" w:rsidRDefault="00065E18" w:rsidP="009E72D7">
      <w:pPr>
        <w:numPr>
          <w:ilvl w:val="0"/>
          <w:numId w:val="2"/>
        </w:numPr>
        <w:ind w:right="-1"/>
        <w:jc w:val="both"/>
        <w:rPr>
          <w:rFonts w:ascii="Arial" w:hAnsi="Arial"/>
          <w:color w:val="000000"/>
          <w:sz w:val="24"/>
          <w:szCs w:val="24"/>
        </w:rPr>
      </w:pPr>
      <w:r>
        <w:rPr>
          <w:rFonts w:ascii="Arial" w:hAnsi="Arial"/>
          <w:color w:val="000000"/>
          <w:sz w:val="24"/>
          <w:szCs w:val="24"/>
        </w:rPr>
        <w:t>Global Balanced I</w:t>
      </w:r>
      <w:r w:rsidR="00721C23">
        <w:rPr>
          <w:rFonts w:ascii="Arial" w:hAnsi="Arial"/>
          <w:color w:val="000000"/>
          <w:sz w:val="24"/>
          <w:szCs w:val="24"/>
        </w:rPr>
        <w:t>ndex Tracking</w:t>
      </w:r>
      <w:r w:rsidR="00034E17">
        <w:rPr>
          <w:rFonts w:ascii="Arial" w:hAnsi="Arial"/>
          <w:color w:val="000000"/>
          <w:sz w:val="24"/>
          <w:szCs w:val="24"/>
        </w:rPr>
        <w:t>/ Low Carbon Fund</w:t>
      </w:r>
      <w:r w:rsidR="00721C23">
        <w:rPr>
          <w:rFonts w:ascii="Arial" w:hAnsi="Arial"/>
          <w:color w:val="000000"/>
          <w:sz w:val="24"/>
          <w:szCs w:val="24"/>
        </w:rPr>
        <w:t xml:space="preserve"> - </w:t>
      </w:r>
      <w:r w:rsidR="00945EB1">
        <w:rPr>
          <w:rFonts w:ascii="Arial" w:hAnsi="Arial"/>
          <w:color w:val="000000"/>
          <w:sz w:val="24"/>
          <w:szCs w:val="24"/>
        </w:rPr>
        <w:t>Blackrock</w:t>
      </w:r>
    </w:p>
    <w:p w14:paraId="5609F876" w14:textId="77777777" w:rsidR="00B84586" w:rsidRDefault="00065E18" w:rsidP="009E72D7">
      <w:pPr>
        <w:numPr>
          <w:ilvl w:val="0"/>
          <w:numId w:val="2"/>
        </w:numPr>
        <w:ind w:right="424"/>
        <w:jc w:val="both"/>
        <w:rPr>
          <w:rFonts w:ascii="Arial" w:hAnsi="Arial"/>
          <w:color w:val="000000"/>
          <w:sz w:val="24"/>
          <w:szCs w:val="24"/>
        </w:rPr>
      </w:pPr>
      <w:r w:rsidRPr="00B84586">
        <w:rPr>
          <w:rFonts w:ascii="Arial" w:hAnsi="Arial"/>
          <w:color w:val="000000"/>
          <w:sz w:val="24"/>
          <w:szCs w:val="24"/>
        </w:rPr>
        <w:t xml:space="preserve">Fund of Hedge Funds - Blackrock and </w:t>
      </w:r>
      <w:r w:rsidR="00B84586" w:rsidRPr="00B84586">
        <w:rPr>
          <w:rFonts w:ascii="Arial" w:hAnsi="Arial"/>
          <w:color w:val="000000"/>
          <w:sz w:val="24"/>
          <w:szCs w:val="24"/>
        </w:rPr>
        <w:t>EnTrust</w:t>
      </w:r>
      <w:r w:rsidR="00DC0943" w:rsidRPr="00B84586">
        <w:rPr>
          <w:rFonts w:ascii="Arial" w:hAnsi="Arial"/>
          <w:color w:val="000000"/>
          <w:sz w:val="24"/>
          <w:szCs w:val="24"/>
        </w:rPr>
        <w:t>Permal</w:t>
      </w:r>
      <w:r w:rsidRPr="00B84586">
        <w:rPr>
          <w:rFonts w:ascii="Arial" w:hAnsi="Arial"/>
          <w:color w:val="000000"/>
          <w:sz w:val="24"/>
          <w:szCs w:val="24"/>
        </w:rPr>
        <w:t xml:space="preserve"> </w:t>
      </w:r>
    </w:p>
    <w:p w14:paraId="578DA760" w14:textId="77777777" w:rsidR="00065E18" w:rsidRPr="00B84586" w:rsidRDefault="00065E18" w:rsidP="009E72D7">
      <w:pPr>
        <w:numPr>
          <w:ilvl w:val="0"/>
          <w:numId w:val="2"/>
        </w:numPr>
        <w:ind w:right="424"/>
        <w:jc w:val="both"/>
        <w:rPr>
          <w:rFonts w:ascii="Arial" w:hAnsi="Arial"/>
          <w:color w:val="000000"/>
          <w:sz w:val="24"/>
          <w:szCs w:val="24"/>
        </w:rPr>
      </w:pPr>
      <w:r w:rsidRPr="00B84586">
        <w:rPr>
          <w:rFonts w:ascii="Arial" w:hAnsi="Arial"/>
          <w:color w:val="000000"/>
          <w:sz w:val="24"/>
          <w:szCs w:val="24"/>
        </w:rPr>
        <w:t xml:space="preserve">Fund of Private Equity Funds </w:t>
      </w:r>
      <w:r w:rsidR="006B28BC">
        <w:rPr>
          <w:rFonts w:ascii="Arial" w:hAnsi="Arial"/>
          <w:color w:val="000000"/>
          <w:sz w:val="24"/>
          <w:szCs w:val="24"/>
        </w:rPr>
        <w:t>–</w:t>
      </w:r>
      <w:r w:rsidRPr="00B84586">
        <w:rPr>
          <w:rFonts w:ascii="Arial" w:hAnsi="Arial"/>
          <w:color w:val="000000"/>
          <w:sz w:val="24"/>
          <w:szCs w:val="24"/>
        </w:rPr>
        <w:t xml:space="preserve"> Harbour</w:t>
      </w:r>
      <w:r w:rsidR="00F93F0A" w:rsidRPr="00B84586">
        <w:rPr>
          <w:rFonts w:ascii="Arial" w:hAnsi="Arial"/>
          <w:color w:val="000000"/>
          <w:sz w:val="24"/>
          <w:szCs w:val="24"/>
        </w:rPr>
        <w:t>V</w:t>
      </w:r>
      <w:r w:rsidRPr="00B84586">
        <w:rPr>
          <w:rFonts w:ascii="Arial" w:hAnsi="Arial"/>
          <w:color w:val="000000"/>
          <w:sz w:val="24"/>
          <w:szCs w:val="24"/>
        </w:rPr>
        <w:t>est</w:t>
      </w:r>
      <w:r w:rsidR="006B28BC">
        <w:rPr>
          <w:rFonts w:ascii="Arial" w:hAnsi="Arial"/>
          <w:color w:val="000000"/>
          <w:sz w:val="24"/>
          <w:szCs w:val="24"/>
        </w:rPr>
        <w:t xml:space="preserve"> &amp; Blackstone</w:t>
      </w:r>
    </w:p>
    <w:p w14:paraId="705AE5EA" w14:textId="77777777" w:rsidR="00065E18" w:rsidRDefault="00065E18" w:rsidP="009E72D7">
      <w:pPr>
        <w:numPr>
          <w:ilvl w:val="0"/>
          <w:numId w:val="2"/>
        </w:numPr>
        <w:ind w:right="424"/>
        <w:jc w:val="both"/>
        <w:rPr>
          <w:rFonts w:ascii="Arial" w:hAnsi="Arial"/>
          <w:color w:val="000000"/>
          <w:sz w:val="24"/>
          <w:szCs w:val="24"/>
        </w:rPr>
      </w:pPr>
      <w:r w:rsidRPr="00F7205C">
        <w:rPr>
          <w:rFonts w:ascii="Arial" w:hAnsi="Arial"/>
          <w:color w:val="000000"/>
          <w:sz w:val="24"/>
          <w:szCs w:val="24"/>
        </w:rPr>
        <w:t>Fund of Property Funds - Partners Group</w:t>
      </w:r>
      <w:r w:rsidR="00B01AA8">
        <w:rPr>
          <w:rFonts w:ascii="Arial" w:hAnsi="Arial"/>
          <w:color w:val="000000"/>
          <w:sz w:val="24"/>
          <w:szCs w:val="24"/>
        </w:rPr>
        <w:t xml:space="preserve">, </w:t>
      </w:r>
      <w:r w:rsidRPr="00F7205C">
        <w:rPr>
          <w:rFonts w:ascii="Arial" w:hAnsi="Arial"/>
          <w:color w:val="000000"/>
          <w:sz w:val="24"/>
          <w:szCs w:val="24"/>
        </w:rPr>
        <w:t>Schroders Investment Management</w:t>
      </w:r>
    </w:p>
    <w:p w14:paraId="6A332C41" w14:textId="77777777" w:rsidR="008F3B27" w:rsidRDefault="008F3B27" w:rsidP="009E72D7">
      <w:pPr>
        <w:numPr>
          <w:ilvl w:val="0"/>
          <w:numId w:val="2"/>
        </w:numPr>
        <w:ind w:right="424"/>
        <w:jc w:val="both"/>
        <w:rPr>
          <w:rFonts w:ascii="Arial" w:hAnsi="Arial"/>
          <w:color w:val="000000"/>
          <w:sz w:val="24"/>
          <w:szCs w:val="24"/>
        </w:rPr>
      </w:pPr>
      <w:r>
        <w:rPr>
          <w:rFonts w:ascii="Arial" w:hAnsi="Arial"/>
          <w:color w:val="000000"/>
          <w:sz w:val="24"/>
          <w:szCs w:val="24"/>
        </w:rPr>
        <w:t xml:space="preserve">European Property Fund- </w:t>
      </w:r>
      <w:r w:rsidRPr="008F3B27">
        <w:rPr>
          <w:rFonts w:ascii="Arial" w:hAnsi="Arial"/>
          <w:color w:val="000000"/>
          <w:sz w:val="24"/>
          <w:szCs w:val="24"/>
        </w:rPr>
        <w:t>Invesco Real Estate</w:t>
      </w:r>
      <w:r>
        <w:rPr>
          <w:rFonts w:ascii="Arial" w:hAnsi="Arial"/>
          <w:color w:val="000000"/>
          <w:sz w:val="24"/>
          <w:szCs w:val="24"/>
        </w:rPr>
        <w:t xml:space="preserve"> Europe Fund</w:t>
      </w:r>
    </w:p>
    <w:p w14:paraId="4835A955" w14:textId="77777777" w:rsidR="009203F8" w:rsidRDefault="00945EB1" w:rsidP="009E72D7">
      <w:pPr>
        <w:numPr>
          <w:ilvl w:val="0"/>
          <w:numId w:val="2"/>
        </w:numPr>
        <w:ind w:right="424"/>
        <w:jc w:val="both"/>
        <w:rPr>
          <w:rFonts w:ascii="Arial" w:hAnsi="Arial"/>
          <w:color w:val="000000"/>
          <w:sz w:val="24"/>
          <w:szCs w:val="24"/>
        </w:rPr>
      </w:pPr>
      <w:r>
        <w:rPr>
          <w:rFonts w:ascii="Arial" w:hAnsi="Arial"/>
          <w:color w:val="000000"/>
          <w:sz w:val="24"/>
          <w:szCs w:val="24"/>
        </w:rPr>
        <w:t xml:space="preserve">Fund of </w:t>
      </w:r>
      <w:r w:rsidR="009203F8">
        <w:rPr>
          <w:rFonts w:ascii="Arial" w:hAnsi="Arial"/>
          <w:color w:val="000000"/>
          <w:sz w:val="24"/>
          <w:szCs w:val="24"/>
        </w:rPr>
        <w:t>Infrastructure Fund – First S</w:t>
      </w:r>
      <w:r w:rsidR="006B28BC">
        <w:rPr>
          <w:rFonts w:ascii="Arial" w:hAnsi="Arial"/>
          <w:color w:val="000000"/>
          <w:sz w:val="24"/>
          <w:szCs w:val="24"/>
        </w:rPr>
        <w:t>entier</w:t>
      </w:r>
      <w:r w:rsidR="00034E17">
        <w:rPr>
          <w:rFonts w:ascii="Arial" w:hAnsi="Arial"/>
          <w:color w:val="000000"/>
          <w:sz w:val="24"/>
          <w:szCs w:val="24"/>
        </w:rPr>
        <w:t>, Blackrock</w:t>
      </w:r>
    </w:p>
    <w:p w14:paraId="4DADF50C" w14:textId="77777777" w:rsidR="00945EB1" w:rsidRDefault="00945EB1" w:rsidP="009E72D7">
      <w:pPr>
        <w:numPr>
          <w:ilvl w:val="0"/>
          <w:numId w:val="2"/>
        </w:numPr>
        <w:ind w:right="424"/>
        <w:jc w:val="both"/>
        <w:rPr>
          <w:rFonts w:ascii="Arial" w:hAnsi="Arial"/>
          <w:color w:val="000000"/>
          <w:sz w:val="24"/>
          <w:szCs w:val="24"/>
        </w:rPr>
      </w:pPr>
      <w:r>
        <w:rPr>
          <w:rFonts w:ascii="Arial" w:hAnsi="Arial"/>
          <w:color w:val="000000"/>
          <w:sz w:val="24"/>
          <w:szCs w:val="24"/>
        </w:rPr>
        <w:t xml:space="preserve">Fund of Private Debt </w:t>
      </w:r>
      <w:r w:rsidR="00034E17">
        <w:rPr>
          <w:rFonts w:ascii="Arial" w:hAnsi="Arial"/>
          <w:color w:val="000000"/>
          <w:sz w:val="24"/>
          <w:szCs w:val="24"/>
        </w:rPr>
        <w:t>–</w:t>
      </w:r>
      <w:r>
        <w:rPr>
          <w:rFonts w:ascii="Arial" w:hAnsi="Arial"/>
          <w:color w:val="000000"/>
          <w:sz w:val="24"/>
          <w:szCs w:val="24"/>
        </w:rPr>
        <w:t xml:space="preserve"> Alcentra</w:t>
      </w:r>
      <w:r w:rsidR="00034E17">
        <w:rPr>
          <w:rFonts w:ascii="Arial" w:hAnsi="Arial"/>
          <w:color w:val="000000"/>
          <w:sz w:val="24"/>
          <w:szCs w:val="24"/>
        </w:rPr>
        <w:t>, CVC Credit Partners</w:t>
      </w:r>
      <w:r w:rsidR="006B28BC">
        <w:rPr>
          <w:rFonts w:ascii="Arial" w:hAnsi="Arial"/>
          <w:color w:val="000000"/>
          <w:sz w:val="24"/>
          <w:szCs w:val="24"/>
        </w:rPr>
        <w:t>, Goldman Sachs Asset Management</w:t>
      </w:r>
    </w:p>
    <w:p w14:paraId="259EBF07" w14:textId="77777777" w:rsidR="006B28BC" w:rsidRDefault="006B28BC" w:rsidP="009E72D7">
      <w:pPr>
        <w:numPr>
          <w:ilvl w:val="0"/>
          <w:numId w:val="2"/>
        </w:numPr>
        <w:ind w:right="424"/>
        <w:jc w:val="both"/>
        <w:rPr>
          <w:rFonts w:ascii="Arial" w:hAnsi="Arial"/>
          <w:color w:val="000000"/>
          <w:sz w:val="24"/>
          <w:szCs w:val="24"/>
        </w:rPr>
      </w:pPr>
      <w:r>
        <w:rPr>
          <w:rFonts w:ascii="Arial" w:hAnsi="Arial"/>
          <w:color w:val="000000"/>
          <w:sz w:val="24"/>
          <w:szCs w:val="24"/>
        </w:rPr>
        <w:t xml:space="preserve">Residential Housing </w:t>
      </w:r>
      <w:r w:rsidR="00186DDE">
        <w:rPr>
          <w:rFonts w:ascii="Arial" w:hAnsi="Arial"/>
          <w:color w:val="000000"/>
          <w:sz w:val="24"/>
          <w:szCs w:val="24"/>
        </w:rPr>
        <w:t>–</w:t>
      </w:r>
      <w:r>
        <w:rPr>
          <w:rFonts w:ascii="Arial" w:hAnsi="Arial"/>
          <w:color w:val="000000"/>
          <w:sz w:val="24"/>
          <w:szCs w:val="24"/>
        </w:rPr>
        <w:t xml:space="preserve"> BMO</w:t>
      </w:r>
      <w:r w:rsidR="00186DDE">
        <w:rPr>
          <w:rFonts w:ascii="Arial" w:hAnsi="Arial"/>
          <w:color w:val="000000"/>
          <w:sz w:val="24"/>
          <w:szCs w:val="24"/>
        </w:rPr>
        <w:t>, Man Group</w:t>
      </w:r>
    </w:p>
    <w:p w14:paraId="56133813" w14:textId="77777777" w:rsidR="00186DDE" w:rsidRDefault="00186DDE" w:rsidP="009E72D7">
      <w:pPr>
        <w:numPr>
          <w:ilvl w:val="0"/>
          <w:numId w:val="2"/>
        </w:numPr>
        <w:ind w:right="424"/>
        <w:jc w:val="both"/>
        <w:rPr>
          <w:rFonts w:ascii="Arial" w:hAnsi="Arial"/>
          <w:color w:val="000000"/>
          <w:sz w:val="24"/>
          <w:szCs w:val="24"/>
        </w:rPr>
      </w:pPr>
      <w:r>
        <w:rPr>
          <w:rFonts w:ascii="Arial" w:hAnsi="Arial"/>
          <w:color w:val="000000"/>
          <w:sz w:val="24"/>
          <w:szCs w:val="24"/>
        </w:rPr>
        <w:t>Timberland &amp; Farmland Fund – Manulife</w:t>
      </w:r>
    </w:p>
    <w:p w14:paraId="3A5B0426" w14:textId="77777777" w:rsidR="00186DDE" w:rsidRPr="00F7205C" w:rsidRDefault="00AE27DF" w:rsidP="009E72D7">
      <w:pPr>
        <w:numPr>
          <w:ilvl w:val="0"/>
          <w:numId w:val="2"/>
        </w:numPr>
        <w:ind w:right="424"/>
        <w:jc w:val="both"/>
        <w:rPr>
          <w:rFonts w:ascii="Arial" w:hAnsi="Arial"/>
          <w:color w:val="000000"/>
          <w:sz w:val="24"/>
          <w:szCs w:val="24"/>
        </w:rPr>
      </w:pPr>
      <w:r>
        <w:rPr>
          <w:rFonts w:ascii="Arial" w:hAnsi="Arial"/>
          <w:color w:val="000000"/>
          <w:sz w:val="24"/>
          <w:szCs w:val="24"/>
        </w:rPr>
        <w:t>Liquidity Management</w:t>
      </w:r>
      <w:r w:rsidR="00186DDE">
        <w:rPr>
          <w:rFonts w:ascii="Arial" w:hAnsi="Arial"/>
          <w:color w:val="000000"/>
          <w:sz w:val="24"/>
          <w:szCs w:val="24"/>
        </w:rPr>
        <w:t xml:space="preserve"> – Fidante, T Rowe Price</w:t>
      </w:r>
    </w:p>
    <w:p w14:paraId="50BAF813" w14:textId="77777777" w:rsidR="00E01005" w:rsidRDefault="00E01005" w:rsidP="00CF4566">
      <w:pPr>
        <w:rPr>
          <w:rFonts w:ascii="Arial" w:hAnsi="Arial"/>
          <w:sz w:val="24"/>
        </w:rPr>
      </w:pPr>
    </w:p>
    <w:p w14:paraId="2FCBDBAD" w14:textId="77777777" w:rsidR="006B4CD8" w:rsidRDefault="006B4CD8" w:rsidP="005E4F16">
      <w:pPr>
        <w:ind w:left="3600" w:hanging="3600"/>
        <w:rPr>
          <w:rFonts w:ascii="Arial" w:hAnsi="Arial"/>
          <w:sz w:val="24"/>
        </w:rPr>
      </w:pPr>
    </w:p>
    <w:p w14:paraId="3AB74F78" w14:textId="77777777" w:rsidR="006B4CD8" w:rsidRDefault="006B4CD8" w:rsidP="005E4F16">
      <w:pPr>
        <w:ind w:left="3600" w:hanging="3600"/>
        <w:rPr>
          <w:rFonts w:ascii="Arial" w:hAnsi="Arial"/>
          <w:sz w:val="24"/>
        </w:rPr>
      </w:pPr>
    </w:p>
    <w:tbl>
      <w:tblPr>
        <w:tblW w:w="0" w:type="auto"/>
        <w:tblInd w:w="250" w:type="dxa"/>
        <w:tblLook w:val="04A0" w:firstRow="1" w:lastRow="0" w:firstColumn="1" w:lastColumn="0" w:noHBand="0" w:noVBand="1"/>
      </w:tblPr>
      <w:tblGrid>
        <w:gridCol w:w="3205"/>
        <w:gridCol w:w="5780"/>
      </w:tblGrid>
      <w:tr w:rsidR="006B4CD8" w:rsidRPr="00DD5C2B" w14:paraId="3FB5A6E4" w14:textId="77777777" w:rsidTr="00DD5C2B">
        <w:tc>
          <w:tcPr>
            <w:tcW w:w="3260" w:type="dxa"/>
            <w:shd w:val="clear" w:color="auto" w:fill="auto"/>
          </w:tcPr>
          <w:p w14:paraId="25707D58" w14:textId="77777777" w:rsidR="006B4CD8" w:rsidRDefault="006B4CD8" w:rsidP="005E4F16">
            <w:pPr>
              <w:rPr>
                <w:rFonts w:ascii="Arial" w:hAnsi="Arial"/>
                <w:sz w:val="24"/>
              </w:rPr>
            </w:pPr>
            <w:r w:rsidRPr="00DD5C2B">
              <w:rPr>
                <w:rFonts w:ascii="Arial" w:hAnsi="Arial"/>
                <w:sz w:val="24"/>
              </w:rPr>
              <w:t>Pensions Administration</w:t>
            </w:r>
          </w:p>
          <w:p w14:paraId="67856F22" w14:textId="77777777" w:rsidR="007923E2" w:rsidRDefault="007923E2" w:rsidP="005E4F16">
            <w:pPr>
              <w:rPr>
                <w:rFonts w:ascii="Arial" w:hAnsi="Arial"/>
                <w:sz w:val="24"/>
              </w:rPr>
            </w:pPr>
          </w:p>
          <w:p w14:paraId="05056736" w14:textId="77777777" w:rsidR="007923E2" w:rsidRDefault="007923E2" w:rsidP="007923E2">
            <w:pPr>
              <w:rPr>
                <w:rFonts w:ascii="Arial" w:hAnsi="Arial"/>
                <w:sz w:val="24"/>
              </w:rPr>
            </w:pPr>
            <w:r>
              <w:rPr>
                <w:rFonts w:ascii="Arial" w:hAnsi="Arial"/>
                <w:sz w:val="24"/>
              </w:rPr>
              <w:t xml:space="preserve">Pensions Investments &amp; </w:t>
            </w:r>
          </w:p>
          <w:p w14:paraId="3B553FC2" w14:textId="77777777" w:rsidR="007923E2" w:rsidRPr="00DD5C2B" w:rsidRDefault="007923E2" w:rsidP="007923E2">
            <w:pPr>
              <w:rPr>
                <w:rFonts w:ascii="Arial" w:hAnsi="Arial"/>
                <w:sz w:val="24"/>
              </w:rPr>
            </w:pPr>
            <w:r>
              <w:rPr>
                <w:rFonts w:ascii="Arial" w:hAnsi="Arial"/>
                <w:sz w:val="24"/>
              </w:rPr>
              <w:t>Accounting</w:t>
            </w:r>
            <w:r w:rsidR="00DF761F">
              <w:rPr>
                <w:rFonts w:ascii="Arial" w:hAnsi="Arial"/>
                <w:sz w:val="24"/>
              </w:rPr>
              <w:t xml:space="preserve"> </w:t>
            </w:r>
          </w:p>
        </w:tc>
        <w:tc>
          <w:tcPr>
            <w:tcW w:w="5941" w:type="dxa"/>
            <w:shd w:val="clear" w:color="auto" w:fill="auto"/>
          </w:tcPr>
          <w:p w14:paraId="507BD7B5" w14:textId="77777777" w:rsidR="006B4CD8" w:rsidRDefault="006B4CD8" w:rsidP="005E4F16">
            <w:pPr>
              <w:rPr>
                <w:rFonts w:ascii="Arial" w:hAnsi="Arial"/>
                <w:sz w:val="24"/>
              </w:rPr>
            </w:pPr>
            <w:r w:rsidRPr="00DD5C2B">
              <w:rPr>
                <w:rFonts w:ascii="Arial" w:hAnsi="Arial"/>
                <w:sz w:val="24"/>
              </w:rPr>
              <w:t>Claire Elliott, Pensions Manager, City &amp; County of Swansea</w:t>
            </w:r>
          </w:p>
          <w:p w14:paraId="3A0F199D" w14:textId="77777777" w:rsidR="007923E2" w:rsidRDefault="007923E2" w:rsidP="005E4F16">
            <w:pPr>
              <w:rPr>
                <w:rFonts w:ascii="Arial" w:hAnsi="Arial"/>
                <w:sz w:val="24"/>
              </w:rPr>
            </w:pPr>
            <w:r>
              <w:rPr>
                <w:rFonts w:ascii="Arial" w:hAnsi="Arial"/>
                <w:sz w:val="24"/>
              </w:rPr>
              <w:t xml:space="preserve">Karen Cobb, Pension Fund Accounting &amp; Investment </w:t>
            </w:r>
          </w:p>
          <w:p w14:paraId="70567439" w14:textId="77777777" w:rsidR="007923E2" w:rsidRPr="00DD5C2B" w:rsidRDefault="007923E2" w:rsidP="005E4F16">
            <w:pPr>
              <w:rPr>
                <w:rFonts w:ascii="Arial" w:hAnsi="Arial"/>
                <w:sz w:val="24"/>
              </w:rPr>
            </w:pPr>
            <w:r>
              <w:rPr>
                <w:rFonts w:ascii="Arial" w:hAnsi="Arial"/>
                <w:sz w:val="24"/>
              </w:rPr>
              <w:t>Manager</w:t>
            </w:r>
          </w:p>
        </w:tc>
      </w:tr>
      <w:tr w:rsidR="006B4CD8" w:rsidRPr="00DD5C2B" w14:paraId="3A852875" w14:textId="77777777" w:rsidTr="00DD5C2B">
        <w:tc>
          <w:tcPr>
            <w:tcW w:w="3260" w:type="dxa"/>
            <w:shd w:val="clear" w:color="auto" w:fill="auto"/>
          </w:tcPr>
          <w:p w14:paraId="36D06028" w14:textId="77777777" w:rsidR="006B4CD8" w:rsidRPr="00DD5C2B" w:rsidRDefault="006B4CD8" w:rsidP="005E4F16">
            <w:pPr>
              <w:rPr>
                <w:rFonts w:ascii="Arial" w:hAnsi="Arial"/>
                <w:sz w:val="24"/>
              </w:rPr>
            </w:pPr>
            <w:r w:rsidRPr="00DD5C2B">
              <w:rPr>
                <w:rFonts w:ascii="Arial" w:hAnsi="Arial"/>
                <w:sz w:val="24"/>
              </w:rPr>
              <w:t>Appointed Actuary</w:t>
            </w:r>
          </w:p>
        </w:tc>
        <w:tc>
          <w:tcPr>
            <w:tcW w:w="5941" w:type="dxa"/>
            <w:shd w:val="clear" w:color="auto" w:fill="auto"/>
          </w:tcPr>
          <w:p w14:paraId="7305A483" w14:textId="77777777" w:rsidR="006B4CD8" w:rsidRPr="00DD5C2B" w:rsidRDefault="006B4CD8" w:rsidP="005E4F16">
            <w:pPr>
              <w:rPr>
                <w:rFonts w:ascii="Arial" w:hAnsi="Arial"/>
                <w:sz w:val="24"/>
              </w:rPr>
            </w:pPr>
            <w:r w:rsidRPr="00DD5C2B">
              <w:rPr>
                <w:rFonts w:ascii="Arial" w:hAnsi="Arial"/>
                <w:sz w:val="24"/>
              </w:rPr>
              <w:t>Aon</w:t>
            </w:r>
            <w:r w:rsidR="00D1322B" w:rsidRPr="00DD5C2B">
              <w:rPr>
                <w:rFonts w:ascii="Arial" w:hAnsi="Arial"/>
                <w:sz w:val="24"/>
              </w:rPr>
              <w:t xml:space="preserve"> Plc</w:t>
            </w:r>
          </w:p>
        </w:tc>
      </w:tr>
      <w:tr w:rsidR="006B4CD8" w:rsidRPr="00DD5C2B" w14:paraId="0A55865E" w14:textId="77777777" w:rsidTr="00DD5C2B">
        <w:tc>
          <w:tcPr>
            <w:tcW w:w="3260" w:type="dxa"/>
            <w:shd w:val="clear" w:color="auto" w:fill="auto"/>
          </w:tcPr>
          <w:p w14:paraId="216DD584" w14:textId="77777777" w:rsidR="006B4CD8" w:rsidRPr="00DD5C2B" w:rsidRDefault="006B4CD8" w:rsidP="005E4F16">
            <w:pPr>
              <w:rPr>
                <w:rFonts w:ascii="Arial" w:hAnsi="Arial"/>
                <w:sz w:val="24"/>
              </w:rPr>
            </w:pPr>
            <w:r w:rsidRPr="00DD5C2B">
              <w:rPr>
                <w:rFonts w:ascii="Arial" w:hAnsi="Arial"/>
                <w:sz w:val="24"/>
              </w:rPr>
              <w:t>Performance Measurement</w:t>
            </w:r>
          </w:p>
        </w:tc>
        <w:tc>
          <w:tcPr>
            <w:tcW w:w="5941" w:type="dxa"/>
            <w:shd w:val="clear" w:color="auto" w:fill="auto"/>
          </w:tcPr>
          <w:p w14:paraId="0DA4E799" w14:textId="77777777" w:rsidR="006B4CD8" w:rsidRPr="00DD5C2B" w:rsidRDefault="006B4CD8" w:rsidP="006B4CD8">
            <w:pPr>
              <w:rPr>
                <w:rFonts w:ascii="Arial" w:hAnsi="Arial"/>
                <w:sz w:val="24"/>
              </w:rPr>
            </w:pPr>
            <w:r w:rsidRPr="00DD5C2B">
              <w:rPr>
                <w:rFonts w:ascii="Arial" w:hAnsi="Arial"/>
                <w:sz w:val="24"/>
              </w:rPr>
              <w:t>PIRC Ltd</w:t>
            </w:r>
          </w:p>
        </w:tc>
      </w:tr>
      <w:tr w:rsidR="006B4CD8" w:rsidRPr="00DD5C2B" w14:paraId="08F9E07D" w14:textId="77777777" w:rsidTr="00DD5C2B">
        <w:tc>
          <w:tcPr>
            <w:tcW w:w="3260" w:type="dxa"/>
            <w:shd w:val="clear" w:color="auto" w:fill="auto"/>
          </w:tcPr>
          <w:p w14:paraId="0E1076F4" w14:textId="77777777" w:rsidR="006B4CD8" w:rsidRPr="00DD5C2B" w:rsidRDefault="006B4CD8" w:rsidP="005E4F16">
            <w:pPr>
              <w:rPr>
                <w:rFonts w:ascii="Arial" w:hAnsi="Arial"/>
                <w:sz w:val="24"/>
              </w:rPr>
            </w:pPr>
            <w:r w:rsidRPr="00DD5C2B">
              <w:rPr>
                <w:rFonts w:ascii="Arial" w:hAnsi="Arial"/>
                <w:sz w:val="24"/>
              </w:rPr>
              <w:t>Global Custodians</w:t>
            </w:r>
          </w:p>
        </w:tc>
        <w:tc>
          <w:tcPr>
            <w:tcW w:w="5941" w:type="dxa"/>
            <w:shd w:val="clear" w:color="auto" w:fill="auto"/>
          </w:tcPr>
          <w:p w14:paraId="28B027F6" w14:textId="77777777" w:rsidR="006B4CD8" w:rsidRPr="00DD5C2B" w:rsidRDefault="006B4CD8" w:rsidP="005E4F16">
            <w:pPr>
              <w:rPr>
                <w:rFonts w:ascii="Arial" w:hAnsi="Arial" w:cs="Arial"/>
                <w:sz w:val="24"/>
                <w:szCs w:val="24"/>
              </w:rPr>
            </w:pPr>
            <w:r w:rsidRPr="00DD5C2B">
              <w:rPr>
                <w:rFonts w:ascii="Arial" w:hAnsi="Arial" w:cs="Arial"/>
                <w:sz w:val="24"/>
                <w:szCs w:val="24"/>
              </w:rPr>
              <w:t>HSBC Security Services, Northern Trust</w:t>
            </w:r>
          </w:p>
        </w:tc>
      </w:tr>
      <w:tr w:rsidR="006B4CD8" w:rsidRPr="00DD5C2B" w14:paraId="5D9BDA1F" w14:textId="77777777" w:rsidTr="00DD5C2B">
        <w:tc>
          <w:tcPr>
            <w:tcW w:w="3260" w:type="dxa"/>
            <w:shd w:val="clear" w:color="auto" w:fill="auto"/>
          </w:tcPr>
          <w:p w14:paraId="7525BFE6" w14:textId="77777777" w:rsidR="006B4CD8" w:rsidRPr="00DD5C2B" w:rsidRDefault="006B4CD8" w:rsidP="005E4F16">
            <w:pPr>
              <w:rPr>
                <w:rFonts w:ascii="Arial" w:hAnsi="Arial"/>
                <w:sz w:val="24"/>
              </w:rPr>
            </w:pPr>
            <w:r w:rsidRPr="00DD5C2B">
              <w:rPr>
                <w:rFonts w:ascii="Arial" w:hAnsi="Arial"/>
                <w:sz w:val="24"/>
              </w:rPr>
              <w:t>Bankers</w:t>
            </w:r>
          </w:p>
        </w:tc>
        <w:tc>
          <w:tcPr>
            <w:tcW w:w="5941" w:type="dxa"/>
            <w:shd w:val="clear" w:color="auto" w:fill="auto"/>
          </w:tcPr>
          <w:p w14:paraId="443FC600" w14:textId="77777777" w:rsidR="006B4CD8" w:rsidRPr="00DD5C2B" w:rsidRDefault="006B4CD8" w:rsidP="005E4F16">
            <w:pPr>
              <w:rPr>
                <w:rFonts w:ascii="Arial" w:hAnsi="Arial"/>
                <w:sz w:val="24"/>
              </w:rPr>
            </w:pPr>
            <w:r w:rsidRPr="00DD5C2B">
              <w:rPr>
                <w:rFonts w:ascii="Arial" w:hAnsi="Arial"/>
                <w:sz w:val="24"/>
              </w:rPr>
              <w:t xml:space="preserve">Lloyds Bank </w:t>
            </w:r>
            <w:r w:rsidR="00E23135">
              <w:rPr>
                <w:rFonts w:ascii="Arial" w:hAnsi="Arial"/>
                <w:sz w:val="24"/>
              </w:rPr>
              <w:t>Plc</w:t>
            </w:r>
          </w:p>
        </w:tc>
      </w:tr>
      <w:tr w:rsidR="006B4CD8" w:rsidRPr="00DD5C2B" w14:paraId="4D498C46" w14:textId="77777777" w:rsidTr="00DD5C2B">
        <w:tc>
          <w:tcPr>
            <w:tcW w:w="3260" w:type="dxa"/>
            <w:shd w:val="clear" w:color="auto" w:fill="auto"/>
          </w:tcPr>
          <w:p w14:paraId="3F0BB539" w14:textId="77777777" w:rsidR="006B4CD8" w:rsidRPr="00DD5C2B" w:rsidRDefault="006B4CD8" w:rsidP="005E4F16">
            <w:pPr>
              <w:rPr>
                <w:rFonts w:ascii="Arial" w:hAnsi="Arial"/>
                <w:sz w:val="24"/>
              </w:rPr>
            </w:pPr>
            <w:r w:rsidRPr="00DD5C2B">
              <w:rPr>
                <w:rFonts w:ascii="Arial" w:hAnsi="Arial"/>
                <w:sz w:val="24"/>
              </w:rPr>
              <w:t>Legal Advisors</w:t>
            </w:r>
          </w:p>
        </w:tc>
        <w:tc>
          <w:tcPr>
            <w:tcW w:w="5941" w:type="dxa"/>
            <w:shd w:val="clear" w:color="auto" w:fill="auto"/>
          </w:tcPr>
          <w:p w14:paraId="3F341D01" w14:textId="77777777" w:rsidR="006B4CD8" w:rsidRPr="00DD5C2B" w:rsidRDefault="006B4CD8" w:rsidP="005E4F16">
            <w:pPr>
              <w:rPr>
                <w:rFonts w:ascii="Arial" w:hAnsi="Arial"/>
                <w:sz w:val="24"/>
              </w:rPr>
            </w:pPr>
            <w:r w:rsidRPr="00DD5C2B">
              <w:rPr>
                <w:rFonts w:ascii="Arial" w:hAnsi="Arial"/>
                <w:sz w:val="24"/>
              </w:rPr>
              <w:t>City &amp; County of Swansea Legal Depar</w:t>
            </w:r>
            <w:r w:rsidR="000516BD">
              <w:rPr>
                <w:rFonts w:ascii="Arial" w:hAnsi="Arial"/>
                <w:sz w:val="24"/>
              </w:rPr>
              <w:t>t</w:t>
            </w:r>
            <w:r w:rsidRPr="00DD5C2B">
              <w:rPr>
                <w:rFonts w:ascii="Arial" w:hAnsi="Arial"/>
                <w:sz w:val="24"/>
              </w:rPr>
              <w:t>ment &amp; Dolmans Solicitors</w:t>
            </w:r>
          </w:p>
        </w:tc>
      </w:tr>
      <w:tr w:rsidR="006B4CD8" w:rsidRPr="00DD5C2B" w14:paraId="58E261EE" w14:textId="77777777" w:rsidTr="00DD5C2B">
        <w:tc>
          <w:tcPr>
            <w:tcW w:w="3260" w:type="dxa"/>
            <w:shd w:val="clear" w:color="auto" w:fill="auto"/>
          </w:tcPr>
          <w:p w14:paraId="19973C43" w14:textId="77777777" w:rsidR="006B4CD8" w:rsidRPr="00DD5C2B" w:rsidRDefault="006B4CD8" w:rsidP="005E4F16">
            <w:pPr>
              <w:rPr>
                <w:rFonts w:ascii="Arial" w:hAnsi="Arial"/>
                <w:sz w:val="24"/>
              </w:rPr>
            </w:pPr>
            <w:r w:rsidRPr="00DD5C2B">
              <w:rPr>
                <w:rFonts w:ascii="Arial" w:hAnsi="Arial"/>
                <w:sz w:val="24"/>
              </w:rPr>
              <w:t>AVC Providers</w:t>
            </w:r>
          </w:p>
        </w:tc>
        <w:tc>
          <w:tcPr>
            <w:tcW w:w="5941" w:type="dxa"/>
            <w:shd w:val="clear" w:color="auto" w:fill="auto"/>
          </w:tcPr>
          <w:p w14:paraId="59EFA038" w14:textId="77777777" w:rsidR="006B4CD8" w:rsidRPr="00DD5C2B" w:rsidRDefault="006B4CD8" w:rsidP="006B28BC">
            <w:pPr>
              <w:rPr>
                <w:rFonts w:ascii="Arial" w:hAnsi="Arial"/>
                <w:sz w:val="24"/>
              </w:rPr>
            </w:pPr>
            <w:r w:rsidRPr="00DD5C2B">
              <w:rPr>
                <w:rFonts w:ascii="Arial" w:hAnsi="Arial"/>
                <w:sz w:val="24"/>
              </w:rPr>
              <w:t xml:space="preserve">Prudential, Aegon and </w:t>
            </w:r>
            <w:r w:rsidR="006B28BC">
              <w:rPr>
                <w:rFonts w:ascii="Arial" w:hAnsi="Arial"/>
                <w:sz w:val="24"/>
              </w:rPr>
              <w:t>Utmost</w:t>
            </w:r>
          </w:p>
        </w:tc>
      </w:tr>
      <w:tr w:rsidR="006B4CD8" w:rsidRPr="00DD5C2B" w14:paraId="65D274BB" w14:textId="77777777" w:rsidTr="00DD5C2B">
        <w:tc>
          <w:tcPr>
            <w:tcW w:w="3260" w:type="dxa"/>
            <w:shd w:val="clear" w:color="auto" w:fill="auto"/>
          </w:tcPr>
          <w:p w14:paraId="7FD3BC47" w14:textId="77777777" w:rsidR="006B4CD8" w:rsidRPr="00DD5C2B" w:rsidRDefault="006B4CD8" w:rsidP="005E4F16">
            <w:pPr>
              <w:rPr>
                <w:rFonts w:ascii="Arial" w:hAnsi="Arial"/>
                <w:sz w:val="24"/>
              </w:rPr>
            </w:pPr>
            <w:r w:rsidRPr="00DD5C2B">
              <w:rPr>
                <w:rFonts w:ascii="Arial" w:hAnsi="Arial"/>
                <w:sz w:val="24"/>
              </w:rPr>
              <w:t>Auditors</w:t>
            </w:r>
          </w:p>
        </w:tc>
        <w:tc>
          <w:tcPr>
            <w:tcW w:w="5941" w:type="dxa"/>
            <w:shd w:val="clear" w:color="auto" w:fill="auto"/>
          </w:tcPr>
          <w:p w14:paraId="78EAE14E" w14:textId="77777777" w:rsidR="006B4CD8" w:rsidRPr="00DD5C2B" w:rsidRDefault="006B4CD8" w:rsidP="005E4F16">
            <w:pPr>
              <w:rPr>
                <w:rFonts w:ascii="Arial" w:hAnsi="Arial"/>
                <w:sz w:val="24"/>
              </w:rPr>
            </w:pPr>
            <w:r w:rsidRPr="00DD5C2B">
              <w:rPr>
                <w:rFonts w:ascii="Arial" w:hAnsi="Arial"/>
                <w:sz w:val="24"/>
              </w:rPr>
              <w:t>Audit Wales</w:t>
            </w:r>
          </w:p>
        </w:tc>
      </w:tr>
    </w:tbl>
    <w:p w14:paraId="55D50C77" w14:textId="77777777" w:rsidR="006B4CD8" w:rsidRDefault="006B4CD8" w:rsidP="005E4F16">
      <w:pPr>
        <w:ind w:left="3600" w:hanging="3600"/>
        <w:rPr>
          <w:rFonts w:ascii="Arial" w:hAnsi="Arial"/>
          <w:sz w:val="24"/>
        </w:rPr>
      </w:pPr>
    </w:p>
    <w:p w14:paraId="694C0599" w14:textId="77777777" w:rsidR="006B4CD8" w:rsidRDefault="006B4CD8" w:rsidP="005E4F16">
      <w:pPr>
        <w:ind w:left="3600" w:hanging="3600"/>
        <w:rPr>
          <w:rFonts w:ascii="Arial" w:hAnsi="Arial"/>
          <w:sz w:val="24"/>
        </w:rPr>
      </w:pPr>
    </w:p>
    <w:p w14:paraId="247FACA7" w14:textId="77777777" w:rsidR="006B4CD8" w:rsidRDefault="006B4CD8" w:rsidP="005E4F16">
      <w:pPr>
        <w:ind w:left="3600" w:hanging="3600"/>
        <w:rPr>
          <w:rFonts w:ascii="Arial" w:hAnsi="Arial"/>
          <w:sz w:val="24"/>
        </w:rPr>
      </w:pPr>
    </w:p>
    <w:p w14:paraId="510F55FD" w14:textId="77777777" w:rsidR="006B4CD8" w:rsidRDefault="006B4CD8" w:rsidP="005E4F16">
      <w:pPr>
        <w:ind w:left="3600" w:hanging="3600"/>
        <w:rPr>
          <w:rFonts w:ascii="Arial" w:hAnsi="Arial"/>
          <w:sz w:val="24"/>
        </w:rPr>
      </w:pPr>
    </w:p>
    <w:p w14:paraId="5462A426" w14:textId="77777777" w:rsidR="006B4CD8" w:rsidRDefault="006B4CD8" w:rsidP="005E4F16">
      <w:pPr>
        <w:ind w:left="3600" w:hanging="3600"/>
        <w:rPr>
          <w:rFonts w:ascii="Arial" w:hAnsi="Arial"/>
          <w:sz w:val="24"/>
        </w:rPr>
      </w:pPr>
    </w:p>
    <w:p w14:paraId="67402C74" w14:textId="77777777" w:rsidR="006B4CD8" w:rsidRDefault="006B4CD8" w:rsidP="005E4F16">
      <w:pPr>
        <w:ind w:left="3600" w:hanging="3600"/>
        <w:rPr>
          <w:rFonts w:ascii="Arial" w:hAnsi="Arial"/>
          <w:sz w:val="24"/>
        </w:rPr>
      </w:pPr>
    </w:p>
    <w:p w14:paraId="23F65880" w14:textId="77777777" w:rsidR="006B4CD8" w:rsidRDefault="006B4CD8" w:rsidP="005E4F16">
      <w:pPr>
        <w:ind w:left="3600" w:hanging="3600"/>
        <w:rPr>
          <w:rFonts w:ascii="Arial" w:hAnsi="Arial"/>
          <w:sz w:val="24"/>
        </w:rPr>
      </w:pPr>
    </w:p>
    <w:p w14:paraId="3CADF1BB" w14:textId="77777777" w:rsidR="006B4CD8" w:rsidRDefault="006B4CD8" w:rsidP="005E4F16">
      <w:pPr>
        <w:ind w:left="3600" w:hanging="3600"/>
        <w:rPr>
          <w:rFonts w:ascii="Arial" w:hAnsi="Arial"/>
          <w:sz w:val="24"/>
        </w:rPr>
      </w:pPr>
    </w:p>
    <w:p w14:paraId="781F547E" w14:textId="77777777" w:rsidR="006B4CD8" w:rsidRDefault="006B4CD8" w:rsidP="005E4F16">
      <w:pPr>
        <w:ind w:left="3600" w:hanging="3600"/>
        <w:rPr>
          <w:rFonts w:ascii="Arial" w:hAnsi="Arial"/>
          <w:sz w:val="24"/>
        </w:rPr>
      </w:pPr>
    </w:p>
    <w:p w14:paraId="64F96380" w14:textId="77777777" w:rsidR="006B4CD8" w:rsidRDefault="006B4CD8" w:rsidP="005E4F16">
      <w:pPr>
        <w:ind w:left="3600" w:hanging="3600"/>
        <w:rPr>
          <w:rFonts w:ascii="Arial" w:hAnsi="Arial"/>
          <w:sz w:val="24"/>
        </w:rPr>
      </w:pPr>
    </w:p>
    <w:p w14:paraId="4E6B1DE9" w14:textId="77777777" w:rsidR="006B4CD8" w:rsidRDefault="006B4CD8" w:rsidP="005E4F16">
      <w:pPr>
        <w:ind w:left="3600" w:hanging="3600"/>
        <w:rPr>
          <w:rFonts w:ascii="Arial" w:hAnsi="Arial"/>
          <w:sz w:val="24"/>
        </w:rPr>
      </w:pPr>
    </w:p>
    <w:p w14:paraId="7E674982" w14:textId="77777777" w:rsidR="00B2408D" w:rsidRDefault="00B2408D" w:rsidP="005E4F16">
      <w:pPr>
        <w:ind w:left="3600" w:hanging="3600"/>
        <w:rPr>
          <w:rFonts w:ascii="Arial" w:hAnsi="Arial"/>
          <w:sz w:val="24"/>
        </w:rPr>
      </w:pPr>
    </w:p>
    <w:p w14:paraId="5B7C0692" w14:textId="77777777" w:rsidR="005E4016" w:rsidRDefault="005E4016" w:rsidP="005E4F16">
      <w:pPr>
        <w:ind w:left="3600" w:hanging="3600"/>
        <w:rPr>
          <w:rFonts w:ascii="Arial" w:hAnsi="Arial"/>
          <w:sz w:val="24"/>
        </w:rPr>
      </w:pPr>
    </w:p>
    <w:p w14:paraId="4015031A" w14:textId="77777777" w:rsidR="005E4016" w:rsidRDefault="005E4016" w:rsidP="005E4F16">
      <w:pPr>
        <w:ind w:left="3600" w:hanging="3600"/>
        <w:rPr>
          <w:rFonts w:ascii="Arial" w:hAnsi="Arial"/>
          <w:sz w:val="24"/>
        </w:rPr>
      </w:pPr>
    </w:p>
    <w:p w14:paraId="0124E426" w14:textId="77777777" w:rsidR="005E4016" w:rsidRDefault="005E4016" w:rsidP="005E4F16">
      <w:pPr>
        <w:ind w:left="3600" w:hanging="3600"/>
        <w:rPr>
          <w:rFonts w:ascii="Arial" w:hAnsi="Arial"/>
          <w:sz w:val="24"/>
        </w:rPr>
      </w:pPr>
    </w:p>
    <w:p w14:paraId="7F514843" w14:textId="77777777" w:rsidR="005E4016" w:rsidRDefault="005E4016" w:rsidP="005E4F16">
      <w:pPr>
        <w:ind w:left="3600" w:hanging="3600"/>
        <w:rPr>
          <w:rFonts w:ascii="Arial" w:hAnsi="Arial"/>
          <w:sz w:val="24"/>
        </w:rPr>
      </w:pPr>
    </w:p>
    <w:p w14:paraId="6C4E36F6" w14:textId="77777777" w:rsidR="005E4016" w:rsidRDefault="005E4016" w:rsidP="005E4F16">
      <w:pPr>
        <w:ind w:left="3600" w:hanging="3600"/>
        <w:rPr>
          <w:rFonts w:ascii="Arial" w:hAnsi="Arial"/>
          <w:sz w:val="24"/>
        </w:rPr>
      </w:pPr>
    </w:p>
    <w:p w14:paraId="0F9F7414" w14:textId="77777777" w:rsidR="005E4016" w:rsidRDefault="005E4016" w:rsidP="005E4F16">
      <w:pPr>
        <w:ind w:left="3600" w:hanging="3600"/>
        <w:rPr>
          <w:rFonts w:ascii="Arial" w:hAnsi="Arial"/>
          <w:sz w:val="24"/>
        </w:rPr>
      </w:pPr>
    </w:p>
    <w:p w14:paraId="7334EEB7" w14:textId="77777777" w:rsidR="005E4016" w:rsidRDefault="005E4016" w:rsidP="005E4F16">
      <w:pPr>
        <w:ind w:left="3600" w:hanging="3600"/>
        <w:rPr>
          <w:rFonts w:ascii="Arial" w:hAnsi="Arial"/>
          <w:sz w:val="24"/>
        </w:rPr>
      </w:pPr>
    </w:p>
    <w:p w14:paraId="50B6DF4F" w14:textId="77777777" w:rsidR="005E4016" w:rsidRDefault="005E4016" w:rsidP="005E4F16">
      <w:pPr>
        <w:ind w:left="3600" w:hanging="3600"/>
        <w:rPr>
          <w:rFonts w:ascii="Arial" w:hAnsi="Arial"/>
          <w:sz w:val="24"/>
        </w:rPr>
      </w:pPr>
    </w:p>
    <w:p w14:paraId="12A1CB38" w14:textId="77777777" w:rsidR="005E4016" w:rsidRDefault="005E4016" w:rsidP="005E4F16">
      <w:pPr>
        <w:ind w:left="3600" w:hanging="3600"/>
        <w:rPr>
          <w:rFonts w:ascii="Arial" w:hAnsi="Arial"/>
          <w:sz w:val="24"/>
        </w:rPr>
      </w:pPr>
    </w:p>
    <w:p w14:paraId="63FDDDF0" w14:textId="77777777" w:rsidR="005E4016" w:rsidRDefault="005E4016" w:rsidP="005E4F16">
      <w:pPr>
        <w:ind w:left="3600" w:hanging="3600"/>
        <w:rPr>
          <w:rFonts w:ascii="Arial" w:hAnsi="Arial"/>
          <w:sz w:val="24"/>
        </w:rPr>
      </w:pPr>
    </w:p>
    <w:p w14:paraId="1D381BAD" w14:textId="77777777" w:rsidR="005E4016" w:rsidRDefault="005E4016" w:rsidP="005E4F16">
      <w:pPr>
        <w:ind w:left="3600" w:hanging="3600"/>
        <w:rPr>
          <w:rFonts w:ascii="Arial" w:hAnsi="Arial"/>
          <w:sz w:val="24"/>
        </w:rPr>
      </w:pPr>
    </w:p>
    <w:p w14:paraId="0C8A8D60" w14:textId="77777777" w:rsidR="005E4016" w:rsidRDefault="005E4016" w:rsidP="005E4F16">
      <w:pPr>
        <w:ind w:left="3600" w:hanging="3600"/>
        <w:rPr>
          <w:rFonts w:ascii="Arial" w:hAnsi="Arial"/>
          <w:sz w:val="24"/>
        </w:rPr>
      </w:pPr>
    </w:p>
    <w:p w14:paraId="3A5E40F7" w14:textId="77777777" w:rsidR="00E01005" w:rsidRDefault="00E01005" w:rsidP="005E4F16">
      <w:pPr>
        <w:ind w:left="3600" w:hanging="3600"/>
        <w:rPr>
          <w:rFonts w:ascii="Arial" w:hAnsi="Arial"/>
          <w:sz w:val="24"/>
        </w:rPr>
      </w:pPr>
    </w:p>
    <w:p w14:paraId="4CEF1A32" w14:textId="77777777" w:rsidR="005E4016" w:rsidRDefault="005E4016" w:rsidP="005E4F16">
      <w:pPr>
        <w:ind w:left="3600" w:hanging="3600"/>
        <w:rPr>
          <w:rFonts w:ascii="Arial" w:hAnsi="Arial"/>
          <w:sz w:val="24"/>
        </w:rPr>
      </w:pPr>
    </w:p>
    <w:p w14:paraId="0BCCE189" w14:textId="77777777" w:rsidR="00945EB1" w:rsidRDefault="00945EB1" w:rsidP="005E4F16">
      <w:pPr>
        <w:ind w:left="3600" w:hanging="3600"/>
        <w:rPr>
          <w:rFonts w:ascii="Arial" w:hAnsi="Arial"/>
          <w:sz w:val="24"/>
        </w:rPr>
      </w:pPr>
    </w:p>
    <w:p w14:paraId="4DF4F16D" w14:textId="77777777" w:rsidR="00945EB1" w:rsidRDefault="00945EB1" w:rsidP="005E4F16">
      <w:pPr>
        <w:ind w:left="3600" w:hanging="3600"/>
        <w:rPr>
          <w:rFonts w:ascii="Arial" w:hAnsi="Arial"/>
          <w:sz w:val="24"/>
        </w:rPr>
      </w:pPr>
    </w:p>
    <w:p w14:paraId="48DEC654" w14:textId="77777777" w:rsidR="00945EB1" w:rsidRDefault="00945EB1" w:rsidP="005E4F16">
      <w:pPr>
        <w:ind w:left="3600" w:hanging="3600"/>
        <w:rPr>
          <w:rFonts w:ascii="Arial" w:hAnsi="Arial"/>
          <w:sz w:val="24"/>
        </w:rPr>
      </w:pPr>
    </w:p>
    <w:p w14:paraId="256B554A" w14:textId="77777777" w:rsidR="00945EB1" w:rsidRDefault="00945EB1" w:rsidP="005E4F16">
      <w:pPr>
        <w:ind w:left="3600" w:hanging="3600"/>
        <w:rPr>
          <w:rFonts w:ascii="Arial" w:hAnsi="Arial"/>
          <w:sz w:val="24"/>
        </w:rPr>
      </w:pPr>
    </w:p>
    <w:p w14:paraId="21B3CA62" w14:textId="77777777" w:rsidR="00945EB1" w:rsidRDefault="00945EB1" w:rsidP="005E4F16">
      <w:pPr>
        <w:ind w:left="3600" w:hanging="3600"/>
        <w:rPr>
          <w:rFonts w:ascii="Arial" w:hAnsi="Arial"/>
          <w:sz w:val="24"/>
        </w:rPr>
      </w:pPr>
    </w:p>
    <w:p w14:paraId="0967C48E" w14:textId="77777777" w:rsidR="00945EB1" w:rsidRDefault="00945EB1" w:rsidP="005E4F16">
      <w:pPr>
        <w:ind w:left="3600" w:hanging="3600"/>
        <w:rPr>
          <w:rFonts w:ascii="Arial" w:hAnsi="Arial"/>
          <w:sz w:val="24"/>
        </w:rPr>
      </w:pPr>
    </w:p>
    <w:p w14:paraId="6CEC42D7" w14:textId="77777777" w:rsidR="00945EB1" w:rsidRDefault="00945EB1" w:rsidP="005E4F16">
      <w:pPr>
        <w:ind w:left="3600" w:hanging="3600"/>
        <w:rPr>
          <w:rFonts w:ascii="Arial" w:hAnsi="Arial"/>
          <w:sz w:val="24"/>
        </w:rPr>
      </w:pPr>
    </w:p>
    <w:p w14:paraId="3ECD2858" w14:textId="77777777" w:rsidR="00945EB1" w:rsidRDefault="00945EB1" w:rsidP="005E4F16">
      <w:pPr>
        <w:ind w:left="3600" w:hanging="3600"/>
        <w:rPr>
          <w:rFonts w:ascii="Arial" w:hAnsi="Arial"/>
          <w:sz w:val="24"/>
        </w:rPr>
      </w:pPr>
    </w:p>
    <w:p w14:paraId="5F9183B8" w14:textId="77777777" w:rsidR="00902B91" w:rsidRDefault="00626E87" w:rsidP="00594AE7">
      <w:pPr>
        <w:ind w:left="3600" w:hanging="3600"/>
        <w:jc w:val="right"/>
        <w:outlineLvl w:val="0"/>
        <w:rPr>
          <w:rFonts w:ascii="Arial" w:hAnsi="Arial"/>
          <w:b/>
        </w:rPr>
      </w:pPr>
      <w:r>
        <w:rPr>
          <w:rFonts w:ascii="Arial" w:hAnsi="Arial"/>
          <w:b/>
        </w:rPr>
        <w:t xml:space="preserve">                                                                                                   A</w:t>
      </w:r>
      <w:r w:rsidR="00902B91" w:rsidRPr="00240106">
        <w:rPr>
          <w:rFonts w:ascii="Arial" w:hAnsi="Arial"/>
          <w:b/>
        </w:rPr>
        <w:t>ppendix 3</w:t>
      </w:r>
    </w:p>
    <w:p w14:paraId="6C771C2F" w14:textId="77777777" w:rsidR="00B12A25" w:rsidRPr="00240106" w:rsidRDefault="00B12A25" w:rsidP="005E4F16">
      <w:pPr>
        <w:ind w:left="3600" w:hanging="3600"/>
        <w:outlineLvl w:val="0"/>
        <w:rPr>
          <w:rFonts w:ascii="Arial" w:hAnsi="Arial"/>
          <w:b/>
        </w:rPr>
      </w:pPr>
    </w:p>
    <w:p w14:paraId="308117F5" w14:textId="7A029BCE" w:rsidR="00902B91" w:rsidRPr="007F0D3D" w:rsidRDefault="00516E75" w:rsidP="005E4F16">
      <w:pPr>
        <w:ind w:left="2880" w:hanging="3600"/>
        <w:jc w:val="center"/>
        <w:rPr>
          <w:rFonts w:ascii="Arial" w:hAnsi="Arial"/>
          <w:b/>
          <w:color w:val="FF0000"/>
        </w:rPr>
      </w:pPr>
      <w:r>
        <w:rPr>
          <w:noProof/>
        </w:rPr>
        <w:drawing>
          <wp:inline distT="0" distB="0" distL="0" distR="0" wp14:anchorId="7AA87FE6" wp14:editId="65795018">
            <wp:extent cx="6136005" cy="4691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6005" cy="4691380"/>
                    </a:xfrm>
                    <a:prstGeom prst="rect">
                      <a:avLst/>
                    </a:prstGeom>
                    <a:noFill/>
                    <a:ln>
                      <a:noFill/>
                    </a:ln>
                  </pic:spPr>
                </pic:pic>
              </a:graphicData>
            </a:graphic>
          </wp:inline>
        </w:drawing>
      </w:r>
    </w:p>
    <w:p w14:paraId="6380E699" w14:textId="77777777" w:rsidR="00902B91" w:rsidRDefault="00902B91" w:rsidP="005E4F16">
      <w:pPr>
        <w:ind w:left="3600" w:hanging="3600"/>
        <w:rPr>
          <w:noProof/>
          <w:lang w:eastAsia="en-GB"/>
        </w:rPr>
      </w:pPr>
    </w:p>
    <w:p w14:paraId="631B5831" w14:textId="77777777" w:rsidR="008E748A" w:rsidRDefault="008E748A" w:rsidP="005E4F16">
      <w:pPr>
        <w:ind w:left="3600" w:hanging="3600"/>
        <w:rPr>
          <w:noProof/>
          <w:lang w:eastAsia="en-GB"/>
        </w:rPr>
      </w:pPr>
    </w:p>
    <w:p w14:paraId="2B133D1F" w14:textId="77777777" w:rsidR="00E93529" w:rsidRDefault="00E93529" w:rsidP="005E4F16">
      <w:pPr>
        <w:ind w:left="3600" w:hanging="3600"/>
        <w:rPr>
          <w:noProof/>
          <w:lang w:eastAsia="en-GB"/>
        </w:rPr>
      </w:pPr>
    </w:p>
    <w:p w14:paraId="1C1CA8A1" w14:textId="77777777" w:rsidR="00E93529" w:rsidRDefault="00E93529" w:rsidP="005E4F16">
      <w:pPr>
        <w:ind w:left="3600" w:hanging="3600"/>
        <w:rPr>
          <w:noProof/>
          <w:lang w:eastAsia="en-GB"/>
        </w:rPr>
      </w:pPr>
    </w:p>
    <w:p w14:paraId="127DDE37" w14:textId="77777777" w:rsidR="00E93529" w:rsidRDefault="00E93529" w:rsidP="005E4F16">
      <w:pPr>
        <w:ind w:left="3600" w:hanging="3600"/>
        <w:rPr>
          <w:noProof/>
          <w:lang w:eastAsia="en-GB"/>
        </w:rPr>
      </w:pPr>
    </w:p>
    <w:p w14:paraId="01C2A087" w14:textId="77777777" w:rsidR="00E93529" w:rsidRDefault="00E93529" w:rsidP="005E4F16">
      <w:pPr>
        <w:ind w:left="3600" w:hanging="3600"/>
        <w:rPr>
          <w:noProof/>
          <w:lang w:eastAsia="en-GB"/>
        </w:rPr>
      </w:pPr>
    </w:p>
    <w:p w14:paraId="22950588" w14:textId="77777777" w:rsidR="00E93529" w:rsidRDefault="00E93529" w:rsidP="005E4F16">
      <w:pPr>
        <w:ind w:left="3600" w:hanging="3600"/>
        <w:rPr>
          <w:noProof/>
          <w:lang w:eastAsia="en-GB"/>
        </w:rPr>
      </w:pPr>
    </w:p>
    <w:p w14:paraId="4A01E582" w14:textId="77777777" w:rsidR="00E93529" w:rsidRDefault="00E93529" w:rsidP="005E4F16">
      <w:pPr>
        <w:ind w:left="3600" w:hanging="3600"/>
        <w:rPr>
          <w:noProof/>
          <w:lang w:eastAsia="en-GB"/>
        </w:rPr>
      </w:pPr>
    </w:p>
    <w:p w14:paraId="45CE986C" w14:textId="77777777" w:rsidR="00E93529" w:rsidRDefault="00E93529" w:rsidP="005E4F16">
      <w:pPr>
        <w:ind w:left="3600" w:hanging="3600"/>
        <w:rPr>
          <w:noProof/>
          <w:lang w:eastAsia="en-GB"/>
        </w:rPr>
      </w:pPr>
    </w:p>
    <w:p w14:paraId="21BA4C2A" w14:textId="77777777" w:rsidR="00E93529" w:rsidRDefault="00E93529" w:rsidP="005E4F16">
      <w:pPr>
        <w:ind w:left="3600" w:hanging="3600"/>
        <w:rPr>
          <w:noProof/>
          <w:lang w:eastAsia="en-GB"/>
        </w:rPr>
      </w:pPr>
    </w:p>
    <w:p w14:paraId="0308B470" w14:textId="77777777" w:rsidR="00E93529" w:rsidRDefault="00E93529" w:rsidP="005E4F16">
      <w:pPr>
        <w:ind w:left="3600" w:hanging="3600"/>
        <w:rPr>
          <w:noProof/>
          <w:lang w:eastAsia="en-GB"/>
        </w:rPr>
      </w:pPr>
    </w:p>
    <w:p w14:paraId="7FFEE39B" w14:textId="77777777" w:rsidR="00E93529" w:rsidRDefault="00E93529" w:rsidP="005E4F16">
      <w:pPr>
        <w:ind w:left="3600" w:hanging="3600"/>
        <w:rPr>
          <w:noProof/>
          <w:lang w:eastAsia="en-GB"/>
        </w:rPr>
      </w:pPr>
    </w:p>
    <w:p w14:paraId="706EB6FB" w14:textId="77777777" w:rsidR="00BD507D" w:rsidRDefault="00BD507D" w:rsidP="005E4F16">
      <w:pPr>
        <w:ind w:left="3600" w:hanging="3600"/>
        <w:rPr>
          <w:noProof/>
          <w:lang w:eastAsia="en-GB"/>
        </w:rPr>
      </w:pPr>
    </w:p>
    <w:p w14:paraId="626EADE6" w14:textId="77777777" w:rsidR="008E748A" w:rsidRDefault="008E748A" w:rsidP="005E4F16">
      <w:pPr>
        <w:ind w:left="3600" w:hanging="3600"/>
        <w:rPr>
          <w:noProof/>
          <w:lang w:eastAsia="en-GB"/>
        </w:rPr>
      </w:pPr>
    </w:p>
    <w:p w14:paraId="4B122DFD" w14:textId="77777777" w:rsidR="00CC0B8F" w:rsidRDefault="00CC0B8F" w:rsidP="005E4F16">
      <w:pPr>
        <w:ind w:left="3600" w:hanging="3600"/>
        <w:rPr>
          <w:noProof/>
          <w:lang w:eastAsia="en-GB"/>
        </w:rPr>
      </w:pPr>
    </w:p>
    <w:p w14:paraId="137B3029" w14:textId="77777777" w:rsidR="00902B91" w:rsidRPr="00CC0B8F" w:rsidRDefault="00626E87" w:rsidP="00BC0C78">
      <w:pPr>
        <w:jc w:val="right"/>
        <w:rPr>
          <w:rFonts w:ascii="Arial" w:hAnsi="Arial"/>
          <w:b/>
          <w:sz w:val="20"/>
        </w:rPr>
      </w:pPr>
      <w:r w:rsidRPr="00CC0B8F">
        <w:rPr>
          <w:rFonts w:ascii="Arial" w:hAnsi="Arial"/>
          <w:b/>
          <w:sz w:val="20"/>
        </w:rPr>
        <w:t xml:space="preserve">                                                                                          </w:t>
      </w:r>
      <w:r w:rsidR="00902B91" w:rsidRPr="00CC0B8F">
        <w:rPr>
          <w:rFonts w:ascii="Arial" w:hAnsi="Arial"/>
          <w:b/>
          <w:sz w:val="20"/>
        </w:rPr>
        <w:t>Appendix 4(i)</w:t>
      </w:r>
    </w:p>
    <w:p w14:paraId="77F341EC" w14:textId="77777777" w:rsidR="00186DDE" w:rsidRDefault="00186DDE" w:rsidP="005E4F16">
      <w:pPr>
        <w:ind w:left="3600" w:hanging="3600"/>
        <w:outlineLvl w:val="0"/>
        <w:rPr>
          <w:rFonts w:ascii="Arial" w:hAnsi="Arial"/>
          <w:b/>
          <w:sz w:val="20"/>
        </w:rPr>
      </w:pPr>
    </w:p>
    <w:p w14:paraId="4A35014E" w14:textId="77777777" w:rsidR="00186DDE" w:rsidRDefault="00186DDE" w:rsidP="005E4F16">
      <w:pPr>
        <w:ind w:left="3600" w:hanging="3600"/>
        <w:outlineLvl w:val="0"/>
        <w:rPr>
          <w:rFonts w:ascii="Arial" w:hAnsi="Arial"/>
          <w:b/>
          <w:sz w:val="20"/>
        </w:rPr>
      </w:pPr>
    </w:p>
    <w:p w14:paraId="6E7FEFDD" w14:textId="18BD9B1C" w:rsidR="00186DDE" w:rsidRDefault="00516E75" w:rsidP="005E4F16">
      <w:pPr>
        <w:ind w:left="3600" w:hanging="3600"/>
        <w:outlineLvl w:val="0"/>
        <w:rPr>
          <w:rFonts w:ascii="Arial" w:hAnsi="Arial"/>
          <w:b/>
          <w:sz w:val="20"/>
        </w:rPr>
      </w:pPr>
      <w:r>
        <w:rPr>
          <w:noProof/>
        </w:rPr>
        <w:drawing>
          <wp:inline distT="0" distB="0" distL="0" distR="0" wp14:anchorId="2D3F8B06" wp14:editId="180BD380">
            <wp:extent cx="6088380" cy="49758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8380" cy="4975860"/>
                    </a:xfrm>
                    <a:prstGeom prst="rect">
                      <a:avLst/>
                    </a:prstGeom>
                    <a:noFill/>
                    <a:ln>
                      <a:noFill/>
                    </a:ln>
                  </pic:spPr>
                </pic:pic>
              </a:graphicData>
            </a:graphic>
          </wp:inline>
        </w:drawing>
      </w:r>
    </w:p>
    <w:p w14:paraId="3D21EC05" w14:textId="77777777" w:rsidR="00186DDE" w:rsidRDefault="00186DDE" w:rsidP="005E4F16">
      <w:pPr>
        <w:ind w:left="3600" w:hanging="3600"/>
        <w:outlineLvl w:val="0"/>
        <w:rPr>
          <w:rFonts w:ascii="Arial" w:hAnsi="Arial"/>
          <w:b/>
          <w:sz w:val="20"/>
        </w:rPr>
      </w:pPr>
    </w:p>
    <w:p w14:paraId="596843AC" w14:textId="77777777" w:rsidR="00186DDE" w:rsidRDefault="00186DDE" w:rsidP="005E4F16">
      <w:pPr>
        <w:ind w:left="3600" w:hanging="3600"/>
        <w:outlineLvl w:val="0"/>
        <w:rPr>
          <w:rFonts w:ascii="Arial" w:hAnsi="Arial"/>
          <w:b/>
          <w:sz w:val="20"/>
        </w:rPr>
      </w:pPr>
    </w:p>
    <w:p w14:paraId="0FF8FEBF" w14:textId="77777777" w:rsidR="00186DDE" w:rsidRDefault="00186DDE" w:rsidP="005E4F16">
      <w:pPr>
        <w:ind w:left="3600" w:hanging="3600"/>
        <w:outlineLvl w:val="0"/>
        <w:rPr>
          <w:rFonts w:ascii="Arial" w:hAnsi="Arial"/>
          <w:b/>
          <w:sz w:val="20"/>
        </w:rPr>
      </w:pPr>
    </w:p>
    <w:p w14:paraId="5E519005" w14:textId="77777777" w:rsidR="00186DDE" w:rsidRDefault="00186DDE" w:rsidP="005E4F16">
      <w:pPr>
        <w:ind w:left="3600" w:hanging="3600"/>
        <w:outlineLvl w:val="0"/>
        <w:rPr>
          <w:rFonts w:ascii="Arial" w:hAnsi="Arial"/>
          <w:b/>
          <w:sz w:val="20"/>
        </w:rPr>
      </w:pPr>
    </w:p>
    <w:p w14:paraId="7A0EF737" w14:textId="77777777" w:rsidR="00186DDE" w:rsidRDefault="00186DDE" w:rsidP="005E4F16">
      <w:pPr>
        <w:ind w:left="3600" w:hanging="3600"/>
        <w:outlineLvl w:val="0"/>
        <w:rPr>
          <w:rFonts w:ascii="Arial" w:hAnsi="Arial"/>
          <w:b/>
          <w:sz w:val="20"/>
        </w:rPr>
      </w:pPr>
    </w:p>
    <w:p w14:paraId="2B2EEC4C" w14:textId="77777777" w:rsidR="00186DDE" w:rsidRDefault="00186DDE" w:rsidP="005E4F16">
      <w:pPr>
        <w:ind w:left="3600" w:hanging="3600"/>
        <w:outlineLvl w:val="0"/>
        <w:rPr>
          <w:rFonts w:ascii="Arial" w:hAnsi="Arial"/>
          <w:b/>
          <w:sz w:val="20"/>
        </w:rPr>
      </w:pPr>
    </w:p>
    <w:p w14:paraId="422BE811" w14:textId="77777777" w:rsidR="00186DDE" w:rsidRDefault="00186DDE" w:rsidP="005E4F16">
      <w:pPr>
        <w:ind w:left="3600" w:hanging="3600"/>
        <w:outlineLvl w:val="0"/>
        <w:rPr>
          <w:rFonts w:ascii="Arial" w:hAnsi="Arial"/>
          <w:b/>
          <w:sz w:val="20"/>
        </w:rPr>
      </w:pPr>
    </w:p>
    <w:p w14:paraId="2972A074" w14:textId="77777777" w:rsidR="00186DDE" w:rsidRDefault="00186DDE" w:rsidP="005E4F16">
      <w:pPr>
        <w:ind w:left="3600" w:hanging="3600"/>
        <w:outlineLvl w:val="0"/>
        <w:rPr>
          <w:rFonts w:ascii="Arial" w:hAnsi="Arial"/>
          <w:b/>
          <w:sz w:val="20"/>
        </w:rPr>
      </w:pPr>
    </w:p>
    <w:p w14:paraId="2D825889" w14:textId="77777777" w:rsidR="002757E3" w:rsidRDefault="002757E3" w:rsidP="005E4F16">
      <w:pPr>
        <w:ind w:left="3600" w:hanging="3600"/>
        <w:outlineLvl w:val="0"/>
        <w:rPr>
          <w:rFonts w:ascii="Arial" w:hAnsi="Arial"/>
          <w:b/>
          <w:sz w:val="20"/>
        </w:rPr>
      </w:pPr>
    </w:p>
    <w:p w14:paraId="7C8B43CD" w14:textId="77777777" w:rsidR="002757E3" w:rsidRDefault="002757E3" w:rsidP="005E4F16">
      <w:pPr>
        <w:ind w:left="3600" w:hanging="3600"/>
        <w:outlineLvl w:val="0"/>
        <w:rPr>
          <w:rFonts w:ascii="Arial" w:hAnsi="Arial"/>
          <w:b/>
          <w:sz w:val="20"/>
        </w:rPr>
      </w:pPr>
    </w:p>
    <w:p w14:paraId="05B50CFB" w14:textId="77777777" w:rsidR="002757E3" w:rsidRDefault="002757E3" w:rsidP="005E4F16">
      <w:pPr>
        <w:ind w:left="3600" w:hanging="3600"/>
        <w:outlineLvl w:val="0"/>
        <w:rPr>
          <w:rFonts w:ascii="Arial" w:hAnsi="Arial"/>
          <w:b/>
          <w:sz w:val="20"/>
        </w:rPr>
      </w:pPr>
    </w:p>
    <w:p w14:paraId="0DBFB641" w14:textId="77777777" w:rsidR="002757E3" w:rsidRDefault="002757E3" w:rsidP="005E4F16">
      <w:pPr>
        <w:ind w:left="3600" w:hanging="3600"/>
        <w:outlineLvl w:val="0"/>
        <w:rPr>
          <w:rFonts w:ascii="Arial" w:hAnsi="Arial"/>
          <w:b/>
          <w:sz w:val="20"/>
        </w:rPr>
      </w:pPr>
    </w:p>
    <w:p w14:paraId="0EBF9084" w14:textId="77777777" w:rsidR="00186DDE" w:rsidRDefault="00186DDE" w:rsidP="005E4F16">
      <w:pPr>
        <w:ind w:left="3600" w:hanging="3600"/>
        <w:outlineLvl w:val="0"/>
        <w:rPr>
          <w:rFonts w:ascii="Arial" w:hAnsi="Arial"/>
          <w:b/>
          <w:sz w:val="20"/>
        </w:rPr>
      </w:pPr>
    </w:p>
    <w:p w14:paraId="6617D491" w14:textId="77777777" w:rsidR="00186DDE" w:rsidRDefault="00186DDE" w:rsidP="005E4F16">
      <w:pPr>
        <w:ind w:left="3600" w:hanging="3600"/>
        <w:outlineLvl w:val="0"/>
        <w:rPr>
          <w:rFonts w:ascii="Arial" w:hAnsi="Arial"/>
          <w:b/>
          <w:sz w:val="20"/>
        </w:rPr>
      </w:pPr>
    </w:p>
    <w:p w14:paraId="3B42BCDB" w14:textId="77777777" w:rsidR="00186DDE" w:rsidRDefault="00186DDE" w:rsidP="005E4F16">
      <w:pPr>
        <w:ind w:left="3600" w:hanging="3600"/>
        <w:outlineLvl w:val="0"/>
        <w:rPr>
          <w:rFonts w:ascii="Arial" w:hAnsi="Arial"/>
          <w:b/>
          <w:sz w:val="20"/>
        </w:rPr>
      </w:pPr>
    </w:p>
    <w:p w14:paraId="0A53F2E8" w14:textId="77777777" w:rsidR="00186DDE" w:rsidRDefault="00186DDE" w:rsidP="005E4F16">
      <w:pPr>
        <w:ind w:left="3600" w:hanging="3600"/>
        <w:outlineLvl w:val="0"/>
        <w:rPr>
          <w:rFonts w:ascii="Arial" w:hAnsi="Arial"/>
          <w:b/>
          <w:sz w:val="20"/>
        </w:rPr>
      </w:pPr>
    </w:p>
    <w:p w14:paraId="519A5D7C" w14:textId="77777777" w:rsidR="00274675" w:rsidRDefault="00274675" w:rsidP="00BC0C78">
      <w:pPr>
        <w:tabs>
          <w:tab w:val="left" w:pos="720"/>
          <w:tab w:val="left" w:pos="1134"/>
          <w:tab w:val="right" w:pos="9504"/>
        </w:tabs>
        <w:jc w:val="right"/>
        <w:outlineLvl w:val="0"/>
        <w:rPr>
          <w:rFonts w:ascii="Arial" w:hAnsi="Arial"/>
          <w:b/>
          <w:sz w:val="24"/>
          <w:szCs w:val="24"/>
        </w:rPr>
      </w:pPr>
    </w:p>
    <w:p w14:paraId="2A014886" w14:textId="77777777" w:rsidR="00902B91" w:rsidRPr="00CE19EA" w:rsidRDefault="00902B91" w:rsidP="00BC0C78">
      <w:pPr>
        <w:tabs>
          <w:tab w:val="left" w:pos="720"/>
          <w:tab w:val="left" w:pos="1134"/>
          <w:tab w:val="right" w:pos="9504"/>
        </w:tabs>
        <w:jc w:val="right"/>
        <w:outlineLvl w:val="0"/>
        <w:rPr>
          <w:rFonts w:ascii="Arial" w:hAnsi="Arial"/>
          <w:b/>
          <w:sz w:val="24"/>
          <w:szCs w:val="24"/>
        </w:rPr>
      </w:pPr>
      <w:r w:rsidRPr="00CE19EA">
        <w:rPr>
          <w:rFonts w:ascii="Arial" w:hAnsi="Arial"/>
          <w:b/>
          <w:sz w:val="24"/>
          <w:szCs w:val="24"/>
        </w:rPr>
        <w:lastRenderedPageBreak/>
        <w:t>Appendix 4 (ii)</w:t>
      </w:r>
    </w:p>
    <w:p w14:paraId="0E47F46E" w14:textId="7129CBED" w:rsidR="007F2D77" w:rsidRDefault="00516E75" w:rsidP="005E4F16">
      <w:pPr>
        <w:pStyle w:val="BodyText3"/>
        <w:tabs>
          <w:tab w:val="clear" w:pos="1134"/>
        </w:tabs>
        <w:jc w:val="right"/>
        <w:outlineLvl w:val="9"/>
        <w:rPr>
          <w:noProof/>
          <w:lang w:eastAsia="en-GB"/>
        </w:rPr>
      </w:pPr>
      <w:r>
        <w:rPr>
          <w:noProof/>
        </w:rPr>
        <w:drawing>
          <wp:inline distT="0" distB="0" distL="0" distR="0" wp14:anchorId="79C53161" wp14:editId="38535D29">
            <wp:extent cx="5866130" cy="37001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6130" cy="3700145"/>
                    </a:xfrm>
                    <a:prstGeom prst="rect">
                      <a:avLst/>
                    </a:prstGeom>
                    <a:noFill/>
                    <a:ln>
                      <a:noFill/>
                    </a:ln>
                  </pic:spPr>
                </pic:pic>
              </a:graphicData>
            </a:graphic>
          </wp:inline>
        </w:drawing>
      </w:r>
    </w:p>
    <w:p w14:paraId="7978D8D4" w14:textId="77777777" w:rsidR="00296664" w:rsidRDefault="00296664" w:rsidP="005E4F16">
      <w:pPr>
        <w:pStyle w:val="BodyText3"/>
        <w:tabs>
          <w:tab w:val="clear" w:pos="1134"/>
        </w:tabs>
        <w:jc w:val="right"/>
        <w:outlineLvl w:val="9"/>
        <w:rPr>
          <w:noProof/>
          <w:lang w:eastAsia="en-GB"/>
        </w:rPr>
      </w:pPr>
    </w:p>
    <w:p w14:paraId="2C23380D" w14:textId="77777777" w:rsidR="00296664" w:rsidRDefault="00296664" w:rsidP="005E4F16">
      <w:pPr>
        <w:pStyle w:val="BodyText3"/>
        <w:tabs>
          <w:tab w:val="clear" w:pos="1134"/>
        </w:tabs>
        <w:jc w:val="right"/>
        <w:outlineLvl w:val="9"/>
        <w:rPr>
          <w:noProof/>
          <w:lang w:eastAsia="en-GB"/>
        </w:rPr>
      </w:pPr>
    </w:p>
    <w:p w14:paraId="5E2A0816" w14:textId="2540A8A5" w:rsidR="003A6143" w:rsidRDefault="00516E75" w:rsidP="005E4F16">
      <w:pPr>
        <w:ind w:left="3600" w:hanging="3600"/>
        <w:rPr>
          <w:sz w:val="24"/>
        </w:rPr>
      </w:pPr>
      <w:r>
        <w:rPr>
          <w:noProof/>
        </w:rPr>
        <w:drawing>
          <wp:inline distT="0" distB="0" distL="0" distR="0" wp14:anchorId="1D044C07" wp14:editId="578BB236">
            <wp:extent cx="5860415" cy="36360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0415" cy="3636010"/>
                    </a:xfrm>
                    <a:prstGeom prst="rect">
                      <a:avLst/>
                    </a:prstGeom>
                    <a:noFill/>
                    <a:ln>
                      <a:noFill/>
                    </a:ln>
                  </pic:spPr>
                </pic:pic>
              </a:graphicData>
            </a:graphic>
          </wp:inline>
        </w:drawing>
      </w:r>
    </w:p>
    <w:p w14:paraId="0D852B22" w14:textId="77777777" w:rsidR="00C203D8" w:rsidRDefault="00C203D8" w:rsidP="005E4F16">
      <w:pPr>
        <w:ind w:left="3600" w:hanging="3600"/>
        <w:rPr>
          <w:sz w:val="24"/>
        </w:rPr>
      </w:pPr>
    </w:p>
    <w:p w14:paraId="48D4637C" w14:textId="77777777" w:rsidR="00C203D8" w:rsidRDefault="00C203D8" w:rsidP="005E4F16">
      <w:pPr>
        <w:ind w:left="3600" w:hanging="3600"/>
        <w:rPr>
          <w:sz w:val="24"/>
        </w:rPr>
      </w:pPr>
    </w:p>
    <w:p w14:paraId="16F9655D" w14:textId="77777777" w:rsidR="00E93529" w:rsidRDefault="00626E87" w:rsidP="00BC0C78">
      <w:pPr>
        <w:tabs>
          <w:tab w:val="left" w:pos="1134"/>
        </w:tabs>
        <w:jc w:val="right"/>
        <w:outlineLvl w:val="0"/>
        <w:rPr>
          <w:rFonts w:ascii="Arial" w:hAnsi="Arial"/>
          <w:b/>
        </w:rPr>
      </w:pPr>
      <w:r>
        <w:rPr>
          <w:rFonts w:ascii="Arial" w:hAnsi="Arial"/>
          <w:b/>
        </w:rPr>
        <w:t xml:space="preserve">                                                                                                       </w:t>
      </w:r>
    </w:p>
    <w:p w14:paraId="78B2680A" w14:textId="77777777" w:rsidR="00E93529" w:rsidRDefault="00E93529" w:rsidP="00BC0C78">
      <w:pPr>
        <w:tabs>
          <w:tab w:val="left" w:pos="1134"/>
        </w:tabs>
        <w:jc w:val="right"/>
        <w:outlineLvl w:val="0"/>
        <w:rPr>
          <w:rFonts w:ascii="Arial" w:hAnsi="Arial"/>
          <w:b/>
        </w:rPr>
      </w:pPr>
    </w:p>
    <w:p w14:paraId="6F4E3DDE" w14:textId="77777777" w:rsidR="00902B91" w:rsidRPr="00866445" w:rsidRDefault="00902B91" w:rsidP="00BC0C78">
      <w:pPr>
        <w:tabs>
          <w:tab w:val="left" w:pos="1134"/>
        </w:tabs>
        <w:jc w:val="right"/>
        <w:outlineLvl w:val="0"/>
        <w:rPr>
          <w:rFonts w:ascii="Arial" w:hAnsi="Arial"/>
          <w:b/>
        </w:rPr>
      </w:pPr>
      <w:r w:rsidRPr="00D63852">
        <w:rPr>
          <w:rFonts w:ascii="Arial" w:hAnsi="Arial"/>
          <w:b/>
        </w:rPr>
        <w:t>Appendix 5</w:t>
      </w:r>
    </w:p>
    <w:p w14:paraId="27A85FC4" w14:textId="77777777" w:rsidR="00545AF9" w:rsidRDefault="00545AF9" w:rsidP="005E4F16">
      <w:pPr>
        <w:tabs>
          <w:tab w:val="left" w:pos="1134"/>
        </w:tabs>
        <w:jc w:val="center"/>
      </w:pPr>
    </w:p>
    <w:p w14:paraId="016EAE42" w14:textId="46D655D2" w:rsidR="00C56495" w:rsidRDefault="00516E75" w:rsidP="005E4F16">
      <w:pPr>
        <w:tabs>
          <w:tab w:val="left" w:pos="1134"/>
        </w:tabs>
        <w:jc w:val="center"/>
      </w:pPr>
      <w:r>
        <w:rPr>
          <w:noProof/>
        </w:rPr>
        <w:drawing>
          <wp:inline distT="0" distB="0" distL="0" distR="0" wp14:anchorId="48E570B3" wp14:editId="1F8EDD8E">
            <wp:extent cx="6092190" cy="4537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2190" cy="4537075"/>
                    </a:xfrm>
                    <a:prstGeom prst="rect">
                      <a:avLst/>
                    </a:prstGeom>
                    <a:noFill/>
                    <a:ln>
                      <a:noFill/>
                    </a:ln>
                  </pic:spPr>
                </pic:pic>
              </a:graphicData>
            </a:graphic>
          </wp:inline>
        </w:drawing>
      </w:r>
    </w:p>
    <w:p w14:paraId="0E1FDB78" w14:textId="77777777" w:rsidR="00E93529" w:rsidRDefault="00E93529" w:rsidP="005E4F16">
      <w:pPr>
        <w:tabs>
          <w:tab w:val="left" w:pos="1134"/>
        </w:tabs>
        <w:jc w:val="center"/>
        <w:rPr>
          <w:noProof/>
          <w:lang w:eastAsia="en-GB"/>
        </w:rPr>
      </w:pPr>
    </w:p>
    <w:p w14:paraId="773334A0" w14:textId="77777777" w:rsidR="006C2E2C" w:rsidRDefault="006C2E2C" w:rsidP="005E4F16">
      <w:pPr>
        <w:tabs>
          <w:tab w:val="left" w:pos="1134"/>
        </w:tabs>
        <w:jc w:val="center"/>
        <w:rPr>
          <w:noProof/>
          <w:lang w:eastAsia="en-GB"/>
        </w:rPr>
      </w:pPr>
    </w:p>
    <w:p w14:paraId="0276E603" w14:textId="77777777" w:rsidR="006C2E2C" w:rsidRDefault="006C2E2C" w:rsidP="005E4F16">
      <w:pPr>
        <w:tabs>
          <w:tab w:val="left" w:pos="1134"/>
        </w:tabs>
        <w:jc w:val="center"/>
        <w:rPr>
          <w:noProof/>
          <w:lang w:eastAsia="en-GB"/>
        </w:rPr>
      </w:pPr>
    </w:p>
    <w:p w14:paraId="2662B0F9" w14:textId="77777777" w:rsidR="006C2E2C" w:rsidRDefault="006C2E2C" w:rsidP="005E4F16">
      <w:pPr>
        <w:tabs>
          <w:tab w:val="left" w:pos="1134"/>
        </w:tabs>
        <w:jc w:val="center"/>
        <w:rPr>
          <w:noProof/>
          <w:lang w:eastAsia="en-GB"/>
        </w:rPr>
      </w:pPr>
    </w:p>
    <w:p w14:paraId="332BF68F" w14:textId="77777777" w:rsidR="006C2E2C" w:rsidRDefault="006C2E2C" w:rsidP="005E4F16">
      <w:pPr>
        <w:tabs>
          <w:tab w:val="left" w:pos="1134"/>
        </w:tabs>
        <w:jc w:val="center"/>
        <w:rPr>
          <w:noProof/>
          <w:lang w:eastAsia="en-GB"/>
        </w:rPr>
      </w:pPr>
    </w:p>
    <w:p w14:paraId="389E9BF9" w14:textId="77777777" w:rsidR="006C2E2C" w:rsidRDefault="006C2E2C" w:rsidP="005E4F16">
      <w:pPr>
        <w:tabs>
          <w:tab w:val="left" w:pos="1134"/>
        </w:tabs>
        <w:jc w:val="center"/>
        <w:rPr>
          <w:noProof/>
          <w:lang w:eastAsia="en-GB"/>
        </w:rPr>
      </w:pPr>
    </w:p>
    <w:p w14:paraId="37D278FF" w14:textId="77777777" w:rsidR="006C2E2C" w:rsidRDefault="006C2E2C" w:rsidP="005E4F16">
      <w:pPr>
        <w:tabs>
          <w:tab w:val="left" w:pos="1134"/>
        </w:tabs>
        <w:jc w:val="center"/>
        <w:rPr>
          <w:noProof/>
          <w:lang w:eastAsia="en-GB"/>
        </w:rPr>
      </w:pPr>
    </w:p>
    <w:p w14:paraId="2078AACD" w14:textId="77777777" w:rsidR="006C2E2C" w:rsidRDefault="006C2E2C" w:rsidP="005E4F16">
      <w:pPr>
        <w:tabs>
          <w:tab w:val="left" w:pos="1134"/>
        </w:tabs>
        <w:jc w:val="center"/>
        <w:rPr>
          <w:noProof/>
          <w:lang w:eastAsia="en-GB"/>
        </w:rPr>
      </w:pPr>
    </w:p>
    <w:p w14:paraId="503D3DFB" w14:textId="77777777" w:rsidR="006C2E2C" w:rsidRDefault="006C2E2C" w:rsidP="005E4F16">
      <w:pPr>
        <w:tabs>
          <w:tab w:val="left" w:pos="1134"/>
        </w:tabs>
        <w:jc w:val="center"/>
        <w:rPr>
          <w:noProof/>
          <w:lang w:eastAsia="en-GB"/>
        </w:rPr>
      </w:pPr>
    </w:p>
    <w:p w14:paraId="587FB946" w14:textId="77777777" w:rsidR="006C2E2C" w:rsidRDefault="006C2E2C" w:rsidP="005E4F16">
      <w:pPr>
        <w:tabs>
          <w:tab w:val="left" w:pos="1134"/>
        </w:tabs>
        <w:jc w:val="center"/>
        <w:rPr>
          <w:noProof/>
          <w:lang w:eastAsia="en-GB"/>
        </w:rPr>
      </w:pPr>
    </w:p>
    <w:p w14:paraId="36F38C45" w14:textId="77777777" w:rsidR="006C2E2C" w:rsidRDefault="006C2E2C" w:rsidP="005E4F16">
      <w:pPr>
        <w:tabs>
          <w:tab w:val="left" w:pos="1134"/>
        </w:tabs>
        <w:jc w:val="center"/>
        <w:rPr>
          <w:noProof/>
          <w:lang w:eastAsia="en-GB"/>
        </w:rPr>
      </w:pPr>
    </w:p>
    <w:p w14:paraId="385904BD" w14:textId="77777777" w:rsidR="006C2E2C" w:rsidRDefault="006C2E2C" w:rsidP="005E4F16">
      <w:pPr>
        <w:tabs>
          <w:tab w:val="left" w:pos="1134"/>
        </w:tabs>
        <w:jc w:val="center"/>
        <w:rPr>
          <w:noProof/>
          <w:lang w:eastAsia="en-GB"/>
        </w:rPr>
      </w:pPr>
    </w:p>
    <w:p w14:paraId="4A17A00D" w14:textId="77777777" w:rsidR="008E0A3C" w:rsidRDefault="008E0A3C" w:rsidP="005E4F16">
      <w:pPr>
        <w:tabs>
          <w:tab w:val="left" w:pos="1134"/>
        </w:tabs>
        <w:jc w:val="center"/>
        <w:rPr>
          <w:noProof/>
          <w:lang w:eastAsia="en-GB"/>
        </w:rPr>
      </w:pPr>
    </w:p>
    <w:p w14:paraId="0763E0F4" w14:textId="7D782BC6" w:rsidR="00B53783" w:rsidRDefault="003B08E2" w:rsidP="008E0A3C">
      <w:pPr>
        <w:tabs>
          <w:tab w:val="left" w:pos="1134"/>
        </w:tabs>
        <w:jc w:val="center"/>
        <w:rPr>
          <w:b/>
          <w:noProof/>
          <w:lang w:eastAsia="en-GB"/>
        </w:rPr>
      </w:pPr>
      <w:r>
        <w:rPr>
          <w:noProof/>
          <w:lang w:eastAsia="en-GB"/>
        </w:rPr>
        <w:lastRenderedPageBreak/>
        <w:t xml:space="preserve">                                                                            </w:t>
      </w:r>
      <w:r w:rsidRPr="008E0A3C">
        <w:rPr>
          <w:b/>
          <w:bCs/>
          <w:noProof/>
          <w:lang w:eastAsia="en-GB"/>
        </w:rPr>
        <w:t>Appendix</w:t>
      </w:r>
      <w:r w:rsidR="008E0A3C">
        <w:rPr>
          <w:b/>
          <w:bCs/>
          <w:noProof/>
          <w:lang w:eastAsia="en-GB"/>
        </w:rPr>
        <w:t xml:space="preserve"> 6</w:t>
      </w:r>
      <w:r w:rsidRPr="008E0A3C">
        <w:rPr>
          <w:b/>
          <w:bCs/>
          <w:noProof/>
          <w:lang w:eastAsia="en-GB"/>
        </w:rPr>
        <w:t xml:space="preserve"> </w:t>
      </w:r>
      <w:r w:rsidR="00516E75">
        <w:rPr>
          <w:b/>
          <w:noProof/>
          <w:lang w:eastAsia="en-GB"/>
        </w:rPr>
        <w:drawing>
          <wp:inline distT="0" distB="0" distL="0" distR="0" wp14:anchorId="252159CC" wp14:editId="626CA80F">
            <wp:extent cx="4024630" cy="7912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4630" cy="7912735"/>
                    </a:xfrm>
                    <a:prstGeom prst="rect">
                      <a:avLst/>
                    </a:prstGeom>
                    <a:noFill/>
                    <a:ln>
                      <a:noFill/>
                    </a:ln>
                  </pic:spPr>
                </pic:pic>
              </a:graphicData>
            </a:graphic>
          </wp:inline>
        </w:drawing>
      </w:r>
    </w:p>
    <w:p w14:paraId="1DB99608" w14:textId="77777777" w:rsidR="00945AAD" w:rsidRPr="00D0563C" w:rsidRDefault="00626E87" w:rsidP="00945AAD">
      <w:pPr>
        <w:spacing w:line="240" w:lineRule="atLeast"/>
        <w:ind w:left="709" w:hanging="709"/>
        <w:outlineLvl w:val="0"/>
        <w:rPr>
          <w:rFonts w:ascii="Arial" w:hAnsi="Arial" w:cs="Arial"/>
          <w:b/>
          <w:sz w:val="24"/>
          <w:szCs w:val="24"/>
        </w:rPr>
      </w:pPr>
      <w:r w:rsidRPr="00D0563C">
        <w:rPr>
          <w:rFonts w:ascii="Arial" w:hAnsi="Arial" w:cs="Arial"/>
          <w:b/>
          <w:sz w:val="24"/>
          <w:szCs w:val="24"/>
        </w:rPr>
        <w:lastRenderedPageBreak/>
        <w:t xml:space="preserve">                                                                                            </w:t>
      </w:r>
      <w:r w:rsidR="006B1BAC">
        <w:rPr>
          <w:rFonts w:ascii="Arial" w:hAnsi="Arial" w:cs="Arial"/>
          <w:b/>
          <w:sz w:val="24"/>
          <w:szCs w:val="24"/>
        </w:rPr>
        <w:t xml:space="preserve">                    </w:t>
      </w:r>
      <w:r w:rsidRPr="00D0563C">
        <w:rPr>
          <w:rFonts w:ascii="Arial" w:hAnsi="Arial" w:cs="Arial"/>
          <w:b/>
          <w:sz w:val="24"/>
          <w:szCs w:val="24"/>
        </w:rPr>
        <w:t xml:space="preserve">     </w:t>
      </w:r>
      <w:r w:rsidR="00945AAD" w:rsidRPr="00D0563C">
        <w:rPr>
          <w:rFonts w:ascii="Arial" w:hAnsi="Arial" w:cs="Arial"/>
          <w:b/>
          <w:sz w:val="24"/>
          <w:szCs w:val="24"/>
        </w:rPr>
        <w:t>Appendix 7</w:t>
      </w:r>
    </w:p>
    <w:p w14:paraId="73BD7CE1" w14:textId="77777777" w:rsidR="00945AAD" w:rsidRPr="00D0563C" w:rsidRDefault="00945AAD" w:rsidP="00945AAD">
      <w:pPr>
        <w:spacing w:line="240" w:lineRule="atLeast"/>
        <w:ind w:left="709" w:hanging="709"/>
        <w:outlineLvl w:val="0"/>
        <w:rPr>
          <w:rFonts w:ascii="Arial" w:hAnsi="Arial" w:cs="Arial"/>
          <w:b/>
          <w:sz w:val="24"/>
          <w:szCs w:val="24"/>
        </w:rPr>
      </w:pPr>
    </w:p>
    <w:p w14:paraId="476CCAFC" w14:textId="77777777" w:rsidR="00D818BC" w:rsidRDefault="00D818BC" w:rsidP="00C56495">
      <w:pPr>
        <w:spacing w:line="480" w:lineRule="atLeast"/>
        <w:ind w:left="567" w:hanging="567"/>
        <w:jc w:val="center"/>
        <w:rPr>
          <w:rFonts w:ascii="Arial" w:hAnsi="Arial" w:cs="Arial"/>
          <w:b/>
          <w:sz w:val="24"/>
          <w:szCs w:val="24"/>
          <w:lang w:eastAsia="en-GB"/>
        </w:rPr>
      </w:pPr>
    </w:p>
    <w:p w14:paraId="33B3FA24" w14:textId="77777777" w:rsidR="00C56495" w:rsidRPr="00C56495" w:rsidRDefault="00C56495" w:rsidP="00C56495">
      <w:pPr>
        <w:spacing w:line="480" w:lineRule="atLeast"/>
        <w:ind w:left="567" w:hanging="567"/>
        <w:jc w:val="center"/>
        <w:rPr>
          <w:rFonts w:ascii="Arial" w:hAnsi="Arial" w:cs="Arial"/>
          <w:b/>
          <w:sz w:val="24"/>
          <w:szCs w:val="24"/>
          <w:lang w:eastAsia="en-GB"/>
        </w:rPr>
      </w:pPr>
      <w:r w:rsidRPr="00C56495">
        <w:rPr>
          <w:rFonts w:ascii="Arial" w:hAnsi="Arial" w:cs="Arial"/>
          <w:b/>
          <w:sz w:val="24"/>
          <w:szCs w:val="24"/>
          <w:lang w:eastAsia="en-GB"/>
        </w:rPr>
        <w:t>City &amp; County of Swansea Pension Fund</w:t>
      </w:r>
    </w:p>
    <w:p w14:paraId="1A9013B1" w14:textId="77777777" w:rsidR="00C56495" w:rsidRPr="00C56495" w:rsidRDefault="00C56495" w:rsidP="00C56495">
      <w:pPr>
        <w:spacing w:line="480" w:lineRule="atLeast"/>
        <w:ind w:left="567" w:hanging="567"/>
        <w:jc w:val="center"/>
        <w:rPr>
          <w:rFonts w:ascii="Arial" w:hAnsi="Arial" w:cs="Arial"/>
          <w:b/>
          <w:sz w:val="24"/>
          <w:szCs w:val="24"/>
          <w:lang w:eastAsia="en-GB"/>
        </w:rPr>
      </w:pPr>
      <w:r w:rsidRPr="00C56495">
        <w:rPr>
          <w:rFonts w:ascii="Arial" w:hAnsi="Arial" w:cs="Arial"/>
          <w:b/>
          <w:sz w:val="24"/>
          <w:szCs w:val="24"/>
          <w:lang w:eastAsia="en-GB"/>
        </w:rPr>
        <w:t xml:space="preserve">Investment Strategy Statement </w:t>
      </w:r>
    </w:p>
    <w:p w14:paraId="24503443" w14:textId="77777777" w:rsidR="00D818BC" w:rsidRDefault="00D818BC" w:rsidP="00D818BC">
      <w:pPr>
        <w:pStyle w:val="Default"/>
      </w:pPr>
    </w:p>
    <w:p w14:paraId="33F1A257" w14:textId="77777777" w:rsidR="00D818BC" w:rsidRDefault="00D818BC" w:rsidP="00D818BC">
      <w:pPr>
        <w:pStyle w:val="Default"/>
        <w:spacing w:before="140" w:after="124"/>
        <w:rPr>
          <w:sz w:val="36"/>
          <w:szCs w:val="36"/>
        </w:rPr>
      </w:pPr>
      <w:r>
        <w:t xml:space="preserve"> </w:t>
      </w:r>
      <w:r>
        <w:rPr>
          <w:sz w:val="36"/>
          <w:szCs w:val="36"/>
        </w:rPr>
        <w:t xml:space="preserve">Investment Strategy Statement </w:t>
      </w:r>
    </w:p>
    <w:p w14:paraId="57EDBFB1" w14:textId="77777777" w:rsidR="00D818BC" w:rsidRDefault="00D818BC" w:rsidP="00D818BC">
      <w:pPr>
        <w:pStyle w:val="Default"/>
        <w:rPr>
          <w:sz w:val="20"/>
          <w:szCs w:val="20"/>
        </w:rPr>
      </w:pPr>
      <w:r>
        <w:rPr>
          <w:b/>
          <w:bCs/>
          <w:sz w:val="20"/>
          <w:szCs w:val="20"/>
        </w:rPr>
        <w:t xml:space="preserve">Introduction and background </w:t>
      </w:r>
    </w:p>
    <w:p w14:paraId="56DFCC34" w14:textId="77777777" w:rsidR="00D818BC" w:rsidRDefault="00D818BC" w:rsidP="00D818BC">
      <w:pPr>
        <w:pStyle w:val="Default"/>
        <w:spacing w:before="20" w:after="200"/>
        <w:rPr>
          <w:sz w:val="20"/>
          <w:szCs w:val="20"/>
        </w:rPr>
      </w:pPr>
      <w:r>
        <w:rPr>
          <w:sz w:val="20"/>
          <w:szCs w:val="20"/>
        </w:rPr>
        <w:t xml:space="preserve">This is the Investment Strategy Statement (“ISS”) of the City and County of Swansea Pension Fund (“the Fund”), which is administered by City and County Swansea Council, (“the Administering Authority”). The ISS is made in accordance with Regulation 7 of the Local Government Pension Scheme (Management and Investment of Funds) Regulations 2016 (“the Regulations”). </w:t>
      </w:r>
    </w:p>
    <w:p w14:paraId="62A9DE1A" w14:textId="77777777" w:rsidR="00D818BC" w:rsidRDefault="00D818BC" w:rsidP="00D818BC">
      <w:pPr>
        <w:pStyle w:val="Default"/>
        <w:spacing w:before="20" w:after="200"/>
        <w:rPr>
          <w:sz w:val="20"/>
          <w:szCs w:val="20"/>
        </w:rPr>
      </w:pPr>
      <w:r>
        <w:rPr>
          <w:sz w:val="20"/>
          <w:szCs w:val="20"/>
        </w:rPr>
        <w:t xml:space="preserve">The ISS has been prepared by the Fund’s Pension Committee (“the Committee”) having taken advice from the Fund’s investment adviser, Hymans Robertson LLP. The Committee, which comprises of members of the Administering Authority and Neath Port Talbot Council, acts on the delegated authority of the Administering Authority. </w:t>
      </w:r>
    </w:p>
    <w:p w14:paraId="29BA64E9" w14:textId="77777777" w:rsidR="00D818BC" w:rsidRDefault="00D818BC" w:rsidP="00D818BC">
      <w:pPr>
        <w:pStyle w:val="Default"/>
        <w:spacing w:before="20" w:after="200"/>
        <w:rPr>
          <w:sz w:val="20"/>
          <w:szCs w:val="20"/>
        </w:rPr>
      </w:pPr>
      <w:r>
        <w:rPr>
          <w:sz w:val="20"/>
          <w:szCs w:val="20"/>
        </w:rPr>
        <w:t xml:space="preserve">The ISS, which was last approved by the Committee on in 2017, is subject to periodic review at least every three years and without delay after any significant change in investment policy. This March 2018 version reflects the strategic changes that were agreed over 2017 and the first quarter of 2018. The Committee has consulted on the contents of the Fund’s investment strategy with such persons it considers appropriate. </w:t>
      </w:r>
    </w:p>
    <w:p w14:paraId="6EBE13D6" w14:textId="77777777" w:rsidR="00D818BC" w:rsidRDefault="00D818BC" w:rsidP="00D818BC">
      <w:pPr>
        <w:pStyle w:val="Default"/>
        <w:spacing w:before="20" w:after="200"/>
        <w:rPr>
          <w:sz w:val="20"/>
          <w:szCs w:val="20"/>
        </w:rPr>
      </w:pPr>
      <w:r>
        <w:rPr>
          <w:sz w:val="20"/>
          <w:szCs w:val="20"/>
        </w:rPr>
        <w:t xml:space="preserve">The Committee seeks to invest in accordance with the ISS, any Fund money that is not needed immediately to make payments from the Fund. The ISS should be read in conjunction with the Fund’s Funding Strategy Statement (“FSS”). </w:t>
      </w:r>
    </w:p>
    <w:p w14:paraId="0D0BE6BE" w14:textId="77777777" w:rsidR="00D818BC" w:rsidRDefault="00D818BC" w:rsidP="00D818BC">
      <w:pPr>
        <w:pStyle w:val="Default"/>
        <w:rPr>
          <w:sz w:val="20"/>
          <w:szCs w:val="20"/>
        </w:rPr>
      </w:pPr>
      <w:r>
        <w:rPr>
          <w:b/>
          <w:bCs/>
          <w:sz w:val="20"/>
          <w:szCs w:val="20"/>
        </w:rPr>
        <w:t xml:space="preserve">The suitability of particular investments and types of investments </w:t>
      </w:r>
    </w:p>
    <w:p w14:paraId="1C9FAD04" w14:textId="77777777" w:rsidR="00D818BC" w:rsidRDefault="00D818BC" w:rsidP="00D818BC">
      <w:pPr>
        <w:pStyle w:val="Default"/>
        <w:spacing w:before="20" w:after="200"/>
        <w:ind w:right="850"/>
        <w:rPr>
          <w:sz w:val="20"/>
          <w:szCs w:val="20"/>
        </w:rPr>
      </w:pPr>
      <w:r>
        <w:rPr>
          <w:sz w:val="20"/>
          <w:szCs w:val="20"/>
        </w:rPr>
        <w:t xml:space="preserve">The primary objective of the Fund is to provide pension and lump sum benefits for members on their retirement and/or benefits on death, before or after retirement, for their dependants, on a defined benefits basis. This funding position will be reviewed at each triennial actuarial valuation, or more frequently as required. </w:t>
      </w:r>
    </w:p>
    <w:p w14:paraId="34BD2974" w14:textId="77777777" w:rsidR="00D818BC" w:rsidRDefault="00D818BC" w:rsidP="00D818BC">
      <w:pPr>
        <w:pStyle w:val="Default"/>
        <w:spacing w:before="20" w:after="200"/>
        <w:ind w:right="850"/>
        <w:rPr>
          <w:sz w:val="20"/>
          <w:szCs w:val="20"/>
        </w:rPr>
      </w:pPr>
      <w:r>
        <w:rPr>
          <w:sz w:val="20"/>
          <w:szCs w:val="20"/>
        </w:rPr>
        <w:t xml:space="preserve">The Committee aims to fund the Fund in such a manner that, in normal market conditions, all accrued benefits are fully covered by the value of the Fund's assets and that an appropriate level of contributions is agreed by the employer to meet the cost of future benefits accruing. For employee members, benefits will be based on service completed but will take account of future salary and/or inflation increases. </w:t>
      </w:r>
    </w:p>
    <w:p w14:paraId="57EC070E" w14:textId="77777777" w:rsidR="00D818BC" w:rsidRDefault="00D818BC" w:rsidP="00D818BC">
      <w:pPr>
        <w:pStyle w:val="Default"/>
        <w:spacing w:before="20" w:after="200"/>
        <w:rPr>
          <w:sz w:val="20"/>
          <w:szCs w:val="20"/>
        </w:rPr>
      </w:pPr>
      <w:r>
        <w:rPr>
          <w:sz w:val="20"/>
          <w:szCs w:val="20"/>
        </w:rPr>
        <w:t xml:space="preserve">The Committee has translated its objectives into a suitable strategic asset allocation benchmark for the Fund. This benchmark is consistent with the Committee’s views on the appropriate balance between generating a satisfactory long-term return on investments whilst taking account of market volatility and risk and the nature of the Fund’s liabilities. </w:t>
      </w:r>
    </w:p>
    <w:p w14:paraId="14D77B9B" w14:textId="77777777" w:rsidR="00D818BC" w:rsidRDefault="00D818BC" w:rsidP="00D818BC">
      <w:pPr>
        <w:pStyle w:val="Default"/>
        <w:spacing w:before="20" w:after="200"/>
        <w:rPr>
          <w:sz w:val="20"/>
          <w:szCs w:val="20"/>
        </w:rPr>
      </w:pPr>
      <w:r>
        <w:rPr>
          <w:sz w:val="20"/>
          <w:szCs w:val="20"/>
        </w:rPr>
        <w:t xml:space="preserve">It is intended that the Fund’s investment strategy will be reviewed at least every three years either alongside or following actuarial valuations of the Fund. </w:t>
      </w:r>
    </w:p>
    <w:p w14:paraId="29ADA2C8" w14:textId="77777777" w:rsidR="00D818BC" w:rsidRDefault="00D818BC" w:rsidP="00D818BC">
      <w:pPr>
        <w:pStyle w:val="Default"/>
        <w:spacing w:before="20" w:after="200"/>
        <w:rPr>
          <w:sz w:val="20"/>
          <w:szCs w:val="20"/>
        </w:rPr>
      </w:pPr>
      <w:r>
        <w:rPr>
          <w:sz w:val="20"/>
          <w:szCs w:val="20"/>
        </w:rPr>
        <w:t xml:space="preserve">The Fund’s investment strategy was last reviewed during 2017 and 2018. This analysis included both a quantitative (using asset liability modelling) and qualitative analysis. This approach helps to ensure that </w:t>
      </w:r>
      <w:r>
        <w:rPr>
          <w:sz w:val="20"/>
          <w:szCs w:val="20"/>
        </w:rPr>
        <w:lastRenderedPageBreak/>
        <w:t>the investment strategy takes due account of the maturity profile of the Fund (in terms of the relative proportions of liabilities in respect of pensioners, deferreds and active members), together with the level of surplus or deficit (relative to the funding basis used). Details of the assumptions used in the quantitative analysis was considered prior to the Committee agreeing any strategic changes.</w:t>
      </w:r>
    </w:p>
    <w:p w14:paraId="054A9259" w14:textId="77777777" w:rsidR="00D818BC" w:rsidRDefault="00D818BC" w:rsidP="00D818BC">
      <w:pPr>
        <w:pStyle w:val="Default"/>
        <w:spacing w:before="20" w:after="200"/>
        <w:rPr>
          <w:sz w:val="20"/>
          <w:szCs w:val="20"/>
        </w:rPr>
      </w:pPr>
      <w:r>
        <w:rPr>
          <w:sz w:val="20"/>
          <w:szCs w:val="20"/>
        </w:rPr>
        <w:t xml:space="preserve">The Committee monitors investment strategy on an ongoing basis, focusing on factors including, but not limited to: </w:t>
      </w:r>
    </w:p>
    <w:p w14:paraId="18DD22F2" w14:textId="77777777" w:rsidR="00D818BC" w:rsidRDefault="00D818BC" w:rsidP="00D818BC">
      <w:pPr>
        <w:pStyle w:val="Default"/>
        <w:spacing w:before="20" w:after="200"/>
        <w:ind w:left="360" w:hanging="360"/>
        <w:rPr>
          <w:sz w:val="20"/>
          <w:szCs w:val="20"/>
        </w:rPr>
      </w:pPr>
      <w:r>
        <w:rPr>
          <w:sz w:val="20"/>
          <w:szCs w:val="20"/>
        </w:rPr>
        <w:t xml:space="preserve">• Suitability given the Fund’s level of funding and liability profile </w:t>
      </w:r>
    </w:p>
    <w:p w14:paraId="769263BF" w14:textId="77777777" w:rsidR="00D818BC" w:rsidRDefault="00D818BC" w:rsidP="00D818BC">
      <w:pPr>
        <w:pStyle w:val="Default"/>
        <w:spacing w:before="20" w:after="200"/>
        <w:ind w:left="360" w:hanging="360"/>
        <w:rPr>
          <w:sz w:val="20"/>
          <w:szCs w:val="20"/>
        </w:rPr>
      </w:pPr>
      <w:r>
        <w:rPr>
          <w:sz w:val="20"/>
          <w:szCs w:val="20"/>
        </w:rPr>
        <w:t xml:space="preserve">• The level of expected risk </w:t>
      </w:r>
    </w:p>
    <w:p w14:paraId="69097B50" w14:textId="77777777" w:rsidR="00D818BC" w:rsidRDefault="00D818BC" w:rsidP="00D818BC">
      <w:pPr>
        <w:pStyle w:val="Default"/>
        <w:spacing w:before="20" w:after="200"/>
        <w:ind w:left="360" w:hanging="360"/>
        <w:rPr>
          <w:sz w:val="20"/>
          <w:szCs w:val="20"/>
        </w:rPr>
      </w:pPr>
      <w:r>
        <w:rPr>
          <w:sz w:val="20"/>
          <w:szCs w:val="20"/>
        </w:rPr>
        <w:t xml:space="preserve">• Outlook for asset returns </w:t>
      </w:r>
    </w:p>
    <w:p w14:paraId="2BCC9FAE" w14:textId="77777777" w:rsidR="00D818BC" w:rsidRDefault="00D818BC" w:rsidP="00D818BC">
      <w:pPr>
        <w:pStyle w:val="Default"/>
        <w:rPr>
          <w:sz w:val="20"/>
          <w:szCs w:val="20"/>
        </w:rPr>
      </w:pPr>
    </w:p>
    <w:p w14:paraId="6416941A" w14:textId="77777777" w:rsidR="00D818BC" w:rsidRDefault="00D818BC" w:rsidP="00D818BC">
      <w:pPr>
        <w:pStyle w:val="Default"/>
        <w:spacing w:before="20" w:after="200"/>
        <w:rPr>
          <w:sz w:val="20"/>
          <w:szCs w:val="20"/>
        </w:rPr>
      </w:pPr>
      <w:r>
        <w:rPr>
          <w:sz w:val="20"/>
          <w:szCs w:val="20"/>
        </w:rPr>
        <w:t>The Committee also monitors the Fund’s actual allocation on a regular basis to ensure it does not notably deviate from the target allocation and is considering a formal rebalancing framework alongside potential changes to the Fund’s longer term strategic asset allocation</w:t>
      </w:r>
      <w:r>
        <w:rPr>
          <w:i/>
          <w:iCs/>
          <w:sz w:val="20"/>
          <w:szCs w:val="20"/>
        </w:rPr>
        <w:t xml:space="preserve">. </w:t>
      </w:r>
    </w:p>
    <w:p w14:paraId="513C84A2" w14:textId="77777777" w:rsidR="00D818BC" w:rsidRDefault="00D818BC" w:rsidP="00D818BC">
      <w:pPr>
        <w:pStyle w:val="Default"/>
        <w:rPr>
          <w:sz w:val="20"/>
          <w:szCs w:val="20"/>
        </w:rPr>
      </w:pPr>
      <w:r>
        <w:rPr>
          <w:b/>
          <w:bCs/>
          <w:sz w:val="20"/>
          <w:szCs w:val="20"/>
        </w:rPr>
        <w:t xml:space="preserve">Investment Beliefs </w:t>
      </w:r>
    </w:p>
    <w:p w14:paraId="19B916DE" w14:textId="77777777" w:rsidR="00D818BC" w:rsidRDefault="00D818BC" w:rsidP="00D818BC">
      <w:pPr>
        <w:pStyle w:val="Default"/>
        <w:spacing w:before="20" w:after="200"/>
        <w:rPr>
          <w:sz w:val="20"/>
          <w:szCs w:val="20"/>
        </w:rPr>
      </w:pPr>
      <w:r>
        <w:rPr>
          <w:sz w:val="20"/>
          <w:szCs w:val="20"/>
        </w:rPr>
        <w:t xml:space="preserve">The Committee has agreed a set of investment beliefs (shown in the appendix of this paper)). These beliefs aim to help articulate how the Committee’s investment objectives are translated into their investment strategy. </w:t>
      </w:r>
    </w:p>
    <w:p w14:paraId="6CAEF838" w14:textId="77777777" w:rsidR="00D818BC" w:rsidRDefault="00D818BC" w:rsidP="00D818BC">
      <w:pPr>
        <w:pStyle w:val="Default"/>
        <w:rPr>
          <w:sz w:val="20"/>
          <w:szCs w:val="20"/>
        </w:rPr>
      </w:pPr>
      <w:r>
        <w:rPr>
          <w:b/>
          <w:bCs/>
          <w:sz w:val="20"/>
          <w:szCs w:val="20"/>
        </w:rPr>
        <w:t xml:space="preserve">Investment of money in a wide variety of investments Asset classes </w:t>
      </w:r>
    </w:p>
    <w:p w14:paraId="0F7577AE" w14:textId="77777777" w:rsidR="00D818BC" w:rsidRDefault="00D818BC" w:rsidP="00D818BC">
      <w:pPr>
        <w:pStyle w:val="Default"/>
        <w:spacing w:before="20" w:after="200"/>
        <w:ind w:right="850"/>
        <w:rPr>
          <w:sz w:val="20"/>
          <w:szCs w:val="20"/>
        </w:rPr>
      </w:pPr>
      <w:r>
        <w:rPr>
          <w:sz w:val="20"/>
          <w:szCs w:val="20"/>
        </w:rPr>
        <w:t xml:space="preserve">The Fund may invest in quoted and unquoted securities of UK and overseas markets including equities, fixed interest, index linked bonds, cash, property, infrastructure, hedge funds and commodities either directly or through pooled funds. The Fund may also make use of contracts for differences and other derivatives either directly or in pooled funds investing in these products for the purpose of efficient portfolio management or to hedge specific risks. </w:t>
      </w:r>
    </w:p>
    <w:p w14:paraId="287D0117" w14:textId="77777777" w:rsidR="00D818BC" w:rsidRDefault="00D818BC" w:rsidP="00D818BC">
      <w:pPr>
        <w:pStyle w:val="Default"/>
        <w:spacing w:before="20" w:after="200"/>
        <w:ind w:right="991"/>
        <w:rPr>
          <w:sz w:val="20"/>
          <w:szCs w:val="20"/>
        </w:rPr>
      </w:pPr>
      <w:r>
        <w:rPr>
          <w:sz w:val="20"/>
          <w:szCs w:val="20"/>
        </w:rPr>
        <w:t xml:space="preserve">The Committee reviews the nature of Fund investments on a regular basis, with particular reference to suitability and diversification. The Committee seeks and considers written advice from a suitably qualified person in undertaking such a review. If, at any time, investment in a security or product not previously known to the Committee is proposed, appropriate advice is sought and considered to ensure its suitability and diversification. </w:t>
      </w:r>
    </w:p>
    <w:p w14:paraId="5E9F8FA4" w14:textId="77777777" w:rsidR="00D818BC" w:rsidRDefault="00D818BC" w:rsidP="00D818BC">
      <w:pPr>
        <w:pStyle w:val="Default"/>
        <w:spacing w:before="20" w:after="200"/>
        <w:ind w:right="991"/>
        <w:rPr>
          <w:sz w:val="20"/>
          <w:szCs w:val="20"/>
        </w:rPr>
      </w:pPr>
      <w:r>
        <w:rPr>
          <w:sz w:val="20"/>
          <w:szCs w:val="20"/>
        </w:rPr>
        <w:t>The Fund’s target investment strategy is set out below. It is anticipated that the maximum amount in each region will be the upper limit based on the ranges set out below. However, there may be times when these limits are breached e.g. at times of market stress, or if Fund is implementing strategic changes and it is deemed more efficient to delay any rebalancing for a period of time. In line with the Regulations, the authority’s investment strategy does not permit more than 5% of the total value of all investments of fund money to be invested in entities which are connected with that authority within the meaning of section 212 of the Local Government and Public Involvement in Health Act 2007.</w:t>
      </w:r>
    </w:p>
    <w:p w14:paraId="2A5680F0" w14:textId="77777777" w:rsidR="00D818BC" w:rsidRDefault="00D818BC" w:rsidP="00D818BC">
      <w:pPr>
        <w:pStyle w:val="Default"/>
        <w:rPr>
          <w:color w:val="auto"/>
        </w:rPr>
      </w:pPr>
    </w:p>
    <w:p w14:paraId="539D426A" w14:textId="77777777" w:rsidR="00D818BC" w:rsidRDefault="00D818BC" w:rsidP="00D818BC">
      <w:pPr>
        <w:pStyle w:val="Default"/>
        <w:rPr>
          <w:color w:val="auto"/>
        </w:rPr>
      </w:pPr>
    </w:p>
    <w:p w14:paraId="5309C46F" w14:textId="77777777" w:rsidR="00D818BC" w:rsidRDefault="00D818BC" w:rsidP="00D818BC">
      <w:pPr>
        <w:pStyle w:val="Default"/>
        <w:rPr>
          <w:color w:val="auto"/>
        </w:rPr>
      </w:pPr>
    </w:p>
    <w:p w14:paraId="38C1ADB1" w14:textId="77777777" w:rsidR="00D0426D" w:rsidRDefault="00D0426D" w:rsidP="00D818BC">
      <w:pPr>
        <w:pStyle w:val="Default"/>
        <w:rPr>
          <w:color w:val="auto"/>
        </w:rPr>
      </w:pPr>
    </w:p>
    <w:p w14:paraId="79313132" w14:textId="77777777" w:rsidR="00D818BC" w:rsidRDefault="00D818BC" w:rsidP="00D818BC">
      <w:pPr>
        <w:pStyle w:val="Default"/>
        <w:rPr>
          <w:color w:val="auto"/>
        </w:rPr>
      </w:pPr>
    </w:p>
    <w:p w14:paraId="6F393975" w14:textId="77777777" w:rsidR="00D818BC" w:rsidRDefault="00D818BC" w:rsidP="00D818BC">
      <w:pPr>
        <w:pStyle w:val="Default"/>
        <w:rPr>
          <w:color w:val="auto"/>
        </w:rPr>
      </w:pPr>
    </w:p>
    <w:p w14:paraId="015E25BC" w14:textId="77777777" w:rsidR="00D818BC" w:rsidRDefault="00D818BC" w:rsidP="00D818BC">
      <w:pPr>
        <w:pStyle w:val="Default"/>
        <w:rPr>
          <w:color w:val="auto"/>
        </w:rPr>
      </w:pPr>
    </w:p>
    <w:p w14:paraId="13DA43E3" w14:textId="77777777" w:rsidR="00CB46F4" w:rsidRDefault="00CB46F4" w:rsidP="00D818BC">
      <w:pPr>
        <w:pStyle w:val="Default"/>
        <w:rPr>
          <w:color w:val="auto"/>
        </w:rPr>
      </w:pPr>
    </w:p>
    <w:p w14:paraId="376B23D9" w14:textId="77777777" w:rsidR="00CB46F4" w:rsidRDefault="00CB46F4" w:rsidP="00D818BC">
      <w:pPr>
        <w:pStyle w:val="Default"/>
        <w:rPr>
          <w:color w:val="auto"/>
        </w:rPr>
      </w:pPr>
    </w:p>
    <w:p w14:paraId="244B0CA5" w14:textId="77777777" w:rsidR="00CB46F4" w:rsidRDefault="00CB46F4" w:rsidP="00D818BC">
      <w:pPr>
        <w:pStyle w:val="Default"/>
        <w:rPr>
          <w:color w:val="auto"/>
        </w:rPr>
      </w:pPr>
    </w:p>
    <w:p w14:paraId="6E30D8C6" w14:textId="77777777" w:rsidR="00D818BC" w:rsidRPr="00D0426D" w:rsidRDefault="00D0426D" w:rsidP="00D818BC">
      <w:pPr>
        <w:pStyle w:val="Default"/>
        <w:rPr>
          <w:b/>
          <w:color w:val="auto"/>
        </w:rPr>
      </w:pPr>
      <w:r w:rsidRPr="00D0426D">
        <w:rPr>
          <w:b/>
          <w:color w:val="auto"/>
        </w:rPr>
        <w:t xml:space="preserve">Current Fund Allocation </w:t>
      </w:r>
    </w:p>
    <w:p w14:paraId="62F92508" w14:textId="77777777" w:rsidR="00D0426D" w:rsidRDefault="00D0426D" w:rsidP="00D818BC">
      <w:pPr>
        <w:pStyle w:val="Defaul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3437"/>
      </w:tblGrid>
      <w:tr w:rsidR="00D818BC" w14:paraId="11135ABB" w14:textId="77777777" w:rsidTr="00646A22">
        <w:trPr>
          <w:trHeight w:val="197"/>
        </w:trPr>
        <w:tc>
          <w:tcPr>
            <w:tcW w:w="3437" w:type="dxa"/>
          </w:tcPr>
          <w:p w14:paraId="0B0E7C8D" w14:textId="77777777" w:rsidR="00D0426D" w:rsidRDefault="00D0426D">
            <w:pPr>
              <w:pStyle w:val="Default"/>
              <w:spacing w:before="60" w:after="60"/>
              <w:rPr>
                <w:b/>
                <w:bCs/>
                <w:sz w:val="20"/>
                <w:szCs w:val="20"/>
              </w:rPr>
            </w:pPr>
          </w:p>
          <w:p w14:paraId="45CCDC21" w14:textId="77777777" w:rsidR="00D818BC" w:rsidRPr="00646A22" w:rsidRDefault="00D818BC">
            <w:pPr>
              <w:pStyle w:val="Default"/>
              <w:spacing w:before="60" w:after="60"/>
              <w:rPr>
                <w:sz w:val="20"/>
                <w:szCs w:val="20"/>
              </w:rPr>
            </w:pPr>
            <w:r w:rsidRPr="00646A22">
              <w:rPr>
                <w:b/>
                <w:bCs/>
                <w:sz w:val="20"/>
                <w:szCs w:val="20"/>
              </w:rPr>
              <w:t xml:space="preserve">Asset class </w:t>
            </w:r>
          </w:p>
        </w:tc>
        <w:tc>
          <w:tcPr>
            <w:tcW w:w="3437" w:type="dxa"/>
          </w:tcPr>
          <w:p w14:paraId="5F25AC96" w14:textId="77777777" w:rsidR="00D818BC" w:rsidRPr="00646A22" w:rsidRDefault="00D818BC">
            <w:pPr>
              <w:pStyle w:val="Default"/>
              <w:spacing w:before="60" w:after="60"/>
              <w:rPr>
                <w:b/>
                <w:bCs/>
                <w:sz w:val="20"/>
                <w:szCs w:val="20"/>
              </w:rPr>
            </w:pPr>
          </w:p>
          <w:p w14:paraId="435AE516" w14:textId="77777777" w:rsidR="00D818BC" w:rsidRPr="00646A22" w:rsidRDefault="00D818BC">
            <w:pPr>
              <w:pStyle w:val="Default"/>
              <w:spacing w:before="60" w:after="60"/>
              <w:rPr>
                <w:sz w:val="20"/>
                <w:szCs w:val="20"/>
              </w:rPr>
            </w:pPr>
            <w:r w:rsidRPr="00646A22">
              <w:rPr>
                <w:b/>
                <w:bCs/>
                <w:sz w:val="20"/>
                <w:szCs w:val="20"/>
              </w:rPr>
              <w:t xml:space="preserve">          Target allocation % </w:t>
            </w:r>
          </w:p>
        </w:tc>
      </w:tr>
      <w:tr w:rsidR="00D818BC" w14:paraId="0073A04F" w14:textId="77777777" w:rsidTr="00646A22">
        <w:trPr>
          <w:trHeight w:val="197"/>
        </w:trPr>
        <w:tc>
          <w:tcPr>
            <w:tcW w:w="3437" w:type="dxa"/>
          </w:tcPr>
          <w:p w14:paraId="2E8C7454" w14:textId="77777777" w:rsidR="00D818BC" w:rsidRPr="00646A22" w:rsidRDefault="00D818BC">
            <w:pPr>
              <w:pStyle w:val="Default"/>
              <w:spacing w:before="60" w:after="60"/>
              <w:rPr>
                <w:sz w:val="20"/>
                <w:szCs w:val="20"/>
              </w:rPr>
            </w:pPr>
            <w:r w:rsidRPr="00646A22">
              <w:rPr>
                <w:b/>
                <w:bCs/>
                <w:sz w:val="20"/>
                <w:szCs w:val="20"/>
              </w:rPr>
              <w:t xml:space="preserve">UK equities </w:t>
            </w:r>
          </w:p>
        </w:tc>
        <w:tc>
          <w:tcPr>
            <w:tcW w:w="3437" w:type="dxa"/>
          </w:tcPr>
          <w:p w14:paraId="5D577D6D" w14:textId="77777777" w:rsidR="00D818BC" w:rsidRPr="00646A22" w:rsidRDefault="00D818BC">
            <w:pPr>
              <w:pStyle w:val="Default"/>
              <w:spacing w:before="60" w:after="60"/>
              <w:jc w:val="center"/>
              <w:rPr>
                <w:sz w:val="20"/>
                <w:szCs w:val="20"/>
              </w:rPr>
            </w:pPr>
            <w:r w:rsidRPr="00646A22">
              <w:rPr>
                <w:sz w:val="20"/>
                <w:szCs w:val="20"/>
              </w:rPr>
              <w:t xml:space="preserve">34% +/- 5% </w:t>
            </w:r>
          </w:p>
        </w:tc>
      </w:tr>
      <w:tr w:rsidR="00D818BC" w14:paraId="6623A69D" w14:textId="77777777" w:rsidTr="00646A22">
        <w:trPr>
          <w:trHeight w:val="197"/>
        </w:trPr>
        <w:tc>
          <w:tcPr>
            <w:tcW w:w="3437" w:type="dxa"/>
          </w:tcPr>
          <w:p w14:paraId="6ED9A4C7" w14:textId="77777777" w:rsidR="00D818BC" w:rsidRPr="00646A22" w:rsidRDefault="00D818BC">
            <w:pPr>
              <w:pStyle w:val="Default"/>
              <w:spacing w:before="60" w:after="60"/>
              <w:rPr>
                <w:sz w:val="20"/>
                <w:szCs w:val="20"/>
              </w:rPr>
            </w:pPr>
            <w:r w:rsidRPr="00646A22">
              <w:rPr>
                <w:b/>
                <w:bCs/>
                <w:sz w:val="20"/>
                <w:szCs w:val="20"/>
              </w:rPr>
              <w:t xml:space="preserve">Overseas equities </w:t>
            </w:r>
          </w:p>
        </w:tc>
        <w:tc>
          <w:tcPr>
            <w:tcW w:w="3437" w:type="dxa"/>
          </w:tcPr>
          <w:p w14:paraId="2E935B55" w14:textId="77777777" w:rsidR="00D818BC" w:rsidRPr="00646A22" w:rsidRDefault="00D818BC">
            <w:pPr>
              <w:pStyle w:val="Default"/>
              <w:spacing w:before="60" w:after="60"/>
              <w:jc w:val="center"/>
              <w:rPr>
                <w:sz w:val="20"/>
                <w:szCs w:val="20"/>
              </w:rPr>
            </w:pPr>
            <w:r w:rsidRPr="00646A22">
              <w:rPr>
                <w:sz w:val="20"/>
                <w:szCs w:val="20"/>
              </w:rPr>
              <w:t xml:space="preserve">34% +/- 5% </w:t>
            </w:r>
          </w:p>
        </w:tc>
      </w:tr>
      <w:tr w:rsidR="00D818BC" w14:paraId="0C92FAA2" w14:textId="77777777" w:rsidTr="00646A22">
        <w:trPr>
          <w:trHeight w:val="197"/>
        </w:trPr>
        <w:tc>
          <w:tcPr>
            <w:tcW w:w="3437" w:type="dxa"/>
          </w:tcPr>
          <w:p w14:paraId="00BBD3F8" w14:textId="77777777" w:rsidR="00D818BC" w:rsidRPr="00646A22" w:rsidRDefault="00D818BC">
            <w:pPr>
              <w:pStyle w:val="Default"/>
              <w:spacing w:before="60" w:after="60"/>
              <w:rPr>
                <w:sz w:val="20"/>
                <w:szCs w:val="20"/>
              </w:rPr>
            </w:pPr>
            <w:r w:rsidRPr="00646A22">
              <w:rPr>
                <w:b/>
                <w:bCs/>
                <w:sz w:val="20"/>
                <w:szCs w:val="20"/>
              </w:rPr>
              <w:t xml:space="preserve">Private Equity </w:t>
            </w:r>
          </w:p>
        </w:tc>
        <w:tc>
          <w:tcPr>
            <w:tcW w:w="3437" w:type="dxa"/>
          </w:tcPr>
          <w:p w14:paraId="40BF7908" w14:textId="77777777" w:rsidR="00D818BC" w:rsidRPr="00646A22" w:rsidRDefault="00D818BC">
            <w:pPr>
              <w:pStyle w:val="Default"/>
              <w:spacing w:before="60" w:after="60"/>
              <w:jc w:val="center"/>
              <w:rPr>
                <w:sz w:val="20"/>
                <w:szCs w:val="20"/>
              </w:rPr>
            </w:pPr>
            <w:r w:rsidRPr="00646A22">
              <w:rPr>
                <w:sz w:val="20"/>
                <w:szCs w:val="20"/>
              </w:rPr>
              <w:t xml:space="preserve">3% +/- 5% </w:t>
            </w:r>
          </w:p>
        </w:tc>
      </w:tr>
      <w:tr w:rsidR="00D818BC" w14:paraId="019A026B" w14:textId="77777777" w:rsidTr="00646A22">
        <w:trPr>
          <w:trHeight w:val="197"/>
        </w:trPr>
        <w:tc>
          <w:tcPr>
            <w:tcW w:w="3437" w:type="dxa"/>
          </w:tcPr>
          <w:p w14:paraId="7DA5C5CE" w14:textId="77777777" w:rsidR="00D818BC" w:rsidRPr="00646A22" w:rsidRDefault="00D818BC">
            <w:pPr>
              <w:pStyle w:val="Default"/>
              <w:spacing w:before="60" w:after="60"/>
              <w:jc w:val="center"/>
              <w:rPr>
                <w:sz w:val="20"/>
                <w:szCs w:val="20"/>
              </w:rPr>
            </w:pPr>
            <w:r w:rsidRPr="00646A22">
              <w:rPr>
                <w:b/>
                <w:bCs/>
                <w:sz w:val="20"/>
                <w:szCs w:val="20"/>
              </w:rPr>
              <w:t xml:space="preserve">Hedge Funds </w:t>
            </w:r>
          </w:p>
        </w:tc>
        <w:tc>
          <w:tcPr>
            <w:tcW w:w="3437" w:type="dxa"/>
          </w:tcPr>
          <w:p w14:paraId="5BA26F70" w14:textId="77777777" w:rsidR="00D818BC" w:rsidRPr="00646A22" w:rsidRDefault="00D818BC">
            <w:pPr>
              <w:pStyle w:val="Default"/>
              <w:spacing w:before="60" w:after="60"/>
              <w:jc w:val="center"/>
              <w:rPr>
                <w:sz w:val="20"/>
                <w:szCs w:val="20"/>
              </w:rPr>
            </w:pPr>
            <w:r w:rsidRPr="00646A22">
              <w:rPr>
                <w:sz w:val="20"/>
                <w:szCs w:val="20"/>
              </w:rPr>
              <w:t xml:space="preserve">5% +/- 5% </w:t>
            </w:r>
          </w:p>
        </w:tc>
      </w:tr>
      <w:tr w:rsidR="00D818BC" w14:paraId="0F8B6D9E" w14:textId="77777777" w:rsidTr="00646A22">
        <w:trPr>
          <w:trHeight w:val="197"/>
        </w:trPr>
        <w:tc>
          <w:tcPr>
            <w:tcW w:w="3437" w:type="dxa"/>
          </w:tcPr>
          <w:p w14:paraId="0C5B7779" w14:textId="77777777" w:rsidR="00D818BC" w:rsidRPr="00646A22" w:rsidRDefault="00D818BC">
            <w:pPr>
              <w:pStyle w:val="Default"/>
              <w:spacing w:before="60" w:after="60"/>
              <w:rPr>
                <w:sz w:val="20"/>
                <w:szCs w:val="20"/>
              </w:rPr>
            </w:pPr>
            <w:r w:rsidRPr="00646A22">
              <w:rPr>
                <w:b/>
                <w:bCs/>
                <w:sz w:val="20"/>
                <w:szCs w:val="20"/>
              </w:rPr>
              <w:t xml:space="preserve">Property </w:t>
            </w:r>
          </w:p>
        </w:tc>
        <w:tc>
          <w:tcPr>
            <w:tcW w:w="3437" w:type="dxa"/>
          </w:tcPr>
          <w:p w14:paraId="2C032411" w14:textId="77777777" w:rsidR="00D818BC" w:rsidRPr="00646A22" w:rsidRDefault="00D818BC">
            <w:pPr>
              <w:pStyle w:val="Default"/>
              <w:spacing w:before="60" w:after="60"/>
              <w:jc w:val="center"/>
              <w:rPr>
                <w:sz w:val="20"/>
                <w:szCs w:val="20"/>
              </w:rPr>
            </w:pPr>
            <w:r w:rsidRPr="00646A22">
              <w:rPr>
                <w:sz w:val="20"/>
                <w:szCs w:val="20"/>
              </w:rPr>
              <w:t xml:space="preserve">5% +/- 5% </w:t>
            </w:r>
          </w:p>
        </w:tc>
      </w:tr>
      <w:tr w:rsidR="00D818BC" w14:paraId="7AAFE428" w14:textId="77777777" w:rsidTr="00646A22">
        <w:trPr>
          <w:trHeight w:val="197"/>
        </w:trPr>
        <w:tc>
          <w:tcPr>
            <w:tcW w:w="3437" w:type="dxa"/>
          </w:tcPr>
          <w:p w14:paraId="72F90287" w14:textId="77777777" w:rsidR="00D818BC" w:rsidRPr="00646A22" w:rsidRDefault="00D818BC">
            <w:pPr>
              <w:pStyle w:val="Default"/>
              <w:spacing w:before="60" w:after="60"/>
              <w:jc w:val="center"/>
              <w:rPr>
                <w:sz w:val="20"/>
                <w:szCs w:val="20"/>
              </w:rPr>
            </w:pPr>
            <w:r w:rsidRPr="00646A22">
              <w:rPr>
                <w:b/>
                <w:bCs/>
                <w:sz w:val="20"/>
                <w:szCs w:val="20"/>
              </w:rPr>
              <w:t xml:space="preserve">Infrastructure </w:t>
            </w:r>
          </w:p>
        </w:tc>
        <w:tc>
          <w:tcPr>
            <w:tcW w:w="3437" w:type="dxa"/>
          </w:tcPr>
          <w:p w14:paraId="55E2D91C" w14:textId="77777777" w:rsidR="00D818BC" w:rsidRPr="00646A22" w:rsidRDefault="00D818BC">
            <w:pPr>
              <w:pStyle w:val="Default"/>
              <w:spacing w:before="60" w:after="60"/>
              <w:jc w:val="center"/>
              <w:rPr>
                <w:sz w:val="20"/>
                <w:szCs w:val="20"/>
              </w:rPr>
            </w:pPr>
            <w:r w:rsidRPr="00646A22">
              <w:rPr>
                <w:sz w:val="20"/>
                <w:szCs w:val="20"/>
              </w:rPr>
              <w:t xml:space="preserve">2% +/- 5% </w:t>
            </w:r>
          </w:p>
        </w:tc>
      </w:tr>
      <w:tr w:rsidR="00D818BC" w14:paraId="4765212D" w14:textId="77777777" w:rsidTr="00646A22">
        <w:trPr>
          <w:trHeight w:val="197"/>
        </w:trPr>
        <w:tc>
          <w:tcPr>
            <w:tcW w:w="3437" w:type="dxa"/>
          </w:tcPr>
          <w:p w14:paraId="48D0BC54" w14:textId="77777777" w:rsidR="00D818BC" w:rsidRPr="00646A22" w:rsidRDefault="00D818BC">
            <w:pPr>
              <w:pStyle w:val="Default"/>
              <w:spacing w:before="60" w:after="60"/>
              <w:rPr>
                <w:sz w:val="20"/>
                <w:szCs w:val="20"/>
              </w:rPr>
            </w:pPr>
            <w:r w:rsidRPr="00646A22">
              <w:rPr>
                <w:b/>
                <w:bCs/>
                <w:sz w:val="20"/>
                <w:szCs w:val="20"/>
              </w:rPr>
              <w:t xml:space="preserve">Global Fixed Interest </w:t>
            </w:r>
          </w:p>
        </w:tc>
        <w:tc>
          <w:tcPr>
            <w:tcW w:w="3437" w:type="dxa"/>
          </w:tcPr>
          <w:p w14:paraId="0AD5CEA4" w14:textId="77777777" w:rsidR="00D818BC" w:rsidRPr="00646A22" w:rsidRDefault="00D818BC">
            <w:pPr>
              <w:pStyle w:val="Default"/>
              <w:spacing w:before="60" w:after="60"/>
              <w:jc w:val="center"/>
              <w:rPr>
                <w:sz w:val="20"/>
                <w:szCs w:val="20"/>
              </w:rPr>
            </w:pPr>
            <w:r w:rsidRPr="00646A22">
              <w:rPr>
                <w:sz w:val="20"/>
                <w:szCs w:val="20"/>
              </w:rPr>
              <w:t xml:space="preserve">15% +/- 5% </w:t>
            </w:r>
          </w:p>
        </w:tc>
      </w:tr>
      <w:tr w:rsidR="00D818BC" w14:paraId="09C8F808" w14:textId="77777777" w:rsidTr="00646A22">
        <w:trPr>
          <w:trHeight w:val="197"/>
        </w:trPr>
        <w:tc>
          <w:tcPr>
            <w:tcW w:w="3437" w:type="dxa"/>
          </w:tcPr>
          <w:p w14:paraId="0DB68CA6" w14:textId="77777777" w:rsidR="00D818BC" w:rsidRPr="00646A22" w:rsidRDefault="00D818BC">
            <w:pPr>
              <w:pStyle w:val="Default"/>
              <w:spacing w:before="60" w:after="60"/>
              <w:rPr>
                <w:sz w:val="20"/>
                <w:szCs w:val="20"/>
              </w:rPr>
            </w:pPr>
            <w:r w:rsidRPr="00646A22">
              <w:rPr>
                <w:b/>
                <w:bCs/>
                <w:sz w:val="20"/>
                <w:szCs w:val="20"/>
              </w:rPr>
              <w:t xml:space="preserve">Cash </w:t>
            </w:r>
          </w:p>
        </w:tc>
        <w:tc>
          <w:tcPr>
            <w:tcW w:w="3437" w:type="dxa"/>
          </w:tcPr>
          <w:p w14:paraId="2F3E72DB" w14:textId="77777777" w:rsidR="00D818BC" w:rsidRPr="00646A22" w:rsidRDefault="00D818BC">
            <w:pPr>
              <w:pStyle w:val="Default"/>
              <w:spacing w:before="60" w:after="60"/>
              <w:jc w:val="center"/>
              <w:rPr>
                <w:sz w:val="20"/>
                <w:szCs w:val="20"/>
              </w:rPr>
            </w:pPr>
            <w:r w:rsidRPr="00646A22">
              <w:rPr>
                <w:sz w:val="20"/>
                <w:szCs w:val="20"/>
              </w:rPr>
              <w:t xml:space="preserve">2% +/- 5% </w:t>
            </w:r>
          </w:p>
        </w:tc>
      </w:tr>
      <w:tr w:rsidR="00D818BC" w14:paraId="7E09872E" w14:textId="77777777" w:rsidTr="00646A22">
        <w:trPr>
          <w:trHeight w:val="197"/>
        </w:trPr>
        <w:tc>
          <w:tcPr>
            <w:tcW w:w="3437" w:type="dxa"/>
          </w:tcPr>
          <w:p w14:paraId="7DDFEE6B" w14:textId="77777777" w:rsidR="00D818BC" w:rsidRPr="00646A22" w:rsidRDefault="00D818BC">
            <w:pPr>
              <w:pStyle w:val="Default"/>
              <w:spacing w:before="60" w:after="60"/>
              <w:rPr>
                <w:sz w:val="20"/>
                <w:szCs w:val="20"/>
              </w:rPr>
            </w:pPr>
            <w:r w:rsidRPr="00646A22">
              <w:rPr>
                <w:b/>
                <w:bCs/>
                <w:sz w:val="20"/>
                <w:szCs w:val="20"/>
              </w:rPr>
              <w:t xml:space="preserve">Total </w:t>
            </w:r>
          </w:p>
        </w:tc>
        <w:tc>
          <w:tcPr>
            <w:tcW w:w="3437" w:type="dxa"/>
          </w:tcPr>
          <w:p w14:paraId="12CA82D3" w14:textId="77777777" w:rsidR="00D818BC" w:rsidRPr="00646A22" w:rsidRDefault="00D818BC">
            <w:pPr>
              <w:pStyle w:val="Default"/>
              <w:spacing w:before="60" w:after="60"/>
              <w:jc w:val="center"/>
              <w:rPr>
                <w:sz w:val="20"/>
                <w:szCs w:val="20"/>
              </w:rPr>
            </w:pPr>
            <w:r w:rsidRPr="00646A22">
              <w:rPr>
                <w:sz w:val="20"/>
                <w:szCs w:val="20"/>
              </w:rPr>
              <w:t xml:space="preserve">100% </w:t>
            </w:r>
          </w:p>
        </w:tc>
      </w:tr>
    </w:tbl>
    <w:p w14:paraId="4E93E832" w14:textId="77777777" w:rsidR="00646A22" w:rsidRDefault="00646A22" w:rsidP="00A72043">
      <w:pPr>
        <w:ind w:left="3600" w:hanging="3600"/>
        <w:rPr>
          <w:b/>
        </w:rPr>
      </w:pPr>
    </w:p>
    <w:p w14:paraId="1B3FA301" w14:textId="77777777" w:rsidR="00646A22" w:rsidRDefault="00646A22" w:rsidP="00A72043">
      <w:pPr>
        <w:ind w:left="3600" w:hanging="3600"/>
        <w:rPr>
          <w:b/>
        </w:rPr>
      </w:pPr>
    </w:p>
    <w:p w14:paraId="735D12DC" w14:textId="77777777" w:rsidR="00646A22" w:rsidRDefault="00646A22" w:rsidP="00646A22">
      <w:pPr>
        <w:pStyle w:val="Default"/>
        <w:spacing w:before="20" w:after="20"/>
        <w:rPr>
          <w:sz w:val="20"/>
          <w:szCs w:val="20"/>
        </w:rPr>
      </w:pPr>
      <w:r>
        <w:rPr>
          <w:sz w:val="20"/>
          <w:szCs w:val="20"/>
        </w:rPr>
        <w:t xml:space="preserve">In 2017 the long term expected return of this portfolio was 4.7% p.a. with an expected 1-year volatility of 9.4% p.a. Further details on the Fund’s risks, including the approach to mitigating risks, is provided in the following section. </w:t>
      </w:r>
    </w:p>
    <w:p w14:paraId="54A97649" w14:textId="77777777" w:rsidR="00F328AA" w:rsidRDefault="00F328AA" w:rsidP="00646A22">
      <w:pPr>
        <w:pStyle w:val="Default"/>
        <w:spacing w:before="20" w:after="20"/>
        <w:rPr>
          <w:sz w:val="20"/>
          <w:szCs w:val="20"/>
        </w:rPr>
      </w:pPr>
    </w:p>
    <w:p w14:paraId="042BABCF" w14:textId="77777777" w:rsidR="00F328AA" w:rsidRDefault="00F328AA" w:rsidP="00646A22">
      <w:pPr>
        <w:pStyle w:val="Default"/>
        <w:spacing w:before="20" w:after="20"/>
        <w:rPr>
          <w:sz w:val="20"/>
          <w:szCs w:val="20"/>
        </w:rPr>
      </w:pPr>
    </w:p>
    <w:p w14:paraId="1A6ADD26" w14:textId="77777777" w:rsidR="00646A22" w:rsidRDefault="00646A22" w:rsidP="00646A22">
      <w:pPr>
        <w:pStyle w:val="Default"/>
        <w:spacing w:before="20" w:after="20"/>
        <w:rPr>
          <w:sz w:val="20"/>
          <w:szCs w:val="20"/>
        </w:rPr>
      </w:pPr>
      <w:r>
        <w:rPr>
          <w:b/>
          <w:bCs/>
          <w:sz w:val="20"/>
          <w:szCs w:val="20"/>
        </w:rPr>
        <w:t xml:space="preserve">Managers </w:t>
      </w:r>
    </w:p>
    <w:p w14:paraId="10B2B015" w14:textId="77777777" w:rsidR="00646A22" w:rsidRDefault="00646A22" w:rsidP="00F328AA">
      <w:pPr>
        <w:pStyle w:val="Default"/>
        <w:spacing w:before="20" w:after="200"/>
        <w:jc w:val="both"/>
        <w:rPr>
          <w:sz w:val="20"/>
          <w:szCs w:val="20"/>
        </w:rPr>
      </w:pPr>
      <w:r>
        <w:rPr>
          <w:sz w:val="20"/>
          <w:szCs w:val="20"/>
        </w:rPr>
        <w:t xml:space="preserve">The Committee has appointed a number of investment managers all of whom are authorised under the Financial Services and Markets Act 2000 to undertake investment business. </w:t>
      </w:r>
    </w:p>
    <w:p w14:paraId="3219CEBA" w14:textId="77777777" w:rsidR="00646A22" w:rsidRPr="00646A22" w:rsidRDefault="00646A22" w:rsidP="008453F1">
      <w:pPr>
        <w:ind w:left="3600" w:hanging="3600"/>
        <w:rPr>
          <w:rFonts w:ascii="Arial" w:hAnsi="Arial" w:cs="Arial"/>
          <w:sz w:val="20"/>
        </w:rPr>
      </w:pPr>
      <w:r w:rsidRPr="00646A22">
        <w:rPr>
          <w:rFonts w:ascii="Arial" w:hAnsi="Arial" w:cs="Arial"/>
          <w:sz w:val="20"/>
        </w:rPr>
        <w:t xml:space="preserve">The Committee, after seeking appropriate investment advice, has agreed specific benchmarks with each </w:t>
      </w:r>
    </w:p>
    <w:p w14:paraId="231C78C8" w14:textId="77777777" w:rsidR="00646A22" w:rsidRPr="00646A22" w:rsidRDefault="00646A22" w:rsidP="008453F1">
      <w:pPr>
        <w:ind w:left="3600" w:hanging="3600"/>
        <w:rPr>
          <w:rFonts w:ascii="Arial" w:hAnsi="Arial" w:cs="Arial"/>
          <w:sz w:val="20"/>
        </w:rPr>
      </w:pPr>
      <w:r>
        <w:rPr>
          <w:rFonts w:ascii="Arial" w:hAnsi="Arial" w:cs="Arial"/>
          <w:sz w:val="20"/>
        </w:rPr>
        <w:t xml:space="preserve">Manager so </w:t>
      </w:r>
      <w:r w:rsidRPr="00646A22">
        <w:rPr>
          <w:rFonts w:ascii="Arial" w:hAnsi="Arial" w:cs="Arial"/>
          <w:sz w:val="20"/>
        </w:rPr>
        <w:t xml:space="preserve">that, in aggregate, they are consistent with the overall asset allocation for the Fund. The  </w:t>
      </w:r>
    </w:p>
    <w:p w14:paraId="165267E0" w14:textId="77777777" w:rsidR="00646A22" w:rsidRPr="00646A22" w:rsidRDefault="00646A22" w:rsidP="008453F1">
      <w:pPr>
        <w:ind w:left="3600" w:hanging="3600"/>
        <w:rPr>
          <w:rFonts w:ascii="Arial" w:hAnsi="Arial" w:cs="Arial"/>
          <w:sz w:val="20"/>
        </w:rPr>
      </w:pPr>
      <w:r>
        <w:rPr>
          <w:rFonts w:ascii="Arial" w:hAnsi="Arial" w:cs="Arial"/>
          <w:sz w:val="20"/>
        </w:rPr>
        <w:t xml:space="preserve">Funds Investment </w:t>
      </w:r>
      <w:r w:rsidRPr="00646A22">
        <w:rPr>
          <w:rFonts w:ascii="Arial" w:hAnsi="Arial" w:cs="Arial"/>
          <w:sz w:val="20"/>
        </w:rPr>
        <w:t xml:space="preserve">managers will hold a mix of investments which reflects their views relative to their  </w:t>
      </w:r>
    </w:p>
    <w:p w14:paraId="7267C055" w14:textId="77777777" w:rsidR="00646A22" w:rsidRPr="00646A22" w:rsidRDefault="00646A22" w:rsidP="008453F1">
      <w:pPr>
        <w:ind w:left="3600" w:hanging="3600"/>
        <w:rPr>
          <w:rFonts w:ascii="Arial" w:hAnsi="Arial" w:cs="Arial"/>
          <w:sz w:val="20"/>
        </w:rPr>
      </w:pPr>
      <w:r>
        <w:rPr>
          <w:rFonts w:ascii="Arial" w:hAnsi="Arial" w:cs="Arial"/>
          <w:sz w:val="20"/>
        </w:rPr>
        <w:t xml:space="preserve">respective benchmarks (details) </w:t>
      </w:r>
      <w:r w:rsidRPr="00646A22">
        <w:rPr>
          <w:rFonts w:ascii="Arial" w:hAnsi="Arial" w:cs="Arial"/>
          <w:sz w:val="20"/>
        </w:rPr>
        <w:t xml:space="preserve">of these benchmarks are provided in the Appendix of this paper). Within  </w:t>
      </w:r>
    </w:p>
    <w:p w14:paraId="114A736B" w14:textId="77777777" w:rsidR="00646A22" w:rsidRPr="00646A22" w:rsidRDefault="00646A22" w:rsidP="008453F1">
      <w:pPr>
        <w:ind w:left="3600" w:hanging="3600"/>
        <w:rPr>
          <w:rFonts w:ascii="Arial" w:hAnsi="Arial" w:cs="Arial"/>
          <w:sz w:val="20"/>
        </w:rPr>
      </w:pPr>
      <w:r>
        <w:rPr>
          <w:rFonts w:ascii="Arial" w:hAnsi="Arial" w:cs="Arial"/>
          <w:sz w:val="20"/>
        </w:rPr>
        <w:t xml:space="preserve">each major market and asset class, </w:t>
      </w:r>
      <w:r w:rsidRPr="00646A22">
        <w:rPr>
          <w:rFonts w:ascii="Arial" w:hAnsi="Arial" w:cs="Arial"/>
          <w:sz w:val="20"/>
        </w:rPr>
        <w:t xml:space="preserve">the managers will maintain diversified portfolios through direct </w:t>
      </w:r>
    </w:p>
    <w:p w14:paraId="703A9122" w14:textId="77777777" w:rsidR="00646A22" w:rsidRPr="00646A22" w:rsidRDefault="00646A22" w:rsidP="008453F1">
      <w:pPr>
        <w:ind w:left="3600" w:hanging="3600"/>
        <w:rPr>
          <w:rFonts w:ascii="Arial" w:hAnsi="Arial" w:cs="Arial"/>
          <w:sz w:val="20"/>
        </w:rPr>
      </w:pPr>
      <w:r>
        <w:rPr>
          <w:rFonts w:ascii="Arial" w:hAnsi="Arial" w:cs="Arial"/>
          <w:sz w:val="20"/>
        </w:rPr>
        <w:t>investment or pooled vehicles. The manager of the p</w:t>
      </w:r>
      <w:r w:rsidRPr="00646A22">
        <w:rPr>
          <w:rFonts w:ascii="Arial" w:hAnsi="Arial" w:cs="Arial"/>
          <w:sz w:val="20"/>
        </w:rPr>
        <w:t xml:space="preserve">assive funds in which the Fund invests holds a mix </w:t>
      </w:r>
    </w:p>
    <w:p w14:paraId="11DEA736" w14:textId="77777777" w:rsidR="00646A22" w:rsidRPr="00646A22" w:rsidRDefault="00646A22" w:rsidP="008453F1">
      <w:pPr>
        <w:ind w:left="3600" w:hanging="3600"/>
        <w:rPr>
          <w:rFonts w:ascii="Arial" w:hAnsi="Arial" w:cs="Arial"/>
          <w:b/>
          <w:sz w:val="20"/>
        </w:rPr>
      </w:pPr>
      <w:r>
        <w:rPr>
          <w:rFonts w:ascii="Arial" w:hAnsi="Arial" w:cs="Arial"/>
          <w:sz w:val="20"/>
        </w:rPr>
        <w:t xml:space="preserve">of investments with each pooled fund that reflects that of </w:t>
      </w:r>
      <w:r w:rsidRPr="00646A22">
        <w:rPr>
          <w:rFonts w:ascii="Arial" w:hAnsi="Arial" w:cs="Arial"/>
          <w:sz w:val="20"/>
        </w:rPr>
        <w:t>their respective benchmark indices.</w:t>
      </w:r>
    </w:p>
    <w:p w14:paraId="25C17EC9" w14:textId="77777777" w:rsidR="00646A22" w:rsidRPr="00646A22" w:rsidRDefault="00646A22" w:rsidP="00F328AA">
      <w:pPr>
        <w:ind w:left="3600" w:hanging="3600"/>
        <w:jc w:val="both"/>
        <w:rPr>
          <w:rFonts w:ascii="Arial" w:hAnsi="Arial" w:cs="Arial"/>
          <w:b/>
          <w:sz w:val="20"/>
        </w:rPr>
      </w:pPr>
    </w:p>
    <w:p w14:paraId="0B29B964" w14:textId="77777777" w:rsidR="00646A22" w:rsidRDefault="00646A22" w:rsidP="00A72043">
      <w:pPr>
        <w:ind w:left="3600" w:hanging="3600"/>
        <w:rPr>
          <w:b/>
        </w:rPr>
      </w:pPr>
    </w:p>
    <w:p w14:paraId="5AB9F908" w14:textId="77777777" w:rsidR="00F328AA" w:rsidRDefault="00F328AA" w:rsidP="00F328AA">
      <w:pPr>
        <w:pStyle w:val="Default"/>
        <w:rPr>
          <w:b/>
          <w:bCs/>
          <w:sz w:val="20"/>
          <w:szCs w:val="20"/>
        </w:rPr>
      </w:pPr>
      <w:r>
        <w:rPr>
          <w:b/>
          <w:bCs/>
          <w:sz w:val="20"/>
          <w:szCs w:val="20"/>
        </w:rPr>
        <w:t xml:space="preserve">The approach to risk, including the ways in which risks are to be measured and managed </w:t>
      </w:r>
    </w:p>
    <w:p w14:paraId="2B93A197" w14:textId="77777777" w:rsidR="00F328AA" w:rsidRDefault="00F328AA" w:rsidP="00F328AA">
      <w:pPr>
        <w:pStyle w:val="Default"/>
        <w:rPr>
          <w:sz w:val="20"/>
          <w:szCs w:val="20"/>
        </w:rPr>
      </w:pPr>
    </w:p>
    <w:p w14:paraId="59AAF718" w14:textId="77777777" w:rsidR="00F328AA" w:rsidRDefault="00F328AA" w:rsidP="00F328AA">
      <w:pPr>
        <w:pStyle w:val="Default"/>
        <w:spacing w:before="20" w:after="200"/>
        <w:rPr>
          <w:sz w:val="20"/>
          <w:szCs w:val="20"/>
        </w:rPr>
      </w:pPr>
      <w:r>
        <w:rPr>
          <w:sz w:val="20"/>
          <w:szCs w:val="20"/>
        </w:rPr>
        <w:t xml:space="preserve">The Committee is aware that the Fund has a need to take risk (e.g. investing in growth assets) to help it achieve its funding objectives. It has an active risk management programme in place that aims to help it identify the risks being taken and put in place processes to manage, measure, monitor and (where possible) mitigate these risks. One of the Committee’s overarching beliefs is to only to take as much investment risk as is necessary. </w:t>
      </w:r>
    </w:p>
    <w:p w14:paraId="0ED63A60" w14:textId="77777777" w:rsidR="00F328AA" w:rsidRDefault="00F328AA" w:rsidP="00F328AA">
      <w:pPr>
        <w:pStyle w:val="Default"/>
        <w:spacing w:before="20" w:after="200"/>
        <w:ind w:right="991"/>
        <w:rPr>
          <w:sz w:val="20"/>
          <w:szCs w:val="20"/>
        </w:rPr>
      </w:pPr>
      <w:r>
        <w:rPr>
          <w:sz w:val="20"/>
          <w:szCs w:val="20"/>
        </w:rPr>
        <w:t xml:space="preserve">The principal risks affecting the Fund are set out below, we also discuss the Fund’s approach to managing these risks and the contingency plans that are in place: </w:t>
      </w:r>
    </w:p>
    <w:p w14:paraId="4B8A2282" w14:textId="77777777" w:rsidR="00F328AA" w:rsidRDefault="00F328AA" w:rsidP="00F328AA">
      <w:pPr>
        <w:pStyle w:val="Default"/>
        <w:spacing w:before="20" w:after="20"/>
        <w:rPr>
          <w:b/>
          <w:bCs/>
          <w:sz w:val="20"/>
          <w:szCs w:val="20"/>
        </w:rPr>
      </w:pPr>
    </w:p>
    <w:p w14:paraId="0D5AA075" w14:textId="77777777" w:rsidR="00F328AA" w:rsidRDefault="00F328AA" w:rsidP="00F328AA">
      <w:pPr>
        <w:pStyle w:val="Default"/>
        <w:spacing w:before="20" w:after="20"/>
        <w:rPr>
          <w:b/>
          <w:bCs/>
          <w:sz w:val="20"/>
          <w:szCs w:val="20"/>
        </w:rPr>
      </w:pPr>
    </w:p>
    <w:p w14:paraId="68CA6A10" w14:textId="77777777" w:rsidR="00F328AA" w:rsidRDefault="00F328AA" w:rsidP="00F328AA">
      <w:pPr>
        <w:pStyle w:val="Default"/>
        <w:spacing w:before="20" w:after="20"/>
        <w:rPr>
          <w:b/>
          <w:bCs/>
          <w:sz w:val="20"/>
          <w:szCs w:val="20"/>
        </w:rPr>
      </w:pPr>
    </w:p>
    <w:p w14:paraId="3853E58B" w14:textId="77777777" w:rsidR="00F328AA" w:rsidRDefault="00F328AA" w:rsidP="00F328AA">
      <w:pPr>
        <w:pStyle w:val="Default"/>
        <w:spacing w:before="20" w:after="20"/>
        <w:rPr>
          <w:b/>
          <w:bCs/>
          <w:sz w:val="20"/>
          <w:szCs w:val="20"/>
        </w:rPr>
      </w:pPr>
    </w:p>
    <w:p w14:paraId="0599D766" w14:textId="77777777" w:rsidR="00F328AA" w:rsidRDefault="00F328AA" w:rsidP="00F328AA">
      <w:pPr>
        <w:pStyle w:val="Default"/>
        <w:spacing w:before="20" w:after="20"/>
        <w:rPr>
          <w:b/>
          <w:bCs/>
          <w:sz w:val="20"/>
          <w:szCs w:val="20"/>
        </w:rPr>
      </w:pPr>
    </w:p>
    <w:p w14:paraId="79E9059F" w14:textId="77777777" w:rsidR="00F328AA" w:rsidRPr="00F328AA" w:rsidRDefault="00F328AA" w:rsidP="00F328AA">
      <w:pPr>
        <w:pStyle w:val="Default"/>
        <w:spacing w:before="20" w:after="20"/>
        <w:rPr>
          <w:sz w:val="20"/>
          <w:szCs w:val="20"/>
        </w:rPr>
      </w:pPr>
      <w:r w:rsidRPr="00F328AA">
        <w:rPr>
          <w:b/>
          <w:bCs/>
          <w:sz w:val="20"/>
          <w:szCs w:val="20"/>
        </w:rPr>
        <w:t xml:space="preserve">Funding risks </w:t>
      </w:r>
    </w:p>
    <w:p w14:paraId="7B898CFC" w14:textId="77777777" w:rsidR="00F328AA" w:rsidRDefault="00F328AA" w:rsidP="00F328AA">
      <w:pPr>
        <w:ind w:left="3600" w:hanging="3600"/>
        <w:rPr>
          <w:rFonts w:ascii="Arial" w:hAnsi="Arial" w:cs="Arial"/>
          <w:sz w:val="20"/>
        </w:rPr>
      </w:pPr>
      <w:r w:rsidRPr="00F328AA">
        <w:rPr>
          <w:rFonts w:ascii="Arial" w:hAnsi="Arial" w:cs="Arial"/>
          <w:sz w:val="20"/>
        </w:rPr>
        <w:t xml:space="preserve">Asset values may not increase at the same rate as liabilities with an adverse impact on the funding </w:t>
      </w:r>
    </w:p>
    <w:p w14:paraId="66F292DC" w14:textId="77777777" w:rsidR="00F328AA" w:rsidRDefault="00F328AA" w:rsidP="00F328AA">
      <w:pPr>
        <w:ind w:left="3600" w:hanging="3600"/>
        <w:rPr>
          <w:rFonts w:ascii="Arial" w:hAnsi="Arial" w:cs="Arial"/>
          <w:sz w:val="20"/>
        </w:rPr>
      </w:pPr>
      <w:r w:rsidRPr="00F328AA">
        <w:rPr>
          <w:rFonts w:ascii="Arial" w:hAnsi="Arial" w:cs="Arial"/>
          <w:sz w:val="20"/>
        </w:rPr>
        <w:t xml:space="preserve">position. A FSS is prepared every three years as part of the triennial valuation. The Fund’s investment </w:t>
      </w:r>
    </w:p>
    <w:p w14:paraId="02F8F0BF" w14:textId="77777777" w:rsidR="00646A22" w:rsidRPr="00F328AA" w:rsidRDefault="00F328AA" w:rsidP="00F328AA">
      <w:pPr>
        <w:ind w:left="3600" w:hanging="3600"/>
        <w:rPr>
          <w:rFonts w:ascii="Arial" w:hAnsi="Arial" w:cs="Arial"/>
          <w:b/>
        </w:rPr>
      </w:pPr>
      <w:r w:rsidRPr="00F328AA">
        <w:rPr>
          <w:rFonts w:ascii="Arial" w:hAnsi="Arial" w:cs="Arial"/>
          <w:sz w:val="20"/>
        </w:rPr>
        <w:t>strategy and performance relative to the growth in the liabilities is monitored on an ongoing basis.</w:t>
      </w:r>
    </w:p>
    <w:p w14:paraId="2338754D" w14:textId="77777777" w:rsidR="00F328AA" w:rsidRDefault="00F328AA" w:rsidP="00F328AA">
      <w:pPr>
        <w:pStyle w:val="Default"/>
      </w:pPr>
    </w:p>
    <w:p w14:paraId="47F8E15E" w14:textId="77777777" w:rsidR="00F328AA" w:rsidRDefault="00F328AA" w:rsidP="0073304A">
      <w:pPr>
        <w:pStyle w:val="Default"/>
        <w:numPr>
          <w:ilvl w:val="0"/>
          <w:numId w:val="75"/>
        </w:numPr>
        <w:spacing w:before="20" w:after="200"/>
        <w:rPr>
          <w:sz w:val="20"/>
          <w:szCs w:val="20"/>
        </w:rPr>
      </w:pPr>
      <w:r>
        <w:rPr>
          <w:sz w:val="20"/>
          <w:szCs w:val="20"/>
        </w:rPr>
        <w:t xml:space="preserve">Financial mismatch – The risk that Fund assets fail to grow in line with the developing cost of meeting the liabilities. </w:t>
      </w:r>
    </w:p>
    <w:p w14:paraId="31EAAE30" w14:textId="77777777" w:rsidR="00F328AA" w:rsidRDefault="00F328AA" w:rsidP="0073304A">
      <w:pPr>
        <w:pStyle w:val="Default"/>
        <w:numPr>
          <w:ilvl w:val="0"/>
          <w:numId w:val="76"/>
        </w:numPr>
        <w:spacing w:before="20" w:after="200"/>
        <w:rPr>
          <w:sz w:val="20"/>
          <w:szCs w:val="20"/>
        </w:rPr>
      </w:pPr>
      <w:r>
        <w:rPr>
          <w:sz w:val="20"/>
          <w:szCs w:val="20"/>
        </w:rPr>
        <w:t xml:space="preserve">Changing demographics –The risk that longevity improves and other demographic factors change, increasing the cost of Fund benefits. </w:t>
      </w:r>
    </w:p>
    <w:p w14:paraId="13293584" w14:textId="77777777" w:rsidR="00F328AA" w:rsidRDefault="00F328AA" w:rsidP="0073304A">
      <w:pPr>
        <w:pStyle w:val="Default"/>
        <w:numPr>
          <w:ilvl w:val="0"/>
          <w:numId w:val="76"/>
        </w:numPr>
        <w:spacing w:before="20" w:after="200"/>
        <w:rPr>
          <w:sz w:val="20"/>
          <w:szCs w:val="20"/>
        </w:rPr>
      </w:pPr>
      <w:r>
        <w:rPr>
          <w:sz w:val="20"/>
          <w:szCs w:val="20"/>
        </w:rPr>
        <w:t xml:space="preserve">Systemic risk - The possibility of an interlinked and simultaneous failure of several asset classes and/or investment managers, possibly compounded by financial ‘contagion’, resulting in an increase in the cost of meeting the Fund’s liabilities. </w:t>
      </w:r>
    </w:p>
    <w:p w14:paraId="2EF6C6C5" w14:textId="77777777" w:rsidR="00646A22" w:rsidRDefault="00646A22" w:rsidP="00A72043">
      <w:pPr>
        <w:ind w:left="3600" w:hanging="3600"/>
        <w:rPr>
          <w:b/>
        </w:rPr>
      </w:pPr>
    </w:p>
    <w:p w14:paraId="4C3447C9" w14:textId="77777777" w:rsidR="00F328AA" w:rsidRDefault="00F328AA" w:rsidP="00F328AA">
      <w:pPr>
        <w:pStyle w:val="Default"/>
        <w:spacing w:before="20" w:after="200"/>
        <w:ind w:right="991"/>
        <w:rPr>
          <w:sz w:val="20"/>
          <w:szCs w:val="20"/>
        </w:rPr>
      </w:pPr>
      <w:r>
        <w:rPr>
          <w:sz w:val="20"/>
          <w:szCs w:val="20"/>
        </w:rPr>
        <w:t xml:space="preserve">The Committee measures and manages financial mismatch in two ways: </w:t>
      </w:r>
    </w:p>
    <w:p w14:paraId="0CB2CA28" w14:textId="77777777" w:rsidR="00F328AA" w:rsidRPr="00F328AA" w:rsidRDefault="00F328AA" w:rsidP="0073304A">
      <w:pPr>
        <w:pStyle w:val="Default"/>
        <w:numPr>
          <w:ilvl w:val="0"/>
          <w:numId w:val="77"/>
        </w:numPr>
        <w:spacing w:before="20" w:after="200"/>
        <w:rPr>
          <w:sz w:val="20"/>
          <w:szCs w:val="20"/>
        </w:rPr>
      </w:pPr>
      <w:r w:rsidRPr="00F328AA">
        <w:rPr>
          <w:sz w:val="20"/>
          <w:szCs w:val="20"/>
        </w:rPr>
        <w:t xml:space="preserve">As indicated above, the Committee has set a strategic asset allocation benchmark for the Fund. This benchmark was set taking into account asset liability modelling which focused on the likelihood of achieving the Fund’s longer term funding objectives and with regard to the level of downside risk. This analysis will be revisited as part of the 2019 valuation process. </w:t>
      </w:r>
    </w:p>
    <w:p w14:paraId="420215BB" w14:textId="77777777" w:rsidR="00F328AA" w:rsidRPr="00F328AA" w:rsidRDefault="00F328AA" w:rsidP="0073304A">
      <w:pPr>
        <w:pStyle w:val="Default"/>
        <w:numPr>
          <w:ilvl w:val="0"/>
          <w:numId w:val="77"/>
        </w:numPr>
        <w:spacing w:before="20" w:after="200"/>
        <w:rPr>
          <w:sz w:val="20"/>
          <w:szCs w:val="20"/>
        </w:rPr>
      </w:pPr>
      <w:r w:rsidRPr="00F328AA">
        <w:rPr>
          <w:sz w:val="20"/>
          <w:szCs w:val="20"/>
        </w:rPr>
        <w:t xml:space="preserve">The Committee assesses risk relative to the strategic benchmark by monitoring the Fund’s asset allocation and investment returns relative to the benchmark. The Committee also assesses risk relative to liabilities by monitoring the delivery of benchmark returns relative to liabilities. </w:t>
      </w:r>
    </w:p>
    <w:p w14:paraId="65087F6C" w14:textId="77777777" w:rsidR="00646A22" w:rsidRDefault="00646A22" w:rsidP="00A72043">
      <w:pPr>
        <w:ind w:left="3600" w:hanging="3600"/>
        <w:rPr>
          <w:b/>
        </w:rPr>
      </w:pPr>
    </w:p>
    <w:p w14:paraId="120D3FEF" w14:textId="77777777" w:rsidR="00C47636" w:rsidRPr="00C47636" w:rsidRDefault="00C47636" w:rsidP="00C47636">
      <w:pPr>
        <w:pStyle w:val="Default"/>
        <w:spacing w:before="20" w:after="200"/>
        <w:ind w:right="991"/>
        <w:rPr>
          <w:sz w:val="20"/>
          <w:szCs w:val="20"/>
        </w:rPr>
      </w:pPr>
      <w:r w:rsidRPr="00C47636">
        <w:rPr>
          <w:sz w:val="20"/>
          <w:szCs w:val="20"/>
        </w:rPr>
        <w:t xml:space="preserve">The Committee also seeks to understand the assumptions used in any analysis and modelling so they can be compared to their own views and the level of risks associated with these assumptions to be assessed. </w:t>
      </w:r>
    </w:p>
    <w:p w14:paraId="215A644E" w14:textId="77777777" w:rsidR="00C47636" w:rsidRDefault="00C47636" w:rsidP="00C47636">
      <w:pPr>
        <w:ind w:left="3600" w:hanging="3600"/>
        <w:rPr>
          <w:rFonts w:ascii="Arial" w:hAnsi="Arial" w:cs="Arial"/>
          <w:sz w:val="20"/>
        </w:rPr>
      </w:pPr>
      <w:r w:rsidRPr="00C47636">
        <w:rPr>
          <w:rFonts w:ascii="Arial" w:hAnsi="Arial" w:cs="Arial"/>
          <w:sz w:val="20"/>
        </w:rPr>
        <w:t xml:space="preserve">The Committee seeks to mitigate systemic risk through a diversified portfolio but it is not possible to </w:t>
      </w:r>
    </w:p>
    <w:p w14:paraId="23C6CBD2" w14:textId="77777777" w:rsidR="00C47636" w:rsidRDefault="00C47636" w:rsidP="00C47636">
      <w:pPr>
        <w:ind w:left="3600" w:hanging="3600"/>
        <w:rPr>
          <w:rFonts w:ascii="Arial" w:hAnsi="Arial" w:cs="Arial"/>
          <w:sz w:val="20"/>
        </w:rPr>
      </w:pPr>
      <w:r w:rsidRPr="00C47636">
        <w:rPr>
          <w:rFonts w:ascii="Arial" w:hAnsi="Arial" w:cs="Arial"/>
          <w:sz w:val="20"/>
        </w:rPr>
        <w:t xml:space="preserve">make specific provision for all possible eventualities that may arise under this heading. Changes in </w:t>
      </w:r>
    </w:p>
    <w:p w14:paraId="1C85F5B5" w14:textId="77777777" w:rsidR="00646A22" w:rsidRPr="00C47636" w:rsidRDefault="00C47636" w:rsidP="00C47636">
      <w:pPr>
        <w:ind w:left="3600" w:hanging="3600"/>
        <w:rPr>
          <w:rFonts w:ascii="Arial" w:hAnsi="Arial" w:cs="Arial"/>
          <w:b/>
        </w:rPr>
      </w:pPr>
      <w:r w:rsidRPr="00C47636">
        <w:rPr>
          <w:rFonts w:ascii="Arial" w:hAnsi="Arial" w:cs="Arial"/>
          <w:sz w:val="20"/>
        </w:rPr>
        <w:t>demographics are considered as part of the Fund’s triennial Actuarial valuation.</w:t>
      </w:r>
    </w:p>
    <w:p w14:paraId="5A2FDFFE" w14:textId="77777777" w:rsidR="00646A22" w:rsidRDefault="00646A22" w:rsidP="00A72043">
      <w:pPr>
        <w:ind w:left="3600" w:hanging="3600"/>
        <w:rPr>
          <w:b/>
        </w:rPr>
      </w:pPr>
    </w:p>
    <w:p w14:paraId="79B0F8CC" w14:textId="77777777" w:rsidR="00C47636" w:rsidRPr="00C47636" w:rsidRDefault="00C47636" w:rsidP="00C47636">
      <w:pPr>
        <w:pStyle w:val="Default"/>
        <w:spacing w:before="20" w:after="20"/>
        <w:rPr>
          <w:sz w:val="20"/>
          <w:szCs w:val="20"/>
        </w:rPr>
      </w:pPr>
      <w:r w:rsidRPr="00C47636">
        <w:rPr>
          <w:b/>
          <w:bCs/>
          <w:sz w:val="20"/>
          <w:szCs w:val="20"/>
        </w:rPr>
        <w:t xml:space="preserve">Asset risks </w:t>
      </w:r>
    </w:p>
    <w:p w14:paraId="1545AF09" w14:textId="77777777" w:rsidR="00C47636" w:rsidRPr="00C47636" w:rsidRDefault="00C47636" w:rsidP="0073304A">
      <w:pPr>
        <w:pStyle w:val="Default"/>
        <w:numPr>
          <w:ilvl w:val="0"/>
          <w:numId w:val="76"/>
        </w:numPr>
        <w:spacing w:before="20" w:after="200"/>
        <w:rPr>
          <w:sz w:val="20"/>
          <w:szCs w:val="20"/>
        </w:rPr>
      </w:pPr>
      <w:r w:rsidRPr="00C47636">
        <w:rPr>
          <w:sz w:val="20"/>
          <w:szCs w:val="20"/>
        </w:rPr>
        <w:t xml:space="preserve">Concentration - The risk that a significant allocation to any single asset category and its underperformance relative to expectation would result in difficulties in achieving funding objectives. </w:t>
      </w:r>
    </w:p>
    <w:p w14:paraId="2D58A8BD" w14:textId="77777777" w:rsidR="00C47636" w:rsidRPr="00C47636" w:rsidRDefault="00C47636" w:rsidP="0073304A">
      <w:pPr>
        <w:pStyle w:val="Default"/>
        <w:numPr>
          <w:ilvl w:val="0"/>
          <w:numId w:val="76"/>
        </w:numPr>
        <w:spacing w:before="20" w:after="200"/>
        <w:rPr>
          <w:sz w:val="20"/>
          <w:szCs w:val="20"/>
        </w:rPr>
      </w:pPr>
      <w:r w:rsidRPr="00C47636">
        <w:rPr>
          <w:sz w:val="20"/>
          <w:szCs w:val="20"/>
        </w:rPr>
        <w:t xml:space="preserve">Illiquidity - The risk that the Fund cannot meet its immediate liabilities because it has insufficient liquid assets. </w:t>
      </w:r>
    </w:p>
    <w:p w14:paraId="3D4E248A" w14:textId="77777777" w:rsidR="00C47636" w:rsidRPr="00C47636" w:rsidRDefault="00C47636" w:rsidP="0073304A">
      <w:pPr>
        <w:pStyle w:val="Default"/>
        <w:numPr>
          <w:ilvl w:val="0"/>
          <w:numId w:val="76"/>
        </w:numPr>
        <w:spacing w:before="20" w:after="120"/>
        <w:rPr>
          <w:sz w:val="20"/>
          <w:szCs w:val="20"/>
        </w:rPr>
      </w:pPr>
      <w:r w:rsidRPr="00C47636">
        <w:rPr>
          <w:sz w:val="20"/>
          <w:szCs w:val="20"/>
        </w:rPr>
        <w:t xml:space="preserve">Currency risk – The risk that the currency of the Fund’s assets underperforms relative to Sterling (i.e. the currency of the liabilities). </w:t>
      </w:r>
    </w:p>
    <w:p w14:paraId="79DC9FB7" w14:textId="77777777" w:rsidR="00C47636" w:rsidRPr="00C47636" w:rsidRDefault="00C47636" w:rsidP="0073304A">
      <w:pPr>
        <w:pStyle w:val="Default"/>
        <w:numPr>
          <w:ilvl w:val="0"/>
          <w:numId w:val="76"/>
        </w:numPr>
        <w:spacing w:before="20" w:after="120"/>
        <w:rPr>
          <w:sz w:val="20"/>
          <w:szCs w:val="20"/>
        </w:rPr>
      </w:pPr>
      <w:r w:rsidRPr="00C47636">
        <w:rPr>
          <w:sz w:val="20"/>
          <w:szCs w:val="20"/>
        </w:rPr>
        <w:t xml:space="preserve">Environmental, social and governance (“ESG”) – The risk that ESG related factors reduce the Fund’s ability to generate the long-term returns. </w:t>
      </w:r>
    </w:p>
    <w:p w14:paraId="1FE82AAA" w14:textId="77777777" w:rsidR="00C47636" w:rsidRPr="00C47636" w:rsidRDefault="00C47636" w:rsidP="0073304A">
      <w:pPr>
        <w:pStyle w:val="Default"/>
        <w:numPr>
          <w:ilvl w:val="0"/>
          <w:numId w:val="76"/>
        </w:numPr>
        <w:spacing w:before="20" w:after="200"/>
        <w:rPr>
          <w:sz w:val="20"/>
          <w:szCs w:val="20"/>
        </w:rPr>
      </w:pPr>
      <w:r w:rsidRPr="00C47636">
        <w:rPr>
          <w:sz w:val="20"/>
          <w:szCs w:val="20"/>
        </w:rPr>
        <w:t xml:space="preserve">Manager underperformance - The failure by the fund managers to achieve the rate of investment return assumed in setting their mandates. </w:t>
      </w:r>
    </w:p>
    <w:p w14:paraId="28B986EA" w14:textId="77777777" w:rsidR="00C47636" w:rsidRPr="00C47636" w:rsidRDefault="00C47636" w:rsidP="00C47636">
      <w:pPr>
        <w:pStyle w:val="Default"/>
        <w:rPr>
          <w:sz w:val="20"/>
          <w:szCs w:val="20"/>
        </w:rPr>
      </w:pPr>
    </w:p>
    <w:p w14:paraId="70797999" w14:textId="77777777" w:rsidR="00C47636" w:rsidRDefault="00C47636" w:rsidP="00C47636">
      <w:pPr>
        <w:ind w:left="3600" w:hanging="3600"/>
        <w:rPr>
          <w:rFonts w:ascii="Arial" w:hAnsi="Arial" w:cs="Arial"/>
          <w:sz w:val="20"/>
        </w:rPr>
      </w:pPr>
    </w:p>
    <w:p w14:paraId="7F3AE46E" w14:textId="77777777" w:rsidR="00C47636" w:rsidRDefault="00C47636" w:rsidP="00C47636">
      <w:pPr>
        <w:ind w:left="3600" w:hanging="3600"/>
        <w:rPr>
          <w:rFonts w:ascii="Arial" w:hAnsi="Arial" w:cs="Arial"/>
          <w:sz w:val="20"/>
        </w:rPr>
      </w:pPr>
    </w:p>
    <w:p w14:paraId="115A47ED" w14:textId="77777777" w:rsidR="00646A22" w:rsidRPr="00C47636" w:rsidRDefault="00C47636" w:rsidP="00C47636">
      <w:pPr>
        <w:ind w:left="3600" w:hanging="3600"/>
        <w:rPr>
          <w:rFonts w:ascii="Arial" w:hAnsi="Arial" w:cs="Arial"/>
          <w:b/>
        </w:rPr>
      </w:pPr>
      <w:r w:rsidRPr="00C47636">
        <w:rPr>
          <w:rFonts w:ascii="Arial" w:hAnsi="Arial" w:cs="Arial"/>
          <w:b/>
          <w:sz w:val="20"/>
        </w:rPr>
        <w:t>The Committee measure and manage asset risks as follows.</w:t>
      </w:r>
    </w:p>
    <w:p w14:paraId="4F85FB3B" w14:textId="77777777" w:rsidR="00646A22" w:rsidRPr="00C47636" w:rsidRDefault="00646A22" w:rsidP="00A72043">
      <w:pPr>
        <w:ind w:left="3600" w:hanging="3600"/>
        <w:rPr>
          <w:rFonts w:ascii="Arial" w:hAnsi="Arial" w:cs="Arial"/>
          <w:b/>
        </w:rPr>
      </w:pPr>
    </w:p>
    <w:p w14:paraId="6203DFBF" w14:textId="77777777" w:rsidR="00C47636" w:rsidRPr="00C47636" w:rsidRDefault="00C47636" w:rsidP="00C47636">
      <w:pPr>
        <w:pStyle w:val="Default"/>
        <w:spacing w:before="20" w:after="200"/>
        <w:rPr>
          <w:sz w:val="20"/>
          <w:szCs w:val="20"/>
        </w:rPr>
      </w:pPr>
      <w:r w:rsidRPr="00C47636">
        <w:rPr>
          <w:sz w:val="20"/>
          <w:szCs w:val="20"/>
        </w:rPr>
        <w:t xml:space="preserve">The Fund’s strategic asset allocation benchmark invests in a diversified range of asset classes. The Committee has put in place rebalancing arrangements to ensure the Fund’s “actual allocation” does not deviate substantially from its target. The Fund invests in a range of investment mandates each of which has a defined objective, performance benchmark and manager process which, taken in aggregate, help reduce the Fund’s asset concentration risk. By investing across a range of assets the Committee has recognised the need for access to liquidity in the short term. </w:t>
      </w:r>
    </w:p>
    <w:p w14:paraId="49AB9002" w14:textId="77777777" w:rsidR="00C47636" w:rsidRPr="00C47636" w:rsidRDefault="00C47636" w:rsidP="00C47636">
      <w:pPr>
        <w:pStyle w:val="Default"/>
        <w:spacing w:before="20" w:after="200"/>
        <w:rPr>
          <w:sz w:val="20"/>
          <w:szCs w:val="20"/>
        </w:rPr>
      </w:pPr>
      <w:r w:rsidRPr="00C47636">
        <w:rPr>
          <w:sz w:val="20"/>
          <w:szCs w:val="20"/>
        </w:rPr>
        <w:t xml:space="preserve">The Fund invests in a range of overseas markets which provides a diversified approach to currency markets; the Committee also assess the Fund’s currency risk during their risk analysis. Details of the Fund’s approach to managing ESG risks is set out later in this document. </w:t>
      </w:r>
    </w:p>
    <w:p w14:paraId="55C06C99" w14:textId="77777777" w:rsidR="00C47636" w:rsidRDefault="00C47636" w:rsidP="00C47636">
      <w:pPr>
        <w:ind w:left="3600" w:hanging="3600"/>
        <w:rPr>
          <w:rFonts w:ascii="Arial" w:hAnsi="Arial" w:cs="Arial"/>
          <w:sz w:val="20"/>
        </w:rPr>
      </w:pPr>
      <w:r w:rsidRPr="00C47636">
        <w:rPr>
          <w:rFonts w:ascii="Arial" w:hAnsi="Arial" w:cs="Arial"/>
          <w:sz w:val="20"/>
        </w:rPr>
        <w:t xml:space="preserve">The Committee has considered the risk of underperformance by any single investment manager and </w:t>
      </w:r>
    </w:p>
    <w:p w14:paraId="52131B8C" w14:textId="77777777" w:rsidR="00C47636" w:rsidRDefault="00C47636" w:rsidP="00C47636">
      <w:pPr>
        <w:ind w:left="3600" w:hanging="3600"/>
        <w:rPr>
          <w:rFonts w:ascii="Arial" w:hAnsi="Arial" w:cs="Arial"/>
          <w:sz w:val="20"/>
        </w:rPr>
      </w:pPr>
      <w:r w:rsidRPr="00C47636">
        <w:rPr>
          <w:rFonts w:ascii="Arial" w:hAnsi="Arial" w:cs="Arial"/>
          <w:sz w:val="20"/>
        </w:rPr>
        <w:t xml:space="preserve">have attempted to reduce this risk by appointing more than one manager and having a material </w:t>
      </w:r>
    </w:p>
    <w:p w14:paraId="4214AE43" w14:textId="77777777" w:rsidR="00C47636" w:rsidRDefault="00C47636" w:rsidP="00C47636">
      <w:pPr>
        <w:ind w:left="3600" w:hanging="3600"/>
        <w:rPr>
          <w:rFonts w:ascii="Arial" w:hAnsi="Arial" w:cs="Arial"/>
          <w:sz w:val="20"/>
        </w:rPr>
      </w:pPr>
      <w:r w:rsidRPr="00C47636">
        <w:rPr>
          <w:rFonts w:ascii="Arial" w:hAnsi="Arial" w:cs="Arial"/>
          <w:sz w:val="20"/>
        </w:rPr>
        <w:t>proportion of the Fund’s assets managed on a passive basis. The Committee assess the Fund’s</w:t>
      </w:r>
    </w:p>
    <w:p w14:paraId="2E6E2977" w14:textId="77777777" w:rsidR="00C47636" w:rsidRDefault="00C47636" w:rsidP="00C47636">
      <w:pPr>
        <w:ind w:left="3600" w:hanging="3600"/>
        <w:rPr>
          <w:rFonts w:ascii="Arial" w:hAnsi="Arial" w:cs="Arial"/>
          <w:sz w:val="20"/>
        </w:rPr>
      </w:pPr>
      <w:r w:rsidRPr="00C47636">
        <w:rPr>
          <w:rFonts w:ascii="Arial" w:hAnsi="Arial" w:cs="Arial"/>
          <w:sz w:val="20"/>
        </w:rPr>
        <w:t xml:space="preserve">managers’ performance on a regular basis, and will take steps, including potentially replacing one or </w:t>
      </w:r>
    </w:p>
    <w:p w14:paraId="53398E00" w14:textId="77777777" w:rsidR="00646A22" w:rsidRPr="00C47636" w:rsidRDefault="00C47636" w:rsidP="00C47636">
      <w:pPr>
        <w:ind w:left="3600" w:hanging="3600"/>
        <w:rPr>
          <w:rFonts w:ascii="Arial" w:hAnsi="Arial" w:cs="Arial"/>
          <w:b/>
        </w:rPr>
      </w:pPr>
      <w:r w:rsidRPr="00C47636">
        <w:rPr>
          <w:rFonts w:ascii="Arial" w:hAnsi="Arial" w:cs="Arial"/>
          <w:sz w:val="20"/>
        </w:rPr>
        <w:t>more of their managers, if underperformance persists.</w:t>
      </w:r>
    </w:p>
    <w:p w14:paraId="620972AF" w14:textId="77777777" w:rsidR="00646A22" w:rsidRDefault="00646A22" w:rsidP="00A72043">
      <w:pPr>
        <w:ind w:left="3600" w:hanging="3600"/>
        <w:rPr>
          <w:b/>
        </w:rPr>
      </w:pPr>
    </w:p>
    <w:p w14:paraId="1F8197DD" w14:textId="77777777" w:rsidR="00C47636" w:rsidRDefault="00C47636" w:rsidP="00C47636">
      <w:pPr>
        <w:pStyle w:val="Default"/>
        <w:spacing w:before="20" w:after="20"/>
        <w:rPr>
          <w:b/>
          <w:bCs/>
          <w:sz w:val="20"/>
          <w:szCs w:val="20"/>
        </w:rPr>
      </w:pPr>
      <w:r>
        <w:rPr>
          <w:b/>
          <w:bCs/>
          <w:sz w:val="20"/>
          <w:szCs w:val="20"/>
        </w:rPr>
        <w:t xml:space="preserve">Other provider risk </w:t>
      </w:r>
    </w:p>
    <w:p w14:paraId="49ABCF87" w14:textId="77777777" w:rsidR="00C47636" w:rsidRDefault="00C47636" w:rsidP="00C47636">
      <w:pPr>
        <w:pStyle w:val="Default"/>
        <w:spacing w:before="20" w:after="20"/>
        <w:rPr>
          <w:sz w:val="20"/>
          <w:szCs w:val="20"/>
        </w:rPr>
      </w:pPr>
    </w:p>
    <w:p w14:paraId="5F454A81" w14:textId="77777777" w:rsidR="00C47636" w:rsidRDefault="00C47636" w:rsidP="0073304A">
      <w:pPr>
        <w:pStyle w:val="Default"/>
        <w:numPr>
          <w:ilvl w:val="0"/>
          <w:numId w:val="76"/>
        </w:numPr>
        <w:spacing w:before="20" w:after="200"/>
        <w:rPr>
          <w:sz w:val="20"/>
          <w:szCs w:val="20"/>
        </w:rPr>
      </w:pPr>
      <w:r>
        <w:rPr>
          <w:sz w:val="20"/>
          <w:szCs w:val="20"/>
        </w:rPr>
        <w:t xml:space="preserve">Transition risk - The risk of incurring unexpected costs in relation to the transition of assets among managers. When carrying out significant transitions, the Committee seeks suitable professional advice. </w:t>
      </w:r>
    </w:p>
    <w:p w14:paraId="00481640" w14:textId="77777777" w:rsidR="00C47636" w:rsidRDefault="00C47636" w:rsidP="0073304A">
      <w:pPr>
        <w:pStyle w:val="Default"/>
        <w:numPr>
          <w:ilvl w:val="0"/>
          <w:numId w:val="76"/>
        </w:numPr>
        <w:spacing w:before="20" w:after="200"/>
        <w:rPr>
          <w:sz w:val="20"/>
          <w:szCs w:val="20"/>
        </w:rPr>
      </w:pPr>
      <w:r>
        <w:rPr>
          <w:sz w:val="20"/>
          <w:szCs w:val="20"/>
        </w:rPr>
        <w:t xml:space="preserve">Custody risk - The risk of losing economic rights to Fund assets, when held in custody or when being traded. </w:t>
      </w:r>
    </w:p>
    <w:p w14:paraId="688A517D" w14:textId="77777777" w:rsidR="00C47636" w:rsidRDefault="00C47636" w:rsidP="0073304A">
      <w:pPr>
        <w:pStyle w:val="Default"/>
        <w:numPr>
          <w:ilvl w:val="0"/>
          <w:numId w:val="76"/>
        </w:numPr>
        <w:spacing w:before="20" w:after="200"/>
        <w:rPr>
          <w:sz w:val="20"/>
          <w:szCs w:val="20"/>
        </w:rPr>
      </w:pPr>
      <w:r>
        <w:rPr>
          <w:sz w:val="20"/>
          <w:szCs w:val="20"/>
        </w:rPr>
        <w:t xml:space="preserve">Credit default - The possibility of default of a counterparty in meeting its obligations. </w:t>
      </w:r>
    </w:p>
    <w:p w14:paraId="1D652A1D" w14:textId="77777777" w:rsidR="00C47636" w:rsidRDefault="00C47636" w:rsidP="0073304A">
      <w:pPr>
        <w:pStyle w:val="Default"/>
        <w:numPr>
          <w:ilvl w:val="0"/>
          <w:numId w:val="76"/>
        </w:numPr>
        <w:spacing w:before="20" w:after="200"/>
        <w:rPr>
          <w:sz w:val="20"/>
          <w:szCs w:val="20"/>
        </w:rPr>
      </w:pPr>
      <w:r>
        <w:rPr>
          <w:sz w:val="20"/>
          <w:szCs w:val="20"/>
        </w:rPr>
        <w:t xml:space="preserve">Stock-lending – The possibility of default and loss of economic rights to Fund assets. </w:t>
      </w:r>
    </w:p>
    <w:p w14:paraId="4D0D6C82" w14:textId="77777777" w:rsidR="00C47636" w:rsidRDefault="00C47636" w:rsidP="00C47636">
      <w:pPr>
        <w:pStyle w:val="Default"/>
        <w:rPr>
          <w:sz w:val="20"/>
          <w:szCs w:val="20"/>
        </w:rPr>
      </w:pPr>
    </w:p>
    <w:p w14:paraId="17088621" w14:textId="77777777" w:rsidR="00C47636" w:rsidRDefault="00C47636" w:rsidP="00C47636">
      <w:pPr>
        <w:ind w:left="3600" w:hanging="3600"/>
        <w:rPr>
          <w:rFonts w:ascii="Arial" w:hAnsi="Arial" w:cs="Arial"/>
          <w:sz w:val="20"/>
        </w:rPr>
      </w:pPr>
      <w:r w:rsidRPr="00C47636">
        <w:rPr>
          <w:rFonts w:ascii="Arial" w:hAnsi="Arial" w:cs="Arial"/>
          <w:sz w:val="20"/>
        </w:rPr>
        <w:t xml:space="preserve">The Committee monitors and manages risks in these areas through a process of regular scrutiny of its </w:t>
      </w:r>
    </w:p>
    <w:p w14:paraId="3D0E5DBB" w14:textId="77777777" w:rsidR="00C47636" w:rsidRDefault="00C47636" w:rsidP="00C47636">
      <w:pPr>
        <w:ind w:left="3600" w:hanging="3600"/>
        <w:rPr>
          <w:rFonts w:ascii="Arial" w:hAnsi="Arial" w:cs="Arial"/>
          <w:sz w:val="20"/>
        </w:rPr>
      </w:pPr>
      <w:r w:rsidRPr="00C47636">
        <w:rPr>
          <w:rFonts w:ascii="Arial" w:hAnsi="Arial" w:cs="Arial"/>
          <w:sz w:val="20"/>
        </w:rPr>
        <w:t xml:space="preserve">providers, and audit of the operations it conducts for the Fund, or has delegated such monitoring and </w:t>
      </w:r>
    </w:p>
    <w:p w14:paraId="6B2E9C2F" w14:textId="77777777" w:rsidR="00C47636" w:rsidRDefault="00C47636" w:rsidP="00C47636">
      <w:pPr>
        <w:ind w:left="3600" w:hanging="3600"/>
        <w:rPr>
          <w:rFonts w:ascii="Arial" w:hAnsi="Arial" w:cs="Arial"/>
          <w:sz w:val="20"/>
        </w:rPr>
      </w:pPr>
      <w:r w:rsidRPr="00C47636">
        <w:rPr>
          <w:rFonts w:ascii="Arial" w:hAnsi="Arial" w:cs="Arial"/>
          <w:sz w:val="20"/>
        </w:rPr>
        <w:t>management of risk to the appointed investment managers as appropriate (e.g. custody risk in relation to</w:t>
      </w:r>
    </w:p>
    <w:p w14:paraId="762A9B53" w14:textId="77777777" w:rsidR="00646A22" w:rsidRPr="00C47636" w:rsidRDefault="00C47636" w:rsidP="00C47636">
      <w:pPr>
        <w:ind w:left="3600" w:hanging="3600"/>
        <w:rPr>
          <w:rFonts w:ascii="Arial" w:hAnsi="Arial" w:cs="Arial"/>
          <w:b/>
        </w:rPr>
      </w:pPr>
      <w:r w:rsidRPr="00C47636">
        <w:rPr>
          <w:rFonts w:ascii="Arial" w:hAnsi="Arial" w:cs="Arial"/>
          <w:sz w:val="20"/>
        </w:rPr>
        <w:t>pooled funds). The Committee has the power to replace a provider should serious concerns exist.</w:t>
      </w:r>
    </w:p>
    <w:p w14:paraId="5B95C0DA" w14:textId="77777777" w:rsidR="00646A22" w:rsidRPr="00C47636" w:rsidRDefault="00646A22" w:rsidP="00A72043">
      <w:pPr>
        <w:ind w:left="3600" w:hanging="3600"/>
        <w:rPr>
          <w:rFonts w:ascii="Arial" w:hAnsi="Arial" w:cs="Arial"/>
          <w:b/>
        </w:rPr>
      </w:pPr>
    </w:p>
    <w:p w14:paraId="1B145539" w14:textId="77777777" w:rsidR="00C47636" w:rsidRDefault="00C47636" w:rsidP="00C47636">
      <w:pPr>
        <w:pStyle w:val="Default"/>
        <w:rPr>
          <w:b/>
          <w:bCs/>
          <w:sz w:val="20"/>
          <w:szCs w:val="20"/>
        </w:rPr>
      </w:pPr>
      <w:r>
        <w:rPr>
          <w:b/>
          <w:bCs/>
          <w:sz w:val="20"/>
          <w:szCs w:val="20"/>
        </w:rPr>
        <w:t xml:space="preserve">The approach to pooling investments, including the use of collective investment vehicles and shared services </w:t>
      </w:r>
    </w:p>
    <w:p w14:paraId="76162001" w14:textId="77777777" w:rsidR="00C47636" w:rsidRDefault="00C47636" w:rsidP="00C47636">
      <w:pPr>
        <w:pStyle w:val="Default"/>
        <w:rPr>
          <w:sz w:val="20"/>
          <w:szCs w:val="20"/>
        </w:rPr>
      </w:pPr>
    </w:p>
    <w:p w14:paraId="49D6BE53" w14:textId="77777777" w:rsidR="00C47636" w:rsidRDefault="00C47636" w:rsidP="00C47636">
      <w:pPr>
        <w:pStyle w:val="Default"/>
        <w:spacing w:before="20" w:after="200"/>
        <w:rPr>
          <w:sz w:val="20"/>
          <w:szCs w:val="20"/>
        </w:rPr>
      </w:pPr>
      <w:r>
        <w:rPr>
          <w:sz w:val="20"/>
          <w:szCs w:val="20"/>
        </w:rPr>
        <w:t xml:space="preserve">The Fund is a participating scheme in the All Wales Pool. The proposed structure and basis on which the All Wales Pool will operate was set out in the July 2016 submission to Government. </w:t>
      </w:r>
    </w:p>
    <w:p w14:paraId="4E5048A6" w14:textId="77777777" w:rsidR="00C47636" w:rsidRDefault="00C47636" w:rsidP="00C47636">
      <w:pPr>
        <w:pStyle w:val="Default"/>
        <w:spacing w:before="20" w:after="200"/>
        <w:rPr>
          <w:sz w:val="20"/>
          <w:szCs w:val="20"/>
        </w:rPr>
      </w:pPr>
      <w:r>
        <w:rPr>
          <w:sz w:val="20"/>
          <w:szCs w:val="20"/>
        </w:rPr>
        <w:t xml:space="preserve">The Fund’s intention is to invest its assets through the All Wales Pool as and when suitable Pool investment solutions become available. An indicative timetable for investing through the Pool was set out in the July 2016 submission to Government. They key criteria for assessment of Pool solutions will be as follows: </w:t>
      </w:r>
    </w:p>
    <w:p w14:paraId="78FFE19E" w14:textId="77777777" w:rsidR="00C47636" w:rsidRDefault="00C47636" w:rsidP="0073304A">
      <w:pPr>
        <w:pStyle w:val="Default"/>
        <w:numPr>
          <w:ilvl w:val="0"/>
          <w:numId w:val="78"/>
        </w:numPr>
        <w:spacing w:before="20" w:after="140"/>
        <w:rPr>
          <w:sz w:val="20"/>
          <w:szCs w:val="20"/>
        </w:rPr>
      </w:pPr>
      <w:r>
        <w:rPr>
          <w:sz w:val="20"/>
          <w:szCs w:val="20"/>
        </w:rPr>
        <w:t xml:space="preserve">That the Pool enables access to an appropriate solution that meets the objectives and benchmark criteria set by the Fund. </w:t>
      </w:r>
    </w:p>
    <w:p w14:paraId="0B7F5806" w14:textId="77777777" w:rsidR="00C47636" w:rsidRDefault="00C47636" w:rsidP="0073304A">
      <w:pPr>
        <w:pStyle w:val="Default"/>
        <w:numPr>
          <w:ilvl w:val="0"/>
          <w:numId w:val="78"/>
        </w:numPr>
        <w:spacing w:before="20" w:after="140"/>
        <w:rPr>
          <w:sz w:val="20"/>
          <w:szCs w:val="20"/>
        </w:rPr>
      </w:pPr>
      <w:r>
        <w:rPr>
          <w:sz w:val="20"/>
          <w:szCs w:val="20"/>
        </w:rPr>
        <w:lastRenderedPageBreak/>
        <w:t xml:space="preserve">That there is a clear financial benefit to the Fund in investing in the solution offered by the Pool, should a change of provider be necessary. </w:t>
      </w:r>
    </w:p>
    <w:p w14:paraId="2F6087C4" w14:textId="77777777" w:rsidR="00C47636" w:rsidRDefault="00C47636" w:rsidP="00C47636">
      <w:pPr>
        <w:pStyle w:val="Default"/>
        <w:rPr>
          <w:sz w:val="20"/>
          <w:szCs w:val="20"/>
        </w:rPr>
      </w:pPr>
    </w:p>
    <w:p w14:paraId="25453CC7" w14:textId="77777777" w:rsidR="00C47636" w:rsidRDefault="00C47636" w:rsidP="00C47636">
      <w:pPr>
        <w:pStyle w:val="Default"/>
        <w:spacing w:before="20" w:after="200"/>
        <w:rPr>
          <w:sz w:val="20"/>
          <w:szCs w:val="20"/>
        </w:rPr>
      </w:pPr>
      <w:r>
        <w:rPr>
          <w:sz w:val="20"/>
          <w:szCs w:val="20"/>
        </w:rPr>
        <w:t xml:space="preserve">At the time of preparing this statement the Fund has no assets via the Wales Pension Partnership Pool. </w:t>
      </w:r>
    </w:p>
    <w:p w14:paraId="6C395836" w14:textId="77777777" w:rsidR="00C47636" w:rsidRDefault="00C47636" w:rsidP="00C47636">
      <w:pPr>
        <w:ind w:left="3600" w:hanging="3600"/>
        <w:rPr>
          <w:rFonts w:ascii="Arial" w:hAnsi="Arial" w:cs="Arial"/>
          <w:sz w:val="20"/>
        </w:rPr>
      </w:pPr>
      <w:r w:rsidRPr="00C47636">
        <w:rPr>
          <w:rFonts w:ascii="Arial" w:hAnsi="Arial" w:cs="Arial"/>
          <w:sz w:val="20"/>
        </w:rPr>
        <w:t>The Chairman (or his identified nominee) shall be the Fund’s representative for the Wales Pool which</w:t>
      </w:r>
    </w:p>
    <w:p w14:paraId="6EF9F91D" w14:textId="77777777" w:rsidR="00C47636" w:rsidRDefault="00C47636" w:rsidP="00C47636">
      <w:pPr>
        <w:ind w:left="3600" w:hanging="3600"/>
        <w:rPr>
          <w:rFonts w:ascii="Arial" w:hAnsi="Arial" w:cs="Arial"/>
          <w:sz w:val="20"/>
        </w:rPr>
      </w:pPr>
      <w:r w:rsidRPr="00C47636">
        <w:rPr>
          <w:rFonts w:ascii="Arial" w:hAnsi="Arial" w:cs="Arial"/>
          <w:sz w:val="20"/>
        </w:rPr>
        <w:t xml:space="preserve">has responsibility for holding the “Pool Operator” to account. The Committee retains responsibility for </w:t>
      </w:r>
    </w:p>
    <w:p w14:paraId="06D6C427" w14:textId="77777777" w:rsidR="00C47636" w:rsidRPr="00C47636" w:rsidRDefault="00C47636" w:rsidP="00C47636">
      <w:pPr>
        <w:ind w:left="3600" w:hanging="3600"/>
        <w:rPr>
          <w:rFonts w:ascii="Arial" w:hAnsi="Arial" w:cs="Arial"/>
          <w:b/>
        </w:rPr>
      </w:pPr>
      <w:r w:rsidRPr="00C47636">
        <w:rPr>
          <w:rFonts w:ascii="Arial" w:hAnsi="Arial" w:cs="Arial"/>
          <w:sz w:val="20"/>
        </w:rPr>
        <w:t>setting its own investment strategy, policy and allocation.</w:t>
      </w:r>
    </w:p>
    <w:p w14:paraId="782FADF5" w14:textId="77777777" w:rsidR="00C47636" w:rsidRDefault="00C47636" w:rsidP="00A72043">
      <w:pPr>
        <w:ind w:left="3600" w:hanging="3600"/>
        <w:rPr>
          <w:rFonts w:ascii="Arial" w:hAnsi="Arial" w:cs="Arial"/>
          <w:b/>
        </w:rPr>
      </w:pPr>
    </w:p>
    <w:p w14:paraId="58318D22" w14:textId="77777777" w:rsidR="00C47636" w:rsidRDefault="00C47636" w:rsidP="00C47636">
      <w:pPr>
        <w:pStyle w:val="Default"/>
        <w:rPr>
          <w:b/>
          <w:bCs/>
          <w:sz w:val="20"/>
          <w:szCs w:val="20"/>
        </w:rPr>
      </w:pPr>
      <w:r>
        <w:rPr>
          <w:b/>
          <w:bCs/>
          <w:sz w:val="20"/>
          <w:szCs w:val="20"/>
        </w:rPr>
        <w:t xml:space="preserve">How social, environmental or corporate governance considerations are taken into account in the selection, non-selection, retention and realisation of investments </w:t>
      </w:r>
    </w:p>
    <w:p w14:paraId="00003862" w14:textId="77777777" w:rsidR="004A523B" w:rsidRDefault="004A523B" w:rsidP="00C47636">
      <w:pPr>
        <w:pStyle w:val="Default"/>
        <w:rPr>
          <w:sz w:val="20"/>
          <w:szCs w:val="20"/>
        </w:rPr>
      </w:pPr>
    </w:p>
    <w:p w14:paraId="237FB1B7" w14:textId="77777777" w:rsidR="00C47636" w:rsidRDefault="00C47636" w:rsidP="00C47636">
      <w:pPr>
        <w:pStyle w:val="Default"/>
        <w:spacing w:before="20" w:after="100"/>
        <w:rPr>
          <w:sz w:val="20"/>
          <w:szCs w:val="20"/>
        </w:rPr>
      </w:pPr>
      <w:r>
        <w:rPr>
          <w:sz w:val="20"/>
          <w:szCs w:val="20"/>
        </w:rPr>
        <w:t xml:space="preserve">It is recognised that ESG factors can influence long term investment performance and the ability to achieve long term sustainable returns. The Committee consider the Fund’s approach to responsible investment in two key areas: </w:t>
      </w:r>
    </w:p>
    <w:p w14:paraId="74D1701A" w14:textId="77777777" w:rsidR="00C47636" w:rsidRDefault="00C47636" w:rsidP="00C47636">
      <w:pPr>
        <w:pStyle w:val="Default"/>
        <w:spacing w:before="20" w:after="140"/>
        <w:ind w:left="567" w:hanging="568"/>
        <w:rPr>
          <w:sz w:val="20"/>
          <w:szCs w:val="20"/>
        </w:rPr>
      </w:pPr>
      <w:r>
        <w:rPr>
          <w:sz w:val="20"/>
          <w:szCs w:val="20"/>
        </w:rPr>
        <w:t xml:space="preserve">• </w:t>
      </w:r>
      <w:r>
        <w:rPr>
          <w:b/>
          <w:bCs/>
          <w:sz w:val="20"/>
          <w:szCs w:val="20"/>
        </w:rPr>
        <w:t xml:space="preserve">Sustainable investment / ESG factors </w:t>
      </w:r>
      <w:r>
        <w:rPr>
          <w:sz w:val="20"/>
          <w:szCs w:val="20"/>
        </w:rPr>
        <w:t xml:space="preserve">– considering the financial impact of environmental, social and governance (ESG) factors on its investments. </w:t>
      </w:r>
    </w:p>
    <w:p w14:paraId="21C68D08" w14:textId="77777777" w:rsidR="00C47636" w:rsidRDefault="00C47636" w:rsidP="00C47636">
      <w:pPr>
        <w:pStyle w:val="Default"/>
        <w:spacing w:before="20" w:after="140"/>
        <w:ind w:left="567" w:hanging="568"/>
        <w:rPr>
          <w:sz w:val="20"/>
          <w:szCs w:val="20"/>
        </w:rPr>
      </w:pPr>
      <w:r>
        <w:rPr>
          <w:sz w:val="20"/>
          <w:szCs w:val="20"/>
        </w:rPr>
        <w:t xml:space="preserve">• </w:t>
      </w:r>
      <w:r>
        <w:rPr>
          <w:b/>
          <w:bCs/>
          <w:sz w:val="20"/>
          <w:szCs w:val="20"/>
        </w:rPr>
        <w:t xml:space="preserve">Stewardship and governance </w:t>
      </w:r>
      <w:r>
        <w:rPr>
          <w:sz w:val="20"/>
          <w:szCs w:val="20"/>
        </w:rPr>
        <w:t xml:space="preserve">– acting as responsible and active investors/owners, through considered voting of shares, and engaging with investee company management as part of the investment process. </w:t>
      </w:r>
    </w:p>
    <w:p w14:paraId="591D41D9" w14:textId="77777777" w:rsidR="00C47636" w:rsidRDefault="00C47636" w:rsidP="00C47636">
      <w:pPr>
        <w:pStyle w:val="Default"/>
        <w:rPr>
          <w:sz w:val="20"/>
          <w:szCs w:val="20"/>
        </w:rPr>
      </w:pPr>
    </w:p>
    <w:p w14:paraId="527408C8" w14:textId="77777777" w:rsidR="00C47636" w:rsidRDefault="00C47636" w:rsidP="00C47636">
      <w:pPr>
        <w:pStyle w:val="Default"/>
        <w:spacing w:before="20" w:after="200"/>
        <w:rPr>
          <w:sz w:val="20"/>
          <w:szCs w:val="20"/>
        </w:rPr>
      </w:pPr>
      <w:r>
        <w:rPr>
          <w:sz w:val="20"/>
          <w:szCs w:val="20"/>
        </w:rPr>
        <w:t xml:space="preserve">The Committee takes ESG matters very seriously. The Fund has developed an environmental, social and governance policy which sets out the Fund’s position in a number of areas. The Fund has also carried out ESG training, ESG beliefs (as part of the main belief statement) and carbon monitoring of its listed equity exposure. </w:t>
      </w:r>
    </w:p>
    <w:p w14:paraId="4881D086" w14:textId="77777777" w:rsidR="00C47636" w:rsidRDefault="00C47636" w:rsidP="00C47636">
      <w:pPr>
        <w:pStyle w:val="Default"/>
        <w:spacing w:before="20" w:after="200"/>
        <w:rPr>
          <w:sz w:val="20"/>
          <w:szCs w:val="20"/>
        </w:rPr>
      </w:pPr>
      <w:r>
        <w:rPr>
          <w:sz w:val="20"/>
          <w:szCs w:val="20"/>
        </w:rPr>
        <w:t xml:space="preserve">At the present time the Committee does not take into account non-financial factors when selecting, retaining, or realising its investments. The Fund does not currently hold any assets which it deems to be social investments. To date, the Fund’s approach to social investments has largely been to delegate this to their underlying investment managers as part of their overall ESG duties. </w:t>
      </w:r>
    </w:p>
    <w:p w14:paraId="372985CA" w14:textId="77777777" w:rsidR="00C47636" w:rsidRDefault="00C47636" w:rsidP="00C47636">
      <w:pPr>
        <w:pStyle w:val="Default"/>
        <w:spacing w:before="20" w:after="200"/>
        <w:rPr>
          <w:sz w:val="20"/>
          <w:szCs w:val="20"/>
        </w:rPr>
      </w:pPr>
      <w:r>
        <w:rPr>
          <w:sz w:val="20"/>
          <w:szCs w:val="20"/>
        </w:rPr>
        <w:t xml:space="preserve">At the time of production of the ISS, the Fund has not issued a separate Statement of Compliance with the UK Stewardship Code, but fully endorses the principles embedded in the seven Principles of the Code. In addition, the Fund expects its investment managers to work collaboratively with others if this will lead to greater influence and deliver improved outcomes for shareholders and more broadly. The Fund also encourages its managers to sign up to the Principles of Responsible Investment “PRI”. </w:t>
      </w:r>
    </w:p>
    <w:p w14:paraId="4EFE5971" w14:textId="77777777" w:rsidR="00F73F90" w:rsidRDefault="00C47636" w:rsidP="00C47636">
      <w:pPr>
        <w:ind w:left="3600" w:hanging="3600"/>
        <w:rPr>
          <w:rFonts w:ascii="Arial" w:hAnsi="Arial" w:cs="Arial"/>
          <w:sz w:val="20"/>
        </w:rPr>
      </w:pPr>
      <w:r w:rsidRPr="00F73F90">
        <w:rPr>
          <w:rFonts w:ascii="Arial" w:hAnsi="Arial" w:cs="Arial"/>
          <w:sz w:val="20"/>
        </w:rPr>
        <w:t xml:space="preserve">The Fund, through its participation in the All Wales Pool, will work closely with other LGPS Funds to </w:t>
      </w:r>
    </w:p>
    <w:p w14:paraId="0EBA33B3" w14:textId="77777777" w:rsidR="00F73F90" w:rsidRDefault="00C47636" w:rsidP="00C47636">
      <w:pPr>
        <w:ind w:left="3600" w:hanging="3600"/>
        <w:rPr>
          <w:rFonts w:ascii="Arial" w:hAnsi="Arial" w:cs="Arial"/>
          <w:sz w:val="20"/>
        </w:rPr>
      </w:pPr>
      <w:r w:rsidRPr="00F73F90">
        <w:rPr>
          <w:rFonts w:ascii="Arial" w:hAnsi="Arial" w:cs="Arial"/>
          <w:sz w:val="20"/>
        </w:rPr>
        <w:t>enhance the level of engagement both with external managers and the underlying companies in which</w:t>
      </w:r>
    </w:p>
    <w:p w14:paraId="185DFFDE" w14:textId="77777777" w:rsidR="00F73F90" w:rsidRDefault="00C47636" w:rsidP="00C47636">
      <w:pPr>
        <w:ind w:left="3600" w:hanging="3600"/>
        <w:rPr>
          <w:rFonts w:ascii="Arial" w:hAnsi="Arial" w:cs="Arial"/>
          <w:sz w:val="20"/>
        </w:rPr>
      </w:pPr>
      <w:r w:rsidRPr="00F73F90">
        <w:rPr>
          <w:rFonts w:ascii="Arial" w:hAnsi="Arial" w:cs="Arial"/>
          <w:sz w:val="20"/>
        </w:rPr>
        <w:t xml:space="preserve">invests. The Committee is also supportive of collaboration to achieve better engagement, as evidenced </w:t>
      </w:r>
    </w:p>
    <w:p w14:paraId="692DB712" w14:textId="77777777" w:rsidR="00F73F90" w:rsidRDefault="00C47636" w:rsidP="00C47636">
      <w:pPr>
        <w:ind w:left="3600" w:hanging="3600"/>
        <w:rPr>
          <w:rFonts w:ascii="Arial" w:hAnsi="Arial" w:cs="Arial"/>
          <w:sz w:val="20"/>
        </w:rPr>
      </w:pPr>
      <w:r w:rsidRPr="00F73F90">
        <w:rPr>
          <w:rFonts w:ascii="Arial" w:hAnsi="Arial" w:cs="Arial"/>
          <w:sz w:val="20"/>
        </w:rPr>
        <w:t xml:space="preserve">by the Fund’s membership to LAPFF, a collective organisation of LGPS who engage fund managers and </w:t>
      </w:r>
    </w:p>
    <w:p w14:paraId="19D51C10" w14:textId="77777777" w:rsidR="00C47636" w:rsidRPr="00F73F90" w:rsidRDefault="00C47636" w:rsidP="00C47636">
      <w:pPr>
        <w:ind w:left="3600" w:hanging="3600"/>
        <w:rPr>
          <w:rFonts w:ascii="Arial" w:hAnsi="Arial" w:cs="Arial"/>
          <w:b/>
        </w:rPr>
      </w:pPr>
      <w:r w:rsidRPr="00F73F90">
        <w:rPr>
          <w:rFonts w:ascii="Arial" w:hAnsi="Arial" w:cs="Arial"/>
          <w:sz w:val="20"/>
        </w:rPr>
        <w:t>investee companies and promote responsible investor/ownership practices.</w:t>
      </w:r>
    </w:p>
    <w:p w14:paraId="1FA24238" w14:textId="77777777" w:rsidR="00C47636" w:rsidRPr="00F73F90" w:rsidRDefault="00C47636" w:rsidP="00A72043">
      <w:pPr>
        <w:ind w:left="3600" w:hanging="3600"/>
        <w:rPr>
          <w:rFonts w:ascii="Arial" w:hAnsi="Arial" w:cs="Arial"/>
          <w:b/>
        </w:rPr>
      </w:pPr>
    </w:p>
    <w:p w14:paraId="2ED31EDC" w14:textId="77777777" w:rsidR="008453F1" w:rsidRDefault="008453F1" w:rsidP="004A523B">
      <w:pPr>
        <w:pStyle w:val="Default"/>
        <w:rPr>
          <w:b/>
          <w:bCs/>
          <w:sz w:val="20"/>
          <w:szCs w:val="20"/>
        </w:rPr>
      </w:pPr>
    </w:p>
    <w:p w14:paraId="7453A075" w14:textId="77777777" w:rsidR="008453F1" w:rsidRDefault="008453F1" w:rsidP="004A523B">
      <w:pPr>
        <w:pStyle w:val="Default"/>
        <w:rPr>
          <w:b/>
          <w:bCs/>
          <w:sz w:val="20"/>
          <w:szCs w:val="20"/>
        </w:rPr>
      </w:pPr>
    </w:p>
    <w:p w14:paraId="473F8DBB" w14:textId="77777777" w:rsidR="008453F1" w:rsidRDefault="008453F1" w:rsidP="004A523B">
      <w:pPr>
        <w:pStyle w:val="Default"/>
        <w:rPr>
          <w:b/>
          <w:bCs/>
          <w:sz w:val="20"/>
          <w:szCs w:val="20"/>
        </w:rPr>
      </w:pPr>
    </w:p>
    <w:p w14:paraId="6C2D280E" w14:textId="77777777" w:rsidR="008453F1" w:rsidRDefault="008453F1" w:rsidP="004A523B">
      <w:pPr>
        <w:pStyle w:val="Default"/>
        <w:rPr>
          <w:b/>
          <w:bCs/>
          <w:sz w:val="20"/>
          <w:szCs w:val="20"/>
        </w:rPr>
      </w:pPr>
    </w:p>
    <w:p w14:paraId="1B669B39" w14:textId="77777777" w:rsidR="008453F1" w:rsidRDefault="008453F1" w:rsidP="004A523B">
      <w:pPr>
        <w:pStyle w:val="Default"/>
        <w:rPr>
          <w:b/>
          <w:bCs/>
          <w:sz w:val="20"/>
          <w:szCs w:val="20"/>
        </w:rPr>
      </w:pPr>
    </w:p>
    <w:p w14:paraId="4A5D902E" w14:textId="77777777" w:rsidR="008453F1" w:rsidRDefault="008453F1" w:rsidP="004A523B">
      <w:pPr>
        <w:pStyle w:val="Default"/>
        <w:rPr>
          <w:b/>
          <w:bCs/>
          <w:sz w:val="20"/>
          <w:szCs w:val="20"/>
        </w:rPr>
      </w:pPr>
    </w:p>
    <w:p w14:paraId="02711094" w14:textId="77777777" w:rsidR="008453F1" w:rsidRDefault="008453F1" w:rsidP="004A523B">
      <w:pPr>
        <w:pStyle w:val="Default"/>
        <w:rPr>
          <w:b/>
          <w:bCs/>
          <w:sz w:val="20"/>
          <w:szCs w:val="20"/>
        </w:rPr>
      </w:pPr>
    </w:p>
    <w:p w14:paraId="4695A567" w14:textId="77777777" w:rsidR="008453F1" w:rsidRDefault="008453F1" w:rsidP="004A523B">
      <w:pPr>
        <w:pStyle w:val="Default"/>
        <w:rPr>
          <w:b/>
          <w:bCs/>
          <w:sz w:val="20"/>
          <w:szCs w:val="20"/>
        </w:rPr>
      </w:pPr>
    </w:p>
    <w:p w14:paraId="75F73DA1" w14:textId="77777777" w:rsidR="008453F1" w:rsidRDefault="008453F1" w:rsidP="004A523B">
      <w:pPr>
        <w:pStyle w:val="Default"/>
        <w:rPr>
          <w:b/>
          <w:bCs/>
          <w:sz w:val="20"/>
          <w:szCs w:val="20"/>
        </w:rPr>
      </w:pPr>
    </w:p>
    <w:p w14:paraId="290438D5" w14:textId="77777777" w:rsidR="004A523B" w:rsidRPr="004A523B" w:rsidRDefault="004A523B" w:rsidP="004A523B">
      <w:pPr>
        <w:pStyle w:val="Default"/>
        <w:rPr>
          <w:b/>
          <w:bCs/>
          <w:sz w:val="20"/>
          <w:szCs w:val="20"/>
        </w:rPr>
      </w:pPr>
      <w:r w:rsidRPr="004A523B">
        <w:rPr>
          <w:b/>
          <w:bCs/>
          <w:sz w:val="20"/>
          <w:szCs w:val="20"/>
        </w:rPr>
        <w:lastRenderedPageBreak/>
        <w:t xml:space="preserve">The exercise of rights (including voting rights) attaching to investments </w:t>
      </w:r>
    </w:p>
    <w:p w14:paraId="22051A39" w14:textId="77777777" w:rsidR="004A523B" w:rsidRPr="004A523B" w:rsidRDefault="004A523B" w:rsidP="004A523B">
      <w:pPr>
        <w:pStyle w:val="Default"/>
        <w:rPr>
          <w:sz w:val="20"/>
          <w:szCs w:val="20"/>
        </w:rPr>
      </w:pPr>
    </w:p>
    <w:p w14:paraId="38CBC430" w14:textId="77777777" w:rsidR="004A523B" w:rsidRPr="004A523B" w:rsidRDefault="004A523B" w:rsidP="004A523B">
      <w:pPr>
        <w:pStyle w:val="Default"/>
        <w:spacing w:before="20" w:after="200"/>
        <w:rPr>
          <w:sz w:val="20"/>
          <w:szCs w:val="20"/>
        </w:rPr>
      </w:pPr>
      <w:r w:rsidRPr="004A523B">
        <w:rPr>
          <w:sz w:val="20"/>
          <w:szCs w:val="20"/>
        </w:rPr>
        <w:t xml:space="preserve">The Committee has delegated the exercise of voting rights to the investment manager(s) on the basis that voting power will be exercised by them with the objective of preserving and enhancing long term shareholder value. Accordingly, the Fund’s managers have produced written guidelines of their process and practice in this regard. The managers are strongly encouraged to vote in line with their guidelines in respect of all resolutions at annual and extraordinary general meetings of companies under Regulation 7(2)(f). The Committee monitors the voting decisions made by all its investment managers on a regular basis. </w:t>
      </w:r>
    </w:p>
    <w:p w14:paraId="7C324A36" w14:textId="77777777" w:rsidR="00C47636" w:rsidRPr="004A523B" w:rsidRDefault="004A523B" w:rsidP="004A523B">
      <w:pPr>
        <w:ind w:left="3600" w:hanging="3600"/>
        <w:rPr>
          <w:rFonts w:ascii="Arial" w:hAnsi="Arial" w:cs="Arial"/>
          <w:b/>
        </w:rPr>
      </w:pPr>
      <w:r w:rsidRPr="004A523B">
        <w:rPr>
          <w:rFonts w:ascii="Arial" w:hAnsi="Arial" w:cs="Arial"/>
          <w:sz w:val="20"/>
        </w:rPr>
        <w:t>March 2018</w:t>
      </w:r>
    </w:p>
    <w:p w14:paraId="30560596" w14:textId="77777777" w:rsidR="00C47636" w:rsidRDefault="00C47636" w:rsidP="00A72043">
      <w:pPr>
        <w:ind w:left="3600" w:hanging="3600"/>
        <w:rPr>
          <w:b/>
        </w:rPr>
      </w:pPr>
    </w:p>
    <w:p w14:paraId="6F210AA7" w14:textId="77777777" w:rsidR="004A523B" w:rsidRDefault="004A523B" w:rsidP="004A523B">
      <w:pPr>
        <w:pStyle w:val="Default"/>
        <w:spacing w:before="140" w:after="125"/>
        <w:rPr>
          <w:b/>
          <w:sz w:val="20"/>
          <w:szCs w:val="20"/>
        </w:rPr>
      </w:pPr>
      <w:r w:rsidRPr="008453F1">
        <w:rPr>
          <w:b/>
          <w:sz w:val="20"/>
          <w:szCs w:val="20"/>
        </w:rPr>
        <w:t xml:space="preserve">Appendix 1: Statement of Investment Beliefs </w:t>
      </w:r>
    </w:p>
    <w:p w14:paraId="61A2AD97" w14:textId="77777777" w:rsidR="008453F1" w:rsidRPr="008453F1" w:rsidRDefault="008453F1" w:rsidP="004A523B">
      <w:pPr>
        <w:pStyle w:val="Default"/>
        <w:spacing w:before="140" w:after="125"/>
        <w:rPr>
          <w:b/>
          <w:sz w:val="20"/>
          <w:szCs w:val="20"/>
        </w:rPr>
      </w:pPr>
    </w:p>
    <w:p w14:paraId="38EA5CB0" w14:textId="77777777" w:rsidR="004A523B" w:rsidRPr="008453F1" w:rsidRDefault="004A523B" w:rsidP="004A523B">
      <w:pPr>
        <w:pStyle w:val="Default"/>
        <w:spacing w:before="20" w:after="200"/>
        <w:rPr>
          <w:sz w:val="20"/>
          <w:szCs w:val="20"/>
        </w:rPr>
      </w:pPr>
      <w:r w:rsidRPr="008453F1">
        <w:rPr>
          <w:sz w:val="20"/>
          <w:szCs w:val="20"/>
        </w:rPr>
        <w:t xml:space="preserve">To be completed post Committee discussion on Investment beliefs paper </w:t>
      </w:r>
    </w:p>
    <w:p w14:paraId="11F295D2" w14:textId="77777777" w:rsidR="004A523B" w:rsidRPr="008453F1" w:rsidRDefault="004A523B" w:rsidP="004A523B">
      <w:pPr>
        <w:pStyle w:val="Default"/>
        <w:spacing w:before="20" w:after="200"/>
        <w:rPr>
          <w:sz w:val="20"/>
          <w:szCs w:val="20"/>
        </w:rPr>
      </w:pPr>
    </w:p>
    <w:p w14:paraId="226A5083" w14:textId="77777777" w:rsidR="004A523B" w:rsidRPr="008453F1" w:rsidRDefault="004A523B" w:rsidP="004A523B">
      <w:pPr>
        <w:pStyle w:val="Default"/>
        <w:spacing w:before="20" w:after="200"/>
        <w:rPr>
          <w:b/>
          <w:sz w:val="20"/>
          <w:szCs w:val="20"/>
        </w:rPr>
      </w:pPr>
      <w:r w:rsidRPr="008453F1">
        <w:rPr>
          <w:b/>
          <w:sz w:val="20"/>
          <w:szCs w:val="20"/>
        </w:rPr>
        <w:t>Appendix 2 : Fund Benchmarks</w:t>
      </w:r>
    </w:p>
    <w:tbl>
      <w:tblPr>
        <w:tblW w:w="10233" w:type="dxa"/>
        <w:tblBorders>
          <w:top w:val="nil"/>
          <w:left w:val="nil"/>
          <w:bottom w:val="nil"/>
          <w:right w:val="nil"/>
        </w:tblBorders>
        <w:tblLayout w:type="fixed"/>
        <w:tblLook w:val="0000" w:firstRow="0" w:lastRow="0" w:firstColumn="0" w:lastColumn="0" w:noHBand="0" w:noVBand="0"/>
      </w:tblPr>
      <w:tblGrid>
        <w:gridCol w:w="3369"/>
        <w:gridCol w:w="42"/>
        <w:gridCol w:w="3411"/>
        <w:gridCol w:w="3411"/>
      </w:tblGrid>
      <w:tr w:rsidR="004A523B" w:rsidRPr="008453F1" w14:paraId="23E9E751" w14:textId="77777777" w:rsidTr="004A523B">
        <w:trPr>
          <w:trHeight w:val="197"/>
        </w:trPr>
        <w:tc>
          <w:tcPr>
            <w:tcW w:w="3411" w:type="dxa"/>
            <w:gridSpan w:val="2"/>
            <w:tcBorders>
              <w:bottom w:val="single" w:sz="4" w:space="0" w:color="auto"/>
              <w:right w:val="nil"/>
            </w:tcBorders>
          </w:tcPr>
          <w:p w14:paraId="639F8668" w14:textId="77777777" w:rsidR="004A523B" w:rsidRPr="008453F1" w:rsidRDefault="004A523B">
            <w:pPr>
              <w:pStyle w:val="Default"/>
              <w:spacing w:before="60" w:after="60"/>
              <w:jc w:val="center"/>
              <w:rPr>
                <w:b/>
                <w:sz w:val="20"/>
                <w:szCs w:val="20"/>
              </w:rPr>
            </w:pPr>
          </w:p>
        </w:tc>
        <w:tc>
          <w:tcPr>
            <w:tcW w:w="3411" w:type="dxa"/>
            <w:tcBorders>
              <w:top w:val="nil"/>
              <w:left w:val="nil"/>
              <w:bottom w:val="single" w:sz="4" w:space="0" w:color="auto"/>
              <w:right w:val="nil"/>
            </w:tcBorders>
          </w:tcPr>
          <w:p w14:paraId="79F4354B" w14:textId="77777777" w:rsidR="004A523B" w:rsidRPr="008453F1" w:rsidRDefault="004A523B">
            <w:pPr>
              <w:pStyle w:val="Default"/>
              <w:spacing w:before="60" w:after="60"/>
              <w:jc w:val="center"/>
              <w:rPr>
                <w:sz w:val="20"/>
                <w:szCs w:val="20"/>
              </w:rPr>
            </w:pPr>
          </w:p>
        </w:tc>
        <w:tc>
          <w:tcPr>
            <w:tcW w:w="3411" w:type="dxa"/>
            <w:tcBorders>
              <w:top w:val="nil"/>
              <w:left w:val="nil"/>
              <w:bottom w:val="single" w:sz="4" w:space="0" w:color="auto"/>
              <w:right w:val="nil"/>
            </w:tcBorders>
          </w:tcPr>
          <w:p w14:paraId="28AD8591" w14:textId="77777777" w:rsidR="004A523B" w:rsidRPr="008453F1" w:rsidRDefault="004A523B">
            <w:pPr>
              <w:pStyle w:val="Default"/>
              <w:spacing w:before="60" w:after="60"/>
              <w:jc w:val="center"/>
              <w:rPr>
                <w:sz w:val="20"/>
                <w:szCs w:val="20"/>
              </w:rPr>
            </w:pPr>
          </w:p>
        </w:tc>
      </w:tr>
      <w:tr w:rsidR="004A523B" w:rsidRPr="008453F1" w14:paraId="2EC0A60A"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5F5BC785" w14:textId="77777777" w:rsidR="004A523B" w:rsidRPr="008453F1" w:rsidRDefault="004A523B">
            <w:pPr>
              <w:pStyle w:val="Default"/>
              <w:spacing w:before="60" w:after="60"/>
              <w:rPr>
                <w:sz w:val="20"/>
                <w:szCs w:val="20"/>
              </w:rPr>
            </w:pPr>
            <w:r w:rsidRPr="008453F1">
              <w:rPr>
                <w:b/>
                <w:bCs/>
                <w:sz w:val="20"/>
                <w:szCs w:val="20"/>
              </w:rPr>
              <w:t xml:space="preserve">Asset Class </w:t>
            </w:r>
          </w:p>
        </w:tc>
        <w:tc>
          <w:tcPr>
            <w:tcW w:w="3411" w:type="dxa"/>
            <w:tcBorders>
              <w:top w:val="single" w:sz="4" w:space="0" w:color="auto"/>
              <w:left w:val="single" w:sz="4" w:space="0" w:color="auto"/>
              <w:bottom w:val="single" w:sz="4" w:space="0" w:color="auto"/>
              <w:right w:val="single" w:sz="4" w:space="0" w:color="auto"/>
            </w:tcBorders>
          </w:tcPr>
          <w:p w14:paraId="5F0222E4" w14:textId="77777777" w:rsidR="004A523B" w:rsidRPr="008453F1" w:rsidRDefault="004A523B">
            <w:pPr>
              <w:pStyle w:val="Default"/>
              <w:spacing w:before="60" w:after="60"/>
              <w:jc w:val="center"/>
              <w:rPr>
                <w:b/>
                <w:sz w:val="20"/>
                <w:szCs w:val="20"/>
              </w:rPr>
            </w:pPr>
            <w:r w:rsidRPr="008453F1">
              <w:rPr>
                <w:b/>
                <w:sz w:val="20"/>
                <w:szCs w:val="20"/>
              </w:rPr>
              <w:t xml:space="preserve">Target Allocation % </w:t>
            </w:r>
          </w:p>
        </w:tc>
        <w:tc>
          <w:tcPr>
            <w:tcW w:w="3411" w:type="dxa"/>
            <w:tcBorders>
              <w:top w:val="single" w:sz="4" w:space="0" w:color="auto"/>
              <w:left w:val="single" w:sz="4" w:space="0" w:color="auto"/>
              <w:bottom w:val="single" w:sz="4" w:space="0" w:color="auto"/>
              <w:right w:val="single" w:sz="4" w:space="0" w:color="auto"/>
            </w:tcBorders>
          </w:tcPr>
          <w:p w14:paraId="70015C0B" w14:textId="77777777" w:rsidR="004A523B" w:rsidRPr="008453F1" w:rsidRDefault="004A523B">
            <w:pPr>
              <w:pStyle w:val="Default"/>
              <w:spacing w:before="60" w:after="60"/>
              <w:jc w:val="center"/>
              <w:rPr>
                <w:b/>
                <w:sz w:val="20"/>
                <w:szCs w:val="20"/>
              </w:rPr>
            </w:pPr>
            <w:r w:rsidRPr="008453F1">
              <w:rPr>
                <w:b/>
                <w:sz w:val="20"/>
                <w:szCs w:val="20"/>
              </w:rPr>
              <w:t xml:space="preserve">Benchmarks </w:t>
            </w:r>
          </w:p>
          <w:p w14:paraId="7F34FC51" w14:textId="77777777" w:rsidR="004A523B" w:rsidRPr="008453F1" w:rsidRDefault="004A523B">
            <w:pPr>
              <w:pStyle w:val="Default"/>
              <w:spacing w:before="60" w:after="60"/>
              <w:jc w:val="center"/>
              <w:rPr>
                <w:b/>
                <w:sz w:val="20"/>
                <w:szCs w:val="20"/>
              </w:rPr>
            </w:pPr>
          </w:p>
        </w:tc>
      </w:tr>
      <w:tr w:rsidR="004A523B" w:rsidRPr="008453F1" w14:paraId="61CE191C"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2FAE95CA" w14:textId="77777777" w:rsidR="004A523B" w:rsidRPr="008453F1" w:rsidRDefault="004A523B" w:rsidP="004A523B">
            <w:pPr>
              <w:pStyle w:val="Default"/>
              <w:spacing w:before="60" w:after="60"/>
              <w:rPr>
                <w:sz w:val="20"/>
                <w:szCs w:val="20"/>
              </w:rPr>
            </w:pPr>
            <w:r w:rsidRPr="008453F1">
              <w:rPr>
                <w:b/>
                <w:bCs/>
                <w:sz w:val="20"/>
                <w:szCs w:val="20"/>
              </w:rPr>
              <w:t xml:space="preserve">UK equities </w:t>
            </w:r>
          </w:p>
        </w:tc>
        <w:tc>
          <w:tcPr>
            <w:tcW w:w="3411" w:type="dxa"/>
            <w:tcBorders>
              <w:top w:val="single" w:sz="4" w:space="0" w:color="auto"/>
              <w:left w:val="single" w:sz="4" w:space="0" w:color="auto"/>
              <w:bottom w:val="single" w:sz="4" w:space="0" w:color="auto"/>
              <w:right w:val="single" w:sz="4" w:space="0" w:color="auto"/>
            </w:tcBorders>
          </w:tcPr>
          <w:p w14:paraId="57B53D26" w14:textId="77777777" w:rsidR="004A523B" w:rsidRPr="008453F1" w:rsidRDefault="004A523B" w:rsidP="004A523B">
            <w:pPr>
              <w:pStyle w:val="Default"/>
              <w:spacing w:before="60" w:after="60"/>
              <w:jc w:val="center"/>
              <w:rPr>
                <w:sz w:val="20"/>
                <w:szCs w:val="20"/>
              </w:rPr>
            </w:pPr>
            <w:r w:rsidRPr="008453F1">
              <w:rPr>
                <w:sz w:val="20"/>
                <w:szCs w:val="20"/>
              </w:rPr>
              <w:t xml:space="preserve">34% +/- 5% </w:t>
            </w:r>
          </w:p>
        </w:tc>
        <w:tc>
          <w:tcPr>
            <w:tcW w:w="3411" w:type="dxa"/>
            <w:tcBorders>
              <w:top w:val="single" w:sz="4" w:space="0" w:color="auto"/>
              <w:left w:val="single" w:sz="4" w:space="0" w:color="auto"/>
              <w:bottom w:val="single" w:sz="4" w:space="0" w:color="auto"/>
              <w:right w:val="single" w:sz="4" w:space="0" w:color="auto"/>
            </w:tcBorders>
          </w:tcPr>
          <w:p w14:paraId="5EF7C1AE" w14:textId="77777777" w:rsidR="004A523B" w:rsidRPr="008453F1" w:rsidRDefault="004A523B" w:rsidP="004A523B">
            <w:pPr>
              <w:pStyle w:val="Default"/>
              <w:spacing w:before="60" w:after="60"/>
              <w:jc w:val="center"/>
              <w:rPr>
                <w:sz w:val="20"/>
                <w:szCs w:val="20"/>
              </w:rPr>
            </w:pPr>
            <w:r w:rsidRPr="008453F1">
              <w:rPr>
                <w:sz w:val="20"/>
                <w:szCs w:val="20"/>
              </w:rPr>
              <w:t xml:space="preserve">FTSE all share </w:t>
            </w:r>
          </w:p>
        </w:tc>
      </w:tr>
      <w:tr w:rsidR="004A523B" w:rsidRPr="008453F1" w14:paraId="329D573C" w14:textId="77777777" w:rsidTr="004A523B">
        <w:trPr>
          <w:trHeight w:val="339"/>
        </w:trPr>
        <w:tc>
          <w:tcPr>
            <w:tcW w:w="3411" w:type="dxa"/>
            <w:gridSpan w:val="2"/>
            <w:tcBorders>
              <w:top w:val="single" w:sz="4" w:space="0" w:color="auto"/>
              <w:left w:val="single" w:sz="4" w:space="0" w:color="auto"/>
              <w:bottom w:val="single" w:sz="4" w:space="0" w:color="auto"/>
              <w:right w:val="single" w:sz="4" w:space="0" w:color="auto"/>
            </w:tcBorders>
          </w:tcPr>
          <w:p w14:paraId="3AA62C67" w14:textId="77777777" w:rsidR="004A523B" w:rsidRPr="008453F1" w:rsidRDefault="004A523B">
            <w:pPr>
              <w:pStyle w:val="Default"/>
              <w:spacing w:before="60" w:after="60"/>
              <w:rPr>
                <w:sz w:val="20"/>
                <w:szCs w:val="20"/>
              </w:rPr>
            </w:pPr>
            <w:r w:rsidRPr="008453F1">
              <w:rPr>
                <w:b/>
                <w:bCs/>
                <w:sz w:val="20"/>
                <w:szCs w:val="20"/>
              </w:rPr>
              <w:t xml:space="preserve">Overseas equities </w:t>
            </w:r>
          </w:p>
        </w:tc>
        <w:tc>
          <w:tcPr>
            <w:tcW w:w="3411" w:type="dxa"/>
            <w:tcBorders>
              <w:top w:val="single" w:sz="4" w:space="0" w:color="auto"/>
              <w:left w:val="single" w:sz="4" w:space="0" w:color="auto"/>
              <w:bottom w:val="single" w:sz="4" w:space="0" w:color="auto"/>
              <w:right w:val="single" w:sz="4" w:space="0" w:color="auto"/>
            </w:tcBorders>
          </w:tcPr>
          <w:p w14:paraId="14022E1B" w14:textId="77777777" w:rsidR="004A523B" w:rsidRPr="008453F1" w:rsidRDefault="004A523B">
            <w:pPr>
              <w:pStyle w:val="Default"/>
              <w:spacing w:before="60" w:after="60"/>
              <w:jc w:val="center"/>
              <w:rPr>
                <w:sz w:val="20"/>
                <w:szCs w:val="20"/>
              </w:rPr>
            </w:pPr>
            <w:r w:rsidRPr="008453F1">
              <w:rPr>
                <w:sz w:val="20"/>
                <w:szCs w:val="20"/>
              </w:rPr>
              <w:t xml:space="preserve">34% +/- 5% </w:t>
            </w:r>
          </w:p>
        </w:tc>
        <w:tc>
          <w:tcPr>
            <w:tcW w:w="3411" w:type="dxa"/>
            <w:tcBorders>
              <w:top w:val="single" w:sz="4" w:space="0" w:color="auto"/>
              <w:left w:val="single" w:sz="4" w:space="0" w:color="auto"/>
              <w:bottom w:val="single" w:sz="4" w:space="0" w:color="auto"/>
              <w:right w:val="single" w:sz="4" w:space="0" w:color="auto"/>
            </w:tcBorders>
          </w:tcPr>
          <w:p w14:paraId="32AF8E9C" w14:textId="77777777" w:rsidR="004A523B" w:rsidRPr="008453F1" w:rsidRDefault="004A523B">
            <w:pPr>
              <w:pStyle w:val="Default"/>
              <w:spacing w:before="60" w:after="60"/>
              <w:jc w:val="center"/>
              <w:rPr>
                <w:sz w:val="20"/>
                <w:szCs w:val="20"/>
              </w:rPr>
            </w:pPr>
            <w:r w:rsidRPr="008453F1">
              <w:rPr>
                <w:sz w:val="20"/>
                <w:szCs w:val="20"/>
              </w:rPr>
              <w:t xml:space="preserve">MSCI World ex UK </w:t>
            </w:r>
          </w:p>
          <w:p w14:paraId="13FED77B" w14:textId="77777777" w:rsidR="004A523B" w:rsidRPr="008453F1" w:rsidRDefault="004A523B">
            <w:pPr>
              <w:pStyle w:val="Default"/>
              <w:spacing w:before="60" w:after="60"/>
              <w:jc w:val="center"/>
              <w:rPr>
                <w:sz w:val="20"/>
                <w:szCs w:val="20"/>
              </w:rPr>
            </w:pPr>
            <w:r w:rsidRPr="008453F1">
              <w:rPr>
                <w:sz w:val="20"/>
                <w:szCs w:val="20"/>
              </w:rPr>
              <w:t xml:space="preserve">MSCI Frontier markets </w:t>
            </w:r>
          </w:p>
        </w:tc>
      </w:tr>
      <w:tr w:rsidR="004A523B" w:rsidRPr="008453F1" w14:paraId="4A938095"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5928728F" w14:textId="77777777" w:rsidR="004A523B" w:rsidRPr="008453F1" w:rsidRDefault="004A523B">
            <w:pPr>
              <w:pStyle w:val="Default"/>
              <w:spacing w:before="60" w:after="60"/>
              <w:rPr>
                <w:sz w:val="20"/>
                <w:szCs w:val="20"/>
              </w:rPr>
            </w:pPr>
            <w:r w:rsidRPr="008453F1">
              <w:rPr>
                <w:b/>
                <w:bCs/>
                <w:sz w:val="20"/>
                <w:szCs w:val="20"/>
              </w:rPr>
              <w:t xml:space="preserve">Private Equity </w:t>
            </w:r>
          </w:p>
        </w:tc>
        <w:tc>
          <w:tcPr>
            <w:tcW w:w="3411" w:type="dxa"/>
            <w:tcBorders>
              <w:top w:val="single" w:sz="4" w:space="0" w:color="auto"/>
              <w:left w:val="single" w:sz="4" w:space="0" w:color="auto"/>
              <w:bottom w:val="single" w:sz="4" w:space="0" w:color="auto"/>
              <w:right w:val="single" w:sz="4" w:space="0" w:color="auto"/>
            </w:tcBorders>
          </w:tcPr>
          <w:p w14:paraId="7FBFC903" w14:textId="77777777" w:rsidR="004A523B" w:rsidRPr="008453F1" w:rsidRDefault="004A523B">
            <w:pPr>
              <w:pStyle w:val="Default"/>
              <w:spacing w:before="60" w:after="60"/>
              <w:jc w:val="center"/>
              <w:rPr>
                <w:sz w:val="20"/>
                <w:szCs w:val="20"/>
              </w:rPr>
            </w:pPr>
            <w:r w:rsidRPr="008453F1">
              <w:rPr>
                <w:sz w:val="20"/>
                <w:szCs w:val="20"/>
              </w:rPr>
              <w:t xml:space="preserve">3% +/- 5% </w:t>
            </w:r>
          </w:p>
        </w:tc>
        <w:tc>
          <w:tcPr>
            <w:tcW w:w="3411" w:type="dxa"/>
            <w:tcBorders>
              <w:top w:val="single" w:sz="4" w:space="0" w:color="auto"/>
              <w:left w:val="single" w:sz="4" w:space="0" w:color="auto"/>
              <w:bottom w:val="single" w:sz="4" w:space="0" w:color="auto"/>
              <w:right w:val="single" w:sz="4" w:space="0" w:color="auto"/>
            </w:tcBorders>
          </w:tcPr>
          <w:p w14:paraId="7B8F7BF6" w14:textId="77777777" w:rsidR="004A523B" w:rsidRPr="008453F1" w:rsidRDefault="004A523B">
            <w:pPr>
              <w:pStyle w:val="Default"/>
              <w:spacing w:before="60" w:after="60"/>
              <w:jc w:val="center"/>
              <w:rPr>
                <w:sz w:val="20"/>
                <w:szCs w:val="20"/>
              </w:rPr>
            </w:pPr>
            <w:r w:rsidRPr="008453F1">
              <w:rPr>
                <w:sz w:val="20"/>
                <w:szCs w:val="20"/>
              </w:rPr>
              <w:t xml:space="preserve">FTSE All Share </w:t>
            </w:r>
          </w:p>
        </w:tc>
      </w:tr>
      <w:tr w:rsidR="004A523B" w:rsidRPr="008453F1" w14:paraId="4A5E850E"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17B8A37B" w14:textId="77777777" w:rsidR="004A523B" w:rsidRPr="008453F1" w:rsidRDefault="004A523B">
            <w:pPr>
              <w:pStyle w:val="Default"/>
              <w:spacing w:before="60" w:after="60"/>
              <w:rPr>
                <w:sz w:val="20"/>
                <w:szCs w:val="20"/>
              </w:rPr>
            </w:pPr>
            <w:r w:rsidRPr="008453F1">
              <w:rPr>
                <w:b/>
                <w:bCs/>
                <w:sz w:val="20"/>
                <w:szCs w:val="20"/>
              </w:rPr>
              <w:t xml:space="preserve">Hedge Funds </w:t>
            </w:r>
          </w:p>
        </w:tc>
        <w:tc>
          <w:tcPr>
            <w:tcW w:w="3411" w:type="dxa"/>
            <w:tcBorders>
              <w:top w:val="single" w:sz="4" w:space="0" w:color="auto"/>
              <w:left w:val="single" w:sz="4" w:space="0" w:color="auto"/>
              <w:bottom w:val="single" w:sz="4" w:space="0" w:color="auto"/>
              <w:right w:val="single" w:sz="4" w:space="0" w:color="auto"/>
            </w:tcBorders>
          </w:tcPr>
          <w:p w14:paraId="216466E0" w14:textId="77777777" w:rsidR="004A523B" w:rsidRPr="008453F1" w:rsidRDefault="004A523B">
            <w:pPr>
              <w:pStyle w:val="Default"/>
              <w:spacing w:before="60" w:after="60"/>
              <w:jc w:val="center"/>
              <w:rPr>
                <w:sz w:val="20"/>
                <w:szCs w:val="20"/>
              </w:rPr>
            </w:pPr>
            <w:r w:rsidRPr="008453F1">
              <w:rPr>
                <w:sz w:val="20"/>
                <w:szCs w:val="20"/>
              </w:rPr>
              <w:t xml:space="preserve">5% +/- 5% </w:t>
            </w:r>
          </w:p>
        </w:tc>
        <w:tc>
          <w:tcPr>
            <w:tcW w:w="3411" w:type="dxa"/>
            <w:tcBorders>
              <w:top w:val="single" w:sz="4" w:space="0" w:color="auto"/>
              <w:left w:val="single" w:sz="4" w:space="0" w:color="auto"/>
              <w:bottom w:val="single" w:sz="4" w:space="0" w:color="auto"/>
              <w:right w:val="single" w:sz="4" w:space="0" w:color="auto"/>
            </w:tcBorders>
          </w:tcPr>
          <w:p w14:paraId="23CB53E7" w14:textId="77777777" w:rsidR="004A523B" w:rsidRPr="008453F1" w:rsidRDefault="004A523B">
            <w:pPr>
              <w:pStyle w:val="Default"/>
              <w:spacing w:before="60" w:after="60"/>
              <w:jc w:val="center"/>
              <w:rPr>
                <w:sz w:val="20"/>
                <w:szCs w:val="20"/>
              </w:rPr>
            </w:pPr>
            <w:r w:rsidRPr="008453F1">
              <w:rPr>
                <w:sz w:val="20"/>
                <w:szCs w:val="20"/>
              </w:rPr>
              <w:t xml:space="preserve">LIBOR </w:t>
            </w:r>
          </w:p>
        </w:tc>
      </w:tr>
      <w:tr w:rsidR="004A523B" w:rsidRPr="008453F1" w14:paraId="71336983" w14:textId="77777777" w:rsidTr="004A523B">
        <w:trPr>
          <w:trHeight w:val="309"/>
        </w:trPr>
        <w:tc>
          <w:tcPr>
            <w:tcW w:w="3411" w:type="dxa"/>
            <w:gridSpan w:val="2"/>
            <w:tcBorders>
              <w:top w:val="single" w:sz="4" w:space="0" w:color="auto"/>
              <w:left w:val="single" w:sz="4" w:space="0" w:color="auto"/>
              <w:bottom w:val="single" w:sz="4" w:space="0" w:color="auto"/>
              <w:right w:val="single" w:sz="4" w:space="0" w:color="auto"/>
            </w:tcBorders>
          </w:tcPr>
          <w:p w14:paraId="27235682" w14:textId="77777777" w:rsidR="004A523B" w:rsidRPr="008453F1" w:rsidRDefault="004A523B">
            <w:pPr>
              <w:pStyle w:val="Default"/>
              <w:spacing w:before="60" w:after="60"/>
              <w:rPr>
                <w:sz w:val="20"/>
                <w:szCs w:val="20"/>
              </w:rPr>
            </w:pPr>
            <w:r w:rsidRPr="008453F1">
              <w:rPr>
                <w:b/>
                <w:bCs/>
                <w:sz w:val="20"/>
                <w:szCs w:val="20"/>
              </w:rPr>
              <w:t xml:space="preserve">Property </w:t>
            </w:r>
          </w:p>
        </w:tc>
        <w:tc>
          <w:tcPr>
            <w:tcW w:w="3411" w:type="dxa"/>
            <w:tcBorders>
              <w:top w:val="single" w:sz="4" w:space="0" w:color="auto"/>
              <w:left w:val="single" w:sz="4" w:space="0" w:color="auto"/>
              <w:bottom w:val="single" w:sz="4" w:space="0" w:color="auto"/>
              <w:right w:val="single" w:sz="4" w:space="0" w:color="auto"/>
            </w:tcBorders>
          </w:tcPr>
          <w:p w14:paraId="11BA8CB3" w14:textId="77777777" w:rsidR="004A523B" w:rsidRPr="008453F1" w:rsidRDefault="004A523B">
            <w:pPr>
              <w:pStyle w:val="Default"/>
              <w:spacing w:before="60" w:after="60"/>
              <w:jc w:val="center"/>
              <w:rPr>
                <w:sz w:val="20"/>
                <w:szCs w:val="20"/>
              </w:rPr>
            </w:pPr>
            <w:r w:rsidRPr="008453F1">
              <w:rPr>
                <w:sz w:val="20"/>
                <w:szCs w:val="20"/>
              </w:rPr>
              <w:t xml:space="preserve">5% +/- 5% </w:t>
            </w:r>
          </w:p>
        </w:tc>
        <w:tc>
          <w:tcPr>
            <w:tcW w:w="3411" w:type="dxa"/>
            <w:tcBorders>
              <w:top w:val="single" w:sz="4" w:space="0" w:color="auto"/>
              <w:left w:val="single" w:sz="4" w:space="0" w:color="auto"/>
              <w:bottom w:val="single" w:sz="4" w:space="0" w:color="auto"/>
              <w:right w:val="single" w:sz="4" w:space="0" w:color="auto"/>
            </w:tcBorders>
          </w:tcPr>
          <w:p w14:paraId="3CB46FD7" w14:textId="77777777" w:rsidR="004A523B" w:rsidRPr="008453F1" w:rsidRDefault="004A523B">
            <w:pPr>
              <w:pStyle w:val="Default"/>
              <w:spacing w:before="60" w:after="60"/>
              <w:jc w:val="center"/>
              <w:rPr>
                <w:sz w:val="20"/>
                <w:szCs w:val="20"/>
              </w:rPr>
            </w:pPr>
            <w:r w:rsidRPr="008453F1">
              <w:rPr>
                <w:sz w:val="20"/>
                <w:szCs w:val="20"/>
              </w:rPr>
              <w:t xml:space="preserve">IPD UK Pooled Property fund </w:t>
            </w:r>
          </w:p>
        </w:tc>
      </w:tr>
      <w:tr w:rsidR="004A523B" w:rsidRPr="008453F1" w14:paraId="02C0D1D2"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5C63C1B2" w14:textId="77777777" w:rsidR="004A523B" w:rsidRPr="008453F1" w:rsidRDefault="004A523B">
            <w:pPr>
              <w:pStyle w:val="Default"/>
              <w:spacing w:before="60" w:after="60"/>
              <w:rPr>
                <w:sz w:val="20"/>
                <w:szCs w:val="20"/>
              </w:rPr>
            </w:pPr>
            <w:r w:rsidRPr="008453F1">
              <w:rPr>
                <w:b/>
                <w:bCs/>
                <w:sz w:val="20"/>
                <w:szCs w:val="20"/>
              </w:rPr>
              <w:t xml:space="preserve">Infrastructure </w:t>
            </w:r>
          </w:p>
        </w:tc>
        <w:tc>
          <w:tcPr>
            <w:tcW w:w="3411" w:type="dxa"/>
            <w:tcBorders>
              <w:top w:val="single" w:sz="4" w:space="0" w:color="auto"/>
              <w:left w:val="single" w:sz="4" w:space="0" w:color="auto"/>
              <w:bottom w:val="single" w:sz="4" w:space="0" w:color="auto"/>
              <w:right w:val="single" w:sz="4" w:space="0" w:color="auto"/>
            </w:tcBorders>
          </w:tcPr>
          <w:p w14:paraId="7A0AB449" w14:textId="77777777" w:rsidR="004A523B" w:rsidRPr="008453F1" w:rsidRDefault="004A523B">
            <w:pPr>
              <w:pStyle w:val="Default"/>
              <w:spacing w:before="60" w:after="60"/>
              <w:jc w:val="center"/>
              <w:rPr>
                <w:sz w:val="20"/>
                <w:szCs w:val="20"/>
              </w:rPr>
            </w:pPr>
            <w:r w:rsidRPr="008453F1">
              <w:rPr>
                <w:sz w:val="20"/>
                <w:szCs w:val="20"/>
              </w:rPr>
              <w:t xml:space="preserve">2% +/- 5% </w:t>
            </w:r>
          </w:p>
        </w:tc>
        <w:tc>
          <w:tcPr>
            <w:tcW w:w="3411" w:type="dxa"/>
            <w:tcBorders>
              <w:top w:val="single" w:sz="4" w:space="0" w:color="auto"/>
              <w:left w:val="single" w:sz="4" w:space="0" w:color="auto"/>
              <w:bottom w:val="single" w:sz="4" w:space="0" w:color="auto"/>
              <w:right w:val="single" w:sz="4" w:space="0" w:color="auto"/>
            </w:tcBorders>
          </w:tcPr>
          <w:p w14:paraId="07B34092" w14:textId="77777777" w:rsidR="004A523B" w:rsidRPr="008453F1" w:rsidRDefault="004A523B">
            <w:pPr>
              <w:pStyle w:val="Default"/>
              <w:spacing w:before="60" w:after="60"/>
              <w:jc w:val="center"/>
              <w:rPr>
                <w:sz w:val="20"/>
                <w:szCs w:val="20"/>
              </w:rPr>
            </w:pPr>
            <w:r w:rsidRPr="008453F1">
              <w:rPr>
                <w:i/>
                <w:iCs/>
                <w:sz w:val="20"/>
                <w:szCs w:val="20"/>
              </w:rPr>
              <w:t xml:space="preserve">To be finalised </w:t>
            </w:r>
          </w:p>
        </w:tc>
      </w:tr>
      <w:tr w:rsidR="004A523B" w:rsidRPr="008453F1" w14:paraId="3C97198D"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3A3E2248" w14:textId="77777777" w:rsidR="004A523B" w:rsidRPr="008453F1" w:rsidRDefault="004A523B">
            <w:pPr>
              <w:pStyle w:val="Default"/>
              <w:spacing w:before="60" w:after="60"/>
              <w:rPr>
                <w:sz w:val="20"/>
                <w:szCs w:val="20"/>
              </w:rPr>
            </w:pPr>
            <w:r w:rsidRPr="008453F1">
              <w:rPr>
                <w:b/>
                <w:bCs/>
                <w:sz w:val="20"/>
                <w:szCs w:val="20"/>
              </w:rPr>
              <w:t xml:space="preserve">Global Fixed Interest </w:t>
            </w:r>
          </w:p>
        </w:tc>
        <w:tc>
          <w:tcPr>
            <w:tcW w:w="3411" w:type="dxa"/>
            <w:tcBorders>
              <w:top w:val="single" w:sz="4" w:space="0" w:color="auto"/>
              <w:left w:val="single" w:sz="4" w:space="0" w:color="auto"/>
              <w:bottom w:val="single" w:sz="4" w:space="0" w:color="auto"/>
              <w:right w:val="single" w:sz="4" w:space="0" w:color="auto"/>
            </w:tcBorders>
          </w:tcPr>
          <w:p w14:paraId="7CB5F873" w14:textId="77777777" w:rsidR="004A523B" w:rsidRPr="008453F1" w:rsidRDefault="004A523B">
            <w:pPr>
              <w:pStyle w:val="Default"/>
              <w:spacing w:before="60" w:after="60"/>
              <w:jc w:val="center"/>
              <w:rPr>
                <w:sz w:val="20"/>
                <w:szCs w:val="20"/>
              </w:rPr>
            </w:pPr>
            <w:r w:rsidRPr="008453F1">
              <w:rPr>
                <w:sz w:val="20"/>
                <w:szCs w:val="20"/>
              </w:rPr>
              <w:t xml:space="preserve">15% +/- 5% </w:t>
            </w:r>
          </w:p>
        </w:tc>
        <w:tc>
          <w:tcPr>
            <w:tcW w:w="3411" w:type="dxa"/>
            <w:tcBorders>
              <w:top w:val="single" w:sz="4" w:space="0" w:color="auto"/>
              <w:left w:val="single" w:sz="4" w:space="0" w:color="auto"/>
              <w:bottom w:val="single" w:sz="4" w:space="0" w:color="auto"/>
              <w:right w:val="single" w:sz="4" w:space="0" w:color="auto"/>
            </w:tcBorders>
          </w:tcPr>
          <w:p w14:paraId="6C0951E1" w14:textId="77777777" w:rsidR="004A523B" w:rsidRPr="008453F1" w:rsidRDefault="004A523B">
            <w:pPr>
              <w:pStyle w:val="Default"/>
              <w:spacing w:before="60" w:after="60"/>
              <w:jc w:val="center"/>
              <w:rPr>
                <w:sz w:val="20"/>
                <w:szCs w:val="20"/>
              </w:rPr>
            </w:pPr>
            <w:r w:rsidRPr="008453F1">
              <w:rPr>
                <w:sz w:val="20"/>
                <w:szCs w:val="20"/>
              </w:rPr>
              <w:t xml:space="preserve">LIBOR </w:t>
            </w:r>
          </w:p>
        </w:tc>
      </w:tr>
      <w:tr w:rsidR="004A523B" w:rsidRPr="008453F1" w14:paraId="2A02DE92"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0BBC16F5" w14:textId="77777777" w:rsidR="004A523B" w:rsidRPr="008453F1" w:rsidRDefault="004A523B">
            <w:pPr>
              <w:pStyle w:val="Default"/>
              <w:spacing w:before="60" w:after="60"/>
              <w:rPr>
                <w:sz w:val="20"/>
                <w:szCs w:val="20"/>
              </w:rPr>
            </w:pPr>
            <w:r w:rsidRPr="008453F1">
              <w:rPr>
                <w:b/>
                <w:bCs/>
                <w:sz w:val="20"/>
                <w:szCs w:val="20"/>
              </w:rPr>
              <w:t xml:space="preserve">Cash </w:t>
            </w:r>
          </w:p>
        </w:tc>
        <w:tc>
          <w:tcPr>
            <w:tcW w:w="3411" w:type="dxa"/>
            <w:tcBorders>
              <w:top w:val="single" w:sz="4" w:space="0" w:color="auto"/>
              <w:left w:val="single" w:sz="4" w:space="0" w:color="auto"/>
              <w:bottom w:val="single" w:sz="4" w:space="0" w:color="auto"/>
              <w:right w:val="single" w:sz="4" w:space="0" w:color="auto"/>
            </w:tcBorders>
          </w:tcPr>
          <w:p w14:paraId="49C97B96" w14:textId="77777777" w:rsidR="004A523B" w:rsidRPr="008453F1" w:rsidRDefault="004A523B">
            <w:pPr>
              <w:pStyle w:val="Default"/>
              <w:spacing w:before="60" w:after="60"/>
              <w:jc w:val="center"/>
              <w:rPr>
                <w:sz w:val="20"/>
                <w:szCs w:val="20"/>
              </w:rPr>
            </w:pPr>
            <w:r w:rsidRPr="008453F1">
              <w:rPr>
                <w:sz w:val="20"/>
                <w:szCs w:val="20"/>
              </w:rPr>
              <w:t xml:space="preserve">2% +/- 5% </w:t>
            </w:r>
          </w:p>
        </w:tc>
        <w:tc>
          <w:tcPr>
            <w:tcW w:w="3411" w:type="dxa"/>
            <w:tcBorders>
              <w:top w:val="single" w:sz="4" w:space="0" w:color="auto"/>
              <w:left w:val="single" w:sz="4" w:space="0" w:color="auto"/>
              <w:bottom w:val="single" w:sz="4" w:space="0" w:color="auto"/>
              <w:right w:val="single" w:sz="4" w:space="0" w:color="auto"/>
            </w:tcBorders>
          </w:tcPr>
          <w:p w14:paraId="51970760" w14:textId="77777777" w:rsidR="004A523B" w:rsidRPr="008453F1" w:rsidRDefault="004A523B">
            <w:pPr>
              <w:pStyle w:val="Default"/>
              <w:spacing w:before="60" w:after="60"/>
              <w:jc w:val="center"/>
              <w:rPr>
                <w:sz w:val="20"/>
                <w:szCs w:val="20"/>
              </w:rPr>
            </w:pPr>
            <w:r w:rsidRPr="008453F1">
              <w:rPr>
                <w:sz w:val="20"/>
                <w:szCs w:val="20"/>
              </w:rPr>
              <w:t xml:space="preserve">7 day LIBID </w:t>
            </w:r>
          </w:p>
        </w:tc>
      </w:tr>
      <w:tr w:rsidR="004A523B" w:rsidRPr="008453F1" w14:paraId="7202A804" w14:textId="77777777" w:rsidTr="004A523B">
        <w:trPr>
          <w:trHeight w:val="197"/>
        </w:trPr>
        <w:tc>
          <w:tcPr>
            <w:tcW w:w="3369" w:type="dxa"/>
            <w:tcBorders>
              <w:top w:val="single" w:sz="4" w:space="0" w:color="auto"/>
              <w:left w:val="single" w:sz="4" w:space="0" w:color="auto"/>
              <w:bottom w:val="single" w:sz="4" w:space="0" w:color="auto"/>
              <w:right w:val="nil"/>
            </w:tcBorders>
          </w:tcPr>
          <w:p w14:paraId="4B2141B5" w14:textId="77777777" w:rsidR="004A523B" w:rsidRPr="008453F1" w:rsidRDefault="004A523B">
            <w:pPr>
              <w:pStyle w:val="Default"/>
              <w:spacing w:before="60" w:after="60"/>
              <w:rPr>
                <w:sz w:val="20"/>
                <w:szCs w:val="20"/>
              </w:rPr>
            </w:pPr>
            <w:r w:rsidRPr="008453F1">
              <w:rPr>
                <w:b/>
                <w:bCs/>
                <w:sz w:val="20"/>
                <w:szCs w:val="20"/>
              </w:rPr>
              <w:t xml:space="preserve">Total </w:t>
            </w:r>
          </w:p>
        </w:tc>
        <w:tc>
          <w:tcPr>
            <w:tcW w:w="6864" w:type="dxa"/>
            <w:gridSpan w:val="3"/>
            <w:tcBorders>
              <w:top w:val="single" w:sz="4" w:space="0" w:color="auto"/>
              <w:left w:val="nil"/>
              <w:bottom w:val="single" w:sz="4" w:space="0" w:color="auto"/>
              <w:right w:val="single" w:sz="4" w:space="0" w:color="auto"/>
            </w:tcBorders>
          </w:tcPr>
          <w:p w14:paraId="55E29F35" w14:textId="77777777" w:rsidR="004A523B" w:rsidRPr="008453F1" w:rsidRDefault="004A523B">
            <w:pPr>
              <w:pStyle w:val="Default"/>
              <w:spacing w:before="60" w:after="60"/>
              <w:jc w:val="center"/>
              <w:rPr>
                <w:sz w:val="20"/>
                <w:szCs w:val="20"/>
              </w:rPr>
            </w:pPr>
            <w:r w:rsidRPr="008453F1">
              <w:rPr>
                <w:b/>
                <w:bCs/>
                <w:sz w:val="20"/>
                <w:szCs w:val="20"/>
              </w:rPr>
              <w:t>100%</w:t>
            </w:r>
          </w:p>
        </w:tc>
      </w:tr>
    </w:tbl>
    <w:p w14:paraId="6AF493A4" w14:textId="77777777" w:rsidR="00C47636" w:rsidRPr="008453F1" w:rsidRDefault="00C47636" w:rsidP="00A72043">
      <w:pPr>
        <w:ind w:left="3600" w:hanging="3600"/>
        <w:rPr>
          <w:b/>
          <w:sz w:val="20"/>
        </w:rPr>
      </w:pPr>
    </w:p>
    <w:p w14:paraId="43D0F3E3" w14:textId="77777777" w:rsidR="00C47636" w:rsidRDefault="00C47636" w:rsidP="00A72043">
      <w:pPr>
        <w:ind w:left="3600" w:hanging="3600"/>
        <w:rPr>
          <w:b/>
        </w:rPr>
      </w:pPr>
    </w:p>
    <w:p w14:paraId="4229284D" w14:textId="77777777" w:rsidR="00C47636" w:rsidRDefault="00C47636" w:rsidP="00A72043">
      <w:pPr>
        <w:ind w:left="3600" w:hanging="3600"/>
        <w:rPr>
          <w:b/>
        </w:rPr>
      </w:pPr>
    </w:p>
    <w:p w14:paraId="3FFBEDD6" w14:textId="77777777" w:rsidR="00C47636" w:rsidRDefault="00C47636" w:rsidP="00A72043">
      <w:pPr>
        <w:ind w:left="3600" w:hanging="3600"/>
        <w:rPr>
          <w:b/>
        </w:rPr>
      </w:pPr>
    </w:p>
    <w:p w14:paraId="3EDFF8BE" w14:textId="77777777" w:rsidR="00C47636" w:rsidRDefault="00C47636" w:rsidP="00A72043">
      <w:pPr>
        <w:ind w:left="3600" w:hanging="3600"/>
        <w:rPr>
          <w:b/>
        </w:rPr>
      </w:pPr>
    </w:p>
    <w:p w14:paraId="31566E3C" w14:textId="77777777" w:rsidR="00C47636" w:rsidRDefault="00C47636" w:rsidP="00A72043">
      <w:pPr>
        <w:ind w:left="3600" w:hanging="3600"/>
        <w:rPr>
          <w:b/>
        </w:rPr>
      </w:pPr>
    </w:p>
    <w:p w14:paraId="5BCFCC23" w14:textId="77777777" w:rsidR="00646A22" w:rsidRDefault="00646A22" w:rsidP="00A72043">
      <w:pPr>
        <w:ind w:left="3600" w:hanging="3600"/>
        <w:rPr>
          <w:b/>
        </w:rPr>
      </w:pPr>
    </w:p>
    <w:p w14:paraId="4DD73A79" w14:textId="77777777" w:rsidR="00646A22" w:rsidRDefault="00646A22" w:rsidP="00A72043">
      <w:pPr>
        <w:ind w:left="3600" w:hanging="3600"/>
        <w:rPr>
          <w:b/>
        </w:rPr>
      </w:pPr>
    </w:p>
    <w:p w14:paraId="54EB130A" w14:textId="77777777" w:rsidR="00646A22" w:rsidRDefault="00646A22" w:rsidP="00A72043">
      <w:pPr>
        <w:ind w:left="3600" w:hanging="3600"/>
        <w:rPr>
          <w:b/>
        </w:rPr>
      </w:pPr>
    </w:p>
    <w:p w14:paraId="594653BA" w14:textId="77777777" w:rsidR="002109FF" w:rsidRDefault="00D0563C" w:rsidP="003C3AAF">
      <w:pPr>
        <w:ind w:left="3600" w:hanging="3600"/>
        <w:rPr>
          <w:sz w:val="20"/>
        </w:rPr>
      </w:pPr>
      <w:r>
        <w:rPr>
          <w:b/>
        </w:rPr>
        <w:lastRenderedPageBreak/>
        <w:t xml:space="preserve"> </w:t>
      </w:r>
      <w:r w:rsidR="00626E87">
        <w:rPr>
          <w:b/>
        </w:rPr>
        <w:t xml:space="preserve">                                                                                                            </w:t>
      </w:r>
      <w:r w:rsidR="00493CA9" w:rsidRPr="00493CA9">
        <w:rPr>
          <w:b/>
        </w:rPr>
        <w:t>Appendix 8</w:t>
      </w:r>
    </w:p>
    <w:p w14:paraId="7A06F264" w14:textId="77777777" w:rsidR="002109FF" w:rsidRDefault="002109FF" w:rsidP="00375775">
      <w:pPr>
        <w:pStyle w:val="Default"/>
        <w:rPr>
          <w:sz w:val="20"/>
          <w:szCs w:val="20"/>
        </w:rPr>
      </w:pPr>
    </w:p>
    <w:p w14:paraId="778DCEC6" w14:textId="77777777" w:rsidR="003C3AAF" w:rsidRPr="00493CA9" w:rsidRDefault="003C3AAF" w:rsidP="003C3AAF">
      <w:pPr>
        <w:ind w:left="3600" w:hanging="3600"/>
        <w:rPr>
          <w:b/>
        </w:rPr>
      </w:pPr>
    </w:p>
    <w:p w14:paraId="16428A3A" w14:textId="77777777" w:rsidR="003C3AAF" w:rsidRPr="00853770" w:rsidRDefault="003C3AAF" w:rsidP="003C3AAF">
      <w:pPr>
        <w:pBdr>
          <w:top w:val="single" w:sz="12" w:space="0" w:color="auto" w:shadow="1"/>
          <w:left w:val="single" w:sz="12" w:space="4" w:color="auto" w:shadow="1"/>
          <w:bottom w:val="single" w:sz="12" w:space="11" w:color="auto" w:shadow="1"/>
          <w:right w:val="single" w:sz="12" w:space="0" w:color="auto" w:shadow="1"/>
        </w:pBdr>
        <w:shd w:val="pct5" w:color="auto" w:fill="auto"/>
        <w:jc w:val="center"/>
        <w:rPr>
          <w:b/>
          <w:sz w:val="32"/>
          <w:lang w:eastAsia="en-GB"/>
        </w:rPr>
      </w:pPr>
      <w:r w:rsidRPr="00853770">
        <w:rPr>
          <w:b/>
          <w:sz w:val="32"/>
          <w:lang w:eastAsia="en-GB"/>
        </w:rPr>
        <w:t xml:space="preserve">City &amp; County of </w:t>
      </w:r>
      <w:smartTag w:uri="urn:schemas-microsoft-com:office:smarttags" w:element="PostalCode">
        <w:smartTag w:uri="urn:schemas-microsoft-com:office:smarttags" w:element="City">
          <w:r w:rsidRPr="00853770">
            <w:rPr>
              <w:b/>
              <w:sz w:val="32"/>
              <w:lang w:eastAsia="en-GB"/>
            </w:rPr>
            <w:t>Swansea</w:t>
          </w:r>
        </w:smartTag>
      </w:smartTag>
      <w:r w:rsidRPr="00853770">
        <w:rPr>
          <w:b/>
          <w:sz w:val="32"/>
          <w:lang w:eastAsia="en-GB"/>
        </w:rPr>
        <w:t xml:space="preserve"> Pension Fund</w:t>
      </w:r>
    </w:p>
    <w:p w14:paraId="11BD9622" w14:textId="77777777" w:rsidR="003C3AAF" w:rsidRPr="00853770" w:rsidRDefault="003C3AAF" w:rsidP="003C3AAF">
      <w:pPr>
        <w:pBdr>
          <w:top w:val="single" w:sz="12" w:space="0" w:color="auto" w:shadow="1"/>
          <w:left w:val="single" w:sz="12" w:space="4" w:color="auto" w:shadow="1"/>
          <w:bottom w:val="single" w:sz="12" w:space="11" w:color="auto" w:shadow="1"/>
          <w:right w:val="single" w:sz="12" w:space="0" w:color="auto" w:shadow="1"/>
        </w:pBdr>
        <w:shd w:val="pct5" w:color="auto" w:fill="auto"/>
        <w:jc w:val="center"/>
        <w:rPr>
          <w:b/>
          <w:sz w:val="32"/>
          <w:lang w:eastAsia="en-GB"/>
        </w:rPr>
      </w:pPr>
      <w:r w:rsidRPr="00853770">
        <w:rPr>
          <w:b/>
          <w:sz w:val="32"/>
          <w:lang w:eastAsia="en-GB"/>
        </w:rPr>
        <w:t xml:space="preserve">Funding Strategy Statement </w:t>
      </w:r>
      <w:r>
        <w:rPr>
          <w:b/>
          <w:sz w:val="32"/>
          <w:lang w:eastAsia="en-GB"/>
        </w:rPr>
        <w:t>2020</w:t>
      </w:r>
    </w:p>
    <w:p w14:paraId="31355FA2" w14:textId="77777777" w:rsidR="003C3AAF" w:rsidRDefault="003C3AAF" w:rsidP="00375775">
      <w:pPr>
        <w:pStyle w:val="Default"/>
        <w:rPr>
          <w:sz w:val="20"/>
          <w:szCs w:val="20"/>
        </w:rPr>
      </w:pPr>
    </w:p>
    <w:p w14:paraId="67A2960D" w14:textId="77777777" w:rsidR="003C3AAF" w:rsidRDefault="003C3AAF" w:rsidP="00375775">
      <w:pPr>
        <w:pStyle w:val="Default"/>
        <w:rPr>
          <w:sz w:val="20"/>
          <w:szCs w:val="20"/>
        </w:rPr>
      </w:pPr>
    </w:p>
    <w:p w14:paraId="63636682" w14:textId="77777777" w:rsidR="003C3AAF" w:rsidRDefault="003C3AAF" w:rsidP="00375775">
      <w:pPr>
        <w:pStyle w:val="Default"/>
        <w:rPr>
          <w:sz w:val="20"/>
          <w:szCs w:val="20"/>
        </w:rPr>
      </w:pPr>
    </w:p>
    <w:p w14:paraId="776077BE" w14:textId="77777777" w:rsidR="003C3AAF" w:rsidRPr="003C3AAF" w:rsidRDefault="003C3AAF" w:rsidP="0073304A">
      <w:pPr>
        <w:pStyle w:val="Heading1"/>
        <w:widowControl w:val="0"/>
        <w:numPr>
          <w:ilvl w:val="0"/>
          <w:numId w:val="80"/>
        </w:numPr>
        <w:spacing w:before="0"/>
        <w:ind w:left="454" w:hanging="454"/>
        <w:rPr>
          <w:rFonts w:cs="Arial"/>
          <w:szCs w:val="24"/>
        </w:rPr>
      </w:pPr>
      <w:r w:rsidRPr="003C3AAF">
        <w:rPr>
          <w:rFonts w:cs="Arial"/>
          <w:szCs w:val="24"/>
        </w:rPr>
        <w:t>INTRODUCTION</w:t>
      </w:r>
    </w:p>
    <w:p w14:paraId="4ADEB127" w14:textId="77777777" w:rsidR="003C3AAF" w:rsidRPr="003C3AAF" w:rsidRDefault="003C3AAF" w:rsidP="003C3AAF">
      <w:pPr>
        <w:rPr>
          <w:rFonts w:ascii="Arial" w:hAnsi="Arial" w:cs="Arial"/>
          <w:sz w:val="24"/>
          <w:szCs w:val="24"/>
        </w:rPr>
      </w:pPr>
    </w:p>
    <w:p w14:paraId="5C3F0C31" w14:textId="77777777" w:rsidR="003C3AAF" w:rsidRPr="003C3AAF" w:rsidRDefault="003C3AAF" w:rsidP="003C3AAF">
      <w:pPr>
        <w:widowControl w:val="0"/>
        <w:spacing w:after="60"/>
        <w:ind w:left="426" w:hanging="811"/>
        <w:jc w:val="both"/>
        <w:rPr>
          <w:rFonts w:ascii="Arial" w:hAnsi="Arial" w:cs="Arial"/>
          <w:b/>
          <w:sz w:val="24"/>
          <w:szCs w:val="24"/>
        </w:rPr>
      </w:pPr>
      <w:r w:rsidRPr="003C3AAF">
        <w:rPr>
          <w:rFonts w:ascii="Arial" w:hAnsi="Arial" w:cs="Arial"/>
          <w:b/>
          <w:sz w:val="24"/>
          <w:szCs w:val="24"/>
        </w:rPr>
        <w:tab/>
        <w:t>Overview</w:t>
      </w:r>
    </w:p>
    <w:p w14:paraId="79C3AAA2" w14:textId="77777777" w:rsidR="003C3AAF" w:rsidRPr="003C3AAF" w:rsidRDefault="003C3AAF" w:rsidP="0073304A">
      <w:pPr>
        <w:numPr>
          <w:ilvl w:val="1"/>
          <w:numId w:val="81"/>
        </w:numPr>
        <w:ind w:left="454" w:hanging="454"/>
        <w:rPr>
          <w:rFonts w:ascii="Arial" w:hAnsi="Arial" w:cs="Arial"/>
          <w:sz w:val="24"/>
          <w:szCs w:val="24"/>
        </w:rPr>
      </w:pPr>
      <w:r w:rsidRPr="003C3AAF">
        <w:rPr>
          <w:rFonts w:ascii="Arial" w:hAnsi="Arial" w:cs="Arial"/>
          <w:sz w:val="24"/>
          <w:szCs w:val="24"/>
        </w:rPr>
        <w:t>This Statement, originally prepared in accordance with Regulation 76A of the Local Government Regulations 1997 has been reviewed in accordance with Regulation 58 of the Local Government Pension Scheme Regulations 2013 (the LGPS Regulations). The Statement describes City and County of Swansea’s strategy, in its capacity as Administering Authority (the Administering Authority), for the funding of the City and County of Swansea Pension Fund (the Fund).</w:t>
      </w:r>
    </w:p>
    <w:p w14:paraId="62760C33" w14:textId="77777777" w:rsidR="003C3AAF" w:rsidRPr="003C3AAF" w:rsidRDefault="003C3AAF" w:rsidP="003C3AAF">
      <w:pPr>
        <w:ind w:left="567" w:hanging="567"/>
        <w:rPr>
          <w:rFonts w:ascii="Arial" w:hAnsi="Arial" w:cs="Arial"/>
          <w:snapToGrid w:val="0"/>
          <w:sz w:val="24"/>
          <w:szCs w:val="24"/>
        </w:rPr>
      </w:pPr>
    </w:p>
    <w:p w14:paraId="65BEEA66" w14:textId="77777777" w:rsidR="003C3AAF" w:rsidRPr="003C3AAF" w:rsidRDefault="003C3AAF" w:rsidP="0073304A">
      <w:pPr>
        <w:numPr>
          <w:ilvl w:val="1"/>
          <w:numId w:val="81"/>
        </w:numPr>
        <w:spacing w:after="120"/>
        <w:ind w:left="454" w:hanging="454"/>
        <w:rPr>
          <w:rFonts w:ascii="Arial" w:hAnsi="Arial" w:cs="Arial"/>
          <w:sz w:val="24"/>
          <w:szCs w:val="24"/>
        </w:rPr>
      </w:pPr>
      <w:r w:rsidRPr="003C3AAF">
        <w:rPr>
          <w:rFonts w:ascii="Arial" w:hAnsi="Arial" w:cs="Arial"/>
          <w:sz w:val="24"/>
          <w:szCs w:val="24"/>
        </w:rPr>
        <w:t>As required by Regulation 58(4)(a), the Statement has been prepared having regard to:</w:t>
      </w:r>
    </w:p>
    <w:p w14:paraId="68333E24" w14:textId="77777777" w:rsidR="003C3AAF" w:rsidRPr="003C3AAF" w:rsidRDefault="003C3AAF" w:rsidP="0073304A">
      <w:pPr>
        <w:numPr>
          <w:ilvl w:val="0"/>
          <w:numId w:val="96"/>
        </w:numPr>
        <w:spacing w:after="120"/>
        <w:ind w:hanging="258"/>
        <w:rPr>
          <w:rFonts w:ascii="Arial" w:hAnsi="Arial" w:cs="Arial"/>
          <w:sz w:val="24"/>
          <w:szCs w:val="24"/>
        </w:rPr>
      </w:pPr>
      <w:r w:rsidRPr="003C3AAF">
        <w:rPr>
          <w:rFonts w:ascii="Arial" w:hAnsi="Arial" w:cs="Arial"/>
          <w:sz w:val="24"/>
          <w:szCs w:val="24"/>
        </w:rPr>
        <w:t>the statutory guidance published by CIPFA for this purpose.</w:t>
      </w:r>
    </w:p>
    <w:p w14:paraId="10E3EB49" w14:textId="77777777" w:rsidR="003C3AAF" w:rsidRPr="003C3AAF" w:rsidRDefault="003C3AAF" w:rsidP="003C3AAF">
      <w:pPr>
        <w:spacing w:after="120"/>
        <w:ind w:left="720" w:hanging="11"/>
        <w:rPr>
          <w:rFonts w:ascii="Arial" w:hAnsi="Arial" w:cs="Arial"/>
          <w:sz w:val="24"/>
          <w:szCs w:val="24"/>
        </w:rPr>
      </w:pPr>
      <w:r w:rsidRPr="003C3AAF">
        <w:rPr>
          <w:rFonts w:ascii="Arial" w:hAnsi="Arial" w:cs="Arial"/>
          <w:sz w:val="24"/>
          <w:szCs w:val="24"/>
        </w:rPr>
        <w:t>This Statement has regard to the updated guidance published in September 2016 and not the original guidance issued in October 2012 as referred to in the LGPS Regulations at time of writing the Statement;</w:t>
      </w:r>
    </w:p>
    <w:p w14:paraId="12C5FAD5" w14:textId="77777777" w:rsidR="003C3AAF" w:rsidRPr="003C3AAF" w:rsidRDefault="003C3AAF" w:rsidP="0073304A">
      <w:pPr>
        <w:numPr>
          <w:ilvl w:val="0"/>
          <w:numId w:val="96"/>
        </w:numPr>
        <w:spacing w:after="120"/>
        <w:ind w:hanging="258"/>
        <w:rPr>
          <w:rFonts w:ascii="Arial" w:hAnsi="Arial" w:cs="Arial"/>
          <w:sz w:val="24"/>
          <w:szCs w:val="24"/>
        </w:rPr>
      </w:pPr>
      <w:r w:rsidRPr="003C3AAF">
        <w:rPr>
          <w:rFonts w:ascii="Arial" w:hAnsi="Arial" w:cs="Arial"/>
          <w:sz w:val="24"/>
          <w:szCs w:val="24"/>
        </w:rPr>
        <w:t>the supplementary statutory guidance issued by MHCLG: Guidance on Preparing and Maintaining Policies on Review of Employer Contributions, Employer Exit Payments and Deferred Debt Agreements and</w:t>
      </w:r>
    </w:p>
    <w:p w14:paraId="50347068" w14:textId="77777777" w:rsidR="003C3AAF" w:rsidRPr="003C3AAF" w:rsidRDefault="003C3AAF" w:rsidP="0073304A">
      <w:pPr>
        <w:numPr>
          <w:ilvl w:val="0"/>
          <w:numId w:val="96"/>
        </w:numPr>
        <w:ind w:hanging="258"/>
        <w:rPr>
          <w:rFonts w:ascii="Arial" w:hAnsi="Arial" w:cs="Arial"/>
          <w:sz w:val="24"/>
          <w:szCs w:val="24"/>
        </w:rPr>
      </w:pPr>
      <w:r w:rsidRPr="003C3AAF">
        <w:rPr>
          <w:rFonts w:ascii="Arial" w:hAnsi="Arial" w:cs="Arial"/>
          <w:sz w:val="24"/>
          <w:szCs w:val="24"/>
        </w:rPr>
        <w:t xml:space="preserve">the Investment Strategy Statement (ISS) published under Regulation 7 of the Local Government Pension Scheme (Management and Investment of Funds) Regulations 2016 (as amended) (“The Investment Regulations”). </w:t>
      </w:r>
    </w:p>
    <w:p w14:paraId="06C91403" w14:textId="77777777" w:rsidR="003C3AAF" w:rsidRPr="003C3AAF" w:rsidRDefault="003C3AAF" w:rsidP="003C3AAF">
      <w:pPr>
        <w:rPr>
          <w:rFonts w:ascii="Arial" w:hAnsi="Arial" w:cs="Arial"/>
          <w:sz w:val="24"/>
          <w:szCs w:val="24"/>
        </w:rPr>
      </w:pPr>
    </w:p>
    <w:p w14:paraId="6B115C7A" w14:textId="77777777" w:rsidR="003C3AAF" w:rsidRPr="003C3AAF" w:rsidRDefault="003C3AAF" w:rsidP="003C3AAF">
      <w:pPr>
        <w:ind w:left="454"/>
        <w:rPr>
          <w:rFonts w:ascii="Arial" w:hAnsi="Arial" w:cs="Arial"/>
          <w:sz w:val="24"/>
          <w:szCs w:val="24"/>
        </w:rPr>
      </w:pPr>
      <w:r w:rsidRPr="003C3AAF">
        <w:rPr>
          <w:rFonts w:ascii="Arial" w:hAnsi="Arial" w:cs="Arial"/>
          <w:sz w:val="24"/>
          <w:szCs w:val="24"/>
        </w:rPr>
        <w:t>The Administering Authority has also considered the Scheme Advisory Board's Guide to Employer Flexibilities in developing the FSS and associated policies at Appendix 1 and Appendix 2.</w:t>
      </w:r>
    </w:p>
    <w:p w14:paraId="1415A6AA" w14:textId="77777777" w:rsidR="003C3AAF" w:rsidRPr="003C3AAF" w:rsidRDefault="003C3AAF" w:rsidP="003C3AAF">
      <w:pPr>
        <w:widowControl w:val="0"/>
        <w:spacing w:after="60"/>
        <w:ind w:left="426" w:hanging="811"/>
        <w:jc w:val="both"/>
        <w:rPr>
          <w:rFonts w:ascii="Arial" w:hAnsi="Arial" w:cs="Arial"/>
          <w:b/>
          <w:sz w:val="24"/>
          <w:szCs w:val="24"/>
        </w:rPr>
      </w:pPr>
      <w:r w:rsidRPr="003C3AAF">
        <w:rPr>
          <w:rFonts w:ascii="Arial" w:hAnsi="Arial" w:cs="Arial"/>
          <w:b/>
          <w:sz w:val="24"/>
          <w:szCs w:val="24"/>
        </w:rPr>
        <w:tab/>
      </w:r>
    </w:p>
    <w:p w14:paraId="1DA7826E" w14:textId="77777777" w:rsidR="003C3AAF" w:rsidRPr="003C3AAF" w:rsidRDefault="003C3AAF" w:rsidP="003C3AAF">
      <w:pPr>
        <w:widowControl w:val="0"/>
        <w:spacing w:after="60"/>
        <w:ind w:left="426"/>
        <w:jc w:val="both"/>
        <w:rPr>
          <w:rFonts w:ascii="Arial" w:hAnsi="Arial" w:cs="Arial"/>
          <w:b/>
          <w:sz w:val="24"/>
          <w:szCs w:val="24"/>
        </w:rPr>
      </w:pPr>
      <w:r w:rsidRPr="003C3AAF">
        <w:rPr>
          <w:rFonts w:ascii="Arial" w:hAnsi="Arial" w:cs="Arial"/>
          <w:b/>
          <w:sz w:val="24"/>
          <w:szCs w:val="24"/>
        </w:rPr>
        <w:t>Consultation</w:t>
      </w:r>
    </w:p>
    <w:p w14:paraId="3E43720E" w14:textId="77777777" w:rsidR="003C3AAF" w:rsidRPr="003C3AAF" w:rsidRDefault="003C3AAF" w:rsidP="0073304A">
      <w:pPr>
        <w:numPr>
          <w:ilvl w:val="1"/>
          <w:numId w:val="81"/>
        </w:numPr>
        <w:ind w:left="454" w:hanging="454"/>
        <w:rPr>
          <w:rFonts w:ascii="Arial" w:hAnsi="Arial" w:cs="Arial"/>
          <w:sz w:val="24"/>
          <w:szCs w:val="24"/>
        </w:rPr>
      </w:pPr>
      <w:r w:rsidRPr="003C3AAF">
        <w:rPr>
          <w:rFonts w:ascii="Arial" w:hAnsi="Arial" w:cs="Arial"/>
          <w:sz w:val="24"/>
          <w:szCs w:val="24"/>
        </w:rPr>
        <w:t>In accordance with Regulation 58(3), the Administering Authority has consulted such persons as it considers appropriate on the contents of this Statement and their views have been taken into account in formulating the Statement. However, the Statement describes a single strategy for the Fund as a whole.</w:t>
      </w:r>
    </w:p>
    <w:p w14:paraId="3C7B507D" w14:textId="77777777" w:rsidR="003C3AAF" w:rsidRPr="003C3AAF" w:rsidRDefault="003C3AAF" w:rsidP="003C3AAF">
      <w:pPr>
        <w:widowControl w:val="0"/>
        <w:jc w:val="both"/>
        <w:rPr>
          <w:rFonts w:ascii="Arial" w:hAnsi="Arial" w:cs="Arial"/>
          <w:snapToGrid w:val="0"/>
          <w:sz w:val="24"/>
          <w:szCs w:val="24"/>
        </w:rPr>
      </w:pPr>
    </w:p>
    <w:p w14:paraId="61CB973C" w14:textId="77777777" w:rsidR="003C3AAF" w:rsidRPr="003C3AAF" w:rsidRDefault="003C3AAF" w:rsidP="0073304A">
      <w:pPr>
        <w:numPr>
          <w:ilvl w:val="1"/>
          <w:numId w:val="81"/>
        </w:numPr>
        <w:ind w:left="454" w:hanging="454"/>
        <w:rPr>
          <w:rFonts w:ascii="Arial" w:hAnsi="Arial" w:cs="Arial"/>
          <w:sz w:val="24"/>
          <w:szCs w:val="24"/>
        </w:rPr>
      </w:pPr>
      <w:r w:rsidRPr="003C3AAF">
        <w:rPr>
          <w:rFonts w:ascii="Arial" w:hAnsi="Arial" w:cs="Arial"/>
          <w:sz w:val="24"/>
          <w:szCs w:val="24"/>
        </w:rPr>
        <w:t>The Fund Actuary, Aon Solutions UK Limited, has also been consulted on the contents of this Statement.</w:t>
      </w:r>
    </w:p>
    <w:p w14:paraId="5A75D21B" w14:textId="77777777" w:rsidR="003C3AAF" w:rsidRPr="003C3AAF" w:rsidRDefault="003C3AAF" w:rsidP="003C3AAF">
      <w:pPr>
        <w:widowControl w:val="0"/>
        <w:jc w:val="both"/>
        <w:rPr>
          <w:rFonts w:ascii="Arial" w:hAnsi="Arial" w:cs="Arial"/>
          <w:snapToGrid w:val="0"/>
          <w:sz w:val="24"/>
          <w:szCs w:val="24"/>
        </w:rPr>
      </w:pPr>
    </w:p>
    <w:p w14:paraId="750A3291" w14:textId="77777777" w:rsidR="003C3AAF" w:rsidRPr="003C3AAF" w:rsidRDefault="003C3AAF" w:rsidP="003C3AAF">
      <w:pPr>
        <w:widowControl w:val="0"/>
        <w:spacing w:after="60"/>
        <w:ind w:left="811" w:hanging="454"/>
        <w:jc w:val="both"/>
        <w:rPr>
          <w:rFonts w:ascii="Arial" w:hAnsi="Arial" w:cs="Arial"/>
          <w:b/>
          <w:snapToGrid w:val="0"/>
          <w:sz w:val="24"/>
          <w:szCs w:val="24"/>
        </w:rPr>
      </w:pPr>
      <w:r w:rsidRPr="003C3AAF">
        <w:rPr>
          <w:rFonts w:ascii="Arial" w:hAnsi="Arial" w:cs="Arial"/>
          <w:b/>
          <w:sz w:val="24"/>
          <w:szCs w:val="24"/>
        </w:rPr>
        <w:t xml:space="preserve">  Purpose of this Statement</w:t>
      </w:r>
    </w:p>
    <w:p w14:paraId="2342DFEF" w14:textId="77777777" w:rsidR="003C3AAF" w:rsidRPr="003C3AAF" w:rsidRDefault="003C3AAF" w:rsidP="0073304A">
      <w:pPr>
        <w:numPr>
          <w:ilvl w:val="1"/>
          <w:numId w:val="81"/>
        </w:numPr>
        <w:ind w:left="454" w:hanging="454"/>
        <w:rPr>
          <w:rFonts w:ascii="Arial" w:hAnsi="Arial" w:cs="Arial"/>
          <w:sz w:val="24"/>
          <w:szCs w:val="24"/>
        </w:rPr>
      </w:pPr>
      <w:r w:rsidRPr="003C3AAF">
        <w:rPr>
          <w:rFonts w:ascii="Arial" w:hAnsi="Arial" w:cs="Arial"/>
          <w:sz w:val="24"/>
          <w:szCs w:val="24"/>
        </w:rPr>
        <w:t>The main purpose of this Funding Strategy Statement is to set out the processes by which the Administering Authority:</w:t>
      </w:r>
    </w:p>
    <w:p w14:paraId="5795A605" w14:textId="77777777" w:rsidR="003C3AAF" w:rsidRPr="003C3AAF" w:rsidRDefault="003C3AAF" w:rsidP="003C3AAF">
      <w:pPr>
        <w:widowControl w:val="0"/>
        <w:jc w:val="both"/>
        <w:rPr>
          <w:rFonts w:ascii="Arial" w:hAnsi="Arial" w:cs="Arial"/>
          <w:snapToGrid w:val="0"/>
          <w:sz w:val="24"/>
          <w:szCs w:val="24"/>
        </w:rPr>
      </w:pPr>
    </w:p>
    <w:p w14:paraId="230EF19F" w14:textId="77777777" w:rsidR="003C3AAF" w:rsidRPr="003C3AAF" w:rsidRDefault="003C3AAF" w:rsidP="003C3AAF">
      <w:pPr>
        <w:widowControl w:val="0"/>
        <w:numPr>
          <w:ilvl w:val="0"/>
          <w:numId w:val="15"/>
        </w:numPr>
        <w:tabs>
          <w:tab w:val="clear" w:pos="360"/>
          <w:tab w:val="num" w:pos="742"/>
        </w:tabs>
        <w:spacing w:after="120"/>
        <w:ind w:left="742" w:hanging="280"/>
        <w:jc w:val="both"/>
        <w:rPr>
          <w:rFonts w:ascii="Arial" w:hAnsi="Arial" w:cs="Arial"/>
          <w:sz w:val="24"/>
          <w:szCs w:val="24"/>
        </w:rPr>
      </w:pPr>
      <w:r w:rsidRPr="003C3AAF">
        <w:rPr>
          <w:rFonts w:ascii="Arial" w:hAnsi="Arial" w:cs="Arial"/>
          <w:sz w:val="24"/>
          <w:szCs w:val="24"/>
        </w:rPr>
        <w:t>establishes a clear and transparent funding strategy, specific to the Fund, which will identify how employer’s pension liabilities are best met going forward.</w:t>
      </w:r>
    </w:p>
    <w:p w14:paraId="0F583882" w14:textId="77777777" w:rsidR="003C3AAF" w:rsidRPr="003C3AAF" w:rsidRDefault="003C3AAF" w:rsidP="003C3AAF">
      <w:pPr>
        <w:widowControl w:val="0"/>
        <w:numPr>
          <w:ilvl w:val="0"/>
          <w:numId w:val="15"/>
        </w:numPr>
        <w:tabs>
          <w:tab w:val="clear" w:pos="360"/>
          <w:tab w:val="num" w:pos="742"/>
        </w:tabs>
        <w:spacing w:after="120"/>
        <w:ind w:left="756" w:hanging="294"/>
        <w:jc w:val="both"/>
        <w:rPr>
          <w:rFonts w:ascii="Arial" w:hAnsi="Arial" w:cs="Arial"/>
          <w:sz w:val="24"/>
          <w:szCs w:val="24"/>
        </w:rPr>
      </w:pPr>
      <w:r w:rsidRPr="003C3AAF">
        <w:rPr>
          <w:rFonts w:ascii="Arial" w:hAnsi="Arial" w:cs="Arial"/>
          <w:sz w:val="24"/>
          <w:szCs w:val="24"/>
        </w:rPr>
        <w:t>supports the regulatory requirement in relation to the desirability of maintaining as nearly constant a primary rate of contributions as possible.</w:t>
      </w:r>
    </w:p>
    <w:p w14:paraId="467C7B3D" w14:textId="77777777" w:rsidR="003C3AAF" w:rsidRPr="003C3AAF" w:rsidRDefault="003C3AAF" w:rsidP="003C3AAF">
      <w:pPr>
        <w:widowControl w:val="0"/>
        <w:numPr>
          <w:ilvl w:val="0"/>
          <w:numId w:val="15"/>
        </w:numPr>
        <w:tabs>
          <w:tab w:val="clear" w:pos="360"/>
          <w:tab w:val="num" w:pos="742"/>
        </w:tabs>
        <w:spacing w:after="120"/>
        <w:ind w:left="756" w:hanging="294"/>
        <w:jc w:val="both"/>
        <w:rPr>
          <w:rFonts w:ascii="Arial" w:hAnsi="Arial" w:cs="Arial"/>
          <w:sz w:val="24"/>
          <w:szCs w:val="24"/>
        </w:rPr>
      </w:pPr>
      <w:r w:rsidRPr="003C3AAF">
        <w:rPr>
          <w:rFonts w:ascii="Arial" w:hAnsi="Arial" w:cs="Arial"/>
          <w:sz w:val="24"/>
          <w:szCs w:val="24"/>
        </w:rPr>
        <w:t>ensures that the regulatory requirements to set contributions as to ensure the solvency and long-term cost efficiency of the Fund are met.</w:t>
      </w:r>
    </w:p>
    <w:p w14:paraId="3090ACDA" w14:textId="77777777" w:rsidR="003C3AAF" w:rsidRPr="003C3AAF" w:rsidRDefault="003C3AAF" w:rsidP="003C3AAF">
      <w:pPr>
        <w:widowControl w:val="0"/>
        <w:numPr>
          <w:ilvl w:val="0"/>
          <w:numId w:val="15"/>
        </w:numPr>
        <w:tabs>
          <w:tab w:val="clear" w:pos="360"/>
          <w:tab w:val="num" w:pos="742"/>
        </w:tabs>
        <w:spacing w:after="120"/>
        <w:ind w:left="756" w:hanging="294"/>
        <w:jc w:val="both"/>
        <w:rPr>
          <w:rFonts w:ascii="Arial" w:hAnsi="Arial" w:cs="Arial"/>
          <w:sz w:val="24"/>
          <w:szCs w:val="24"/>
        </w:rPr>
      </w:pPr>
      <w:r w:rsidRPr="003C3AAF">
        <w:rPr>
          <w:rFonts w:ascii="Arial" w:hAnsi="Arial" w:cs="Arial"/>
          <w:sz w:val="24"/>
          <w:szCs w:val="24"/>
        </w:rPr>
        <w:t>takes a prudent longer-term view of funding the Fund’s liabilities.</w:t>
      </w:r>
    </w:p>
    <w:p w14:paraId="3943EAEE" w14:textId="77777777" w:rsidR="003C3AAF" w:rsidRPr="003C3AAF" w:rsidRDefault="003C3AAF" w:rsidP="003C3AAF">
      <w:pPr>
        <w:widowControl w:val="0"/>
        <w:numPr>
          <w:ilvl w:val="0"/>
          <w:numId w:val="15"/>
        </w:numPr>
        <w:tabs>
          <w:tab w:val="clear" w:pos="360"/>
          <w:tab w:val="num" w:pos="742"/>
        </w:tabs>
        <w:spacing w:after="120"/>
        <w:ind w:left="756" w:hanging="294"/>
        <w:jc w:val="both"/>
        <w:rPr>
          <w:rFonts w:ascii="Arial" w:hAnsi="Arial" w:cs="Arial"/>
          <w:sz w:val="24"/>
          <w:szCs w:val="24"/>
        </w:rPr>
      </w:pPr>
      <w:r w:rsidRPr="003C3AAF">
        <w:rPr>
          <w:rFonts w:ascii="Arial" w:hAnsi="Arial" w:cs="Arial"/>
          <w:sz w:val="24"/>
          <w:szCs w:val="24"/>
        </w:rPr>
        <w:t>makes use of the provisions of Regulation 64(7A), 64A and 64B.</w:t>
      </w:r>
    </w:p>
    <w:p w14:paraId="7D988E17" w14:textId="77777777" w:rsidR="003C3AAF" w:rsidRPr="003C3AAF" w:rsidRDefault="003C3AAF" w:rsidP="003C3AAF">
      <w:pPr>
        <w:widowControl w:val="0"/>
        <w:jc w:val="both"/>
        <w:rPr>
          <w:rFonts w:ascii="Arial" w:hAnsi="Arial" w:cs="Arial"/>
          <w:snapToGrid w:val="0"/>
          <w:sz w:val="24"/>
          <w:szCs w:val="24"/>
        </w:rPr>
      </w:pPr>
    </w:p>
    <w:p w14:paraId="608FFC31" w14:textId="77777777" w:rsidR="003C3AAF" w:rsidRPr="003C3AAF" w:rsidRDefault="003C3AAF" w:rsidP="003C3AAF">
      <w:pPr>
        <w:ind w:left="454"/>
        <w:rPr>
          <w:rFonts w:ascii="Arial" w:hAnsi="Arial" w:cs="Arial"/>
          <w:sz w:val="24"/>
          <w:szCs w:val="24"/>
        </w:rPr>
      </w:pPr>
      <w:r w:rsidRPr="003C3AAF">
        <w:rPr>
          <w:rFonts w:ascii="Arial" w:hAnsi="Arial" w:cs="Arial"/>
          <w:sz w:val="24"/>
          <w:szCs w:val="24"/>
        </w:rPr>
        <w:t>Noting that, whilst the funding strategy applicable to individual employers must be reflected in the Funding Strategy Statement / Investment Strategy Statement, its focus should at all times be on those actions which are in the best long term interests of the Fund.</w:t>
      </w:r>
    </w:p>
    <w:p w14:paraId="0ECADD1D" w14:textId="77777777" w:rsidR="003C3AAF" w:rsidRPr="003C3AAF" w:rsidRDefault="003C3AAF" w:rsidP="003C3AAF">
      <w:pPr>
        <w:spacing w:after="60"/>
        <w:ind w:left="454" w:hanging="454"/>
        <w:rPr>
          <w:rFonts w:ascii="Arial" w:hAnsi="Arial" w:cs="Arial"/>
          <w:b/>
          <w:sz w:val="24"/>
          <w:szCs w:val="24"/>
        </w:rPr>
      </w:pPr>
    </w:p>
    <w:p w14:paraId="179157F0" w14:textId="77777777" w:rsidR="003C3AAF" w:rsidRPr="003C3AAF" w:rsidRDefault="003C3AAF" w:rsidP="003C3AAF">
      <w:pPr>
        <w:spacing w:after="60"/>
        <w:ind w:left="454" w:hanging="454"/>
        <w:rPr>
          <w:rFonts w:ascii="Arial" w:hAnsi="Arial" w:cs="Arial"/>
          <w:b/>
          <w:sz w:val="24"/>
          <w:szCs w:val="24"/>
        </w:rPr>
      </w:pPr>
      <w:r w:rsidRPr="003C3AAF">
        <w:rPr>
          <w:rFonts w:ascii="Arial" w:hAnsi="Arial" w:cs="Arial"/>
          <w:b/>
          <w:sz w:val="24"/>
          <w:szCs w:val="24"/>
        </w:rPr>
        <w:tab/>
        <w:t>Links to investment policy set out in the Investment Strategy Statement</w:t>
      </w:r>
    </w:p>
    <w:p w14:paraId="3DE740B8" w14:textId="77777777" w:rsidR="003C3AAF" w:rsidRPr="003C3AAF" w:rsidRDefault="003C3AAF" w:rsidP="0073304A">
      <w:pPr>
        <w:numPr>
          <w:ilvl w:val="1"/>
          <w:numId w:val="81"/>
        </w:numPr>
        <w:ind w:left="454" w:hanging="454"/>
        <w:rPr>
          <w:rFonts w:ascii="Arial" w:hAnsi="Arial" w:cs="Arial"/>
          <w:sz w:val="24"/>
          <w:szCs w:val="24"/>
        </w:rPr>
      </w:pPr>
      <w:r w:rsidRPr="003C3AAF">
        <w:rPr>
          <w:rFonts w:ascii="Arial" w:hAnsi="Arial" w:cs="Arial"/>
          <w:sz w:val="24"/>
          <w:szCs w:val="24"/>
        </w:rPr>
        <w:t>The Authority has produced this Funding Strategy Statement having taken an overall view of the level of risk inherent in the investment policy set out in the Investment Strategy Statement and the funding strategy set out in this Statement.</w:t>
      </w:r>
    </w:p>
    <w:p w14:paraId="6BAAA4F6" w14:textId="77777777" w:rsidR="003C3AAF" w:rsidRPr="003C3AAF" w:rsidRDefault="003C3AAF" w:rsidP="003C3AAF">
      <w:pPr>
        <w:autoSpaceDE w:val="0"/>
        <w:autoSpaceDN w:val="0"/>
        <w:adjustRightInd w:val="0"/>
        <w:jc w:val="both"/>
        <w:rPr>
          <w:rFonts w:ascii="Arial" w:hAnsi="Arial" w:cs="Arial"/>
          <w:sz w:val="24"/>
          <w:szCs w:val="24"/>
        </w:rPr>
      </w:pPr>
    </w:p>
    <w:p w14:paraId="0C877492" w14:textId="77777777" w:rsidR="003C3AAF" w:rsidRPr="003C3AAF" w:rsidRDefault="003C3AAF" w:rsidP="0073304A">
      <w:pPr>
        <w:numPr>
          <w:ilvl w:val="1"/>
          <w:numId w:val="81"/>
        </w:numPr>
        <w:ind w:left="454" w:hanging="454"/>
        <w:rPr>
          <w:rFonts w:ascii="Arial" w:hAnsi="Arial" w:cs="Arial"/>
          <w:sz w:val="24"/>
          <w:szCs w:val="24"/>
        </w:rPr>
      </w:pPr>
      <w:r w:rsidRPr="003C3AAF">
        <w:rPr>
          <w:rFonts w:ascii="Arial" w:hAnsi="Arial" w:cs="Arial"/>
          <w:sz w:val="24"/>
          <w:szCs w:val="24"/>
        </w:rPr>
        <w:t>The assets that most closely match the liabilities of the Fund are fixed interest and index-linked Government bonds of appropriate term relative to the liabilities. The Fund’s asset allocation as set out in the Investment Strategy Statement invests a significant proportion of the Fund in assets such as equities which are expected but not guaranteed to produce higher returns than Government bonds in the long term. The Administering Authority has agreed with the Fund Actuary that the Funding Target on the ongoing basis will be set after making some allowance for this higher anticipated return. However, the Administering Authority recognises that outperformance is not guaranteed and that, in the absence of any other effects, if the higher expected returns are not achieved the solvency position of the Fund will deteriorate.</w:t>
      </w:r>
    </w:p>
    <w:p w14:paraId="438FBA9D" w14:textId="77777777" w:rsidR="003C3AAF" w:rsidRPr="003C3AAF" w:rsidRDefault="003C3AAF" w:rsidP="003C3AAF">
      <w:pPr>
        <w:autoSpaceDE w:val="0"/>
        <w:autoSpaceDN w:val="0"/>
        <w:adjustRightInd w:val="0"/>
        <w:ind w:left="567"/>
        <w:jc w:val="both"/>
        <w:rPr>
          <w:rFonts w:ascii="Arial" w:hAnsi="Arial" w:cs="Arial"/>
          <w:sz w:val="24"/>
          <w:szCs w:val="24"/>
        </w:rPr>
      </w:pPr>
    </w:p>
    <w:p w14:paraId="7BF6EE00" w14:textId="77777777" w:rsidR="003C3AAF" w:rsidRPr="003C3AAF" w:rsidRDefault="003C3AAF" w:rsidP="0073304A">
      <w:pPr>
        <w:numPr>
          <w:ilvl w:val="1"/>
          <w:numId w:val="81"/>
        </w:numPr>
        <w:ind w:left="454" w:hanging="454"/>
        <w:rPr>
          <w:rFonts w:ascii="Arial" w:hAnsi="Arial" w:cs="Arial"/>
          <w:sz w:val="24"/>
          <w:szCs w:val="24"/>
        </w:rPr>
      </w:pPr>
      <w:r w:rsidRPr="003C3AAF">
        <w:rPr>
          <w:rFonts w:ascii="Arial" w:hAnsi="Arial" w:cs="Arial"/>
          <w:sz w:val="24"/>
          <w:szCs w:val="24"/>
        </w:rPr>
        <w:t xml:space="preserve">The funding strategy recognises the investment targets and the inherent volatility arising from the investment strategy, by being based on financial assumptions which are consistent with the expected return on the investments held by the Fund, and by including measures that can be used to smooth out the impact of such volatility. </w:t>
      </w:r>
    </w:p>
    <w:p w14:paraId="4B157574" w14:textId="77777777" w:rsidR="003C3AAF" w:rsidRPr="003C3AAF" w:rsidRDefault="003C3AAF" w:rsidP="003C3AAF">
      <w:pPr>
        <w:pStyle w:val="Default"/>
        <w:ind w:left="567"/>
      </w:pPr>
    </w:p>
    <w:p w14:paraId="1147BBEF" w14:textId="77777777" w:rsidR="003C3AAF" w:rsidRPr="003C3AAF" w:rsidRDefault="003C3AAF" w:rsidP="0073304A">
      <w:pPr>
        <w:numPr>
          <w:ilvl w:val="1"/>
          <w:numId w:val="81"/>
        </w:numPr>
        <w:ind w:left="454" w:hanging="454"/>
        <w:rPr>
          <w:rFonts w:ascii="Arial" w:hAnsi="Arial" w:cs="Arial"/>
          <w:sz w:val="24"/>
          <w:szCs w:val="24"/>
        </w:rPr>
      </w:pPr>
      <w:r w:rsidRPr="003C3AAF">
        <w:rPr>
          <w:rFonts w:ascii="Arial" w:hAnsi="Arial" w:cs="Arial"/>
          <w:sz w:val="24"/>
          <w:szCs w:val="24"/>
        </w:rPr>
        <w:lastRenderedPageBreak/>
        <w:t>The Administering Authority will continue to review both documents to ensure that the overall risk profile remains appropriate including, where appropriate, commissioning asset liability modelling or other analysis techniques.</w:t>
      </w:r>
    </w:p>
    <w:p w14:paraId="08017CAB" w14:textId="77777777" w:rsidR="003C3AAF" w:rsidRPr="003C3AAF" w:rsidRDefault="003C3AAF" w:rsidP="003C3AAF">
      <w:pPr>
        <w:autoSpaceDE w:val="0"/>
        <w:autoSpaceDN w:val="0"/>
        <w:adjustRightInd w:val="0"/>
        <w:jc w:val="both"/>
        <w:rPr>
          <w:rFonts w:ascii="Arial" w:hAnsi="Arial" w:cs="Arial"/>
          <w:b/>
          <w:bCs/>
          <w:color w:val="000000"/>
          <w:sz w:val="24"/>
          <w:szCs w:val="24"/>
        </w:rPr>
      </w:pPr>
    </w:p>
    <w:p w14:paraId="3C18727B" w14:textId="77777777" w:rsidR="003C3AAF" w:rsidRPr="003C3AAF" w:rsidRDefault="003C3AAF" w:rsidP="003C3AAF">
      <w:pPr>
        <w:spacing w:after="60"/>
        <w:ind w:left="454" w:hanging="454"/>
        <w:rPr>
          <w:rFonts w:ascii="Arial" w:hAnsi="Arial" w:cs="Arial"/>
          <w:b/>
          <w:sz w:val="24"/>
          <w:szCs w:val="24"/>
        </w:rPr>
      </w:pPr>
      <w:r w:rsidRPr="003C3AAF">
        <w:rPr>
          <w:rFonts w:ascii="Arial" w:hAnsi="Arial" w:cs="Arial"/>
          <w:b/>
          <w:sz w:val="24"/>
          <w:szCs w:val="24"/>
        </w:rPr>
        <w:tab/>
        <w:t>Review of this Statement</w:t>
      </w:r>
    </w:p>
    <w:p w14:paraId="10ECA1AB" w14:textId="77777777" w:rsidR="00DF761F" w:rsidRDefault="003C3AAF" w:rsidP="0073304A">
      <w:pPr>
        <w:numPr>
          <w:ilvl w:val="1"/>
          <w:numId w:val="81"/>
        </w:numPr>
        <w:ind w:left="454" w:hanging="454"/>
        <w:rPr>
          <w:rFonts w:ascii="Arial" w:hAnsi="Arial" w:cs="Arial"/>
          <w:sz w:val="24"/>
          <w:szCs w:val="24"/>
        </w:rPr>
      </w:pPr>
      <w:r w:rsidRPr="003C3AAF">
        <w:rPr>
          <w:rFonts w:ascii="Arial" w:hAnsi="Arial" w:cs="Arial"/>
          <w:sz w:val="24"/>
          <w:szCs w:val="24"/>
        </w:rPr>
        <w:t xml:space="preserve">The Administering Authority undertook its latest substantive review of this </w:t>
      </w:r>
    </w:p>
    <w:p w14:paraId="6102CD73" w14:textId="77777777" w:rsidR="003C3AAF" w:rsidRPr="003C3AAF" w:rsidRDefault="00DF761F" w:rsidP="00DF761F">
      <w:pPr>
        <w:rPr>
          <w:rFonts w:ascii="Arial" w:hAnsi="Arial" w:cs="Arial"/>
          <w:sz w:val="24"/>
          <w:szCs w:val="24"/>
        </w:rPr>
      </w:pPr>
      <w:r>
        <w:rPr>
          <w:rFonts w:ascii="Arial" w:hAnsi="Arial" w:cs="Arial"/>
          <w:sz w:val="24"/>
          <w:szCs w:val="24"/>
        </w:rPr>
        <w:t xml:space="preserve">           </w:t>
      </w:r>
      <w:r w:rsidR="003C3AAF" w:rsidRPr="003C3AAF">
        <w:rPr>
          <w:rFonts w:ascii="Arial" w:hAnsi="Arial" w:cs="Arial"/>
          <w:sz w:val="24"/>
          <w:szCs w:val="24"/>
        </w:rPr>
        <w:t>Statement in March 2021.</w:t>
      </w:r>
    </w:p>
    <w:p w14:paraId="439094B0" w14:textId="77777777" w:rsidR="003C3AAF" w:rsidRPr="003C3AAF" w:rsidRDefault="003C3AAF" w:rsidP="003C3AAF">
      <w:pPr>
        <w:autoSpaceDE w:val="0"/>
        <w:autoSpaceDN w:val="0"/>
        <w:adjustRightInd w:val="0"/>
        <w:ind w:left="567"/>
        <w:jc w:val="both"/>
        <w:rPr>
          <w:rFonts w:ascii="Arial" w:hAnsi="Arial" w:cs="Arial"/>
          <w:sz w:val="24"/>
          <w:szCs w:val="24"/>
        </w:rPr>
      </w:pPr>
    </w:p>
    <w:p w14:paraId="1CA4EA99" w14:textId="77777777" w:rsidR="00DF761F" w:rsidRDefault="003C3AAF" w:rsidP="0073304A">
      <w:pPr>
        <w:numPr>
          <w:ilvl w:val="1"/>
          <w:numId w:val="81"/>
        </w:numPr>
        <w:ind w:left="454" w:hanging="454"/>
        <w:rPr>
          <w:rFonts w:ascii="Arial" w:hAnsi="Arial" w:cs="Arial"/>
          <w:sz w:val="24"/>
          <w:szCs w:val="24"/>
        </w:rPr>
      </w:pPr>
      <w:r w:rsidRPr="003C3AAF">
        <w:rPr>
          <w:rFonts w:ascii="Arial" w:hAnsi="Arial" w:cs="Arial"/>
          <w:sz w:val="24"/>
          <w:szCs w:val="24"/>
        </w:rPr>
        <w:t xml:space="preserve">The Administering Authority will formally review this Statement as part of the </w:t>
      </w:r>
    </w:p>
    <w:p w14:paraId="7DC8AE12" w14:textId="77777777" w:rsidR="00DF761F" w:rsidRDefault="00DF761F" w:rsidP="00DF761F">
      <w:pPr>
        <w:rPr>
          <w:rFonts w:ascii="Arial" w:hAnsi="Arial" w:cs="Arial"/>
          <w:sz w:val="24"/>
          <w:szCs w:val="24"/>
        </w:rPr>
      </w:pPr>
      <w:r>
        <w:rPr>
          <w:rFonts w:ascii="Arial" w:hAnsi="Arial" w:cs="Arial"/>
          <w:sz w:val="24"/>
          <w:szCs w:val="24"/>
        </w:rPr>
        <w:t xml:space="preserve">           </w:t>
      </w:r>
      <w:r w:rsidR="003C3AAF" w:rsidRPr="003C3AAF">
        <w:rPr>
          <w:rFonts w:ascii="Arial" w:hAnsi="Arial" w:cs="Arial"/>
          <w:sz w:val="24"/>
          <w:szCs w:val="24"/>
        </w:rPr>
        <w:t xml:space="preserve">next funding valuation following the 31 March 2019 valuation, currently </w:t>
      </w:r>
    </w:p>
    <w:p w14:paraId="16CAD51D" w14:textId="77777777" w:rsidR="00DF761F" w:rsidRDefault="00DF761F" w:rsidP="00DF761F">
      <w:pPr>
        <w:rPr>
          <w:rFonts w:ascii="Arial" w:hAnsi="Arial" w:cs="Arial"/>
          <w:sz w:val="24"/>
          <w:szCs w:val="24"/>
        </w:rPr>
      </w:pPr>
      <w:r>
        <w:rPr>
          <w:rFonts w:ascii="Arial" w:hAnsi="Arial" w:cs="Arial"/>
          <w:sz w:val="24"/>
          <w:szCs w:val="24"/>
        </w:rPr>
        <w:t xml:space="preserve">           </w:t>
      </w:r>
      <w:r w:rsidR="003C3AAF" w:rsidRPr="003C3AAF">
        <w:rPr>
          <w:rFonts w:ascii="Arial" w:hAnsi="Arial" w:cs="Arial"/>
          <w:sz w:val="24"/>
          <w:szCs w:val="24"/>
        </w:rPr>
        <w:t xml:space="preserve">expected to be as at 31 March 2022, unless circumstances arise which require </w:t>
      </w:r>
    </w:p>
    <w:p w14:paraId="7E5E74A6" w14:textId="77777777" w:rsidR="003C3AAF" w:rsidRPr="003C3AAF" w:rsidRDefault="00DF761F" w:rsidP="00DF761F">
      <w:pPr>
        <w:rPr>
          <w:rFonts w:ascii="Arial" w:hAnsi="Arial" w:cs="Arial"/>
          <w:sz w:val="24"/>
          <w:szCs w:val="24"/>
        </w:rPr>
      </w:pPr>
      <w:r>
        <w:rPr>
          <w:rFonts w:ascii="Arial" w:hAnsi="Arial" w:cs="Arial"/>
          <w:sz w:val="24"/>
          <w:szCs w:val="24"/>
        </w:rPr>
        <w:t xml:space="preserve">           </w:t>
      </w:r>
      <w:r w:rsidR="003C3AAF" w:rsidRPr="003C3AAF">
        <w:rPr>
          <w:rFonts w:ascii="Arial" w:hAnsi="Arial" w:cs="Arial"/>
          <w:sz w:val="24"/>
          <w:szCs w:val="24"/>
        </w:rPr>
        <w:t>earlier action.</w:t>
      </w:r>
    </w:p>
    <w:p w14:paraId="08AE1093" w14:textId="77777777" w:rsidR="003C3AAF" w:rsidRPr="003C3AAF" w:rsidRDefault="003C3AAF" w:rsidP="003C3AAF">
      <w:pPr>
        <w:autoSpaceDE w:val="0"/>
        <w:autoSpaceDN w:val="0"/>
        <w:adjustRightInd w:val="0"/>
        <w:jc w:val="both"/>
        <w:rPr>
          <w:rFonts w:ascii="Arial" w:hAnsi="Arial" w:cs="Arial"/>
          <w:sz w:val="24"/>
          <w:szCs w:val="24"/>
        </w:rPr>
      </w:pPr>
    </w:p>
    <w:p w14:paraId="18BE8C14" w14:textId="77777777" w:rsidR="00DF761F" w:rsidRDefault="003C3AAF" w:rsidP="0073304A">
      <w:pPr>
        <w:numPr>
          <w:ilvl w:val="1"/>
          <w:numId w:val="81"/>
        </w:numPr>
        <w:ind w:left="454" w:hanging="454"/>
        <w:rPr>
          <w:rFonts w:ascii="Arial" w:hAnsi="Arial" w:cs="Arial"/>
          <w:sz w:val="24"/>
          <w:szCs w:val="24"/>
        </w:rPr>
      </w:pPr>
      <w:r w:rsidRPr="003C3AAF">
        <w:rPr>
          <w:rFonts w:ascii="Arial" w:hAnsi="Arial" w:cs="Arial"/>
          <w:sz w:val="24"/>
          <w:szCs w:val="24"/>
        </w:rPr>
        <w:t xml:space="preserve">The Administering Authority will monitor the funding position of the Fund on an </w:t>
      </w:r>
    </w:p>
    <w:p w14:paraId="6110A957" w14:textId="77777777" w:rsidR="00DF761F" w:rsidRDefault="00DF761F" w:rsidP="00DF761F">
      <w:pPr>
        <w:rPr>
          <w:rFonts w:ascii="Arial" w:hAnsi="Arial" w:cs="Arial"/>
          <w:sz w:val="24"/>
          <w:szCs w:val="24"/>
        </w:rPr>
      </w:pPr>
      <w:r>
        <w:rPr>
          <w:rFonts w:ascii="Arial" w:hAnsi="Arial" w:cs="Arial"/>
          <w:sz w:val="24"/>
          <w:szCs w:val="24"/>
        </w:rPr>
        <w:t xml:space="preserve">           </w:t>
      </w:r>
      <w:r w:rsidR="003C3AAF" w:rsidRPr="003C3AAF">
        <w:rPr>
          <w:rFonts w:ascii="Arial" w:hAnsi="Arial" w:cs="Arial"/>
          <w:sz w:val="24"/>
          <w:szCs w:val="24"/>
        </w:rPr>
        <w:t xml:space="preserve">approximate basis at regular intervals between valuations, and will discuss with </w:t>
      </w:r>
    </w:p>
    <w:p w14:paraId="573D52C9" w14:textId="77777777" w:rsidR="00DF761F" w:rsidRDefault="00DF761F" w:rsidP="00DF761F">
      <w:pPr>
        <w:rPr>
          <w:rFonts w:ascii="Arial" w:hAnsi="Arial" w:cs="Arial"/>
          <w:sz w:val="24"/>
          <w:szCs w:val="24"/>
        </w:rPr>
      </w:pPr>
      <w:r>
        <w:rPr>
          <w:rFonts w:ascii="Arial" w:hAnsi="Arial" w:cs="Arial"/>
          <w:sz w:val="24"/>
          <w:szCs w:val="24"/>
        </w:rPr>
        <w:t xml:space="preserve">           </w:t>
      </w:r>
      <w:r w:rsidR="003C3AAF" w:rsidRPr="003C3AAF">
        <w:rPr>
          <w:rFonts w:ascii="Arial" w:hAnsi="Arial" w:cs="Arial"/>
          <w:sz w:val="24"/>
          <w:szCs w:val="24"/>
        </w:rPr>
        <w:t xml:space="preserve">the Fund Actuary whether any significant changes have arisen that require </w:t>
      </w:r>
    </w:p>
    <w:p w14:paraId="669DBD3D" w14:textId="77777777" w:rsidR="003C3AAF" w:rsidRPr="003C3AAF" w:rsidRDefault="00DF761F" w:rsidP="00DF761F">
      <w:pPr>
        <w:rPr>
          <w:rFonts w:ascii="Arial" w:hAnsi="Arial" w:cs="Arial"/>
          <w:sz w:val="24"/>
          <w:szCs w:val="24"/>
        </w:rPr>
      </w:pPr>
      <w:r>
        <w:rPr>
          <w:rFonts w:ascii="Arial" w:hAnsi="Arial" w:cs="Arial"/>
          <w:sz w:val="24"/>
          <w:szCs w:val="24"/>
        </w:rPr>
        <w:t xml:space="preserve">           action</w:t>
      </w:r>
      <w:r w:rsidR="003C3AAF" w:rsidRPr="003C3AAF">
        <w:rPr>
          <w:rFonts w:ascii="Arial" w:hAnsi="Arial" w:cs="Arial"/>
          <w:sz w:val="24"/>
          <w:szCs w:val="24"/>
        </w:rPr>
        <w:t>.</w:t>
      </w:r>
    </w:p>
    <w:p w14:paraId="4C71AD4B" w14:textId="77777777" w:rsidR="003C3AAF" w:rsidRPr="003C3AAF" w:rsidRDefault="003C3AAF" w:rsidP="003C3AAF">
      <w:pPr>
        <w:pStyle w:val="Heading2"/>
        <w:ind w:left="567" w:hanging="567"/>
        <w:rPr>
          <w:rFonts w:cs="Arial"/>
          <w:sz w:val="24"/>
          <w:szCs w:val="24"/>
        </w:rPr>
      </w:pPr>
      <w:r w:rsidRPr="003C3AAF">
        <w:rPr>
          <w:rFonts w:cs="Arial"/>
          <w:sz w:val="24"/>
          <w:szCs w:val="24"/>
        </w:rPr>
        <w:br w:type="page"/>
      </w:r>
    </w:p>
    <w:p w14:paraId="4011F1CF" w14:textId="77777777" w:rsidR="003C3AAF" w:rsidRPr="003C3AAF" w:rsidRDefault="003C3AAF" w:rsidP="0073304A">
      <w:pPr>
        <w:pStyle w:val="Heading1"/>
        <w:widowControl w:val="0"/>
        <w:numPr>
          <w:ilvl w:val="0"/>
          <w:numId w:val="80"/>
        </w:numPr>
        <w:spacing w:before="0"/>
        <w:ind w:left="454" w:hanging="454"/>
        <w:rPr>
          <w:rFonts w:cs="Arial"/>
          <w:szCs w:val="24"/>
        </w:rPr>
      </w:pPr>
      <w:r w:rsidRPr="003C3AAF">
        <w:rPr>
          <w:rFonts w:cs="Arial"/>
          <w:szCs w:val="24"/>
        </w:rPr>
        <w:t xml:space="preserve">THE AIMS </w:t>
      </w:r>
      <w:smartTag w:uri="urn:schemas-microsoft-com:office:smarttags" w:element="stockticker">
        <w:r w:rsidRPr="003C3AAF">
          <w:rPr>
            <w:rFonts w:cs="Arial"/>
            <w:szCs w:val="24"/>
          </w:rPr>
          <w:t>AND</w:t>
        </w:r>
      </w:smartTag>
      <w:r w:rsidRPr="003C3AAF">
        <w:rPr>
          <w:rFonts w:cs="Arial"/>
          <w:szCs w:val="24"/>
        </w:rPr>
        <w:t xml:space="preserve"> PURPOSE OF THE FUND</w:t>
      </w:r>
    </w:p>
    <w:p w14:paraId="0B766AB1" w14:textId="77777777" w:rsidR="003C3AAF" w:rsidRPr="003C3AAF" w:rsidRDefault="003C3AAF" w:rsidP="003C3AAF">
      <w:pPr>
        <w:rPr>
          <w:rFonts w:ascii="Arial" w:hAnsi="Arial" w:cs="Arial"/>
          <w:sz w:val="24"/>
          <w:szCs w:val="24"/>
        </w:rPr>
      </w:pPr>
    </w:p>
    <w:p w14:paraId="58E7CFA2" w14:textId="77777777" w:rsidR="003C3AAF" w:rsidRPr="003C3AAF" w:rsidRDefault="003C3AAF" w:rsidP="003C3AAF">
      <w:pPr>
        <w:spacing w:after="60"/>
        <w:ind w:left="454" w:hanging="454"/>
        <w:rPr>
          <w:rFonts w:ascii="Arial" w:hAnsi="Arial" w:cs="Arial"/>
          <w:b/>
          <w:sz w:val="24"/>
          <w:szCs w:val="24"/>
        </w:rPr>
      </w:pPr>
      <w:r w:rsidRPr="003C3AAF">
        <w:rPr>
          <w:rFonts w:ascii="Arial" w:hAnsi="Arial" w:cs="Arial"/>
          <w:b/>
          <w:sz w:val="24"/>
          <w:szCs w:val="24"/>
        </w:rPr>
        <w:tab/>
        <w:t>Purpose of the Fund</w:t>
      </w:r>
    </w:p>
    <w:p w14:paraId="501550B1" w14:textId="77777777" w:rsidR="003C3AAF" w:rsidRPr="003C3AAF" w:rsidRDefault="003C3AAF" w:rsidP="0073304A">
      <w:pPr>
        <w:pStyle w:val="Heading1"/>
        <w:widowControl w:val="0"/>
        <w:numPr>
          <w:ilvl w:val="1"/>
          <w:numId w:val="80"/>
        </w:numPr>
        <w:spacing w:before="0" w:after="100"/>
        <w:ind w:left="426" w:hanging="454"/>
        <w:rPr>
          <w:rFonts w:cs="Arial"/>
          <w:szCs w:val="24"/>
        </w:rPr>
      </w:pPr>
      <w:r w:rsidRPr="003C3AAF">
        <w:rPr>
          <w:rFonts w:cs="Arial"/>
          <w:b w:val="0"/>
          <w:szCs w:val="24"/>
        </w:rPr>
        <w:t>The purpose of the Fund is to:</w:t>
      </w:r>
      <w:r w:rsidRPr="003C3AAF">
        <w:rPr>
          <w:rFonts w:cs="Arial"/>
          <w:szCs w:val="24"/>
        </w:rPr>
        <w:t xml:space="preserve"> </w:t>
      </w:r>
    </w:p>
    <w:p w14:paraId="5CC58425"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invest monies in respect of contributions, transfer values and investment income to produce a Fund in order to:</w:t>
      </w:r>
    </w:p>
    <w:p w14:paraId="206B6439"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 xml:space="preserve">pay Scheme benefits, transfer values, costs, charges and expenses as defined in the LGPS Regulations and as required in the Investment Regulations over the long term and in so doing: </w:t>
      </w:r>
    </w:p>
    <w:p w14:paraId="52F09DF2"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to smooth out the contributions required from employers over the long term.</w:t>
      </w:r>
    </w:p>
    <w:p w14:paraId="73E83270" w14:textId="77777777" w:rsidR="003C3AAF" w:rsidRPr="003C3AAF" w:rsidRDefault="003C3AAF" w:rsidP="003C3AAF">
      <w:pPr>
        <w:rPr>
          <w:rFonts w:ascii="Arial" w:hAnsi="Arial" w:cs="Arial"/>
          <w:sz w:val="24"/>
          <w:szCs w:val="24"/>
          <w:lang w:val="en-US"/>
        </w:rPr>
      </w:pPr>
    </w:p>
    <w:p w14:paraId="2DE3F79D" w14:textId="77777777" w:rsidR="003C3AAF" w:rsidRPr="003C3AAF" w:rsidRDefault="003C3AAF" w:rsidP="003C3AAF">
      <w:pPr>
        <w:spacing w:after="60"/>
        <w:ind w:left="454" w:hanging="454"/>
        <w:rPr>
          <w:rFonts w:ascii="Arial" w:hAnsi="Arial" w:cs="Arial"/>
          <w:b/>
          <w:sz w:val="24"/>
          <w:szCs w:val="24"/>
        </w:rPr>
      </w:pPr>
      <w:r w:rsidRPr="003C3AAF">
        <w:rPr>
          <w:rFonts w:ascii="Arial" w:hAnsi="Arial" w:cs="Arial"/>
          <w:b/>
          <w:sz w:val="24"/>
          <w:szCs w:val="24"/>
        </w:rPr>
        <w:tab/>
        <w:t>Aims of the Fund</w:t>
      </w:r>
    </w:p>
    <w:p w14:paraId="1D9EFE81" w14:textId="77777777" w:rsidR="003C3AAF" w:rsidRPr="003C3AAF" w:rsidRDefault="003C3AAF" w:rsidP="0073304A">
      <w:pPr>
        <w:pStyle w:val="Heading1"/>
        <w:widowControl w:val="0"/>
        <w:numPr>
          <w:ilvl w:val="1"/>
          <w:numId w:val="80"/>
        </w:numPr>
        <w:spacing w:before="0"/>
        <w:ind w:left="454" w:hanging="454"/>
        <w:rPr>
          <w:rFonts w:cs="Arial"/>
          <w:b w:val="0"/>
          <w:szCs w:val="24"/>
        </w:rPr>
      </w:pPr>
      <w:r w:rsidRPr="003C3AAF">
        <w:rPr>
          <w:rFonts w:cs="Arial"/>
          <w:b w:val="0"/>
          <w:szCs w:val="24"/>
        </w:rPr>
        <w:t>The main aims of the Fund are:</w:t>
      </w:r>
    </w:p>
    <w:p w14:paraId="779664BD" w14:textId="77777777" w:rsidR="003C3AAF" w:rsidRPr="003C3AAF" w:rsidRDefault="003C3AAF" w:rsidP="003C3AAF">
      <w:pPr>
        <w:widowControl w:val="0"/>
        <w:jc w:val="both"/>
        <w:rPr>
          <w:rFonts w:ascii="Arial" w:hAnsi="Arial" w:cs="Arial"/>
          <w:snapToGrid w:val="0"/>
          <w:sz w:val="24"/>
          <w:szCs w:val="24"/>
        </w:rPr>
      </w:pPr>
    </w:p>
    <w:p w14:paraId="5FA3AA9B" w14:textId="77777777" w:rsidR="003C3AAF" w:rsidRPr="003C3AAF" w:rsidRDefault="003C3AAF" w:rsidP="0073304A">
      <w:pPr>
        <w:widowControl w:val="0"/>
        <w:numPr>
          <w:ilvl w:val="0"/>
          <w:numId w:val="84"/>
        </w:numPr>
        <w:jc w:val="both"/>
        <w:rPr>
          <w:rFonts w:ascii="Arial" w:hAnsi="Arial" w:cs="Arial"/>
          <w:sz w:val="24"/>
          <w:szCs w:val="24"/>
          <w:u w:val="single"/>
        </w:rPr>
      </w:pPr>
      <w:r w:rsidRPr="003C3AAF">
        <w:rPr>
          <w:rFonts w:ascii="Arial" w:hAnsi="Arial" w:cs="Arial"/>
          <w:sz w:val="24"/>
          <w:szCs w:val="24"/>
          <w:u w:val="single"/>
        </w:rPr>
        <w:t>To comply with regulation 62 of the LGPS Regulations 2013 and specifically to:</w:t>
      </w:r>
    </w:p>
    <w:p w14:paraId="24D4F791" w14:textId="77777777" w:rsidR="003C3AAF" w:rsidRPr="003C3AAF" w:rsidRDefault="003C3AAF" w:rsidP="003C3AAF">
      <w:pPr>
        <w:widowControl w:val="0"/>
        <w:ind w:left="786"/>
        <w:jc w:val="both"/>
        <w:rPr>
          <w:rFonts w:ascii="Arial" w:hAnsi="Arial" w:cs="Arial"/>
          <w:sz w:val="24"/>
          <w:szCs w:val="24"/>
          <w:u w:val="single"/>
        </w:rPr>
      </w:pPr>
      <w:r w:rsidRPr="003C3AAF">
        <w:rPr>
          <w:rFonts w:ascii="Arial" w:hAnsi="Arial" w:cs="Arial"/>
          <w:sz w:val="24"/>
          <w:szCs w:val="24"/>
          <w:u w:val="single"/>
        </w:rPr>
        <w:t xml:space="preserve"> </w:t>
      </w:r>
    </w:p>
    <w:p w14:paraId="192A47CD"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napToGrid w:val="0"/>
          <w:sz w:val="24"/>
          <w:szCs w:val="24"/>
        </w:rPr>
      </w:pPr>
      <w:r w:rsidRPr="003C3AAF">
        <w:rPr>
          <w:rFonts w:ascii="Arial" w:hAnsi="Arial" w:cs="Arial"/>
          <w:sz w:val="24"/>
          <w:szCs w:val="24"/>
        </w:rPr>
        <w:t>a</w:t>
      </w:r>
      <w:r w:rsidRPr="003C3AAF">
        <w:rPr>
          <w:rFonts w:ascii="Arial" w:hAnsi="Arial" w:cs="Arial"/>
          <w:snapToGrid w:val="0"/>
          <w:sz w:val="24"/>
          <w:szCs w:val="24"/>
        </w:rPr>
        <w:t>dequately fund benefits to secure the Fund's solvency and long term cost efficiency, which should be assessed in light of the risk profile of the Fund and Employers</w:t>
      </w:r>
    </w:p>
    <w:p w14:paraId="061139F3"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napToGrid w:val="0"/>
          <w:sz w:val="24"/>
          <w:szCs w:val="24"/>
        </w:rPr>
      </w:pPr>
      <w:r w:rsidRPr="003C3AAF">
        <w:rPr>
          <w:rFonts w:ascii="Arial" w:hAnsi="Arial" w:cs="Arial"/>
          <w:snapToGrid w:val="0"/>
          <w:sz w:val="24"/>
          <w:szCs w:val="24"/>
        </w:rPr>
        <w:t>while taking account of the desirability of maintaining as nearly constant primary employer contribution rates as possible (and subject to the Administering Authority not taking undue risks) at reasonable cost to the taxpayers, scheduled (as defined in Part 1 or deemed employers as per Part 4 of Schedule 2 of the LGPS Regulations), resolution (as defined in Part 2 of Schedule 2 of the LGPS Regulations),  and admitted bodies</w:t>
      </w:r>
    </w:p>
    <w:p w14:paraId="5DE8D4C6" w14:textId="77777777" w:rsidR="003C3AAF" w:rsidRPr="003C3AAF" w:rsidRDefault="003C3AAF" w:rsidP="003C3AAF">
      <w:pPr>
        <w:widowControl w:val="0"/>
        <w:numPr>
          <w:ilvl w:val="0"/>
          <w:numId w:val="15"/>
        </w:numPr>
        <w:tabs>
          <w:tab w:val="clear" w:pos="360"/>
          <w:tab w:val="num" w:pos="720"/>
        </w:tabs>
        <w:ind w:left="1080"/>
        <w:jc w:val="both"/>
        <w:rPr>
          <w:rFonts w:ascii="Arial" w:hAnsi="Arial" w:cs="Arial"/>
          <w:snapToGrid w:val="0"/>
          <w:sz w:val="24"/>
          <w:szCs w:val="24"/>
        </w:rPr>
      </w:pPr>
      <w:r w:rsidRPr="003C3AAF">
        <w:rPr>
          <w:rFonts w:ascii="Arial" w:hAnsi="Arial" w:cs="Arial"/>
          <w:snapToGrid w:val="0"/>
          <w:sz w:val="24"/>
          <w:szCs w:val="24"/>
        </w:rPr>
        <w:t>enable overall employer contributions to be kept as constant as possible (and subject to the Administering Authority not taking undue risks) at reasonable cost to the taxpayers, scheduled, resolution and admitted bodies</w:t>
      </w:r>
    </w:p>
    <w:p w14:paraId="4837A44B" w14:textId="77777777" w:rsidR="003C3AAF" w:rsidRPr="003C3AAF" w:rsidRDefault="003C3AAF" w:rsidP="003C3AAF">
      <w:pPr>
        <w:widowControl w:val="0"/>
        <w:jc w:val="both"/>
        <w:rPr>
          <w:rFonts w:ascii="Arial" w:hAnsi="Arial" w:cs="Arial"/>
          <w:snapToGrid w:val="0"/>
          <w:sz w:val="24"/>
          <w:szCs w:val="24"/>
        </w:rPr>
      </w:pPr>
    </w:p>
    <w:p w14:paraId="19A6AE76" w14:textId="77777777" w:rsidR="003C3AAF" w:rsidRPr="003C3AAF" w:rsidRDefault="003C3AAF" w:rsidP="0073304A">
      <w:pPr>
        <w:pStyle w:val="Heading1"/>
        <w:widowControl w:val="0"/>
        <w:numPr>
          <w:ilvl w:val="1"/>
          <w:numId w:val="80"/>
        </w:numPr>
        <w:spacing w:before="0"/>
        <w:ind w:left="454" w:hanging="454"/>
        <w:rPr>
          <w:rFonts w:cs="Arial"/>
          <w:b w:val="0"/>
          <w:szCs w:val="24"/>
        </w:rPr>
      </w:pPr>
      <w:r w:rsidRPr="003C3AAF">
        <w:rPr>
          <w:rFonts w:cs="Arial"/>
          <w:b w:val="0"/>
          <w:szCs w:val="24"/>
        </w:rPr>
        <w:t>The Administering Authority recognises that the requirement to keep total employer contributions as nearly constant as possible can run counter to the following requirements:</w:t>
      </w:r>
    </w:p>
    <w:p w14:paraId="2A7F96D9" w14:textId="77777777" w:rsidR="003C3AAF" w:rsidRPr="003C3AAF" w:rsidRDefault="003C3AAF" w:rsidP="003C3AAF">
      <w:pPr>
        <w:widowControl w:val="0"/>
        <w:jc w:val="both"/>
        <w:rPr>
          <w:rFonts w:ascii="Arial" w:hAnsi="Arial" w:cs="Arial"/>
          <w:snapToGrid w:val="0"/>
          <w:sz w:val="24"/>
          <w:szCs w:val="24"/>
        </w:rPr>
      </w:pPr>
    </w:p>
    <w:p w14:paraId="7BCABC39"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the regulatory requirement to secure solvency, which should be assessed in light of the risk profile of the Fund and risk appetite of the Administering Authority and employers</w:t>
      </w:r>
    </w:p>
    <w:p w14:paraId="2BA3DC28"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the requirement that the costs should be reasonable to Scheduled Bodies, Admission Bodies, other bodies and to taxpayers (subject to not taking undue risks), and</w:t>
      </w:r>
    </w:p>
    <w:p w14:paraId="4841B157"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maximising income from investments within reasonable risk parameters (see later)</w:t>
      </w:r>
    </w:p>
    <w:p w14:paraId="1B3D2309" w14:textId="77777777" w:rsidR="003C3AAF" w:rsidRPr="003C3AAF" w:rsidRDefault="003C3AAF" w:rsidP="003C3AAF">
      <w:pPr>
        <w:widowControl w:val="0"/>
        <w:jc w:val="both"/>
        <w:rPr>
          <w:rFonts w:ascii="Arial" w:hAnsi="Arial" w:cs="Arial"/>
          <w:snapToGrid w:val="0"/>
          <w:sz w:val="24"/>
          <w:szCs w:val="24"/>
        </w:rPr>
      </w:pPr>
    </w:p>
    <w:p w14:paraId="1375CE3D" w14:textId="77777777" w:rsidR="003C3AAF" w:rsidRPr="003C3AAF" w:rsidRDefault="003C3AAF" w:rsidP="0073304A">
      <w:pPr>
        <w:pStyle w:val="Heading1"/>
        <w:widowControl w:val="0"/>
        <w:numPr>
          <w:ilvl w:val="1"/>
          <w:numId w:val="80"/>
        </w:numPr>
        <w:spacing w:before="0"/>
        <w:ind w:left="454" w:hanging="454"/>
        <w:rPr>
          <w:rFonts w:cs="Arial"/>
          <w:b w:val="0"/>
          <w:szCs w:val="24"/>
        </w:rPr>
      </w:pPr>
      <w:r w:rsidRPr="003C3AAF">
        <w:rPr>
          <w:rFonts w:cs="Arial"/>
          <w:b w:val="0"/>
          <w:szCs w:val="24"/>
        </w:rPr>
        <w:t xml:space="preserve">Producing low volatility in employer contribution rates requires material investment in assets which ‘match’ the employer’s liabilities. In this context, ‘match’ means assets which behave in a similar manner to the liabilities as economic conditions alter. For the liabilities represented by benefits payable by the Local Government Pension Scheme, such assets would tend to comprise gilt edged investments.  </w:t>
      </w:r>
    </w:p>
    <w:p w14:paraId="2975B5F4" w14:textId="77777777" w:rsidR="003C3AAF" w:rsidRPr="003C3AAF" w:rsidRDefault="003C3AAF" w:rsidP="003C3AAF">
      <w:pPr>
        <w:widowControl w:val="0"/>
        <w:jc w:val="both"/>
        <w:rPr>
          <w:rFonts w:ascii="Arial" w:hAnsi="Arial" w:cs="Arial"/>
          <w:snapToGrid w:val="0"/>
          <w:sz w:val="24"/>
          <w:szCs w:val="24"/>
        </w:rPr>
      </w:pPr>
    </w:p>
    <w:p w14:paraId="23D22989" w14:textId="77777777" w:rsidR="003C3AAF" w:rsidRPr="003C3AAF" w:rsidRDefault="003C3AAF" w:rsidP="0073304A">
      <w:pPr>
        <w:pStyle w:val="Heading1"/>
        <w:widowControl w:val="0"/>
        <w:numPr>
          <w:ilvl w:val="1"/>
          <w:numId w:val="80"/>
        </w:numPr>
        <w:spacing w:before="0"/>
        <w:ind w:left="454" w:hanging="454"/>
        <w:rPr>
          <w:rFonts w:cs="Arial"/>
          <w:b w:val="0"/>
          <w:szCs w:val="24"/>
        </w:rPr>
      </w:pPr>
      <w:r w:rsidRPr="003C3AAF">
        <w:rPr>
          <w:rFonts w:cs="Arial"/>
          <w:b w:val="0"/>
          <w:szCs w:val="24"/>
        </w:rPr>
        <w:t>Other classes of assets, such as stocks, are perceived to offer higher long term rates of return, on average, and consistent with the requirement to maximise the returns from investments within reasonable risk parameters, the Administering Authority invests a substantial proportion of the Fund in such assets. However, these assets are more risky in nature, and that risk can manifest itself in volatile returns over short term periods, and a failure to deliver anticipated returns in the long term.</w:t>
      </w:r>
    </w:p>
    <w:p w14:paraId="509022B8" w14:textId="77777777" w:rsidR="003C3AAF" w:rsidRPr="003C3AAF" w:rsidRDefault="003C3AAF" w:rsidP="003C3AAF">
      <w:pPr>
        <w:pStyle w:val="BodyText"/>
        <w:rPr>
          <w:rFonts w:cs="Arial"/>
          <w:szCs w:val="24"/>
        </w:rPr>
      </w:pPr>
    </w:p>
    <w:p w14:paraId="4490BE4A" w14:textId="77777777" w:rsidR="003C3AAF" w:rsidRPr="003C3AAF" w:rsidRDefault="003C3AAF" w:rsidP="0073304A">
      <w:pPr>
        <w:pStyle w:val="Heading1"/>
        <w:widowControl w:val="0"/>
        <w:numPr>
          <w:ilvl w:val="1"/>
          <w:numId w:val="80"/>
        </w:numPr>
        <w:spacing w:before="0"/>
        <w:ind w:left="454" w:hanging="454"/>
        <w:rPr>
          <w:rFonts w:cs="Arial"/>
          <w:b w:val="0"/>
          <w:szCs w:val="24"/>
        </w:rPr>
      </w:pPr>
      <w:r w:rsidRPr="003C3AAF">
        <w:rPr>
          <w:rFonts w:cs="Arial"/>
          <w:b w:val="0"/>
          <w:szCs w:val="24"/>
        </w:rPr>
        <w:t>This short term volatility in investment returns can produce a consequent volatility in the measured funding position of the Fund at successive actuarial valuations, with knock on effects on employer contribution rates. The impact on employer rates can be mitigated by use of smoothing adjustments at each valuation.</w:t>
      </w:r>
    </w:p>
    <w:p w14:paraId="7FE107BA" w14:textId="77777777" w:rsidR="003C3AAF" w:rsidRPr="003C3AAF" w:rsidRDefault="003C3AAF" w:rsidP="003C3AAF">
      <w:pPr>
        <w:pStyle w:val="Heading1"/>
        <w:ind w:left="454"/>
        <w:rPr>
          <w:rFonts w:cs="Arial"/>
          <w:b w:val="0"/>
          <w:szCs w:val="24"/>
        </w:rPr>
      </w:pPr>
    </w:p>
    <w:p w14:paraId="76F26B85" w14:textId="77777777" w:rsidR="003C3AAF" w:rsidRPr="003C3AAF" w:rsidRDefault="003C3AAF" w:rsidP="0073304A">
      <w:pPr>
        <w:pStyle w:val="Heading1"/>
        <w:widowControl w:val="0"/>
        <w:numPr>
          <w:ilvl w:val="1"/>
          <w:numId w:val="80"/>
        </w:numPr>
        <w:spacing w:before="0"/>
        <w:ind w:left="454" w:hanging="454"/>
        <w:rPr>
          <w:rFonts w:cs="Arial"/>
          <w:b w:val="0"/>
          <w:szCs w:val="24"/>
        </w:rPr>
      </w:pPr>
      <w:r w:rsidRPr="003C3AAF">
        <w:rPr>
          <w:rFonts w:cs="Arial"/>
          <w:b w:val="0"/>
          <w:szCs w:val="24"/>
        </w:rPr>
        <w:t>The Administering Authority recognises that there is a balance to be struck between the investment policy adopted, the smoothing mechanisms used at valuations, and the resultant stability of employer contribution rates from one valuation period to the next.</w:t>
      </w:r>
    </w:p>
    <w:p w14:paraId="4D13BE62" w14:textId="77777777" w:rsidR="003C3AAF" w:rsidRPr="003C3AAF" w:rsidRDefault="003C3AAF" w:rsidP="003C3AAF">
      <w:pPr>
        <w:pStyle w:val="BodyText"/>
        <w:rPr>
          <w:rFonts w:cs="Arial"/>
          <w:szCs w:val="24"/>
        </w:rPr>
      </w:pPr>
    </w:p>
    <w:p w14:paraId="097B9331" w14:textId="77777777" w:rsidR="003C3AAF" w:rsidRPr="003C3AAF" w:rsidRDefault="003C3AAF" w:rsidP="0073304A">
      <w:pPr>
        <w:pStyle w:val="Heading1"/>
        <w:widowControl w:val="0"/>
        <w:numPr>
          <w:ilvl w:val="1"/>
          <w:numId w:val="80"/>
        </w:numPr>
        <w:spacing w:before="0"/>
        <w:ind w:left="454" w:hanging="454"/>
        <w:rPr>
          <w:rFonts w:cs="Arial"/>
          <w:b w:val="0"/>
          <w:szCs w:val="24"/>
        </w:rPr>
      </w:pPr>
      <w:r w:rsidRPr="003C3AAF">
        <w:rPr>
          <w:rFonts w:cs="Arial"/>
          <w:b w:val="0"/>
          <w:szCs w:val="24"/>
        </w:rPr>
        <w:t>The Administering Authority also recognises that the position is potentially more volatile for Admission Bodies with short term contracts where utilisation of smoothing mechanisms is less appropriate.</w:t>
      </w:r>
    </w:p>
    <w:p w14:paraId="64CA6D41" w14:textId="77777777" w:rsidR="003C3AAF" w:rsidRPr="003C3AAF" w:rsidRDefault="003C3AAF" w:rsidP="003C3AAF">
      <w:pPr>
        <w:widowControl w:val="0"/>
        <w:jc w:val="both"/>
        <w:rPr>
          <w:rFonts w:ascii="Arial" w:hAnsi="Arial" w:cs="Arial"/>
          <w:snapToGrid w:val="0"/>
          <w:sz w:val="24"/>
          <w:szCs w:val="24"/>
        </w:rPr>
      </w:pPr>
    </w:p>
    <w:p w14:paraId="44CE4821" w14:textId="77777777" w:rsidR="003C3AAF" w:rsidRPr="003C3AAF" w:rsidRDefault="003C3AAF" w:rsidP="0073304A">
      <w:pPr>
        <w:pStyle w:val="Heading1"/>
        <w:widowControl w:val="0"/>
        <w:numPr>
          <w:ilvl w:val="1"/>
          <w:numId w:val="80"/>
        </w:numPr>
        <w:spacing w:before="0"/>
        <w:ind w:left="454" w:hanging="454"/>
        <w:rPr>
          <w:rFonts w:cs="Arial"/>
          <w:b w:val="0"/>
          <w:szCs w:val="24"/>
          <w:u w:val="single"/>
        </w:rPr>
      </w:pPr>
      <w:r w:rsidRPr="003C3AAF">
        <w:rPr>
          <w:rFonts w:cs="Arial"/>
          <w:b w:val="0"/>
          <w:szCs w:val="24"/>
          <w:u w:val="single"/>
        </w:rPr>
        <w:t>b) To ensure that sufficient resources are available to meet all liabilities as they fall due.</w:t>
      </w:r>
    </w:p>
    <w:p w14:paraId="38B1FAF2" w14:textId="77777777" w:rsidR="003C3AAF" w:rsidRPr="003C3AAF" w:rsidRDefault="003C3AAF" w:rsidP="003C3AAF">
      <w:pPr>
        <w:pStyle w:val="BodyText"/>
        <w:ind w:left="426"/>
        <w:rPr>
          <w:rFonts w:cs="Arial"/>
          <w:szCs w:val="24"/>
        </w:rPr>
      </w:pPr>
    </w:p>
    <w:p w14:paraId="1EF4F167" w14:textId="77777777" w:rsidR="003C3AAF" w:rsidRPr="003C3AAF" w:rsidRDefault="003C3AAF" w:rsidP="003C3AAF">
      <w:pPr>
        <w:pStyle w:val="BodyText"/>
        <w:ind w:left="426"/>
        <w:rPr>
          <w:rFonts w:cs="Arial"/>
          <w:szCs w:val="24"/>
        </w:rPr>
      </w:pPr>
      <w:r w:rsidRPr="003C3AAF">
        <w:rPr>
          <w:rFonts w:cs="Arial"/>
          <w:szCs w:val="24"/>
        </w:rPr>
        <w:t>The Administering Authority recognises the need to ensure that the Fund has, at all times, sufficient liquid assets to be able to pay pensions, transfer values, costs, charges and other expenses.  It is the Administering Authority’s policy that such expenditure is met, in the first instance, from incoming employer and employee contributions to avoid the expense of disinvesting assets. The Administering Authority monitors the position on a monthly basis to ensure that all cash requirements can be met.</w:t>
      </w:r>
    </w:p>
    <w:p w14:paraId="35DDCDF1" w14:textId="77777777" w:rsidR="003C3AAF" w:rsidRPr="003C3AAF" w:rsidRDefault="003C3AAF" w:rsidP="003C3AAF">
      <w:pPr>
        <w:widowControl w:val="0"/>
        <w:ind w:left="426"/>
        <w:jc w:val="both"/>
        <w:rPr>
          <w:rFonts w:ascii="Arial" w:hAnsi="Arial" w:cs="Arial"/>
          <w:snapToGrid w:val="0"/>
          <w:sz w:val="24"/>
          <w:szCs w:val="24"/>
        </w:rPr>
      </w:pPr>
    </w:p>
    <w:p w14:paraId="19326202" w14:textId="77777777" w:rsidR="003C3AAF" w:rsidRPr="003C3AAF" w:rsidRDefault="003C3AAF" w:rsidP="0073304A">
      <w:pPr>
        <w:pStyle w:val="Heading1"/>
        <w:widowControl w:val="0"/>
        <w:numPr>
          <w:ilvl w:val="1"/>
          <w:numId w:val="80"/>
        </w:numPr>
        <w:spacing w:before="0"/>
        <w:ind w:left="454" w:hanging="454"/>
        <w:rPr>
          <w:rFonts w:cs="Arial"/>
          <w:b w:val="0"/>
          <w:szCs w:val="24"/>
          <w:u w:val="single"/>
        </w:rPr>
      </w:pPr>
      <w:r w:rsidRPr="003C3AAF">
        <w:rPr>
          <w:rFonts w:cs="Arial"/>
          <w:b w:val="0"/>
          <w:szCs w:val="24"/>
          <w:u w:val="single"/>
        </w:rPr>
        <w:t>c) To manage employers’ liabilities effectively.</w:t>
      </w:r>
    </w:p>
    <w:p w14:paraId="3CE696D5" w14:textId="77777777" w:rsidR="003C3AAF" w:rsidRPr="003C3AAF" w:rsidRDefault="003C3AAF" w:rsidP="003C3AAF">
      <w:pPr>
        <w:widowControl w:val="0"/>
        <w:ind w:left="426"/>
        <w:jc w:val="both"/>
        <w:rPr>
          <w:rFonts w:ascii="Arial" w:hAnsi="Arial" w:cs="Arial"/>
          <w:snapToGrid w:val="0"/>
          <w:sz w:val="24"/>
          <w:szCs w:val="24"/>
        </w:rPr>
      </w:pPr>
    </w:p>
    <w:p w14:paraId="75353461" w14:textId="77777777" w:rsidR="003C3AAF" w:rsidRPr="003C3AAF" w:rsidRDefault="003C3AAF" w:rsidP="003C3AAF">
      <w:pPr>
        <w:widowControl w:val="0"/>
        <w:ind w:left="426"/>
        <w:jc w:val="both"/>
        <w:rPr>
          <w:rFonts w:ascii="Arial" w:hAnsi="Arial" w:cs="Arial"/>
          <w:snapToGrid w:val="0"/>
          <w:sz w:val="24"/>
          <w:szCs w:val="24"/>
        </w:rPr>
      </w:pPr>
      <w:r w:rsidRPr="003C3AAF">
        <w:rPr>
          <w:rFonts w:ascii="Arial" w:hAnsi="Arial" w:cs="Arial"/>
          <w:snapToGrid w:val="0"/>
          <w:sz w:val="24"/>
          <w:szCs w:val="24"/>
        </w:rPr>
        <w:t xml:space="preserve">The Administering Authority seeks to ensure that all employers’ liabilities are managed effectively. In a funding context, this is achieved by seeking regular actuarial advice, ensuring that employers are properly informed and consulted, and through regular monitoring of the funding position and the outlook for employers' </w:t>
      </w:r>
      <w:r w:rsidRPr="003C3AAF">
        <w:rPr>
          <w:rFonts w:ascii="Arial" w:hAnsi="Arial" w:cs="Arial"/>
          <w:snapToGrid w:val="0"/>
          <w:sz w:val="24"/>
          <w:szCs w:val="24"/>
        </w:rPr>
        <w:lastRenderedPageBreak/>
        <w:t>contributions.</w:t>
      </w:r>
    </w:p>
    <w:p w14:paraId="152766A0" w14:textId="77777777" w:rsidR="003C3AAF" w:rsidRPr="003C3AAF" w:rsidRDefault="003C3AAF" w:rsidP="003C3AAF">
      <w:pPr>
        <w:widowControl w:val="0"/>
        <w:ind w:left="426"/>
        <w:jc w:val="both"/>
        <w:rPr>
          <w:rFonts w:ascii="Arial" w:hAnsi="Arial" w:cs="Arial"/>
          <w:snapToGrid w:val="0"/>
          <w:sz w:val="24"/>
          <w:szCs w:val="24"/>
        </w:rPr>
      </w:pPr>
    </w:p>
    <w:p w14:paraId="2398C57E" w14:textId="77777777" w:rsidR="003C3AAF" w:rsidRPr="003C3AAF" w:rsidRDefault="003C3AAF" w:rsidP="0073304A">
      <w:pPr>
        <w:pStyle w:val="Heading1"/>
        <w:widowControl w:val="0"/>
        <w:numPr>
          <w:ilvl w:val="1"/>
          <w:numId w:val="80"/>
        </w:numPr>
        <w:spacing w:before="0"/>
        <w:ind w:left="454" w:hanging="454"/>
        <w:rPr>
          <w:rFonts w:cs="Arial"/>
          <w:szCs w:val="24"/>
        </w:rPr>
      </w:pPr>
      <w:r w:rsidRPr="003C3AAF">
        <w:rPr>
          <w:rFonts w:cs="Arial"/>
          <w:b w:val="0"/>
          <w:szCs w:val="24"/>
          <w:u w:val="single"/>
        </w:rPr>
        <w:t>d) To maximise the total investment return from investments within reasonable risk parameters.</w:t>
      </w:r>
      <w:r w:rsidRPr="003C3AAF">
        <w:rPr>
          <w:rFonts w:cs="Arial"/>
          <w:szCs w:val="24"/>
        </w:rPr>
        <w:t xml:space="preserve"> </w:t>
      </w:r>
      <w:r w:rsidRPr="003C3AAF">
        <w:rPr>
          <w:rFonts w:cs="Arial"/>
          <w:szCs w:val="24"/>
        </w:rPr>
        <w:tab/>
      </w:r>
    </w:p>
    <w:p w14:paraId="36DD438C" w14:textId="77777777" w:rsidR="003C3AAF" w:rsidRPr="003C3AAF" w:rsidRDefault="003C3AAF" w:rsidP="003C3AAF">
      <w:pPr>
        <w:widowControl w:val="0"/>
        <w:ind w:left="426"/>
        <w:jc w:val="both"/>
        <w:rPr>
          <w:rFonts w:ascii="Arial" w:hAnsi="Arial" w:cs="Arial"/>
          <w:snapToGrid w:val="0"/>
          <w:sz w:val="24"/>
          <w:szCs w:val="24"/>
        </w:rPr>
      </w:pPr>
    </w:p>
    <w:p w14:paraId="6175245B" w14:textId="77777777" w:rsidR="003C3AAF" w:rsidRPr="003C3AAF" w:rsidRDefault="003C3AAF" w:rsidP="003C3AAF">
      <w:pPr>
        <w:widowControl w:val="0"/>
        <w:ind w:left="426"/>
        <w:jc w:val="both"/>
        <w:rPr>
          <w:rFonts w:ascii="Arial" w:hAnsi="Arial" w:cs="Arial"/>
          <w:snapToGrid w:val="0"/>
          <w:sz w:val="24"/>
          <w:szCs w:val="24"/>
        </w:rPr>
      </w:pPr>
      <w:r w:rsidRPr="003C3AAF">
        <w:rPr>
          <w:rFonts w:ascii="Arial" w:hAnsi="Arial" w:cs="Arial"/>
          <w:snapToGrid w:val="0"/>
          <w:sz w:val="24"/>
          <w:szCs w:val="24"/>
        </w:rPr>
        <w:t>The Administering Authority recognises the desirability of maximising total investment return within reasonable risk parameters. Investment returns higher than those available on Government stocks are sought through investment in other asset classes such as stocks and property. The Administering Authority ensures that risk parameters are reasonable by:</w:t>
      </w:r>
    </w:p>
    <w:p w14:paraId="6600905F" w14:textId="77777777" w:rsidR="003C3AAF" w:rsidRPr="003C3AAF" w:rsidRDefault="003C3AAF" w:rsidP="003C3AAF">
      <w:pPr>
        <w:widowControl w:val="0"/>
        <w:jc w:val="both"/>
        <w:rPr>
          <w:rFonts w:ascii="Arial" w:hAnsi="Arial" w:cs="Arial"/>
          <w:snapToGrid w:val="0"/>
          <w:sz w:val="24"/>
          <w:szCs w:val="24"/>
        </w:rPr>
      </w:pPr>
    </w:p>
    <w:p w14:paraId="3EAF7A22"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complying with any restrictions set out in the Investment Regulations</w:t>
      </w:r>
    </w:p>
    <w:p w14:paraId="6CED3A39"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restricting investment to asset classes generally recognised as appropriate for UK pension funds</w:t>
      </w:r>
    </w:p>
    <w:p w14:paraId="63DF8EAC"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analysing the potential volatility and absolute return risks, and funding risk represented by those asset classes in collaboration with Investment Advisors and Fund Managers, the Fund Actuary and the Wales Pension Partnership and ensuring that they remain consistent with the risk and return profiles anticipated in the funding strategy</w:t>
      </w:r>
    </w:p>
    <w:p w14:paraId="127140F7"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limiting concentration of risk by developing a diversified investment strategy</w:t>
      </w:r>
    </w:p>
    <w:p w14:paraId="1DD60D76"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monitoring the mis-matching risk that the investments do not move in line with the Fund's liabilities.</w:t>
      </w:r>
    </w:p>
    <w:p w14:paraId="37CF3784" w14:textId="77777777" w:rsidR="003C3AAF" w:rsidRPr="003C3AAF" w:rsidRDefault="003C3AAF" w:rsidP="003C3AAF">
      <w:pPr>
        <w:widowControl w:val="0"/>
        <w:jc w:val="both"/>
        <w:rPr>
          <w:rFonts w:ascii="Arial" w:hAnsi="Arial" w:cs="Arial"/>
          <w:snapToGrid w:val="0"/>
          <w:sz w:val="24"/>
          <w:szCs w:val="24"/>
        </w:rPr>
      </w:pPr>
    </w:p>
    <w:p w14:paraId="2391A004" w14:textId="77777777" w:rsidR="003C3AAF" w:rsidRPr="003C3AAF" w:rsidRDefault="003C3AAF" w:rsidP="003C3AAF">
      <w:pPr>
        <w:widowControl w:val="0"/>
        <w:jc w:val="both"/>
        <w:rPr>
          <w:rFonts w:ascii="Arial" w:hAnsi="Arial" w:cs="Arial"/>
          <w:snapToGrid w:val="0"/>
          <w:sz w:val="24"/>
          <w:szCs w:val="24"/>
        </w:rPr>
      </w:pPr>
    </w:p>
    <w:p w14:paraId="24B483DC" w14:textId="77777777" w:rsidR="003C3AAF" w:rsidRPr="003C3AAF" w:rsidRDefault="003C3AAF" w:rsidP="003C3AAF">
      <w:pPr>
        <w:pStyle w:val="Heading2"/>
        <w:rPr>
          <w:rFonts w:cs="Arial"/>
          <w:sz w:val="24"/>
          <w:szCs w:val="24"/>
        </w:rPr>
      </w:pPr>
      <w:r w:rsidRPr="003C3AAF">
        <w:rPr>
          <w:rFonts w:cs="Arial"/>
          <w:sz w:val="24"/>
          <w:szCs w:val="24"/>
        </w:rPr>
        <w:br w:type="page"/>
      </w:r>
    </w:p>
    <w:p w14:paraId="3C33508F" w14:textId="77777777" w:rsidR="003C3AAF" w:rsidRPr="003C3AAF" w:rsidRDefault="003C3AAF" w:rsidP="0073304A">
      <w:pPr>
        <w:pStyle w:val="Heading2"/>
        <w:widowControl w:val="0"/>
        <w:numPr>
          <w:ilvl w:val="0"/>
          <w:numId w:val="80"/>
        </w:numPr>
        <w:ind w:left="454" w:hanging="454"/>
        <w:jc w:val="both"/>
        <w:rPr>
          <w:rFonts w:cs="Arial"/>
          <w:sz w:val="24"/>
          <w:szCs w:val="24"/>
        </w:rPr>
      </w:pPr>
      <w:r w:rsidRPr="003C3AAF">
        <w:rPr>
          <w:rFonts w:cs="Arial"/>
          <w:sz w:val="24"/>
          <w:szCs w:val="24"/>
        </w:rPr>
        <w:t xml:space="preserve">RESPONSIBILITIES OF THE </w:t>
      </w:r>
      <w:smartTag w:uri="urn:schemas-microsoft-com:office:smarttags" w:element="stockticker">
        <w:r w:rsidRPr="003C3AAF">
          <w:rPr>
            <w:rFonts w:cs="Arial"/>
            <w:sz w:val="24"/>
            <w:szCs w:val="24"/>
          </w:rPr>
          <w:t>KEY</w:t>
        </w:r>
      </w:smartTag>
      <w:r w:rsidRPr="003C3AAF">
        <w:rPr>
          <w:rFonts w:cs="Arial"/>
          <w:sz w:val="24"/>
          <w:szCs w:val="24"/>
        </w:rPr>
        <w:t xml:space="preserve"> PARTIES</w:t>
      </w:r>
    </w:p>
    <w:p w14:paraId="17A65C49" w14:textId="77777777" w:rsidR="003C3AAF" w:rsidRPr="003C3AAF" w:rsidRDefault="003C3AAF" w:rsidP="003C3AAF">
      <w:pPr>
        <w:rPr>
          <w:rFonts w:ascii="Arial" w:hAnsi="Arial" w:cs="Arial"/>
          <w:sz w:val="24"/>
          <w:szCs w:val="24"/>
        </w:rPr>
      </w:pPr>
    </w:p>
    <w:p w14:paraId="642F2A4B" w14:textId="77777777" w:rsidR="003C3AAF" w:rsidRPr="003C3AAF" w:rsidRDefault="003C3AAF" w:rsidP="0073304A">
      <w:pPr>
        <w:widowControl w:val="0"/>
        <w:numPr>
          <w:ilvl w:val="1"/>
          <w:numId w:val="82"/>
        </w:numPr>
        <w:ind w:left="454" w:hanging="454"/>
        <w:jc w:val="both"/>
        <w:rPr>
          <w:rFonts w:ascii="Arial" w:hAnsi="Arial" w:cs="Arial"/>
          <w:snapToGrid w:val="0"/>
          <w:sz w:val="24"/>
          <w:szCs w:val="24"/>
        </w:rPr>
      </w:pPr>
      <w:r w:rsidRPr="003C3AAF">
        <w:rPr>
          <w:rFonts w:ascii="Arial" w:hAnsi="Arial" w:cs="Arial"/>
          <w:snapToGrid w:val="0"/>
          <w:sz w:val="24"/>
          <w:szCs w:val="24"/>
        </w:rPr>
        <w:t xml:space="preserve">The three parties whose responsibilities to the Fund are of particular relevance are the Administering Authority, the individual employers and the Fund Actuary. </w:t>
      </w:r>
    </w:p>
    <w:p w14:paraId="00766DEB" w14:textId="77777777" w:rsidR="003C3AAF" w:rsidRPr="003C3AAF" w:rsidRDefault="003C3AAF" w:rsidP="003C3AAF">
      <w:pPr>
        <w:widowControl w:val="0"/>
        <w:jc w:val="both"/>
        <w:rPr>
          <w:rFonts w:ascii="Arial" w:hAnsi="Arial" w:cs="Arial"/>
          <w:snapToGrid w:val="0"/>
          <w:sz w:val="24"/>
          <w:szCs w:val="24"/>
        </w:rPr>
      </w:pPr>
    </w:p>
    <w:p w14:paraId="5A638EB6" w14:textId="77777777" w:rsidR="003C3AAF" w:rsidRPr="003C3AAF" w:rsidRDefault="003C3AAF" w:rsidP="003C3AAF">
      <w:pPr>
        <w:widowControl w:val="0"/>
        <w:ind w:left="426"/>
        <w:jc w:val="both"/>
        <w:rPr>
          <w:rFonts w:ascii="Arial" w:hAnsi="Arial" w:cs="Arial"/>
          <w:snapToGrid w:val="0"/>
          <w:sz w:val="24"/>
          <w:szCs w:val="24"/>
        </w:rPr>
      </w:pPr>
      <w:r w:rsidRPr="003C3AAF">
        <w:rPr>
          <w:rFonts w:ascii="Arial" w:hAnsi="Arial" w:cs="Arial"/>
          <w:snapToGrid w:val="0"/>
          <w:sz w:val="24"/>
          <w:szCs w:val="24"/>
        </w:rPr>
        <w:t>Their key responsibilities are as follows:</w:t>
      </w:r>
    </w:p>
    <w:p w14:paraId="3866BAC1" w14:textId="77777777" w:rsidR="003C3AAF" w:rsidRPr="003C3AAF" w:rsidRDefault="003C3AAF" w:rsidP="003C3AAF">
      <w:pPr>
        <w:widowControl w:val="0"/>
        <w:ind w:left="426"/>
        <w:jc w:val="both"/>
        <w:rPr>
          <w:rFonts w:ascii="Arial" w:hAnsi="Arial" w:cs="Arial"/>
          <w:snapToGrid w:val="0"/>
          <w:sz w:val="24"/>
          <w:szCs w:val="24"/>
        </w:rPr>
      </w:pPr>
    </w:p>
    <w:p w14:paraId="58174CDD" w14:textId="77777777" w:rsidR="003C3AAF" w:rsidRPr="003C3AAF" w:rsidRDefault="003C3AAF" w:rsidP="003C3AAF">
      <w:pPr>
        <w:spacing w:after="60"/>
        <w:ind w:left="454" w:hanging="454"/>
        <w:rPr>
          <w:rFonts w:ascii="Arial" w:hAnsi="Arial" w:cs="Arial"/>
          <w:sz w:val="24"/>
          <w:szCs w:val="24"/>
        </w:rPr>
      </w:pPr>
      <w:r w:rsidRPr="003C3AAF">
        <w:rPr>
          <w:rFonts w:ascii="Arial" w:hAnsi="Arial" w:cs="Arial"/>
          <w:b/>
          <w:sz w:val="24"/>
          <w:szCs w:val="24"/>
        </w:rPr>
        <w:tab/>
        <w:t>Administering Authority</w:t>
      </w:r>
    </w:p>
    <w:p w14:paraId="10EC9075" w14:textId="77777777" w:rsidR="003C3AAF" w:rsidRPr="003C3AAF" w:rsidRDefault="003C3AAF" w:rsidP="0073304A">
      <w:pPr>
        <w:widowControl w:val="0"/>
        <w:numPr>
          <w:ilvl w:val="1"/>
          <w:numId w:val="82"/>
        </w:numPr>
        <w:ind w:left="454" w:hanging="454"/>
        <w:jc w:val="both"/>
        <w:rPr>
          <w:rFonts w:ascii="Arial" w:hAnsi="Arial" w:cs="Arial"/>
          <w:sz w:val="24"/>
          <w:szCs w:val="24"/>
        </w:rPr>
      </w:pPr>
      <w:r w:rsidRPr="003C3AAF">
        <w:rPr>
          <w:rFonts w:ascii="Arial" w:hAnsi="Arial" w:cs="Arial"/>
          <w:snapToGrid w:val="0"/>
          <w:sz w:val="24"/>
          <w:szCs w:val="24"/>
        </w:rPr>
        <w:t>The</w:t>
      </w:r>
      <w:r w:rsidRPr="003C3AAF">
        <w:rPr>
          <w:rFonts w:ascii="Arial" w:hAnsi="Arial" w:cs="Arial"/>
          <w:sz w:val="24"/>
          <w:szCs w:val="24"/>
        </w:rPr>
        <w:t xml:space="preserve"> Administering Authority will:</w:t>
      </w:r>
    </w:p>
    <w:p w14:paraId="5E6E87A2" w14:textId="77777777" w:rsidR="003C3AAF" w:rsidRPr="003C3AAF" w:rsidRDefault="003C3AAF" w:rsidP="003C3AAF">
      <w:pPr>
        <w:rPr>
          <w:rFonts w:ascii="Arial" w:hAnsi="Arial" w:cs="Arial"/>
          <w:sz w:val="24"/>
          <w:szCs w:val="24"/>
        </w:rPr>
      </w:pPr>
    </w:p>
    <w:p w14:paraId="5156355B"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Administer the Fund</w:t>
      </w:r>
    </w:p>
    <w:p w14:paraId="7349C649"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Collect investment income and other amounts due to the Fund as set out in the Regulations including employer and employee contributions and, as far as the Administering Authority is able to, ensure these contributions are paid by the due date (with the due date as specified in the LGPS Regulations, Rates and Adjustments Certificate and any Administering Authority policies)</w:t>
      </w:r>
    </w:p>
    <w:p w14:paraId="7048E3BD"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Pay from the Fund the relevant entitlements as set out by the Local Government Pension Scheme Regulations 2013.</w:t>
      </w:r>
    </w:p>
    <w:p w14:paraId="3755C85D"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Invest surplus monies in accordance with the Investment Regulations.</w:t>
      </w:r>
    </w:p>
    <w:p w14:paraId="70F4779E"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Ensure that cash is available to meet liabilities as and when they fall due.</w:t>
      </w:r>
    </w:p>
    <w:p w14:paraId="6D9DCE73"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Manage the valuation process in consultation with the Fund’s Actuary</w:t>
      </w:r>
    </w:p>
    <w:p w14:paraId="5A05FAE7"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Ensure it communicates effectively with the Fund Actuary to:</w:t>
      </w:r>
    </w:p>
    <w:p w14:paraId="327743C4" w14:textId="77777777" w:rsidR="003C3AAF" w:rsidRPr="003C3AAF" w:rsidRDefault="003C3AAF" w:rsidP="0073304A">
      <w:pPr>
        <w:numPr>
          <w:ilvl w:val="0"/>
          <w:numId w:val="85"/>
        </w:numPr>
        <w:tabs>
          <w:tab w:val="num" w:pos="1843"/>
        </w:tabs>
        <w:ind w:left="1843"/>
        <w:jc w:val="both"/>
        <w:rPr>
          <w:rFonts w:ascii="Arial" w:hAnsi="Arial" w:cs="Arial"/>
          <w:sz w:val="24"/>
          <w:szCs w:val="24"/>
        </w:rPr>
      </w:pPr>
      <w:r w:rsidRPr="003C3AAF">
        <w:rPr>
          <w:rFonts w:ascii="Arial" w:hAnsi="Arial" w:cs="Arial"/>
          <w:sz w:val="24"/>
          <w:szCs w:val="24"/>
        </w:rPr>
        <w:t>Agree timescales for the provision of information and provision of valuation results</w:t>
      </w:r>
    </w:p>
    <w:p w14:paraId="246F737F" w14:textId="77777777" w:rsidR="003C3AAF" w:rsidRPr="003C3AAF" w:rsidRDefault="003C3AAF" w:rsidP="0073304A">
      <w:pPr>
        <w:numPr>
          <w:ilvl w:val="0"/>
          <w:numId w:val="85"/>
        </w:numPr>
        <w:tabs>
          <w:tab w:val="num" w:pos="1843"/>
        </w:tabs>
        <w:ind w:left="1843"/>
        <w:jc w:val="both"/>
        <w:rPr>
          <w:rFonts w:ascii="Arial" w:hAnsi="Arial" w:cs="Arial"/>
          <w:sz w:val="24"/>
          <w:szCs w:val="24"/>
        </w:rPr>
      </w:pPr>
      <w:r w:rsidRPr="003C3AAF">
        <w:rPr>
          <w:rFonts w:ascii="Arial" w:hAnsi="Arial" w:cs="Arial"/>
          <w:sz w:val="24"/>
          <w:szCs w:val="24"/>
        </w:rPr>
        <w:t>Ensure provision of data of suitable accuracy</w:t>
      </w:r>
    </w:p>
    <w:p w14:paraId="62AE98F0" w14:textId="77777777" w:rsidR="003C3AAF" w:rsidRPr="003C3AAF" w:rsidRDefault="003C3AAF" w:rsidP="0073304A">
      <w:pPr>
        <w:numPr>
          <w:ilvl w:val="0"/>
          <w:numId w:val="85"/>
        </w:numPr>
        <w:tabs>
          <w:tab w:val="num" w:pos="1843"/>
        </w:tabs>
        <w:ind w:left="1843"/>
        <w:jc w:val="both"/>
        <w:rPr>
          <w:rFonts w:ascii="Arial" w:hAnsi="Arial" w:cs="Arial"/>
          <w:sz w:val="24"/>
          <w:szCs w:val="24"/>
        </w:rPr>
      </w:pPr>
      <w:r w:rsidRPr="003C3AAF">
        <w:rPr>
          <w:rFonts w:ascii="Arial" w:hAnsi="Arial" w:cs="Arial"/>
          <w:sz w:val="24"/>
          <w:szCs w:val="24"/>
        </w:rPr>
        <w:t>Ensure that the Fund Actuary is clear about the content of the Funding Strategy Statement</w:t>
      </w:r>
    </w:p>
    <w:p w14:paraId="5F2E2C2B" w14:textId="77777777" w:rsidR="003C3AAF" w:rsidRPr="003C3AAF" w:rsidRDefault="003C3AAF" w:rsidP="0073304A">
      <w:pPr>
        <w:numPr>
          <w:ilvl w:val="0"/>
          <w:numId w:val="85"/>
        </w:numPr>
        <w:tabs>
          <w:tab w:val="num" w:pos="1843"/>
        </w:tabs>
        <w:ind w:left="1843"/>
        <w:jc w:val="both"/>
        <w:rPr>
          <w:rFonts w:ascii="Arial" w:hAnsi="Arial" w:cs="Arial"/>
          <w:sz w:val="24"/>
          <w:szCs w:val="24"/>
        </w:rPr>
      </w:pPr>
      <w:r w:rsidRPr="003C3AAF">
        <w:rPr>
          <w:rFonts w:ascii="Arial" w:hAnsi="Arial" w:cs="Arial"/>
          <w:sz w:val="24"/>
          <w:szCs w:val="24"/>
        </w:rPr>
        <w:t>Ensure that participating employers receive appropriate communication throughout the process</w:t>
      </w:r>
    </w:p>
    <w:p w14:paraId="09614691" w14:textId="77777777" w:rsidR="003C3AAF" w:rsidRPr="003C3AAF" w:rsidRDefault="003C3AAF" w:rsidP="0073304A">
      <w:pPr>
        <w:numPr>
          <w:ilvl w:val="0"/>
          <w:numId w:val="85"/>
        </w:numPr>
        <w:tabs>
          <w:tab w:val="num" w:pos="1843"/>
        </w:tabs>
        <w:ind w:left="1843" w:hanging="357"/>
        <w:jc w:val="both"/>
        <w:rPr>
          <w:rFonts w:ascii="Arial" w:hAnsi="Arial" w:cs="Arial"/>
          <w:sz w:val="24"/>
          <w:szCs w:val="24"/>
        </w:rPr>
      </w:pPr>
      <w:r w:rsidRPr="003C3AAF">
        <w:rPr>
          <w:rFonts w:ascii="Arial" w:hAnsi="Arial" w:cs="Arial"/>
          <w:sz w:val="24"/>
          <w:szCs w:val="24"/>
        </w:rPr>
        <w:t>Ensure that reports are made available as required by relevant guidance and Regulations</w:t>
      </w:r>
    </w:p>
    <w:p w14:paraId="73DCCD17" w14:textId="77777777" w:rsidR="003C3AAF" w:rsidRPr="003C3AAF" w:rsidRDefault="003C3AAF" w:rsidP="0073304A">
      <w:pPr>
        <w:numPr>
          <w:ilvl w:val="0"/>
          <w:numId w:val="85"/>
        </w:numPr>
        <w:tabs>
          <w:tab w:val="num" w:pos="1843"/>
        </w:tabs>
        <w:spacing w:after="120"/>
        <w:ind w:left="1843" w:hanging="357"/>
        <w:jc w:val="both"/>
        <w:rPr>
          <w:rFonts w:ascii="Arial" w:hAnsi="Arial" w:cs="Arial"/>
          <w:sz w:val="24"/>
          <w:szCs w:val="24"/>
        </w:rPr>
      </w:pPr>
      <w:r w:rsidRPr="003C3AAF">
        <w:rPr>
          <w:rFonts w:ascii="Arial" w:hAnsi="Arial" w:cs="Arial"/>
          <w:sz w:val="24"/>
          <w:szCs w:val="24"/>
        </w:rPr>
        <w:t>Provide information required by the Government Actuary's Department in relation to Section 13 of the public Service Pensions Act 2013</w:t>
      </w:r>
    </w:p>
    <w:p w14:paraId="78B4CFD5"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Prepare and maintain an Investment Strategy Statement and a Funding Strategy Statement after due consultation with interested parties.</w:t>
      </w:r>
    </w:p>
    <w:p w14:paraId="4B960E8C"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Monitor all aspects of the Fund’s performance and funding and amend these two documents if required.</w:t>
      </w:r>
    </w:p>
    <w:p w14:paraId="56B8E78D"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Effectively manage any potential conflicts of interest arising from its dual role both as Administering Authority and as Scheme Employer.</w:t>
      </w:r>
    </w:p>
    <w:p w14:paraId="0E97EC22"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lastRenderedPageBreak/>
        <w:t>Take measures, as set out in the Regulations, to safeguard the Fund against the consequences of employer default</w:t>
      </w:r>
    </w:p>
    <w:p w14:paraId="754A9B02"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 xml:space="preserve">Enable the Local Pension Board to review the valuation process as set out in their terms of reference. </w:t>
      </w:r>
    </w:p>
    <w:p w14:paraId="4A298094"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Ensure consistent use of policies relating to revising employer contributions between formal valuations, entering into Deferred Debt Agreements and spreading exit payments and ensure the process of applying those policies is clear and transparent to all Fund employers.</w:t>
      </w:r>
    </w:p>
    <w:p w14:paraId="35369A7D" w14:textId="77777777" w:rsidR="003C3AAF" w:rsidRPr="003C3AAF" w:rsidRDefault="003C3AAF" w:rsidP="003C3AAF">
      <w:pPr>
        <w:widowControl w:val="0"/>
        <w:jc w:val="both"/>
        <w:rPr>
          <w:rFonts w:ascii="Arial" w:hAnsi="Arial" w:cs="Arial"/>
          <w:snapToGrid w:val="0"/>
          <w:sz w:val="24"/>
          <w:szCs w:val="24"/>
        </w:rPr>
      </w:pPr>
    </w:p>
    <w:p w14:paraId="0AD17665" w14:textId="77777777" w:rsidR="003C3AAF" w:rsidRPr="003C3AAF" w:rsidRDefault="003C3AAF" w:rsidP="003C3AAF">
      <w:pPr>
        <w:spacing w:after="60"/>
        <w:ind w:left="454" w:hanging="454"/>
        <w:rPr>
          <w:rFonts w:ascii="Arial" w:hAnsi="Arial" w:cs="Arial"/>
          <w:b/>
          <w:sz w:val="24"/>
          <w:szCs w:val="24"/>
        </w:rPr>
      </w:pPr>
      <w:r w:rsidRPr="003C3AAF">
        <w:rPr>
          <w:rFonts w:ascii="Arial" w:hAnsi="Arial" w:cs="Arial"/>
          <w:b/>
          <w:sz w:val="24"/>
          <w:szCs w:val="24"/>
        </w:rPr>
        <w:tab/>
        <w:t>Individual Employers</w:t>
      </w:r>
    </w:p>
    <w:p w14:paraId="20B7B106" w14:textId="77777777" w:rsidR="003C3AAF" w:rsidRPr="003C3AAF" w:rsidRDefault="003C3AAF" w:rsidP="0073304A">
      <w:pPr>
        <w:widowControl w:val="0"/>
        <w:numPr>
          <w:ilvl w:val="1"/>
          <w:numId w:val="82"/>
        </w:numPr>
        <w:ind w:left="454" w:hanging="454"/>
        <w:jc w:val="both"/>
        <w:rPr>
          <w:rFonts w:ascii="Arial" w:hAnsi="Arial" w:cs="Arial"/>
          <w:snapToGrid w:val="0"/>
          <w:sz w:val="24"/>
          <w:szCs w:val="24"/>
        </w:rPr>
      </w:pPr>
      <w:r w:rsidRPr="003C3AAF">
        <w:rPr>
          <w:rFonts w:ascii="Arial" w:hAnsi="Arial" w:cs="Arial"/>
          <w:snapToGrid w:val="0"/>
          <w:sz w:val="24"/>
          <w:szCs w:val="24"/>
        </w:rPr>
        <w:t>Individual Employers will:</w:t>
      </w:r>
    </w:p>
    <w:p w14:paraId="420EECBA" w14:textId="77777777" w:rsidR="003C3AAF" w:rsidRPr="003C3AAF" w:rsidRDefault="003C3AAF" w:rsidP="003C3AAF">
      <w:pPr>
        <w:widowControl w:val="0"/>
        <w:jc w:val="both"/>
        <w:rPr>
          <w:rFonts w:ascii="Arial" w:hAnsi="Arial" w:cs="Arial"/>
          <w:snapToGrid w:val="0"/>
          <w:sz w:val="24"/>
          <w:szCs w:val="24"/>
        </w:rPr>
      </w:pPr>
    </w:p>
    <w:p w14:paraId="519C623A"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Deduct contributions from employees’ pay.</w:t>
      </w:r>
    </w:p>
    <w:p w14:paraId="77712FEC"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Pay all ongoing contributions, including their employer's contribution as determined by the Fund Actuary, and where relevant set out in the rates and adjustment certificate, promptly by the due date (including contributions due under a Deferred Debt Agreement).</w:t>
      </w:r>
    </w:p>
    <w:p w14:paraId="4C485D4E"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Develop a policy on certain discretions and exercise those discretions within the regulatory framework.</w:t>
      </w:r>
    </w:p>
    <w:p w14:paraId="0F305AD2"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Pay for additional membership or pension, augmentation, early release of benefits or other one off strain costs in accordance with agreed arrangements.</w:t>
      </w:r>
    </w:p>
    <w:p w14:paraId="4D18E9D4"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Notify the Administering Authority promptly of all changes to membership, or other changes which affect future funding</w:t>
      </w:r>
    </w:p>
    <w:p w14:paraId="4FCF450E"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Note and if desired respond to any consultation regarding the Funding Strategy Statement, the Investment Strategy Statement or other policies.</w:t>
      </w:r>
    </w:p>
    <w:p w14:paraId="5D98F829"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Pay any exit payments as required in the event of their ceasing participation in the Fund</w:t>
      </w:r>
    </w:p>
    <w:p w14:paraId="50752113" w14:textId="77777777" w:rsidR="003C3AAF" w:rsidRPr="003C3AAF" w:rsidRDefault="003C3AAF" w:rsidP="003C3AAF">
      <w:pPr>
        <w:widowControl w:val="0"/>
        <w:ind w:left="360"/>
        <w:jc w:val="both"/>
        <w:rPr>
          <w:rFonts w:ascii="Arial" w:hAnsi="Arial" w:cs="Arial"/>
          <w:snapToGrid w:val="0"/>
          <w:sz w:val="24"/>
          <w:szCs w:val="24"/>
        </w:rPr>
      </w:pPr>
    </w:p>
    <w:p w14:paraId="3882AA1F" w14:textId="77777777" w:rsidR="003C3AAF" w:rsidRPr="003C3AAF" w:rsidRDefault="003C3AAF" w:rsidP="003C3AAF">
      <w:pPr>
        <w:spacing w:after="60"/>
        <w:ind w:left="454" w:hanging="454"/>
        <w:rPr>
          <w:rFonts w:ascii="Arial" w:hAnsi="Arial" w:cs="Arial"/>
          <w:b/>
          <w:sz w:val="24"/>
          <w:szCs w:val="24"/>
        </w:rPr>
      </w:pPr>
      <w:r w:rsidRPr="003C3AAF">
        <w:rPr>
          <w:rFonts w:ascii="Arial" w:hAnsi="Arial" w:cs="Arial"/>
          <w:b/>
          <w:sz w:val="24"/>
          <w:szCs w:val="24"/>
        </w:rPr>
        <w:tab/>
        <w:t>Fund Actuary</w:t>
      </w:r>
    </w:p>
    <w:p w14:paraId="07C54766" w14:textId="77777777" w:rsidR="003C3AAF" w:rsidRPr="003C3AAF" w:rsidRDefault="003C3AAF" w:rsidP="0073304A">
      <w:pPr>
        <w:widowControl w:val="0"/>
        <w:numPr>
          <w:ilvl w:val="1"/>
          <w:numId w:val="82"/>
        </w:numPr>
        <w:ind w:left="454" w:hanging="454"/>
        <w:jc w:val="both"/>
        <w:rPr>
          <w:rFonts w:ascii="Arial" w:hAnsi="Arial" w:cs="Arial"/>
          <w:snapToGrid w:val="0"/>
          <w:sz w:val="24"/>
          <w:szCs w:val="24"/>
        </w:rPr>
      </w:pPr>
      <w:r w:rsidRPr="003C3AAF">
        <w:rPr>
          <w:rFonts w:ascii="Arial" w:hAnsi="Arial" w:cs="Arial"/>
          <w:snapToGrid w:val="0"/>
          <w:sz w:val="24"/>
          <w:szCs w:val="24"/>
        </w:rPr>
        <w:t>The Fund Actuary will prepare advice and calculations and provide advice on:</w:t>
      </w:r>
    </w:p>
    <w:p w14:paraId="3650C941" w14:textId="77777777" w:rsidR="003C3AAF" w:rsidRPr="003C3AAF" w:rsidRDefault="003C3AAF" w:rsidP="003C3AAF">
      <w:pPr>
        <w:widowControl w:val="0"/>
        <w:jc w:val="both"/>
        <w:rPr>
          <w:rFonts w:ascii="Arial" w:hAnsi="Arial" w:cs="Arial"/>
          <w:snapToGrid w:val="0"/>
          <w:sz w:val="24"/>
          <w:szCs w:val="24"/>
        </w:rPr>
      </w:pPr>
    </w:p>
    <w:p w14:paraId="54459B1A"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 xml:space="preserve">Funding strategy and the preparation of the Funding Strategy Statement </w:t>
      </w:r>
    </w:p>
    <w:p w14:paraId="0D5C2225"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Actuarial valuations including the setting of employers’ contribution rates and issue of a Rates and Adjustments Certificate, after agreeing assumptions with the Administering Authority and having regard to the Funding Strategy Statement and the LGPS Regulations.</w:t>
      </w:r>
    </w:p>
    <w:p w14:paraId="229695EC"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Bulk transfers and individual benefit-related matters such as pension strain costs, ill health retirement costs, compensatory added years costs, etc.</w:t>
      </w:r>
    </w:p>
    <w:p w14:paraId="06024638"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 xml:space="preserve">Valuations on the cessation of admission agreements or when an employer </w:t>
      </w:r>
      <w:r w:rsidRPr="003C3AAF">
        <w:rPr>
          <w:rFonts w:ascii="Arial" w:hAnsi="Arial" w:cs="Arial"/>
          <w:sz w:val="24"/>
          <w:szCs w:val="24"/>
        </w:rPr>
        <w:lastRenderedPageBreak/>
        <w:t>ceases to employ active members i.e. the exiting of employers from the Fund.</w:t>
      </w:r>
    </w:p>
    <w:p w14:paraId="204C90C3"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Bonds and other forms of security for the Administering Authority against the financial effect on the Fund and of the employer's default.</w:t>
      </w:r>
    </w:p>
    <w:p w14:paraId="345A4815"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Assisting the Administering Authority in assessing whether employer contributions need to be revised between actuarial valuations as permitted or required by the Regulations, in particular in relation to any review of contributions between triennial valuations under Regulations 64(4) and 64A.</w:t>
      </w:r>
    </w:p>
    <w:p w14:paraId="068C0CCC"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Provide views in relation to any decision by the Administering Authority to put in place a Deferred Debt Agreement under Regulation 64(7A) or spread an exit payment under Regulation 64B.</w:t>
      </w:r>
    </w:p>
    <w:p w14:paraId="45D3A64E"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Ensure that the Administering Authority is aware of any professional guidance requirements which may be of relevance to his or her role in advising the Administering Authority.</w:t>
      </w:r>
    </w:p>
    <w:p w14:paraId="639FE104" w14:textId="77777777" w:rsidR="003C3AAF" w:rsidRPr="003C3AAF" w:rsidRDefault="003C3AAF" w:rsidP="003C3AAF">
      <w:pPr>
        <w:widowControl w:val="0"/>
        <w:jc w:val="both"/>
        <w:rPr>
          <w:rFonts w:ascii="Arial" w:hAnsi="Arial" w:cs="Arial"/>
          <w:snapToGrid w:val="0"/>
          <w:sz w:val="24"/>
          <w:szCs w:val="24"/>
        </w:rPr>
      </w:pPr>
    </w:p>
    <w:p w14:paraId="078838C3" w14:textId="77777777" w:rsidR="003C3AAF" w:rsidRPr="003C3AAF" w:rsidRDefault="003C3AAF" w:rsidP="003C3AAF">
      <w:pPr>
        <w:widowControl w:val="0"/>
        <w:ind w:left="454" w:hanging="454"/>
        <w:jc w:val="both"/>
        <w:rPr>
          <w:rFonts w:ascii="Arial" w:hAnsi="Arial" w:cs="Arial"/>
          <w:snapToGrid w:val="0"/>
          <w:sz w:val="24"/>
          <w:szCs w:val="24"/>
        </w:rPr>
      </w:pPr>
      <w:r w:rsidRPr="003C3AAF">
        <w:rPr>
          <w:rFonts w:ascii="Arial" w:hAnsi="Arial" w:cs="Arial"/>
          <w:snapToGrid w:val="0"/>
          <w:sz w:val="24"/>
          <w:szCs w:val="24"/>
        </w:rPr>
        <w:tab/>
        <w:t>Such advice will take account of the funding position and Funding Strategy Statement of the Fund, along with other relevant matters.</w:t>
      </w:r>
    </w:p>
    <w:p w14:paraId="0FF6504F" w14:textId="77777777" w:rsidR="003C3AAF" w:rsidRPr="003C3AAF" w:rsidRDefault="003C3AAF" w:rsidP="003C3AAF">
      <w:pPr>
        <w:widowControl w:val="0"/>
        <w:jc w:val="both"/>
        <w:rPr>
          <w:rFonts w:ascii="Arial" w:hAnsi="Arial" w:cs="Arial"/>
          <w:snapToGrid w:val="0"/>
          <w:sz w:val="24"/>
          <w:szCs w:val="24"/>
        </w:rPr>
      </w:pPr>
    </w:p>
    <w:p w14:paraId="77739467" w14:textId="77777777" w:rsidR="003C3AAF" w:rsidRPr="003C3AAF" w:rsidRDefault="003C3AAF" w:rsidP="003C3AAF">
      <w:pPr>
        <w:ind w:left="454" w:hanging="454"/>
        <w:rPr>
          <w:rFonts w:ascii="Arial" w:hAnsi="Arial" w:cs="Arial"/>
          <w:b/>
          <w:sz w:val="24"/>
          <w:szCs w:val="24"/>
          <w:lang w:val="en-US"/>
        </w:rPr>
      </w:pPr>
    </w:p>
    <w:p w14:paraId="28112BFB" w14:textId="77777777" w:rsidR="003C3AAF" w:rsidRPr="003C3AAF" w:rsidRDefault="003C3AAF" w:rsidP="0073304A">
      <w:pPr>
        <w:numPr>
          <w:ilvl w:val="0"/>
          <w:numId w:val="83"/>
        </w:numPr>
        <w:ind w:left="454" w:hanging="454"/>
        <w:rPr>
          <w:rFonts w:ascii="Arial" w:hAnsi="Arial" w:cs="Arial"/>
          <w:b/>
          <w:sz w:val="24"/>
          <w:szCs w:val="24"/>
          <w:u w:val="single"/>
        </w:rPr>
      </w:pPr>
      <w:r w:rsidRPr="003C3AAF">
        <w:rPr>
          <w:rFonts w:ascii="Arial" w:hAnsi="Arial" w:cs="Arial"/>
          <w:b/>
          <w:sz w:val="24"/>
          <w:szCs w:val="24"/>
          <w:u w:val="single"/>
        </w:rPr>
        <w:t>FUNDING STRATEGY</w:t>
      </w:r>
    </w:p>
    <w:p w14:paraId="35D0F9B3" w14:textId="77777777" w:rsidR="003C3AAF" w:rsidRPr="003C3AAF" w:rsidRDefault="003C3AAF" w:rsidP="003C3AAF">
      <w:pPr>
        <w:autoSpaceDE w:val="0"/>
        <w:autoSpaceDN w:val="0"/>
        <w:adjustRightInd w:val="0"/>
        <w:ind w:firstLine="454"/>
        <w:jc w:val="both"/>
        <w:rPr>
          <w:rFonts w:ascii="Arial" w:hAnsi="Arial" w:cs="Arial"/>
          <w:b/>
          <w:sz w:val="24"/>
          <w:szCs w:val="24"/>
        </w:rPr>
      </w:pPr>
    </w:p>
    <w:p w14:paraId="2D0826BD" w14:textId="77777777" w:rsidR="003C3AAF" w:rsidRPr="003C3AAF" w:rsidRDefault="003C3AAF" w:rsidP="003C3AAF">
      <w:pPr>
        <w:autoSpaceDE w:val="0"/>
        <w:autoSpaceDN w:val="0"/>
        <w:adjustRightInd w:val="0"/>
        <w:spacing w:after="60"/>
        <w:ind w:firstLine="454"/>
        <w:jc w:val="both"/>
        <w:rPr>
          <w:rFonts w:ascii="Arial" w:hAnsi="Arial" w:cs="Arial"/>
          <w:b/>
          <w:sz w:val="24"/>
          <w:szCs w:val="24"/>
        </w:rPr>
      </w:pPr>
      <w:r w:rsidRPr="003C3AAF">
        <w:rPr>
          <w:rFonts w:ascii="Arial" w:hAnsi="Arial" w:cs="Arial"/>
          <w:b/>
          <w:sz w:val="24"/>
          <w:szCs w:val="24"/>
        </w:rPr>
        <w:t>Risk Based Approach</w:t>
      </w:r>
    </w:p>
    <w:p w14:paraId="2CC2EAEA" w14:textId="77777777" w:rsidR="003C3AAF" w:rsidRPr="003C3AAF" w:rsidRDefault="003C3AAF" w:rsidP="0073304A">
      <w:pPr>
        <w:widowControl w:val="0"/>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 xml:space="preserve">The Fund utilises a risk based approach to funding strategy. </w:t>
      </w:r>
    </w:p>
    <w:p w14:paraId="4CBAED12" w14:textId="77777777" w:rsidR="003C3AAF" w:rsidRPr="003C3AAF" w:rsidRDefault="003C3AAF" w:rsidP="003C3AAF">
      <w:pPr>
        <w:pStyle w:val="Normalplus"/>
        <w:rPr>
          <w:rFonts w:cs="Arial"/>
        </w:rPr>
      </w:pPr>
    </w:p>
    <w:p w14:paraId="3A25B21E" w14:textId="77777777" w:rsidR="003C3AAF" w:rsidRPr="003C3AAF" w:rsidRDefault="003C3AAF" w:rsidP="003C3AAF">
      <w:pPr>
        <w:pStyle w:val="Normalplus"/>
        <w:ind w:left="454" w:hanging="454"/>
        <w:jc w:val="both"/>
        <w:rPr>
          <w:rFonts w:cs="Arial"/>
        </w:rPr>
      </w:pPr>
      <w:r w:rsidRPr="003C3AAF">
        <w:rPr>
          <w:rFonts w:cs="Arial"/>
        </w:rPr>
        <w:tab/>
        <w:t xml:space="preserve">A risk based approach entails carrying out the actuarial valuation on the basis of the assessed likelihood of meeting the funding objectives. In practice, three key decisions are required for the risk based approach: </w:t>
      </w:r>
    </w:p>
    <w:p w14:paraId="532EF5ED" w14:textId="77777777" w:rsidR="003C3AAF" w:rsidRPr="003C3AAF" w:rsidRDefault="003C3AAF" w:rsidP="003C3AAF">
      <w:pPr>
        <w:pStyle w:val="Normalplus"/>
        <w:rPr>
          <w:rFonts w:cs="Arial"/>
        </w:rPr>
      </w:pPr>
    </w:p>
    <w:p w14:paraId="4B9D5472"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what the Solvency Target should be (the funding objective - where the Administering Authority wants the Fund to get to),</w:t>
      </w:r>
    </w:p>
    <w:p w14:paraId="6DBD80F6"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the Trajectory Period (how quickly the Administering Authority wants the Fund to get there), and</w:t>
      </w:r>
    </w:p>
    <w:p w14:paraId="1A095E9F"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 xml:space="preserve">the Probability of Funding Success (how likely the Administering Authority wants it to be now that the Fund will actually achieve the Solvency Target by the end of the Trajectory Period). </w:t>
      </w:r>
    </w:p>
    <w:p w14:paraId="747FB9F9" w14:textId="77777777" w:rsidR="003C3AAF" w:rsidRPr="003C3AAF" w:rsidRDefault="003C3AAF" w:rsidP="003C3AAF">
      <w:pPr>
        <w:jc w:val="both"/>
        <w:rPr>
          <w:rFonts w:ascii="Arial" w:hAnsi="Arial" w:cs="Arial"/>
          <w:sz w:val="24"/>
          <w:szCs w:val="24"/>
        </w:rPr>
      </w:pPr>
    </w:p>
    <w:p w14:paraId="630E78D8" w14:textId="77777777" w:rsidR="003C3AAF" w:rsidRPr="003C3AAF" w:rsidRDefault="003C3AAF" w:rsidP="003C3AAF">
      <w:pPr>
        <w:pStyle w:val="Normalplus"/>
        <w:ind w:left="426" w:hanging="426"/>
        <w:jc w:val="both"/>
        <w:rPr>
          <w:rFonts w:cs="Arial"/>
          <w:snapToGrid w:val="0"/>
          <w:lang w:eastAsia="en-US"/>
        </w:rPr>
      </w:pPr>
      <w:r w:rsidRPr="003C3AAF">
        <w:rPr>
          <w:rFonts w:cs="Arial"/>
          <w:snapToGrid w:val="0"/>
          <w:lang w:eastAsia="en-US"/>
        </w:rPr>
        <w:tab/>
        <w:t xml:space="preserve">These three choices, supported by complex risk modelling carried out by the Fund Actuary, define the discount rate, and by extension, the appropriate levels of contribution payable. Together they measure the riskiness of the funding strategy. </w:t>
      </w:r>
    </w:p>
    <w:p w14:paraId="3D3EEC2E" w14:textId="77777777" w:rsidR="003C3AAF" w:rsidRPr="003C3AAF" w:rsidRDefault="003C3AAF" w:rsidP="003C3AAF">
      <w:pPr>
        <w:pStyle w:val="Normalplus"/>
        <w:ind w:left="426" w:hanging="426"/>
        <w:rPr>
          <w:rFonts w:cs="Arial"/>
          <w:snapToGrid w:val="0"/>
          <w:lang w:eastAsia="en-US"/>
        </w:rPr>
      </w:pPr>
    </w:p>
    <w:p w14:paraId="31F78843" w14:textId="77777777" w:rsidR="003C3AAF" w:rsidRPr="003C3AAF" w:rsidRDefault="003C3AAF" w:rsidP="003C3AAF">
      <w:pPr>
        <w:pStyle w:val="Normalplus"/>
        <w:ind w:left="426" w:hanging="426"/>
        <w:jc w:val="both"/>
        <w:rPr>
          <w:rFonts w:cs="Arial"/>
          <w:snapToGrid w:val="0"/>
          <w:lang w:eastAsia="en-US"/>
        </w:rPr>
      </w:pPr>
      <w:r w:rsidRPr="003C3AAF">
        <w:rPr>
          <w:rFonts w:cs="Arial"/>
          <w:snapToGrid w:val="0"/>
          <w:lang w:eastAsia="en-US"/>
        </w:rPr>
        <w:tab/>
        <w:t xml:space="preserve">These three terms are considered in more detail below. </w:t>
      </w:r>
    </w:p>
    <w:p w14:paraId="00334D3B" w14:textId="77777777" w:rsidR="003C3AAF" w:rsidRPr="003C3AAF" w:rsidRDefault="003C3AAF" w:rsidP="003C3AAF">
      <w:pPr>
        <w:ind w:left="426" w:hanging="426"/>
        <w:rPr>
          <w:rFonts w:ascii="Arial" w:hAnsi="Arial" w:cs="Arial"/>
          <w:snapToGrid w:val="0"/>
          <w:sz w:val="24"/>
          <w:szCs w:val="24"/>
        </w:rPr>
      </w:pPr>
    </w:p>
    <w:p w14:paraId="4B269092" w14:textId="77777777" w:rsidR="00C36412" w:rsidRDefault="003C3AAF" w:rsidP="003C3AAF">
      <w:pPr>
        <w:autoSpaceDE w:val="0"/>
        <w:autoSpaceDN w:val="0"/>
        <w:adjustRightInd w:val="0"/>
        <w:spacing w:after="120"/>
        <w:ind w:left="425" w:hanging="425"/>
        <w:jc w:val="both"/>
        <w:rPr>
          <w:rFonts w:ascii="Arial" w:hAnsi="Arial" w:cs="Arial"/>
          <w:snapToGrid w:val="0"/>
          <w:sz w:val="24"/>
          <w:szCs w:val="24"/>
        </w:rPr>
      </w:pPr>
      <w:r w:rsidRPr="003C3AAF">
        <w:rPr>
          <w:rFonts w:ascii="Arial" w:hAnsi="Arial" w:cs="Arial"/>
          <w:snapToGrid w:val="0"/>
          <w:sz w:val="24"/>
          <w:szCs w:val="24"/>
        </w:rPr>
        <w:tab/>
      </w:r>
    </w:p>
    <w:p w14:paraId="21851D77" w14:textId="77777777" w:rsidR="003C3AAF" w:rsidRPr="003C3AAF" w:rsidRDefault="003C3AAF" w:rsidP="003C3AAF">
      <w:pPr>
        <w:autoSpaceDE w:val="0"/>
        <w:autoSpaceDN w:val="0"/>
        <w:adjustRightInd w:val="0"/>
        <w:spacing w:after="120"/>
        <w:ind w:left="425" w:hanging="425"/>
        <w:jc w:val="both"/>
        <w:rPr>
          <w:rFonts w:ascii="Arial" w:hAnsi="Arial" w:cs="Arial"/>
          <w:b/>
          <w:snapToGrid w:val="0"/>
          <w:sz w:val="24"/>
          <w:szCs w:val="24"/>
        </w:rPr>
      </w:pPr>
      <w:r w:rsidRPr="003C3AAF">
        <w:rPr>
          <w:rFonts w:ascii="Arial" w:hAnsi="Arial" w:cs="Arial"/>
          <w:b/>
          <w:snapToGrid w:val="0"/>
          <w:sz w:val="24"/>
          <w:szCs w:val="24"/>
        </w:rPr>
        <w:lastRenderedPageBreak/>
        <w:t>Solvency Target and Funding Target</w:t>
      </w:r>
    </w:p>
    <w:p w14:paraId="0AC819BA" w14:textId="77777777" w:rsidR="003C3AAF" w:rsidRPr="003C3AAF" w:rsidRDefault="003C3AAF" w:rsidP="003C3AAF">
      <w:pPr>
        <w:spacing w:after="60"/>
        <w:ind w:left="426" w:hanging="426"/>
        <w:rPr>
          <w:rFonts w:ascii="Arial" w:hAnsi="Arial" w:cs="Arial"/>
          <w:sz w:val="24"/>
          <w:szCs w:val="24"/>
          <w:u w:val="single"/>
        </w:rPr>
      </w:pPr>
      <w:r w:rsidRPr="003C3AAF">
        <w:rPr>
          <w:rFonts w:ascii="Arial" w:hAnsi="Arial" w:cs="Arial"/>
          <w:b/>
          <w:sz w:val="24"/>
          <w:szCs w:val="24"/>
        </w:rPr>
        <w:tab/>
      </w:r>
      <w:r w:rsidRPr="003C3AAF">
        <w:rPr>
          <w:rFonts w:ascii="Arial" w:hAnsi="Arial" w:cs="Arial"/>
          <w:sz w:val="24"/>
          <w:szCs w:val="24"/>
          <w:u w:val="single"/>
        </w:rPr>
        <w:t>Solvency and Funding Success</w:t>
      </w:r>
    </w:p>
    <w:p w14:paraId="398FB097" w14:textId="77777777" w:rsidR="003C3AAF" w:rsidRPr="003C3AAF" w:rsidRDefault="003C3AAF" w:rsidP="0073304A">
      <w:pPr>
        <w:widowControl w:val="0"/>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The Administering Authority’s primary aim is long-term solvency. Accordingly, employers’ contributions will be set to ensure that 100% of the liabilities can be met over the long term using appropriate actuarial assumptions. The Solvency Target is the amount of assets which the Fund, having taken advice from the Fund Actuary, wishes to hold at the end of the Trajectory Period (see later) to meet this aim.</w:t>
      </w:r>
    </w:p>
    <w:p w14:paraId="58765749" w14:textId="77777777" w:rsidR="003C3AAF" w:rsidRPr="003C3AAF" w:rsidRDefault="003C3AAF" w:rsidP="003C3AAF">
      <w:pPr>
        <w:rPr>
          <w:rFonts w:ascii="Arial" w:hAnsi="Arial" w:cs="Arial"/>
          <w:sz w:val="24"/>
          <w:szCs w:val="24"/>
        </w:rPr>
      </w:pPr>
    </w:p>
    <w:p w14:paraId="4EFF81D5"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The Fund is deemed to be solvent when the assets held are equal to or greater than 100% of the Solvency Target, where the Solvency Target is the value of the Fund's liabilities evaluated using appropriate methods and assumptions.  The Administering Authority believes that its funding strategy will ensure the solvency of the Fund because employers collectively have the financial capacity to increase employer contributions should future circumstances require, in order to continue to target a funding level of 100%.</w:t>
      </w:r>
    </w:p>
    <w:p w14:paraId="3B249AF3" w14:textId="77777777" w:rsidR="003C3AAF" w:rsidRPr="003C3AAF" w:rsidRDefault="003C3AAF" w:rsidP="003C3AAF">
      <w:pPr>
        <w:jc w:val="both"/>
        <w:rPr>
          <w:rFonts w:ascii="Arial" w:hAnsi="Arial" w:cs="Arial"/>
          <w:sz w:val="24"/>
          <w:szCs w:val="24"/>
        </w:rPr>
      </w:pPr>
    </w:p>
    <w:p w14:paraId="06593C90"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For secure tax raising Scheduled Bodies and Admission Bodies with guarantors of sound covenant agreeing to subsume assets and liabilities following exit, the Solvency Target will use appropriate actuarial methods and assumptions that are believed appropriate in the long term for those Bodies. For the 2019 valuation the Solvency Target will be set using an assumed rate of return of 2% in excess of the assumed long term annual increase in the Consumer Prices Index, which is intended to be a prudent outperformance assumption based on assumed future asset holdings. </w:t>
      </w:r>
    </w:p>
    <w:p w14:paraId="28752373" w14:textId="77777777" w:rsidR="003C3AAF" w:rsidRPr="003C3AAF" w:rsidRDefault="003C3AAF" w:rsidP="003C3AAF">
      <w:pPr>
        <w:pStyle w:val="Default"/>
      </w:pPr>
    </w:p>
    <w:p w14:paraId="30DDC307"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For non tax raising Scheduled Bodies the Solvency Target may (dependent on circumstances) be set at a more prudent level than that used for Scheduled Bodies and Admission Bodies with guarantors of sound covenant agreeing to subsume assets and liabilities following exit. </w:t>
      </w:r>
    </w:p>
    <w:p w14:paraId="468FABA0" w14:textId="77777777" w:rsidR="003C3AAF" w:rsidRPr="003C3AAF" w:rsidRDefault="003C3AAF" w:rsidP="003C3AAF">
      <w:pPr>
        <w:pStyle w:val="Normalplus"/>
        <w:jc w:val="both"/>
        <w:rPr>
          <w:rFonts w:cs="Arial"/>
        </w:rPr>
      </w:pPr>
    </w:p>
    <w:p w14:paraId="10B7E8ED"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For Admission Bodies and other bodies whose liabilities are expected to be orphaned following exit, the required Solvency Target will be set at a more prudent level dependent on circumstances. For most such bodies, the chance of achieving solvency will be set commensurate with assumed investment in an appropriate portfolio of Government index linked and fixed interest bonds after exit. </w:t>
      </w:r>
    </w:p>
    <w:p w14:paraId="7A6F90BB" w14:textId="77777777" w:rsidR="003C3AAF" w:rsidRPr="003C3AAF" w:rsidRDefault="003C3AAF" w:rsidP="003C3AAF">
      <w:pPr>
        <w:pStyle w:val="ListParagraph"/>
        <w:rPr>
          <w:rFonts w:cs="Arial"/>
          <w:sz w:val="24"/>
        </w:rPr>
      </w:pPr>
    </w:p>
    <w:p w14:paraId="25103E76" w14:textId="77777777" w:rsidR="003C3AAF" w:rsidRPr="003C3AAF" w:rsidRDefault="003C3AAF" w:rsidP="0073304A">
      <w:pPr>
        <w:numPr>
          <w:ilvl w:val="1"/>
          <w:numId w:val="83"/>
        </w:numPr>
        <w:jc w:val="both"/>
        <w:rPr>
          <w:rFonts w:ascii="Arial" w:hAnsi="Arial" w:cs="Arial"/>
          <w:sz w:val="24"/>
          <w:szCs w:val="24"/>
        </w:rPr>
      </w:pPr>
      <w:r w:rsidRPr="003C3AAF">
        <w:rPr>
          <w:rFonts w:ascii="Arial" w:hAnsi="Arial" w:cs="Arial"/>
          <w:sz w:val="24"/>
          <w:szCs w:val="24"/>
        </w:rPr>
        <w:t>For deferred employers it is expected that the Solvency Target will be set by considering the valuation basis which would be adopted once the Deferred Debt Agreement ends. For most such bodies, the Solvency Target will be set commensurate with assumed investment in Government bonds at the end of the period of the Deferred Debt Agreement.</w:t>
      </w:r>
    </w:p>
    <w:p w14:paraId="7B38F753" w14:textId="77777777" w:rsidR="003C3AAF" w:rsidRPr="003C3AAF" w:rsidRDefault="003C3AAF" w:rsidP="003C3AAF">
      <w:pPr>
        <w:pStyle w:val="Normalplus"/>
        <w:jc w:val="both"/>
        <w:rPr>
          <w:rFonts w:cs="Arial"/>
        </w:rPr>
      </w:pPr>
    </w:p>
    <w:p w14:paraId="53752FC6" w14:textId="77777777" w:rsidR="00C36412" w:rsidRDefault="003C3AAF" w:rsidP="003C3AAF">
      <w:pPr>
        <w:pStyle w:val="Normalplus"/>
        <w:spacing w:after="60"/>
        <w:ind w:left="426" w:hanging="426"/>
        <w:jc w:val="both"/>
        <w:rPr>
          <w:rFonts w:cs="Arial"/>
        </w:rPr>
      </w:pPr>
      <w:r w:rsidRPr="003C3AAF">
        <w:rPr>
          <w:rFonts w:cs="Arial"/>
        </w:rPr>
        <w:tab/>
      </w:r>
    </w:p>
    <w:p w14:paraId="51B6AC40" w14:textId="77777777" w:rsidR="00C36412" w:rsidRDefault="00C36412" w:rsidP="003C3AAF">
      <w:pPr>
        <w:pStyle w:val="Normalplus"/>
        <w:spacing w:after="60"/>
        <w:ind w:left="426" w:hanging="426"/>
        <w:jc w:val="both"/>
        <w:rPr>
          <w:rFonts w:cs="Arial"/>
        </w:rPr>
      </w:pPr>
    </w:p>
    <w:p w14:paraId="67FAED9D" w14:textId="77777777" w:rsidR="003C3AAF" w:rsidRPr="003C3AAF" w:rsidRDefault="003C3AAF" w:rsidP="003C3AAF">
      <w:pPr>
        <w:pStyle w:val="Normalplus"/>
        <w:spacing w:after="60"/>
        <w:ind w:left="426" w:hanging="426"/>
        <w:jc w:val="both"/>
        <w:rPr>
          <w:rFonts w:cs="Arial"/>
          <w:u w:val="single"/>
        </w:rPr>
      </w:pPr>
      <w:r w:rsidRPr="003C3AAF">
        <w:rPr>
          <w:rFonts w:cs="Arial"/>
          <w:u w:val="single"/>
        </w:rPr>
        <w:lastRenderedPageBreak/>
        <w:t>Probability of Funding Success</w:t>
      </w:r>
    </w:p>
    <w:p w14:paraId="207A7C20"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The Administering Authority deems funding success to have been achieved if the Fund, at the end of the Trajectory Period (or the longest employer Recovery Period, if longer), has achieved the Solvency Target. The Probability of Funding Success is the assessed chance of this happening based on the level of contributions payable by members and employers and asset-liability modelling carried out by the Fund Actuary.</w:t>
      </w:r>
    </w:p>
    <w:p w14:paraId="15F8942C" w14:textId="77777777" w:rsidR="003C3AAF" w:rsidRPr="003C3AAF" w:rsidRDefault="003C3AAF" w:rsidP="003C3AAF">
      <w:pPr>
        <w:widowControl w:val="0"/>
        <w:jc w:val="both"/>
        <w:rPr>
          <w:rFonts w:ascii="Arial" w:hAnsi="Arial" w:cs="Arial"/>
          <w:sz w:val="24"/>
          <w:szCs w:val="24"/>
        </w:rPr>
      </w:pPr>
    </w:p>
    <w:p w14:paraId="7C590677"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Consistent with the Administering Authority's aim of enabling employers' total contributions to be kept as nearly constant as possible, the required chance of achieving the Solvency Target at the end of the relevant Trajectory Period for each employer or employer group can be altered at successive valuations within an overall envelope of acceptable risk. </w:t>
      </w:r>
    </w:p>
    <w:p w14:paraId="7E5A030E" w14:textId="77777777" w:rsidR="003C3AAF" w:rsidRPr="003C3AAF" w:rsidRDefault="003C3AAF" w:rsidP="003C3AAF">
      <w:pPr>
        <w:widowControl w:val="0"/>
        <w:jc w:val="both"/>
        <w:rPr>
          <w:rFonts w:ascii="Arial" w:hAnsi="Arial" w:cs="Arial"/>
          <w:sz w:val="24"/>
          <w:szCs w:val="24"/>
        </w:rPr>
      </w:pPr>
    </w:p>
    <w:p w14:paraId="5E342BCB"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The Administering Authority will not permit contributions to be set following a valuation that have an unacceptably low chance of achieving the Solvency Target at the end of the relevant Trajectory Period. </w:t>
      </w:r>
    </w:p>
    <w:p w14:paraId="1280E064" w14:textId="77777777" w:rsidR="003C3AAF" w:rsidRPr="003C3AAF" w:rsidRDefault="003C3AAF" w:rsidP="003C3AAF">
      <w:pPr>
        <w:rPr>
          <w:rFonts w:ascii="Arial" w:hAnsi="Arial" w:cs="Arial"/>
          <w:b/>
          <w:sz w:val="24"/>
          <w:szCs w:val="24"/>
        </w:rPr>
      </w:pPr>
      <w:r w:rsidRPr="003C3AAF">
        <w:rPr>
          <w:rFonts w:ascii="Arial" w:hAnsi="Arial" w:cs="Arial"/>
          <w:b/>
          <w:sz w:val="24"/>
          <w:szCs w:val="24"/>
        </w:rPr>
        <w:tab/>
      </w:r>
    </w:p>
    <w:p w14:paraId="752D2767" w14:textId="77777777" w:rsidR="003C3AAF" w:rsidRPr="003C3AAF" w:rsidRDefault="003C3AAF" w:rsidP="003C3AAF">
      <w:pPr>
        <w:pStyle w:val="Normalplus"/>
        <w:spacing w:after="60"/>
        <w:ind w:left="426" w:hanging="426"/>
        <w:jc w:val="both"/>
        <w:rPr>
          <w:rFonts w:cs="Arial"/>
          <w:b/>
        </w:rPr>
      </w:pPr>
      <w:r w:rsidRPr="003C3AAF">
        <w:rPr>
          <w:rFonts w:cs="Arial"/>
        </w:rPr>
        <w:tab/>
      </w:r>
      <w:r w:rsidRPr="003C3AAF">
        <w:rPr>
          <w:rFonts w:cs="Arial"/>
          <w:b/>
        </w:rPr>
        <w:t>Trajectory Periods</w:t>
      </w:r>
    </w:p>
    <w:p w14:paraId="604D9AC5"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The Trajectory Period in relation to an employer is the period between the valuation date and the date on which solvency is targeted to be achieved.</w:t>
      </w:r>
    </w:p>
    <w:p w14:paraId="1C375741" w14:textId="77777777" w:rsidR="003C3AAF" w:rsidRPr="003C3AAF" w:rsidRDefault="003C3AAF" w:rsidP="003C3AAF">
      <w:pPr>
        <w:widowControl w:val="0"/>
        <w:jc w:val="both"/>
        <w:rPr>
          <w:rFonts w:ascii="Arial" w:hAnsi="Arial" w:cs="Arial"/>
          <w:snapToGrid w:val="0"/>
          <w:sz w:val="24"/>
          <w:szCs w:val="24"/>
        </w:rPr>
      </w:pPr>
    </w:p>
    <w:p w14:paraId="121B0A5E"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Maintaining a stable Trajectory Period avoids undue volatility when setting long term assumptions for the Fund, where the Administering Authority would in ideal circumstances look to reduce the Recovery Period over time in order to achieve Full Funding. A Trajectory Period of 25 years will be used for the valuation at 31 March 2019.</w:t>
      </w:r>
    </w:p>
    <w:p w14:paraId="32698301" w14:textId="77777777" w:rsidR="003C3AAF" w:rsidRPr="003C3AAF" w:rsidRDefault="003C3AAF" w:rsidP="003C3AAF">
      <w:pPr>
        <w:rPr>
          <w:rFonts w:ascii="Arial" w:hAnsi="Arial" w:cs="Arial"/>
          <w:b/>
          <w:sz w:val="24"/>
          <w:szCs w:val="24"/>
        </w:rPr>
      </w:pPr>
      <w:r w:rsidRPr="003C3AAF">
        <w:rPr>
          <w:rFonts w:ascii="Arial" w:hAnsi="Arial" w:cs="Arial"/>
          <w:b/>
          <w:sz w:val="24"/>
          <w:szCs w:val="24"/>
        </w:rPr>
        <w:tab/>
      </w:r>
    </w:p>
    <w:p w14:paraId="14D38273" w14:textId="77777777" w:rsidR="003C3AAF" w:rsidRPr="003C3AAF" w:rsidRDefault="003C3AAF" w:rsidP="003C3AAF">
      <w:pPr>
        <w:spacing w:after="60"/>
        <w:ind w:left="425" w:hanging="425"/>
        <w:rPr>
          <w:rFonts w:ascii="Arial" w:hAnsi="Arial" w:cs="Arial"/>
          <w:b/>
          <w:sz w:val="24"/>
          <w:szCs w:val="24"/>
        </w:rPr>
      </w:pPr>
      <w:r w:rsidRPr="003C3AAF">
        <w:rPr>
          <w:rFonts w:ascii="Arial" w:hAnsi="Arial" w:cs="Arial"/>
          <w:b/>
          <w:sz w:val="24"/>
          <w:szCs w:val="24"/>
        </w:rPr>
        <w:tab/>
        <w:t>Funding Target</w:t>
      </w:r>
    </w:p>
    <w:p w14:paraId="11403B64"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In order to satisfy the legislative requirement to secure long term cost efficiency the Administering Authority's aim is for employer contributions to be set so as to make provision for the cost of benefit accrual, with an appropriate adjustment for any surplus or deficiency.  This is achieved through the setting of a Funding Target. </w:t>
      </w:r>
    </w:p>
    <w:p w14:paraId="683314FC" w14:textId="77777777" w:rsidR="003C3AAF" w:rsidRPr="003C3AAF" w:rsidRDefault="003C3AAF" w:rsidP="003C3AAF">
      <w:pPr>
        <w:rPr>
          <w:rFonts w:ascii="Arial" w:hAnsi="Arial" w:cs="Arial"/>
          <w:sz w:val="24"/>
          <w:szCs w:val="24"/>
          <w:lang w:val="en-US"/>
        </w:rPr>
      </w:pPr>
      <w:r w:rsidRPr="003C3AAF">
        <w:rPr>
          <w:rFonts w:ascii="Arial" w:hAnsi="Arial" w:cs="Arial"/>
          <w:sz w:val="24"/>
          <w:szCs w:val="24"/>
          <w:lang w:val="en-US"/>
        </w:rPr>
        <w:tab/>
      </w:r>
    </w:p>
    <w:p w14:paraId="0AB90774"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The Funding Target is the amount of assets which the Fund needs to hold at the valuation date to pay the liabilities at that date as indicated by the chosen valuation method and assumptions. It is a product of the actuarial valuation exercise and is not the same as the Solvency Target. It is instead the product of the data, chosen assumptions, and valuation method. The valuation method including the components of Funding Target, future service costs and any adjustment for the surplus or deficiency simply serve to set the level of contributions payable, which in turn dictates the chance of achieving the Solvency Target at the end of the Trajectory Period (defined below).</w:t>
      </w:r>
    </w:p>
    <w:p w14:paraId="775FA2F0" w14:textId="77777777" w:rsidR="003C3AAF" w:rsidRPr="003C3AAF" w:rsidRDefault="003C3AAF" w:rsidP="003C3AAF">
      <w:pPr>
        <w:pStyle w:val="Normalplus"/>
        <w:jc w:val="both"/>
        <w:rPr>
          <w:rFonts w:cs="Arial"/>
        </w:rPr>
      </w:pPr>
    </w:p>
    <w:p w14:paraId="2AFABB10"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lastRenderedPageBreak/>
        <w:t>Consistent with the aim of enabling employers' primary contribution rates to be kept as nearly constant as possible:</w:t>
      </w:r>
    </w:p>
    <w:p w14:paraId="6FE7219D" w14:textId="77777777" w:rsidR="003C3AAF" w:rsidRPr="003C3AAF" w:rsidRDefault="003C3AAF" w:rsidP="003C3AAF">
      <w:pPr>
        <w:widowControl w:val="0"/>
        <w:spacing w:line="237" w:lineRule="auto"/>
        <w:ind w:right="73"/>
        <w:jc w:val="both"/>
        <w:rPr>
          <w:rFonts w:ascii="Arial" w:hAnsi="Arial" w:cs="Arial"/>
          <w:spacing w:val="2"/>
          <w:sz w:val="24"/>
          <w:szCs w:val="24"/>
        </w:rPr>
      </w:pPr>
    </w:p>
    <w:p w14:paraId="110164D8"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Contribution rates are set by use of the Projected Unit valuation method for most employers. The Projected Unit method is used in the actuarial valuation to determine the cost of benefits accruing to the Fund as a whole and for employers who continue to admit new members.  This means that the future service (primary) contribution rate is derived as the cost of benefits accruing to employee members over the year following the valuation date expressed as a percentage of members’ pensionable pay over that period.</w:t>
      </w:r>
    </w:p>
    <w:p w14:paraId="7D868004" w14:textId="77777777" w:rsidR="003C3AAF" w:rsidRPr="003C3AAF" w:rsidRDefault="003C3AAF" w:rsidP="003C3AAF">
      <w:pPr>
        <w:widowControl w:val="0"/>
        <w:spacing w:after="120"/>
        <w:jc w:val="both"/>
        <w:rPr>
          <w:rFonts w:ascii="Arial" w:hAnsi="Arial" w:cs="Arial"/>
          <w:sz w:val="24"/>
          <w:szCs w:val="24"/>
        </w:rPr>
      </w:pPr>
    </w:p>
    <w:p w14:paraId="2BEA1995" w14:textId="77777777" w:rsidR="003C3AAF" w:rsidRPr="003C3AAF" w:rsidRDefault="003C3AAF" w:rsidP="003C3AAF">
      <w:pPr>
        <w:widowControl w:val="0"/>
        <w:spacing w:after="120"/>
        <w:jc w:val="both"/>
        <w:rPr>
          <w:rFonts w:ascii="Arial" w:hAnsi="Arial" w:cs="Arial"/>
          <w:sz w:val="24"/>
          <w:szCs w:val="24"/>
        </w:rPr>
      </w:pPr>
    </w:p>
    <w:p w14:paraId="4EE433FB"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 xml:space="preserve">For employers who no longer admit new members, the Attained Age valuation method is normally used. This means that the future service (primary) contribution rate is derived as the average cost of benefits accruing to members over the period until they die, leave the Fund or retire. </w:t>
      </w:r>
    </w:p>
    <w:p w14:paraId="23AB0FA2"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The discount rate, and hence the overall required level of employer contributions, has been set for the 2019 valuation such that the Fund Actuary estimates that there is an 80% Probability of Funding Success – i.e. an 80% chance that the Fund would reach or exceed its Solvency Target after a Trajectory Period of 25 years (on the assumption that Recovery Periods were less than 25 years for all employers). </w:t>
      </w:r>
    </w:p>
    <w:p w14:paraId="74837F75" w14:textId="77777777" w:rsidR="003C3AAF" w:rsidRPr="003C3AAF" w:rsidRDefault="003C3AAF" w:rsidP="003C3AAF">
      <w:pPr>
        <w:pStyle w:val="Normalplus"/>
        <w:rPr>
          <w:rFonts w:cs="Arial"/>
        </w:rPr>
      </w:pPr>
      <w:r w:rsidRPr="003C3AAF">
        <w:rPr>
          <w:rFonts w:cs="Arial"/>
        </w:rPr>
        <w:tab/>
      </w:r>
    </w:p>
    <w:p w14:paraId="73BDA1E3" w14:textId="77777777" w:rsidR="003C3AAF" w:rsidRPr="003C3AAF" w:rsidRDefault="003C3AAF" w:rsidP="003C3AAF">
      <w:pPr>
        <w:pStyle w:val="Normalplus"/>
        <w:spacing w:after="60"/>
        <w:ind w:left="425" w:hanging="425"/>
        <w:rPr>
          <w:rFonts w:cs="Arial"/>
          <w:b/>
        </w:rPr>
      </w:pPr>
      <w:r w:rsidRPr="003C3AAF">
        <w:rPr>
          <w:rFonts w:cs="Arial"/>
          <w:b/>
        </w:rPr>
        <w:tab/>
        <w:t>Application to different types of body</w:t>
      </w:r>
    </w:p>
    <w:p w14:paraId="4CF8815E"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Some comments on the principles used to derive the Solvency and Funding Target for different bodies in the Fund are set out below.</w:t>
      </w:r>
    </w:p>
    <w:p w14:paraId="7487CF62" w14:textId="77777777" w:rsidR="003C3AAF" w:rsidRPr="003C3AAF" w:rsidRDefault="003C3AAF" w:rsidP="003C3AAF">
      <w:pPr>
        <w:jc w:val="both"/>
        <w:rPr>
          <w:rFonts w:ascii="Arial" w:hAnsi="Arial" w:cs="Arial"/>
          <w:sz w:val="24"/>
          <w:szCs w:val="24"/>
        </w:rPr>
      </w:pPr>
    </w:p>
    <w:p w14:paraId="192BD372" w14:textId="77777777" w:rsidR="003C3AAF" w:rsidRPr="003C3AAF" w:rsidRDefault="003C3AAF" w:rsidP="003C3AAF">
      <w:pPr>
        <w:ind w:left="426"/>
        <w:jc w:val="both"/>
        <w:rPr>
          <w:rFonts w:ascii="Arial" w:hAnsi="Arial" w:cs="Arial"/>
          <w:sz w:val="24"/>
          <w:szCs w:val="24"/>
          <w:u w:val="single"/>
        </w:rPr>
      </w:pPr>
      <w:r w:rsidRPr="003C3AAF">
        <w:rPr>
          <w:rFonts w:ascii="Arial" w:hAnsi="Arial" w:cs="Arial"/>
          <w:sz w:val="24"/>
          <w:szCs w:val="24"/>
          <w:u w:val="single"/>
        </w:rPr>
        <w:t>Scheduled Bodies and certain other bodies of sound covenant</w:t>
      </w:r>
    </w:p>
    <w:p w14:paraId="415B852B" w14:textId="77777777" w:rsidR="003C3AAF" w:rsidRPr="003C3AAF" w:rsidRDefault="003C3AAF" w:rsidP="003C3AAF">
      <w:pPr>
        <w:jc w:val="both"/>
        <w:rPr>
          <w:rFonts w:ascii="Arial" w:hAnsi="Arial" w:cs="Arial"/>
          <w:sz w:val="24"/>
          <w:szCs w:val="24"/>
          <w:u w:val="single"/>
        </w:rPr>
      </w:pPr>
    </w:p>
    <w:p w14:paraId="6F10AAC5" w14:textId="77777777" w:rsidR="003C3AAF" w:rsidRPr="003C3AAF" w:rsidRDefault="003C3AAF" w:rsidP="0073304A">
      <w:pPr>
        <w:numPr>
          <w:ilvl w:val="1"/>
          <w:numId w:val="83"/>
        </w:numPr>
        <w:ind w:left="426"/>
        <w:jc w:val="both"/>
        <w:rPr>
          <w:rFonts w:ascii="Arial" w:hAnsi="Arial" w:cs="Arial"/>
          <w:sz w:val="24"/>
          <w:szCs w:val="24"/>
          <w:u w:val="single"/>
        </w:rPr>
      </w:pPr>
      <w:r w:rsidRPr="003C3AAF">
        <w:rPr>
          <w:rFonts w:ascii="Arial" w:hAnsi="Arial" w:cs="Arial"/>
          <w:sz w:val="24"/>
          <w:szCs w:val="24"/>
        </w:rPr>
        <w:t>The Administering Authority will adopt a general approach in this regard of assuming indefinite investment in a broad range of assets of higher risk than low risk assets for secure tax raising Scheduled Bodies whose participation in the Fund is considered by the Administering Authority to be indefinite and certain other bodies which are long term in nature i.e. Admission bodies with a subsumption commitment from such Scheduled Bodies.  This is known as the scheduled and subsumption body funding target.</w:t>
      </w:r>
    </w:p>
    <w:p w14:paraId="6D7433D6" w14:textId="77777777" w:rsidR="003C3AAF" w:rsidRPr="003C3AAF" w:rsidRDefault="003C3AAF" w:rsidP="003C3AAF">
      <w:pPr>
        <w:jc w:val="both"/>
        <w:rPr>
          <w:rFonts w:ascii="Arial" w:hAnsi="Arial" w:cs="Arial"/>
          <w:sz w:val="24"/>
          <w:szCs w:val="24"/>
        </w:rPr>
      </w:pPr>
    </w:p>
    <w:p w14:paraId="1DF584B7" w14:textId="77777777" w:rsidR="003C3AAF" w:rsidRPr="003C3AAF" w:rsidRDefault="003C3AAF" w:rsidP="0073304A">
      <w:pPr>
        <w:numPr>
          <w:ilvl w:val="1"/>
          <w:numId w:val="83"/>
        </w:numPr>
        <w:spacing w:after="120"/>
        <w:ind w:left="426" w:hanging="454"/>
        <w:jc w:val="both"/>
        <w:rPr>
          <w:rFonts w:ascii="Arial" w:hAnsi="Arial" w:cs="Arial"/>
          <w:sz w:val="24"/>
          <w:szCs w:val="24"/>
        </w:rPr>
      </w:pPr>
      <w:r w:rsidRPr="003C3AAF">
        <w:rPr>
          <w:rFonts w:ascii="Arial" w:hAnsi="Arial" w:cs="Arial"/>
          <w:sz w:val="24"/>
          <w:szCs w:val="24"/>
        </w:rPr>
        <w:t>For other Scheduled Bodies the Administering Authority may without limitation, take into account the following factors when setting the funding target for such bodies:</w:t>
      </w:r>
    </w:p>
    <w:p w14:paraId="6EF13094" w14:textId="77777777" w:rsidR="003C3AAF" w:rsidRPr="003C3AAF" w:rsidRDefault="003C3AAF" w:rsidP="003C3AAF">
      <w:pPr>
        <w:widowControl w:val="0"/>
        <w:numPr>
          <w:ilvl w:val="0"/>
          <w:numId w:val="15"/>
        </w:numPr>
        <w:tabs>
          <w:tab w:val="clear" w:pos="360"/>
          <w:tab w:val="num" w:pos="720"/>
        </w:tabs>
        <w:spacing w:after="120"/>
        <w:ind w:left="1077" w:hanging="357"/>
        <w:rPr>
          <w:rFonts w:ascii="Arial" w:hAnsi="Arial" w:cs="Arial"/>
          <w:sz w:val="24"/>
          <w:szCs w:val="24"/>
        </w:rPr>
      </w:pPr>
      <w:r w:rsidRPr="003C3AAF">
        <w:rPr>
          <w:rFonts w:ascii="Arial" w:hAnsi="Arial" w:cs="Arial"/>
          <w:sz w:val="24"/>
          <w:szCs w:val="24"/>
        </w:rPr>
        <w:t>the type/group of the employer</w:t>
      </w:r>
    </w:p>
    <w:p w14:paraId="35E17E46" w14:textId="77777777" w:rsidR="003C3AAF" w:rsidRPr="003C3AAF" w:rsidRDefault="003C3AAF" w:rsidP="003C3AAF">
      <w:pPr>
        <w:widowControl w:val="0"/>
        <w:numPr>
          <w:ilvl w:val="0"/>
          <w:numId w:val="15"/>
        </w:numPr>
        <w:tabs>
          <w:tab w:val="clear" w:pos="360"/>
          <w:tab w:val="num" w:pos="720"/>
        </w:tabs>
        <w:spacing w:after="120"/>
        <w:ind w:left="1077" w:hanging="357"/>
        <w:rPr>
          <w:rFonts w:ascii="Arial" w:hAnsi="Arial" w:cs="Arial"/>
          <w:sz w:val="24"/>
          <w:szCs w:val="24"/>
        </w:rPr>
      </w:pPr>
      <w:r w:rsidRPr="003C3AAF">
        <w:rPr>
          <w:rFonts w:ascii="Arial" w:hAnsi="Arial" w:cs="Arial"/>
          <w:sz w:val="24"/>
          <w:szCs w:val="24"/>
        </w:rPr>
        <w:t xml:space="preserve">the business plans of the employer;                                                              </w:t>
      </w:r>
    </w:p>
    <w:p w14:paraId="26B61B79" w14:textId="77777777" w:rsidR="003C3AAF" w:rsidRPr="003C3AAF" w:rsidRDefault="003C3AAF" w:rsidP="003C3AAF">
      <w:pPr>
        <w:widowControl w:val="0"/>
        <w:numPr>
          <w:ilvl w:val="0"/>
          <w:numId w:val="15"/>
        </w:numPr>
        <w:tabs>
          <w:tab w:val="clear" w:pos="360"/>
          <w:tab w:val="num" w:pos="720"/>
        </w:tabs>
        <w:spacing w:after="120"/>
        <w:ind w:left="1077" w:hanging="357"/>
        <w:rPr>
          <w:rFonts w:ascii="Arial" w:hAnsi="Arial" w:cs="Arial"/>
          <w:sz w:val="24"/>
          <w:szCs w:val="24"/>
        </w:rPr>
      </w:pPr>
      <w:r w:rsidRPr="003C3AAF">
        <w:rPr>
          <w:rFonts w:ascii="Arial" w:hAnsi="Arial" w:cs="Arial"/>
          <w:sz w:val="24"/>
          <w:szCs w:val="24"/>
        </w:rPr>
        <w:t xml:space="preserve">an assessment of the financial covenant of the employer including its long </w:t>
      </w:r>
      <w:r w:rsidRPr="003C3AAF">
        <w:rPr>
          <w:rFonts w:ascii="Arial" w:hAnsi="Arial" w:cs="Arial"/>
          <w:sz w:val="24"/>
          <w:szCs w:val="24"/>
        </w:rPr>
        <w:lastRenderedPageBreak/>
        <w:t xml:space="preserve">term commitment to participate in the Fund;               </w:t>
      </w:r>
    </w:p>
    <w:p w14:paraId="3348B4D8" w14:textId="77777777" w:rsidR="003C3AAF" w:rsidRPr="003C3AAF" w:rsidRDefault="003C3AAF" w:rsidP="003C3AAF">
      <w:pPr>
        <w:widowControl w:val="0"/>
        <w:numPr>
          <w:ilvl w:val="0"/>
          <w:numId w:val="15"/>
        </w:numPr>
        <w:tabs>
          <w:tab w:val="clear" w:pos="360"/>
          <w:tab w:val="num" w:pos="720"/>
        </w:tabs>
        <w:ind w:left="1077" w:hanging="357"/>
        <w:rPr>
          <w:rFonts w:ascii="Arial" w:hAnsi="Arial" w:cs="Arial"/>
          <w:sz w:val="24"/>
          <w:szCs w:val="24"/>
        </w:rPr>
      </w:pPr>
      <w:r w:rsidRPr="003C3AAF">
        <w:rPr>
          <w:rFonts w:ascii="Arial" w:hAnsi="Arial" w:cs="Arial"/>
          <w:sz w:val="24"/>
          <w:szCs w:val="24"/>
        </w:rPr>
        <w:t>any contingent security available to the Fund or offered by the employer such as  a guarantor or bond arrangement, charge over assets, etc.</w:t>
      </w:r>
    </w:p>
    <w:p w14:paraId="074E8BAD" w14:textId="77777777" w:rsidR="003C3AAF" w:rsidRPr="003C3AAF" w:rsidRDefault="003C3AAF" w:rsidP="003C3AAF">
      <w:pPr>
        <w:jc w:val="both"/>
        <w:rPr>
          <w:rFonts w:ascii="Arial" w:hAnsi="Arial" w:cs="Arial"/>
          <w:sz w:val="24"/>
          <w:szCs w:val="24"/>
        </w:rPr>
      </w:pPr>
    </w:p>
    <w:p w14:paraId="6B513114"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Where, by virtue of having taken account of some or all of the above factors, the Administering Authority adopts a less risky (more prudent) funding target than the scheduled and subsumption body funding target for any scheduled bodies, this is known as the intermediate funding target.</w:t>
      </w:r>
    </w:p>
    <w:p w14:paraId="24D4C62D" w14:textId="77777777" w:rsidR="003C3AAF" w:rsidRPr="003C3AAF" w:rsidRDefault="003C3AAF" w:rsidP="003C3AAF">
      <w:pPr>
        <w:pStyle w:val="Normalplus"/>
        <w:rPr>
          <w:rFonts w:cs="Arial"/>
          <w:u w:val="single"/>
        </w:rPr>
      </w:pPr>
    </w:p>
    <w:p w14:paraId="11C37435" w14:textId="77777777" w:rsidR="003C3AAF" w:rsidRPr="003C3AAF" w:rsidRDefault="003C3AAF" w:rsidP="003C3AAF">
      <w:pPr>
        <w:spacing w:after="120"/>
        <w:ind w:left="426"/>
        <w:jc w:val="both"/>
        <w:rPr>
          <w:rFonts w:ascii="Arial" w:hAnsi="Arial" w:cs="Arial"/>
          <w:sz w:val="24"/>
          <w:szCs w:val="24"/>
          <w:u w:val="single"/>
        </w:rPr>
      </w:pPr>
      <w:r w:rsidRPr="003C3AAF">
        <w:rPr>
          <w:rFonts w:ascii="Arial" w:hAnsi="Arial" w:cs="Arial"/>
          <w:sz w:val="24"/>
          <w:szCs w:val="24"/>
          <w:u w:val="single"/>
        </w:rPr>
        <w:t>Admission Bodies and certain other bodies whose participation is limited</w:t>
      </w:r>
    </w:p>
    <w:p w14:paraId="124DD027" w14:textId="77777777" w:rsidR="003C3AAF" w:rsidRPr="003C3AAF" w:rsidRDefault="003C3AAF" w:rsidP="0073304A">
      <w:pPr>
        <w:numPr>
          <w:ilvl w:val="1"/>
          <w:numId w:val="83"/>
        </w:numPr>
        <w:ind w:left="426" w:hanging="454"/>
        <w:jc w:val="both"/>
        <w:rPr>
          <w:rFonts w:ascii="Arial" w:hAnsi="Arial" w:cs="Arial"/>
          <w:sz w:val="24"/>
          <w:szCs w:val="24"/>
          <w:u w:val="single"/>
        </w:rPr>
      </w:pPr>
      <w:r w:rsidRPr="003C3AAF">
        <w:rPr>
          <w:rFonts w:ascii="Arial" w:hAnsi="Arial" w:cs="Arial"/>
          <w:sz w:val="24"/>
          <w:szCs w:val="24"/>
        </w:rPr>
        <w:t>For Admission Bodies, bodies closed to new entrants and other bodies whose participation in the Fund is believed to be of limited duration through known constraints or reduced covenant, and for which no access to further funding would be available to the Fund after exit (e.g. where no subsumption commitment is in place from a secure tax raising Scheduled Body) the Administering Authority will have specific regard to the potential for participation to cease (or to have no contributing members), the potential timing of such exit, and any likely change in notional or actual investment strategy as regards the assets held in respect of the body's liabilities at the date of exit. This is known as the (ongoing) orphan admission bodies funding target. It is not the same as the exit basis.</w:t>
      </w:r>
    </w:p>
    <w:p w14:paraId="4E3712CD" w14:textId="77777777" w:rsidR="003C3AAF" w:rsidRPr="003C3AAF" w:rsidRDefault="003C3AAF" w:rsidP="003C3AAF">
      <w:pPr>
        <w:jc w:val="both"/>
        <w:rPr>
          <w:rFonts w:ascii="Arial" w:hAnsi="Arial" w:cs="Arial"/>
          <w:sz w:val="24"/>
          <w:szCs w:val="24"/>
        </w:rPr>
      </w:pPr>
    </w:p>
    <w:p w14:paraId="31D929E0" w14:textId="77777777" w:rsidR="003C3AAF" w:rsidRPr="003C3AAF" w:rsidRDefault="003C3AAF" w:rsidP="003C3AAF">
      <w:pPr>
        <w:spacing w:after="240"/>
        <w:ind w:firstLine="426"/>
        <w:jc w:val="both"/>
        <w:rPr>
          <w:rFonts w:ascii="Arial" w:hAnsi="Arial" w:cs="Arial"/>
          <w:sz w:val="24"/>
          <w:szCs w:val="24"/>
          <w:u w:val="single"/>
        </w:rPr>
      </w:pPr>
      <w:r w:rsidRPr="003C3AAF">
        <w:rPr>
          <w:rFonts w:ascii="Arial" w:hAnsi="Arial" w:cs="Arial"/>
          <w:sz w:val="24"/>
          <w:szCs w:val="24"/>
          <w:u w:val="single"/>
        </w:rPr>
        <w:t>Deferred employers where a Deferred Debt Agreement is in place</w:t>
      </w:r>
    </w:p>
    <w:p w14:paraId="73284353" w14:textId="77777777" w:rsidR="003C3AAF" w:rsidRPr="003C3AAF" w:rsidRDefault="003C3AAF" w:rsidP="0073304A">
      <w:pPr>
        <w:numPr>
          <w:ilvl w:val="1"/>
          <w:numId w:val="83"/>
        </w:numPr>
        <w:spacing w:after="120"/>
        <w:ind w:left="426" w:hanging="454"/>
        <w:jc w:val="both"/>
        <w:rPr>
          <w:rFonts w:ascii="Arial" w:hAnsi="Arial" w:cs="Arial"/>
          <w:sz w:val="24"/>
          <w:szCs w:val="24"/>
        </w:rPr>
      </w:pPr>
      <w:r w:rsidRPr="003C3AAF">
        <w:rPr>
          <w:rFonts w:ascii="Arial" w:hAnsi="Arial" w:cs="Arial"/>
          <w:sz w:val="24"/>
          <w:szCs w:val="24"/>
        </w:rPr>
        <w:t>For deferred employers where a Deferred Debt Agreement is in place the funding target will take into account any likely change in the notional or actual investment strategy as regards the assets held in respect of the body's liabilities at the date the Deferred Debt Agreement is expected to end and any other factors considered to be relevant by the Administering Authority on the advice of the Actuary, which may include, without limitation:</w:t>
      </w:r>
    </w:p>
    <w:p w14:paraId="6AABB5E5" w14:textId="77777777" w:rsidR="003C3AAF" w:rsidRPr="003C3AAF" w:rsidRDefault="003C3AAF" w:rsidP="0073304A">
      <w:pPr>
        <w:numPr>
          <w:ilvl w:val="2"/>
          <w:numId w:val="95"/>
        </w:numPr>
        <w:spacing w:after="120"/>
        <w:ind w:left="1077" w:hanging="357"/>
        <w:rPr>
          <w:rFonts w:ascii="Arial" w:hAnsi="Arial" w:cs="Arial"/>
          <w:sz w:val="24"/>
          <w:szCs w:val="24"/>
        </w:rPr>
      </w:pPr>
      <w:r w:rsidRPr="003C3AAF">
        <w:rPr>
          <w:rFonts w:ascii="Arial" w:hAnsi="Arial" w:cs="Arial"/>
          <w:sz w:val="24"/>
          <w:szCs w:val="24"/>
        </w:rPr>
        <w:t>the agreed period of the Deferred Debt Agreement;</w:t>
      </w:r>
    </w:p>
    <w:p w14:paraId="586DFE03" w14:textId="77777777" w:rsidR="003C3AAF" w:rsidRPr="003C3AAF" w:rsidRDefault="003C3AAF" w:rsidP="0073304A">
      <w:pPr>
        <w:numPr>
          <w:ilvl w:val="2"/>
          <w:numId w:val="95"/>
        </w:numPr>
        <w:spacing w:after="120"/>
        <w:ind w:left="1077" w:hanging="357"/>
        <w:rPr>
          <w:rFonts w:ascii="Arial" w:hAnsi="Arial" w:cs="Arial"/>
          <w:sz w:val="24"/>
          <w:szCs w:val="24"/>
        </w:rPr>
      </w:pPr>
      <w:r w:rsidRPr="003C3AAF">
        <w:rPr>
          <w:rFonts w:ascii="Arial" w:hAnsi="Arial" w:cs="Arial"/>
          <w:sz w:val="24"/>
          <w:szCs w:val="24"/>
        </w:rPr>
        <w:t>the type/group of the employer;</w:t>
      </w:r>
    </w:p>
    <w:p w14:paraId="0EB6A18B" w14:textId="77777777" w:rsidR="003C3AAF" w:rsidRPr="003C3AAF" w:rsidRDefault="003C3AAF" w:rsidP="0073304A">
      <w:pPr>
        <w:numPr>
          <w:ilvl w:val="2"/>
          <w:numId w:val="95"/>
        </w:numPr>
        <w:spacing w:after="120"/>
        <w:ind w:left="1077" w:hanging="357"/>
        <w:rPr>
          <w:rFonts w:ascii="Arial" w:hAnsi="Arial" w:cs="Arial"/>
          <w:sz w:val="24"/>
          <w:szCs w:val="24"/>
        </w:rPr>
      </w:pPr>
      <w:r w:rsidRPr="003C3AAF">
        <w:rPr>
          <w:rFonts w:ascii="Arial" w:hAnsi="Arial" w:cs="Arial"/>
          <w:sz w:val="24"/>
          <w:szCs w:val="24"/>
        </w:rPr>
        <w:t>the business plans of the employer;</w:t>
      </w:r>
    </w:p>
    <w:p w14:paraId="0F600CEB" w14:textId="77777777" w:rsidR="003C3AAF" w:rsidRPr="003C3AAF" w:rsidRDefault="003C3AAF" w:rsidP="0073304A">
      <w:pPr>
        <w:numPr>
          <w:ilvl w:val="2"/>
          <w:numId w:val="95"/>
        </w:numPr>
        <w:spacing w:after="120"/>
        <w:ind w:left="1077" w:hanging="357"/>
        <w:rPr>
          <w:rFonts w:ascii="Arial" w:hAnsi="Arial" w:cs="Arial"/>
          <w:sz w:val="24"/>
          <w:szCs w:val="24"/>
        </w:rPr>
      </w:pPr>
      <w:r w:rsidRPr="003C3AAF">
        <w:rPr>
          <w:rFonts w:ascii="Arial" w:hAnsi="Arial" w:cs="Arial"/>
          <w:sz w:val="24"/>
          <w:szCs w:val="24"/>
        </w:rPr>
        <w:t>an assessment of the financial covenant of the employer;</w:t>
      </w:r>
    </w:p>
    <w:p w14:paraId="72DC486B" w14:textId="77777777" w:rsidR="003C3AAF" w:rsidRPr="003C3AAF" w:rsidRDefault="003C3AAF" w:rsidP="0073304A">
      <w:pPr>
        <w:numPr>
          <w:ilvl w:val="2"/>
          <w:numId w:val="95"/>
        </w:numPr>
        <w:ind w:left="1077" w:hanging="357"/>
        <w:rPr>
          <w:rFonts w:ascii="Arial" w:hAnsi="Arial" w:cs="Arial"/>
          <w:sz w:val="24"/>
          <w:szCs w:val="24"/>
        </w:rPr>
      </w:pPr>
      <w:r w:rsidRPr="003C3AAF">
        <w:rPr>
          <w:rFonts w:ascii="Arial" w:hAnsi="Arial" w:cs="Arial"/>
          <w:sz w:val="24"/>
          <w:szCs w:val="24"/>
        </w:rPr>
        <w:t>any contingent security available to the Fund by the employer such as a guarantor or bond arrangements, charge over assets, etc</w:t>
      </w:r>
    </w:p>
    <w:p w14:paraId="07D321CB" w14:textId="77777777" w:rsidR="003C3AAF" w:rsidRPr="003C3AAF" w:rsidRDefault="003C3AAF" w:rsidP="003C3AAF">
      <w:pPr>
        <w:ind w:left="720" w:hanging="286"/>
        <w:rPr>
          <w:rFonts w:ascii="Arial" w:hAnsi="Arial" w:cs="Arial"/>
          <w:sz w:val="24"/>
          <w:szCs w:val="24"/>
        </w:rPr>
      </w:pPr>
    </w:p>
    <w:p w14:paraId="49C41208" w14:textId="77777777" w:rsidR="003C3AAF" w:rsidRPr="003C3AAF" w:rsidRDefault="003C3AAF" w:rsidP="003C3AAF">
      <w:pPr>
        <w:ind w:left="426"/>
        <w:jc w:val="both"/>
        <w:rPr>
          <w:rFonts w:ascii="Arial" w:hAnsi="Arial" w:cs="Arial"/>
          <w:sz w:val="24"/>
          <w:szCs w:val="24"/>
        </w:rPr>
      </w:pPr>
      <w:r w:rsidRPr="003C3AAF">
        <w:rPr>
          <w:rFonts w:ascii="Arial" w:hAnsi="Arial" w:cs="Arial"/>
          <w:sz w:val="24"/>
          <w:szCs w:val="24"/>
        </w:rPr>
        <w:t>Further details of the Administering Authority's policy for Deferred Debt Agreements are set out in Appendix 1.</w:t>
      </w:r>
    </w:p>
    <w:p w14:paraId="01F499F9" w14:textId="77777777" w:rsidR="003C3AAF" w:rsidRPr="003C3AAF" w:rsidRDefault="003C3AAF" w:rsidP="003C3AAF">
      <w:pPr>
        <w:ind w:left="425"/>
        <w:jc w:val="both"/>
        <w:rPr>
          <w:rFonts w:ascii="Arial" w:hAnsi="Arial" w:cs="Arial"/>
          <w:sz w:val="24"/>
          <w:szCs w:val="24"/>
          <w:u w:val="single"/>
        </w:rPr>
      </w:pPr>
    </w:p>
    <w:p w14:paraId="1FC38980" w14:textId="77777777" w:rsidR="003C3AAF" w:rsidRPr="003C3AAF" w:rsidRDefault="003C3AAF" w:rsidP="003C3AAF">
      <w:pPr>
        <w:spacing w:after="60"/>
        <w:ind w:left="425"/>
        <w:jc w:val="both"/>
        <w:rPr>
          <w:rFonts w:ascii="Arial" w:hAnsi="Arial" w:cs="Arial"/>
          <w:b/>
          <w:sz w:val="24"/>
          <w:szCs w:val="24"/>
        </w:rPr>
      </w:pPr>
      <w:r w:rsidRPr="003C3AAF">
        <w:rPr>
          <w:rFonts w:ascii="Arial" w:hAnsi="Arial" w:cs="Arial"/>
          <w:b/>
          <w:sz w:val="24"/>
          <w:szCs w:val="24"/>
        </w:rPr>
        <w:t>Full Funding</w:t>
      </w:r>
    </w:p>
    <w:p w14:paraId="2B7EB524"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The Fund is deemed to be fully funded when the assets held are equal to 100% of the Funding Target, where the funding target is assessed based on the sum of the appropriate funding targets across all the employers / groups of employers. </w:t>
      </w:r>
      <w:r w:rsidRPr="003C3AAF">
        <w:rPr>
          <w:rFonts w:ascii="Arial" w:hAnsi="Arial" w:cs="Arial"/>
          <w:sz w:val="24"/>
          <w:szCs w:val="24"/>
        </w:rPr>
        <w:lastRenderedPageBreak/>
        <w:t>When assets held are greater than this amount the Fund is deemed to be in surplus, and when assets held are less than this amount the Fund is deemed to be in deficiency.</w:t>
      </w:r>
    </w:p>
    <w:p w14:paraId="36F7F50E" w14:textId="77777777" w:rsidR="003C3AAF" w:rsidRPr="003C3AAF" w:rsidRDefault="003C3AAF" w:rsidP="003C3AAF">
      <w:pPr>
        <w:ind w:left="425"/>
        <w:jc w:val="both"/>
        <w:rPr>
          <w:rFonts w:ascii="Arial" w:hAnsi="Arial" w:cs="Arial"/>
          <w:snapToGrid w:val="0"/>
          <w:sz w:val="24"/>
          <w:szCs w:val="24"/>
        </w:rPr>
      </w:pPr>
    </w:p>
    <w:p w14:paraId="6180DECB" w14:textId="77777777" w:rsidR="003C3AAF" w:rsidRPr="003C3AAF" w:rsidRDefault="003C3AAF" w:rsidP="003C3AAF">
      <w:pPr>
        <w:spacing w:after="60"/>
        <w:ind w:left="425"/>
        <w:jc w:val="both"/>
        <w:rPr>
          <w:rFonts w:ascii="Arial" w:hAnsi="Arial" w:cs="Arial"/>
          <w:b/>
          <w:sz w:val="24"/>
          <w:szCs w:val="24"/>
        </w:rPr>
      </w:pPr>
      <w:r w:rsidRPr="003C3AAF">
        <w:rPr>
          <w:rFonts w:ascii="Arial" w:hAnsi="Arial" w:cs="Arial"/>
          <w:b/>
          <w:sz w:val="24"/>
          <w:szCs w:val="24"/>
        </w:rPr>
        <w:t>Recovery Periods</w:t>
      </w:r>
    </w:p>
    <w:p w14:paraId="27F0013E"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Where a valuation reveals that the Fund is in surplus or deficiency against the Funding Target, employers' contribution rates will be adjusted to target restoration of fully funding the solvent position over a period of years (the Recovery Period). The Recovery Period to an employer or group of employers is therefore the period over which any adjustment to the level of contributions in respect of a surplus or deficiency relative to the Funding Target used in the valuation is payable. </w:t>
      </w:r>
    </w:p>
    <w:p w14:paraId="3D6C65CA" w14:textId="77777777" w:rsidR="003C3AAF" w:rsidRPr="003C3AAF" w:rsidRDefault="003C3AAF" w:rsidP="003C3AAF">
      <w:pPr>
        <w:ind w:left="425"/>
        <w:jc w:val="both"/>
        <w:rPr>
          <w:rFonts w:ascii="Arial" w:hAnsi="Arial" w:cs="Arial"/>
          <w:sz w:val="24"/>
          <w:szCs w:val="24"/>
        </w:rPr>
      </w:pPr>
    </w:p>
    <w:p w14:paraId="0289CE0E"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The Recovery Period applicable for each participating employer is set by the Administering Authority in consultation with the Fund Actuary and the employer, with a view to balancing the various funding requirements against the risks involved due to such issues as the financial strength of the employer and the nature of its participation in the Fund, and whether the employer is in surplus or deficit on the appropriate Funding Target.</w:t>
      </w:r>
    </w:p>
    <w:p w14:paraId="7BB29020" w14:textId="77777777" w:rsidR="003C3AAF" w:rsidRPr="003C3AAF" w:rsidRDefault="003C3AAF" w:rsidP="003C3AAF">
      <w:pPr>
        <w:ind w:left="425"/>
        <w:jc w:val="both"/>
        <w:rPr>
          <w:rFonts w:ascii="Arial" w:hAnsi="Arial" w:cs="Arial"/>
          <w:snapToGrid w:val="0"/>
          <w:sz w:val="24"/>
          <w:szCs w:val="24"/>
        </w:rPr>
      </w:pPr>
    </w:p>
    <w:p w14:paraId="0C501FCE"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Where an employer is in surplus, and where an employer's expected exit date is unknown or expected to be later than the date the revised rates and adjustments certificate will come into force following the next valuation, this surplus will only lead to an adjustment in an employer's contributions to the extent that this surplus is in excess of 10% of the value of that employer's liabilities valued relative to the appropriate Funding Target (i.e. to the extent that the employer's funding level is greater than 110%). Note that where an employer is subject to  a temporary relaxation of the requirement for Full Funding, or subject to the subsumpion funding target by virtue of a temporary subsumption commitment from City and County of Swansea and/or Neath Port Talbot County Borough Council (see below), the Administering Authority will have regard to the contribution requirement that would have applied without this temporary commitment when determining the extent to which any surplus can lead to contribution reductions. </w:t>
      </w:r>
    </w:p>
    <w:p w14:paraId="78E0D5E8" w14:textId="77777777" w:rsidR="003C3AAF" w:rsidRPr="003C3AAF" w:rsidRDefault="003C3AAF" w:rsidP="003C3AAF">
      <w:pPr>
        <w:ind w:left="426"/>
        <w:jc w:val="both"/>
        <w:rPr>
          <w:rFonts w:ascii="Arial" w:hAnsi="Arial" w:cs="Arial"/>
          <w:sz w:val="24"/>
          <w:szCs w:val="24"/>
        </w:rPr>
      </w:pPr>
    </w:p>
    <w:p w14:paraId="647B2EB3"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The Administering Authority recognises that a large proportion of the Fund’s liabilities are expected to arise as benefit payments over long periods of time. For employers of sound covenant, and where the employer is in deficit, the Administering Authority may be prepared to agree to Recovery Periods which are longer than the average future working lifetime of the membership of that employer. The Administering Authority recognises that such an approach is consistent with the aim of keeping employer contribution rates as nearly constant as possible. However, the Administering Authority also recognises the risk in relying on long Recovery Periods where employers are in deficit, and has agreed with the Fund Actuary a limit of 30 years for employers which are assessed by the Administering Authority as being a long term secure employer. </w:t>
      </w:r>
    </w:p>
    <w:p w14:paraId="64BB67F6" w14:textId="77777777" w:rsidR="003C3AAF" w:rsidRPr="003C3AAF" w:rsidRDefault="003C3AAF" w:rsidP="003C3AAF">
      <w:pPr>
        <w:ind w:left="426"/>
        <w:jc w:val="both"/>
        <w:rPr>
          <w:rFonts w:ascii="Arial" w:hAnsi="Arial" w:cs="Arial"/>
          <w:sz w:val="24"/>
          <w:szCs w:val="24"/>
        </w:rPr>
      </w:pPr>
    </w:p>
    <w:p w14:paraId="04902788"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lastRenderedPageBreak/>
        <w:t>Where employers are in deficit, the Administering Authority’s policy is to agree Recovery Periods with each employer which are as short as possible within the above framework. Recovery Periods for employers or employer groups may differ in order to suitably balance risk to the fund and cost to the employer. For employers whose participation in the fund is for a fixed period it is unlikely that the Administering Authority and Fund Actuary would agree to a Recovery Period longer than the remaining term of participation. For deferred employers the Recovery Period is limited to the period of the Deferred Debt Agreement.</w:t>
      </w:r>
    </w:p>
    <w:p w14:paraId="294933BF" w14:textId="77777777" w:rsidR="003C3AAF" w:rsidRPr="003C3AAF" w:rsidRDefault="003C3AAF" w:rsidP="003C3AAF">
      <w:pPr>
        <w:ind w:left="426"/>
        <w:jc w:val="both"/>
        <w:rPr>
          <w:rFonts w:ascii="Arial" w:hAnsi="Arial" w:cs="Arial"/>
          <w:sz w:val="24"/>
          <w:szCs w:val="24"/>
        </w:rPr>
      </w:pPr>
    </w:p>
    <w:p w14:paraId="7852E7B9"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Resulting from the 2019 valuation, a Recovery Period of up to 19 years was used, with an average Recovery Period of just under 19 years across all participating employers. </w:t>
      </w:r>
    </w:p>
    <w:p w14:paraId="1F908D09" w14:textId="77777777" w:rsidR="003C3AAF" w:rsidRPr="003C3AAF" w:rsidRDefault="003C3AAF" w:rsidP="003C3AAF">
      <w:pPr>
        <w:autoSpaceDE w:val="0"/>
        <w:autoSpaceDN w:val="0"/>
        <w:adjustRightInd w:val="0"/>
        <w:jc w:val="both"/>
        <w:rPr>
          <w:rFonts w:ascii="Arial" w:hAnsi="Arial" w:cs="Arial"/>
          <w:sz w:val="24"/>
          <w:szCs w:val="24"/>
        </w:rPr>
      </w:pPr>
    </w:p>
    <w:p w14:paraId="077F4A3F" w14:textId="77777777" w:rsidR="003C3AAF" w:rsidRPr="003C3AAF" w:rsidRDefault="003C3AAF" w:rsidP="003C3AAF">
      <w:pPr>
        <w:autoSpaceDE w:val="0"/>
        <w:autoSpaceDN w:val="0"/>
        <w:adjustRightInd w:val="0"/>
        <w:spacing w:after="60"/>
        <w:ind w:left="425"/>
        <w:jc w:val="both"/>
        <w:rPr>
          <w:rFonts w:ascii="Arial" w:hAnsi="Arial" w:cs="Arial"/>
          <w:b/>
          <w:sz w:val="24"/>
          <w:szCs w:val="24"/>
        </w:rPr>
      </w:pPr>
      <w:r w:rsidRPr="003C3AAF">
        <w:rPr>
          <w:rFonts w:ascii="Arial" w:hAnsi="Arial" w:cs="Arial"/>
          <w:b/>
          <w:sz w:val="24"/>
          <w:szCs w:val="24"/>
        </w:rPr>
        <w:t>Grouping</w:t>
      </w:r>
    </w:p>
    <w:p w14:paraId="394FFA4D"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In some circumstances it may be desirable to group employers within the Fund together for funding purposes (i.e. to calculate employer contributions). Reasons might include reduction of volatility of contribution rates for small employers, facilitating situations where employers have a common source of funding or accommodating employers who wish to share the risks related to their participation in the Fund.</w:t>
      </w:r>
    </w:p>
    <w:p w14:paraId="4C422447" w14:textId="77777777" w:rsidR="003C3AAF" w:rsidRPr="003C3AAF" w:rsidRDefault="003C3AAF" w:rsidP="003C3AAF">
      <w:pPr>
        <w:ind w:left="426"/>
        <w:jc w:val="both"/>
        <w:rPr>
          <w:rFonts w:ascii="Arial" w:hAnsi="Arial" w:cs="Arial"/>
          <w:sz w:val="24"/>
          <w:szCs w:val="24"/>
        </w:rPr>
      </w:pPr>
    </w:p>
    <w:p w14:paraId="20769C80"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The Administering Authority recognises that grouping can give rise to cross subsidies from one employer to another over time. Employers may be grouped entirely, such that all of the risks of participation are shared, or only partially grouped such that only specified risks are shared. The Administering Authority’s policy is to consider the position carefully at the initial grouping and at each valuation and to notify each employer that is grouped that this is the case, which other employers it is grouped with and details of the grouping method used. If the employer objects to this grouping, it will be set its own contribution rate. For employers with more than 50 contributing members, the Administering Authority would typically look for evidence of homogeneity between employers before considering grouping.</w:t>
      </w:r>
    </w:p>
    <w:p w14:paraId="015E92C6" w14:textId="77777777" w:rsidR="003C3AAF" w:rsidRPr="003C3AAF" w:rsidRDefault="003C3AAF" w:rsidP="003C3AAF">
      <w:pPr>
        <w:jc w:val="both"/>
        <w:rPr>
          <w:rFonts w:ascii="Arial" w:hAnsi="Arial" w:cs="Arial"/>
          <w:sz w:val="24"/>
          <w:szCs w:val="24"/>
        </w:rPr>
      </w:pPr>
    </w:p>
    <w:p w14:paraId="24317938" w14:textId="77777777" w:rsidR="003C3AAF" w:rsidRPr="003C3AAF" w:rsidRDefault="003C3AAF" w:rsidP="003C3AAF">
      <w:pPr>
        <w:ind w:left="426" w:hanging="426"/>
        <w:jc w:val="both"/>
        <w:rPr>
          <w:rFonts w:ascii="Arial" w:hAnsi="Arial" w:cs="Arial"/>
          <w:i/>
          <w:sz w:val="24"/>
          <w:szCs w:val="24"/>
        </w:rPr>
      </w:pPr>
      <w:r w:rsidRPr="003C3AAF">
        <w:rPr>
          <w:rFonts w:ascii="Arial" w:hAnsi="Arial" w:cs="Arial"/>
          <w:sz w:val="24"/>
          <w:szCs w:val="24"/>
        </w:rPr>
        <w:tab/>
        <w:t>Where employers are grouped together for funding purposes, this will only occur with the consent of the employers involved.</w:t>
      </w:r>
      <w:r w:rsidRPr="003C3AAF">
        <w:rPr>
          <w:rFonts w:ascii="Arial" w:hAnsi="Arial" w:cs="Arial"/>
          <w:i/>
          <w:sz w:val="24"/>
          <w:szCs w:val="24"/>
        </w:rPr>
        <w:t xml:space="preserve"> </w:t>
      </w:r>
    </w:p>
    <w:p w14:paraId="1904112B" w14:textId="77777777" w:rsidR="003C3AAF" w:rsidRPr="003C3AAF" w:rsidRDefault="003C3AAF" w:rsidP="003C3AAF">
      <w:pPr>
        <w:pStyle w:val="Default"/>
        <w:jc w:val="both"/>
      </w:pPr>
    </w:p>
    <w:p w14:paraId="4C1369F6"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All employers in the Fund are grouped together in respect of the risks associated with payment of lump sum benefits on death in service – in other words, the cost of such benefits is shared across the employers in the Fund. Such lump sum benefits can cause funding strains which could be significant for some of the smaller employers without insurance or sharing of risks. The Fund, in view of its size, does not see it as cost effective or necessary to insure these benefits externally and this is seen as a pragmatic and low cost approach to spreading the risk.</w:t>
      </w:r>
    </w:p>
    <w:p w14:paraId="1FD4E191" w14:textId="77777777" w:rsidR="003C3AAF" w:rsidRPr="003C3AAF" w:rsidRDefault="003C3AAF" w:rsidP="003C3AAF">
      <w:pPr>
        <w:rPr>
          <w:rFonts w:ascii="Arial" w:hAnsi="Arial" w:cs="Arial"/>
          <w:sz w:val="24"/>
          <w:szCs w:val="24"/>
        </w:rPr>
      </w:pPr>
    </w:p>
    <w:p w14:paraId="44DE35B7"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lastRenderedPageBreak/>
        <w:t>There is a group of employers in the Fund which will be pooled together for funding and contribution purposes at the 2019 valuation.</w:t>
      </w:r>
    </w:p>
    <w:p w14:paraId="1BBF969B" w14:textId="77777777" w:rsidR="003C3AAF" w:rsidRPr="003C3AAF" w:rsidRDefault="003C3AAF" w:rsidP="003C3AAF">
      <w:pPr>
        <w:rPr>
          <w:rFonts w:ascii="Arial" w:hAnsi="Arial" w:cs="Arial"/>
          <w:b/>
          <w:bCs/>
          <w:sz w:val="24"/>
          <w:szCs w:val="24"/>
        </w:rPr>
      </w:pPr>
    </w:p>
    <w:p w14:paraId="20018C15"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From 1 April 2019 it is expected that the Town and Community Councils Group will consist of the following employers - Briton Ferry Town Council, Cilybebyll Community Council, Clydach Community Council, Coedffranc Community Council, Margam Joint Crematorium Committee, Neath Town Council, Pelenna Community Council and Pontardawe Town Council, and any new small councils will join this group going forward.</w:t>
      </w:r>
    </w:p>
    <w:p w14:paraId="7667B7F3" w14:textId="77777777" w:rsidR="003C3AAF" w:rsidRPr="003C3AAF" w:rsidRDefault="003C3AAF" w:rsidP="003C3AAF">
      <w:pPr>
        <w:rPr>
          <w:rFonts w:ascii="Arial" w:hAnsi="Arial" w:cs="Arial"/>
          <w:sz w:val="24"/>
          <w:szCs w:val="24"/>
        </w:rPr>
      </w:pPr>
    </w:p>
    <w:p w14:paraId="0408D992"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Under the pooling approach these employers will pay a common percentage of pay as their primary contribution rate and will share experience (subject to each employer not taking action which adversely and materially, as determined by the Administering Authority, affects the group’s liabilities in which case the Administering Authority may ensure that employer meets the additional liabilities it has created by such action). Each employer in the group will be responsible for meeting any deficit (or benefit from any surplus) allocated to the employer i.e. this will be outside the experience sharing mechanism. Any deficit recovery plan will be based on the specific employer’s circumstances. </w:t>
      </w:r>
    </w:p>
    <w:p w14:paraId="628F65EB" w14:textId="77777777" w:rsidR="003C3AAF" w:rsidRPr="003C3AAF" w:rsidRDefault="003C3AAF" w:rsidP="003C3AAF">
      <w:pPr>
        <w:rPr>
          <w:rFonts w:ascii="Arial" w:hAnsi="Arial" w:cs="Arial"/>
          <w:sz w:val="24"/>
          <w:szCs w:val="24"/>
        </w:rPr>
      </w:pPr>
    </w:p>
    <w:p w14:paraId="3245C4D5"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In the event that an employer in the group has no active members consideration will be given to first issuing a ‘suspension notice’ which under the regulations can defer the exit valuation for up to three years if in the reasonable opinion of the administering authority the employer is likely to have one or more active members contributing to the fund within the period specified in the suspension notice. In the event of an exit valuation, the assets and liabilities following exit will be subsumed by the group and the exited employer will not be required to pay any further contributions unless it admits an employee into the Fund, in which case it is expected that the employer will re-join the group as a participating employer.  Further, no exit credit will be paid to the exiting scheme employer, unless the exiting scheme employer is in surplus when liabilities are calculated using a Funding Target that anticipates investment in low risk investments such as Government bonds.</w:t>
      </w:r>
    </w:p>
    <w:p w14:paraId="399CFEC3" w14:textId="77777777" w:rsidR="003C3AAF" w:rsidRPr="003C3AAF" w:rsidRDefault="003C3AAF" w:rsidP="003C3AAF">
      <w:pPr>
        <w:pStyle w:val="ListParagraph"/>
        <w:rPr>
          <w:rFonts w:cs="Arial"/>
          <w:sz w:val="24"/>
        </w:rPr>
      </w:pPr>
    </w:p>
    <w:p w14:paraId="56E66172" w14:textId="77777777" w:rsidR="003C3AAF" w:rsidRPr="003C3AAF" w:rsidRDefault="003C3AAF" w:rsidP="003C3AAF">
      <w:pPr>
        <w:ind w:left="426"/>
        <w:jc w:val="both"/>
        <w:rPr>
          <w:rFonts w:ascii="Arial" w:hAnsi="Arial" w:cs="Arial"/>
          <w:sz w:val="24"/>
          <w:szCs w:val="24"/>
        </w:rPr>
      </w:pPr>
      <w:r w:rsidRPr="003C3AAF">
        <w:rPr>
          <w:rFonts w:ascii="Arial" w:hAnsi="Arial" w:cs="Arial"/>
          <w:sz w:val="24"/>
          <w:szCs w:val="24"/>
        </w:rPr>
        <w:t>However, if the exiting employer is likely to have a material impact on the contribution rate payable by the remaining employers then the Administering Authority may decide that the exiting employer should make additional payments to the Fund over a period of time to protect the remaining employers from such increases.</w:t>
      </w:r>
    </w:p>
    <w:p w14:paraId="5F352DC0" w14:textId="77777777" w:rsidR="003C3AAF" w:rsidRPr="003C3AAF" w:rsidRDefault="003C3AAF" w:rsidP="003C3AAF">
      <w:pPr>
        <w:rPr>
          <w:rFonts w:ascii="Arial" w:hAnsi="Arial" w:cs="Arial"/>
          <w:b/>
          <w:bCs/>
          <w:sz w:val="24"/>
          <w:szCs w:val="24"/>
        </w:rPr>
      </w:pPr>
    </w:p>
    <w:p w14:paraId="162908B4" w14:textId="77777777" w:rsidR="003C3AAF" w:rsidRPr="003C3AAF" w:rsidRDefault="003C3AAF" w:rsidP="003C3AAF">
      <w:pPr>
        <w:autoSpaceDE w:val="0"/>
        <w:autoSpaceDN w:val="0"/>
        <w:adjustRightInd w:val="0"/>
        <w:spacing w:after="60"/>
        <w:ind w:left="425"/>
        <w:jc w:val="both"/>
        <w:rPr>
          <w:rFonts w:ascii="Arial" w:hAnsi="Arial" w:cs="Arial"/>
          <w:b/>
          <w:sz w:val="24"/>
          <w:szCs w:val="24"/>
        </w:rPr>
      </w:pPr>
      <w:r w:rsidRPr="003C3AAF">
        <w:rPr>
          <w:rFonts w:ascii="Arial" w:hAnsi="Arial" w:cs="Arial"/>
          <w:b/>
          <w:sz w:val="24"/>
          <w:szCs w:val="24"/>
        </w:rPr>
        <w:t>Stepping</w:t>
      </w:r>
    </w:p>
    <w:p w14:paraId="3F3F8EB9"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Again, consistent with the requirement to keep primary employer contribution rates and overall employer contributions as nearly constant as possible, the Administering Authority will consider, at each valuation, whether new contribution rates should be payable immediately, or should be reached by a series of steps over future years. The Administering Authority will discuss with the Fund Actuary </w:t>
      </w:r>
      <w:r w:rsidRPr="003C3AAF">
        <w:rPr>
          <w:rFonts w:ascii="Arial" w:hAnsi="Arial" w:cs="Arial"/>
          <w:sz w:val="24"/>
          <w:szCs w:val="24"/>
        </w:rPr>
        <w:lastRenderedPageBreak/>
        <w:t>the risks inherent in such an approach and will examine the financial impact and risks associated with each employer. The Administering Authority’s policy is that in the normal course of events no more than three equal annual steps will be permitted. Further steps may be permitted in extreme cases in consultation with the Fund Actuary, but the total is very unlikely to exceed six steps.</w:t>
      </w:r>
    </w:p>
    <w:p w14:paraId="045324EE" w14:textId="77777777" w:rsidR="003C3AAF" w:rsidRPr="003C3AAF" w:rsidRDefault="003C3AAF" w:rsidP="003C3AAF">
      <w:pPr>
        <w:ind w:left="425"/>
        <w:jc w:val="both"/>
        <w:rPr>
          <w:rFonts w:ascii="Arial" w:hAnsi="Arial" w:cs="Arial"/>
          <w:sz w:val="24"/>
          <w:szCs w:val="24"/>
        </w:rPr>
      </w:pPr>
    </w:p>
    <w:p w14:paraId="04BC6A26" w14:textId="77777777" w:rsidR="003C3AAF" w:rsidRPr="003C3AAF" w:rsidRDefault="003C3AAF" w:rsidP="003C3AAF">
      <w:pPr>
        <w:autoSpaceDE w:val="0"/>
        <w:autoSpaceDN w:val="0"/>
        <w:adjustRightInd w:val="0"/>
        <w:spacing w:after="60"/>
        <w:ind w:left="425"/>
        <w:jc w:val="both"/>
        <w:rPr>
          <w:rFonts w:ascii="Arial" w:hAnsi="Arial" w:cs="Arial"/>
          <w:b/>
          <w:sz w:val="24"/>
          <w:szCs w:val="24"/>
        </w:rPr>
      </w:pPr>
      <w:r w:rsidRPr="003C3AAF">
        <w:rPr>
          <w:rFonts w:ascii="Arial" w:hAnsi="Arial" w:cs="Arial"/>
          <w:b/>
          <w:sz w:val="24"/>
          <w:szCs w:val="24"/>
        </w:rPr>
        <w:t>Inter-valuation funding calculations</w:t>
      </w:r>
    </w:p>
    <w:p w14:paraId="4B40E34F"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In order to monitor developments for the Fund as a whole, the Administering Authority may from time to time request informal valuations or other calculations. Generally, in such cases the calculations will be based on an approximate roll forward of asset and liability values, and liabilities calculated by reference to assumptions consistent with the most recent preceding valuation. Specifically, it is unlikely that the liabilities would be calculated using individual membership data, and nor would the assumptions be subject to review as occurs at formal funding valuations.</w:t>
      </w:r>
    </w:p>
    <w:p w14:paraId="135D2DAF" w14:textId="77777777" w:rsidR="003C3AAF" w:rsidRPr="003C3AAF" w:rsidRDefault="003C3AAF" w:rsidP="003C3AAF">
      <w:pPr>
        <w:ind w:left="425"/>
        <w:jc w:val="both"/>
        <w:rPr>
          <w:rFonts w:ascii="Arial" w:hAnsi="Arial" w:cs="Arial"/>
          <w:sz w:val="24"/>
          <w:szCs w:val="24"/>
        </w:rPr>
      </w:pPr>
    </w:p>
    <w:p w14:paraId="78AE6032" w14:textId="77777777" w:rsidR="003C3AAF" w:rsidRPr="003C3AAF" w:rsidRDefault="003C3AAF" w:rsidP="003C3AAF">
      <w:pPr>
        <w:ind w:left="425"/>
        <w:jc w:val="both"/>
        <w:rPr>
          <w:rFonts w:ascii="Arial" w:hAnsi="Arial" w:cs="Arial"/>
          <w:b/>
          <w:sz w:val="24"/>
          <w:szCs w:val="24"/>
        </w:rPr>
      </w:pPr>
      <w:r w:rsidRPr="003C3AAF">
        <w:rPr>
          <w:rFonts w:ascii="Arial" w:hAnsi="Arial" w:cs="Arial"/>
          <w:b/>
          <w:sz w:val="24"/>
          <w:szCs w:val="24"/>
        </w:rPr>
        <w:t>Asset shares notionally allocated to individual employers</w:t>
      </w:r>
    </w:p>
    <w:p w14:paraId="54AD6542" w14:textId="77777777" w:rsidR="003C3AAF" w:rsidRPr="003C3AAF" w:rsidRDefault="003C3AAF" w:rsidP="003C3AAF">
      <w:pPr>
        <w:pStyle w:val="Heading1"/>
        <w:rPr>
          <w:rFonts w:cs="Arial"/>
          <w:szCs w:val="24"/>
        </w:rPr>
      </w:pPr>
    </w:p>
    <w:p w14:paraId="1B128200" w14:textId="77777777" w:rsidR="003C3AAF" w:rsidRPr="003C3AAF" w:rsidRDefault="003C3AAF" w:rsidP="0073304A">
      <w:pPr>
        <w:numPr>
          <w:ilvl w:val="1"/>
          <w:numId w:val="83"/>
        </w:numPr>
        <w:spacing w:after="60"/>
        <w:ind w:left="448" w:hanging="448"/>
        <w:rPr>
          <w:rFonts w:ascii="Arial" w:hAnsi="Arial" w:cs="Arial"/>
          <w:sz w:val="24"/>
          <w:szCs w:val="24"/>
        </w:rPr>
      </w:pPr>
      <w:r w:rsidRPr="003C3AAF">
        <w:rPr>
          <w:rFonts w:ascii="Arial" w:hAnsi="Arial" w:cs="Arial"/>
          <w:sz w:val="24"/>
          <w:szCs w:val="24"/>
          <w:u w:val="single"/>
        </w:rPr>
        <w:t>Notional asset shares</w:t>
      </w:r>
      <w:r w:rsidRPr="003C3AAF">
        <w:rPr>
          <w:rFonts w:ascii="Arial" w:hAnsi="Arial" w:cs="Arial"/>
          <w:sz w:val="24"/>
          <w:szCs w:val="24"/>
        </w:rPr>
        <w:br/>
        <w:t>In order to establish contribution levels for individual employers or groups of employers it is convenient to notionally subdivide the Fund as a whole between the employers (or group of employers where grouping operates), as if each employer had its own notional asset share within the Fund.</w:t>
      </w:r>
    </w:p>
    <w:p w14:paraId="3011F87E" w14:textId="77777777" w:rsidR="003C3AAF" w:rsidRPr="003C3AAF" w:rsidRDefault="003C3AAF" w:rsidP="003C3AAF">
      <w:pPr>
        <w:jc w:val="both"/>
        <w:rPr>
          <w:rFonts w:ascii="Arial" w:hAnsi="Arial" w:cs="Arial"/>
          <w:sz w:val="24"/>
          <w:szCs w:val="24"/>
        </w:rPr>
      </w:pPr>
    </w:p>
    <w:p w14:paraId="3C76BFFB"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This subdivision is for funding purposes only. It is purely notional in nature and does not imply any formal subdivision of assets, nor ownership of any particular assets or groups of assets by any individual employer or group.</w:t>
      </w:r>
    </w:p>
    <w:p w14:paraId="32AFE197" w14:textId="77777777" w:rsidR="003C3AAF" w:rsidRPr="003C3AAF" w:rsidRDefault="003C3AAF" w:rsidP="003C3AAF">
      <w:pPr>
        <w:ind w:left="425"/>
        <w:jc w:val="both"/>
        <w:rPr>
          <w:rFonts w:ascii="Arial" w:hAnsi="Arial" w:cs="Arial"/>
          <w:sz w:val="24"/>
          <w:szCs w:val="24"/>
        </w:rPr>
      </w:pPr>
    </w:p>
    <w:p w14:paraId="206E3CCB" w14:textId="77777777" w:rsidR="003C3AAF" w:rsidRPr="003C3AAF" w:rsidRDefault="003C3AAF" w:rsidP="003C3AAF">
      <w:pPr>
        <w:spacing w:after="60"/>
        <w:ind w:left="425"/>
        <w:jc w:val="both"/>
        <w:rPr>
          <w:rFonts w:ascii="Arial" w:hAnsi="Arial" w:cs="Arial"/>
          <w:sz w:val="24"/>
          <w:szCs w:val="24"/>
          <w:u w:val="single"/>
        </w:rPr>
      </w:pPr>
      <w:r w:rsidRPr="003C3AAF">
        <w:rPr>
          <w:rFonts w:ascii="Arial" w:hAnsi="Arial" w:cs="Arial"/>
          <w:sz w:val="24"/>
          <w:szCs w:val="24"/>
          <w:u w:val="single"/>
        </w:rPr>
        <w:t>Roll-forward of notional asset shares</w:t>
      </w:r>
    </w:p>
    <w:p w14:paraId="401EF08B"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 xml:space="preserve">The notional asset share allocated to each employer will be rolled forward allowing for all cashflows associated with that employer's membership, including contribution income, benefit outgo, transfers in and out and investment income allocated as set out below. In general, no allowance is made for the timing of contributions and cashflows for each year are assumed to be made half way through the year with investment returns assumed to be uniformly earned over that year. </w:t>
      </w:r>
    </w:p>
    <w:p w14:paraId="7DFED231" w14:textId="77777777" w:rsidR="003C3AAF" w:rsidRPr="003C3AAF" w:rsidRDefault="003C3AAF" w:rsidP="003C3AAF">
      <w:pPr>
        <w:ind w:left="426"/>
        <w:jc w:val="both"/>
        <w:rPr>
          <w:rFonts w:ascii="Arial" w:hAnsi="Arial" w:cs="Arial"/>
          <w:sz w:val="24"/>
          <w:szCs w:val="24"/>
        </w:rPr>
      </w:pPr>
    </w:p>
    <w:p w14:paraId="33D2AFDE" w14:textId="77777777" w:rsidR="003C3AAF" w:rsidRPr="003C3AAF" w:rsidRDefault="003C3AAF" w:rsidP="003C3AAF">
      <w:pPr>
        <w:ind w:left="426"/>
        <w:jc w:val="both"/>
        <w:rPr>
          <w:rFonts w:ascii="Arial" w:hAnsi="Arial" w:cs="Arial"/>
          <w:sz w:val="24"/>
          <w:szCs w:val="24"/>
        </w:rPr>
      </w:pPr>
      <w:r w:rsidRPr="003C3AAF">
        <w:rPr>
          <w:rFonts w:ascii="Arial" w:hAnsi="Arial" w:cs="Arial"/>
          <w:sz w:val="24"/>
          <w:szCs w:val="24"/>
        </w:rPr>
        <w:t>Further adjustments are made for:</w:t>
      </w:r>
    </w:p>
    <w:p w14:paraId="34B19A1C" w14:textId="77777777" w:rsidR="003C3AAF" w:rsidRPr="003C3AAF" w:rsidRDefault="003C3AAF" w:rsidP="003C3AAF">
      <w:pPr>
        <w:jc w:val="both"/>
        <w:rPr>
          <w:rFonts w:ascii="Arial" w:hAnsi="Arial" w:cs="Arial"/>
          <w:sz w:val="24"/>
          <w:szCs w:val="24"/>
        </w:rPr>
      </w:pPr>
    </w:p>
    <w:p w14:paraId="1C72026F"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A notional deduction to meet the expenses paid from the Fund in line with the assumption used at the previous valuation.</w:t>
      </w:r>
    </w:p>
    <w:p w14:paraId="5CD42321"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 xml:space="preserve">Allowance for any known material internal transfers in the Fund (cashflows will not exist for these transfers). The Fund Actuary will assume an estimated cashflow equal to the value of the liabilities determined using a cash equivalent transfer value basis unless some other approach has been </w:t>
      </w:r>
      <w:r w:rsidRPr="003C3AAF">
        <w:rPr>
          <w:rFonts w:ascii="Arial" w:hAnsi="Arial" w:cs="Arial"/>
          <w:sz w:val="24"/>
          <w:szCs w:val="24"/>
        </w:rPr>
        <w:lastRenderedPageBreak/>
        <w:t>agreed between the two employers.</w:t>
      </w:r>
    </w:p>
    <w:p w14:paraId="51549BC7"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Allowance for lump sum death in service and any other benefits shared across all employers (see earlier).</w:t>
      </w:r>
    </w:p>
    <w:p w14:paraId="35E9059F"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An overall adjustment to ensure the notional assets attributed to each employer is equal to the total assets of the Fund which will take into account any gains or losses related to the orphan liabilities.</w:t>
      </w:r>
    </w:p>
    <w:p w14:paraId="478986EB" w14:textId="77777777" w:rsidR="003C3AAF" w:rsidRPr="003C3AAF" w:rsidRDefault="003C3AAF" w:rsidP="003C3AAF">
      <w:pPr>
        <w:jc w:val="both"/>
        <w:rPr>
          <w:rFonts w:ascii="Arial" w:hAnsi="Arial" w:cs="Arial"/>
          <w:sz w:val="24"/>
          <w:szCs w:val="24"/>
        </w:rPr>
      </w:pPr>
    </w:p>
    <w:p w14:paraId="0209BD44" w14:textId="77777777" w:rsidR="003C3AAF" w:rsidRPr="003C3AAF" w:rsidRDefault="003C3AAF" w:rsidP="0073304A">
      <w:pPr>
        <w:numPr>
          <w:ilvl w:val="1"/>
          <w:numId w:val="83"/>
        </w:numPr>
        <w:spacing w:after="120"/>
        <w:ind w:left="426" w:hanging="454"/>
        <w:jc w:val="both"/>
        <w:rPr>
          <w:rFonts w:ascii="Arial" w:hAnsi="Arial" w:cs="Arial"/>
          <w:sz w:val="24"/>
          <w:szCs w:val="24"/>
        </w:rPr>
      </w:pPr>
      <w:r w:rsidRPr="003C3AAF">
        <w:rPr>
          <w:rFonts w:ascii="Arial" w:hAnsi="Arial" w:cs="Arial"/>
          <w:sz w:val="24"/>
          <w:szCs w:val="24"/>
        </w:rPr>
        <w:t>In some cases information available will not allow for such cashflow calculations. In such a circumstance:</w:t>
      </w:r>
    </w:p>
    <w:p w14:paraId="4AAE8FA7"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Where, in the opinion of the Fund Actuary, the cashflow data which is unavailable is of low materiality or where estimated cashflows can be produced with reasonable accuracy, estimated cashflows will be used.</w:t>
      </w:r>
    </w:p>
    <w:p w14:paraId="25C9CB1F" w14:textId="77777777" w:rsidR="003C3AAF" w:rsidRPr="003C3AAF" w:rsidRDefault="003C3AAF" w:rsidP="003C3AAF">
      <w:pPr>
        <w:widowControl w:val="0"/>
        <w:numPr>
          <w:ilvl w:val="0"/>
          <w:numId w:val="15"/>
        </w:numPr>
        <w:tabs>
          <w:tab w:val="clear" w:pos="360"/>
          <w:tab w:val="num" w:pos="720"/>
        </w:tabs>
        <w:ind w:left="1077" w:hanging="357"/>
        <w:jc w:val="both"/>
        <w:rPr>
          <w:rFonts w:ascii="Arial" w:hAnsi="Arial" w:cs="Arial"/>
          <w:sz w:val="24"/>
          <w:szCs w:val="24"/>
        </w:rPr>
      </w:pPr>
      <w:r w:rsidRPr="003C3AAF">
        <w:rPr>
          <w:rFonts w:ascii="Arial" w:hAnsi="Arial" w:cs="Arial"/>
          <w:sz w:val="24"/>
          <w:szCs w:val="24"/>
        </w:rPr>
        <w:t>Where, in the opinion of the Fund Actuary, the cashflow data which is unavailable is material or difficult to estimate with necessary accuracy, the Fund Actuary may instead use an analysis of gains and losses to roll forward the notional asset share. Analysis of gains and losses methods are less precise than use of cashflows and involve calculation of gains and losses relative to the surplus or deficiency exhibited at the previous valuation. Having established an expected surplus or deficiency at this valuation, comparison of this with the liabilities evaluated at this valuation leads to an implied notional asset holding.</w:t>
      </w:r>
    </w:p>
    <w:p w14:paraId="49821963" w14:textId="77777777" w:rsidR="003C3AAF" w:rsidRPr="003C3AAF" w:rsidRDefault="003C3AAF" w:rsidP="003C3AAF">
      <w:pPr>
        <w:widowControl w:val="0"/>
        <w:ind w:left="1077"/>
        <w:jc w:val="both"/>
        <w:rPr>
          <w:rFonts w:ascii="Arial" w:hAnsi="Arial" w:cs="Arial"/>
          <w:sz w:val="24"/>
          <w:szCs w:val="24"/>
        </w:rPr>
      </w:pPr>
    </w:p>
    <w:p w14:paraId="1F14BC7D" w14:textId="77777777" w:rsidR="003C3AAF" w:rsidRPr="003C3AAF" w:rsidRDefault="003C3AAF" w:rsidP="003C3AAF">
      <w:pPr>
        <w:widowControl w:val="0"/>
        <w:numPr>
          <w:ilvl w:val="0"/>
          <w:numId w:val="15"/>
        </w:numPr>
        <w:tabs>
          <w:tab w:val="clear" w:pos="360"/>
        </w:tabs>
        <w:spacing w:after="60"/>
        <w:ind w:left="1080" w:right="-23"/>
        <w:rPr>
          <w:rFonts w:ascii="Arial" w:hAnsi="Arial" w:cs="Arial"/>
          <w:b/>
          <w:sz w:val="24"/>
          <w:szCs w:val="24"/>
        </w:rPr>
      </w:pPr>
      <w:r w:rsidRPr="003C3AAF">
        <w:rPr>
          <w:rFonts w:ascii="Arial" w:hAnsi="Arial" w:cs="Arial"/>
          <w:sz w:val="24"/>
          <w:szCs w:val="24"/>
        </w:rPr>
        <w:t>Analysis of gains and losses methods will also be used where the results of the cashflow approach appears to give unreliable results perhaps because of unknown internal transfers.</w:t>
      </w:r>
      <w:r w:rsidRPr="003C3AAF">
        <w:rPr>
          <w:rFonts w:ascii="Arial" w:hAnsi="Arial" w:cs="Arial"/>
          <w:sz w:val="24"/>
          <w:szCs w:val="24"/>
        </w:rPr>
        <w:br/>
      </w:r>
    </w:p>
    <w:p w14:paraId="798FD2DC" w14:textId="77777777" w:rsidR="003C3AAF" w:rsidRPr="003C3AAF" w:rsidRDefault="003C3AAF" w:rsidP="003C3AAF">
      <w:pPr>
        <w:widowControl w:val="0"/>
        <w:spacing w:after="60"/>
        <w:ind w:left="426" w:right="-23"/>
        <w:rPr>
          <w:rFonts w:ascii="Arial" w:hAnsi="Arial" w:cs="Arial"/>
          <w:b/>
          <w:sz w:val="24"/>
          <w:szCs w:val="24"/>
        </w:rPr>
      </w:pPr>
      <w:r w:rsidRPr="003C3AAF">
        <w:rPr>
          <w:rFonts w:ascii="Arial" w:hAnsi="Arial" w:cs="Arial"/>
          <w:b/>
          <w:sz w:val="24"/>
          <w:szCs w:val="24"/>
        </w:rPr>
        <w:t>Fund maturity</w:t>
      </w:r>
    </w:p>
    <w:p w14:paraId="1D993EC1" w14:textId="77777777" w:rsidR="003C3AAF" w:rsidRPr="003C3AAF" w:rsidRDefault="003C3AAF" w:rsidP="0073304A">
      <w:pPr>
        <w:numPr>
          <w:ilvl w:val="1"/>
          <w:numId w:val="83"/>
        </w:numPr>
        <w:ind w:left="426" w:hanging="454"/>
        <w:jc w:val="both"/>
        <w:rPr>
          <w:rFonts w:ascii="Arial" w:hAnsi="Arial" w:cs="Arial"/>
          <w:sz w:val="24"/>
          <w:szCs w:val="24"/>
        </w:rPr>
      </w:pPr>
      <w:r w:rsidRPr="003C3AAF">
        <w:rPr>
          <w:rFonts w:ascii="Arial" w:hAnsi="Arial" w:cs="Arial"/>
          <w:sz w:val="24"/>
          <w:szCs w:val="24"/>
        </w:rPr>
        <w:t>To protect the Fund, and individual employers, from the risk of increasing maturity producing unacceptably volatile contribution adjustments as a percentage of pay the Administering Authority will normally require defined capital streams from employers in respect of any disclosed funding deficiency.</w:t>
      </w:r>
    </w:p>
    <w:p w14:paraId="1B093D45" w14:textId="77777777" w:rsidR="003C3AAF" w:rsidRPr="003C3AAF" w:rsidRDefault="003C3AAF" w:rsidP="003C3AAF">
      <w:pPr>
        <w:widowControl w:val="0"/>
        <w:tabs>
          <w:tab w:val="left" w:pos="-120"/>
        </w:tabs>
        <w:ind w:right="-23"/>
        <w:jc w:val="both"/>
        <w:rPr>
          <w:rFonts w:ascii="Arial" w:hAnsi="Arial" w:cs="Arial"/>
          <w:sz w:val="24"/>
          <w:szCs w:val="24"/>
        </w:rPr>
      </w:pPr>
    </w:p>
    <w:p w14:paraId="4C803AA9" w14:textId="77777777" w:rsidR="003C3AAF" w:rsidRPr="003C3AAF" w:rsidRDefault="003C3AAF" w:rsidP="0073304A">
      <w:pPr>
        <w:numPr>
          <w:ilvl w:val="1"/>
          <w:numId w:val="83"/>
        </w:numPr>
        <w:spacing w:after="120"/>
        <w:ind w:left="426" w:hanging="454"/>
        <w:jc w:val="both"/>
        <w:rPr>
          <w:rFonts w:ascii="Arial" w:hAnsi="Arial" w:cs="Arial"/>
          <w:sz w:val="24"/>
          <w:szCs w:val="24"/>
        </w:rPr>
      </w:pPr>
      <w:r w:rsidRPr="003C3AAF">
        <w:rPr>
          <w:rFonts w:ascii="Arial" w:hAnsi="Arial" w:cs="Arial"/>
          <w:sz w:val="24"/>
          <w:szCs w:val="24"/>
        </w:rPr>
        <w:t xml:space="preserve">In certain circumstances, for secure employers considered by the Administering Authority as being long term in nature, contribution adjustments to correct for any disclosed deficiency may be set as a percentage of payroll. Such an approach carries an implicit assumption that the employer's payroll will increase at an assumed rate. If payroll fails to grow at this rate, or declines, insufficient corrective action will have been taken. To protect the Fund against this risk, the Administering Authority will consider requiring top up payments where deficit contributions fall below a minimum level, or further alternative approaches as it deems appropriate. </w:t>
      </w:r>
    </w:p>
    <w:p w14:paraId="6E5740E1" w14:textId="77777777" w:rsidR="003C3AAF" w:rsidRPr="003C3AAF" w:rsidRDefault="003C3AAF" w:rsidP="003C3AAF">
      <w:pPr>
        <w:ind w:left="360"/>
        <w:rPr>
          <w:rFonts w:ascii="Arial" w:hAnsi="Arial" w:cs="Arial"/>
          <w:sz w:val="24"/>
          <w:szCs w:val="24"/>
        </w:rPr>
      </w:pPr>
    </w:p>
    <w:p w14:paraId="2460EFA0" w14:textId="77777777" w:rsidR="003C3AAF" w:rsidRPr="003C3AAF" w:rsidRDefault="003C3AAF" w:rsidP="0073304A">
      <w:pPr>
        <w:numPr>
          <w:ilvl w:val="0"/>
          <w:numId w:val="83"/>
        </w:numPr>
        <w:ind w:left="380" w:hanging="454"/>
        <w:jc w:val="both"/>
        <w:rPr>
          <w:rFonts w:ascii="Arial" w:hAnsi="Arial" w:cs="Arial"/>
          <w:b/>
          <w:sz w:val="24"/>
          <w:szCs w:val="24"/>
        </w:rPr>
      </w:pPr>
      <w:r w:rsidRPr="003C3AAF">
        <w:rPr>
          <w:rFonts w:ascii="Arial" w:hAnsi="Arial" w:cs="Arial"/>
          <w:b/>
          <w:sz w:val="24"/>
          <w:szCs w:val="24"/>
        </w:rPr>
        <w:br w:type="page"/>
      </w:r>
      <w:r w:rsidRPr="003C3AAF">
        <w:rPr>
          <w:rFonts w:ascii="Arial" w:hAnsi="Arial" w:cs="Arial"/>
          <w:b/>
          <w:sz w:val="24"/>
          <w:szCs w:val="24"/>
        </w:rPr>
        <w:lastRenderedPageBreak/>
        <w:t>SPECIAL CIRCUMSTANCES RELATED TO CERTAIN EMPLOYERS</w:t>
      </w:r>
    </w:p>
    <w:p w14:paraId="35D59894" w14:textId="77777777" w:rsidR="003C3AAF" w:rsidRPr="003C3AAF" w:rsidRDefault="003C3AAF" w:rsidP="003C3AAF">
      <w:pPr>
        <w:rPr>
          <w:rFonts w:ascii="Arial" w:hAnsi="Arial" w:cs="Arial"/>
          <w:sz w:val="24"/>
          <w:szCs w:val="24"/>
        </w:rPr>
      </w:pPr>
    </w:p>
    <w:p w14:paraId="5E4B3C3B" w14:textId="77777777" w:rsidR="003C3AAF" w:rsidRPr="003C3AAF" w:rsidRDefault="003C3AAF" w:rsidP="003C3AAF">
      <w:pPr>
        <w:pBdr>
          <w:top w:val="nil"/>
          <w:left w:val="nil"/>
          <w:bottom w:val="nil"/>
          <w:right w:val="nil"/>
          <w:between w:val="nil"/>
          <w:bar w:val="nil"/>
        </w:pBdr>
        <w:tabs>
          <w:tab w:val="left" w:pos="426"/>
        </w:tabs>
        <w:spacing w:after="60"/>
        <w:jc w:val="both"/>
        <w:rPr>
          <w:rFonts w:ascii="Arial" w:hAnsi="Arial" w:cs="Arial"/>
          <w:b/>
          <w:sz w:val="24"/>
          <w:szCs w:val="24"/>
        </w:rPr>
      </w:pPr>
      <w:r w:rsidRPr="003C3AAF">
        <w:rPr>
          <w:rFonts w:ascii="Arial" w:hAnsi="Arial" w:cs="Arial"/>
          <w:b/>
          <w:sz w:val="24"/>
          <w:szCs w:val="24"/>
        </w:rPr>
        <w:tab/>
      </w:r>
      <w:r w:rsidRPr="003C3AAF">
        <w:rPr>
          <w:rFonts w:ascii="Arial" w:eastAsia="Calibri" w:hAnsi="Arial" w:cs="Arial"/>
          <w:b/>
          <w:bCs/>
          <w:color w:val="000000"/>
          <w:sz w:val="24"/>
          <w:szCs w:val="24"/>
          <w:u w:color="000000"/>
          <w:bdr w:val="nil"/>
        </w:rPr>
        <w:t>Interim reviews</w:t>
      </w:r>
    </w:p>
    <w:p w14:paraId="075294CE"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Regulation 64(4) of the Regulations provides the Administering Authority with a power to carry out valuations in respect of employers where there are circumstances which make it likely that an employer will become an exiting employer, and for the Fund Actuary to certify revised contribution rates, between funding valuation dates.</w:t>
      </w:r>
    </w:p>
    <w:p w14:paraId="06234F7F" w14:textId="77777777" w:rsidR="003C3AAF" w:rsidRPr="003C3AAF" w:rsidRDefault="003C3AAF" w:rsidP="003C3AAF">
      <w:pPr>
        <w:ind w:left="426"/>
        <w:jc w:val="both"/>
        <w:rPr>
          <w:rFonts w:ascii="Arial" w:hAnsi="Arial" w:cs="Arial"/>
          <w:snapToGrid w:val="0"/>
          <w:sz w:val="24"/>
          <w:szCs w:val="24"/>
        </w:rPr>
      </w:pPr>
    </w:p>
    <w:p w14:paraId="13AD7882"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 xml:space="preserve">The Administering </w:t>
      </w:r>
      <w:r w:rsidRPr="003C3AAF">
        <w:rPr>
          <w:rFonts w:ascii="Arial" w:hAnsi="Arial" w:cs="Arial"/>
          <w:sz w:val="24"/>
          <w:szCs w:val="24"/>
        </w:rPr>
        <w:t>Authority's</w:t>
      </w:r>
      <w:r w:rsidRPr="003C3AAF">
        <w:rPr>
          <w:rFonts w:ascii="Arial" w:hAnsi="Arial" w:cs="Arial"/>
          <w:snapToGrid w:val="0"/>
          <w:sz w:val="24"/>
          <w:szCs w:val="24"/>
        </w:rPr>
        <w:t xml:space="preserve"> overriding objective at all times is that, where possible, there is clarity over the Funding Target for that body, and that contribution rates payable are appropriate for that Funding Target. However, this is not always possible as any date of exit may be unknown (for example, participation may be assumed at present to be indefinite), and also because market conditions change daily.</w:t>
      </w:r>
    </w:p>
    <w:p w14:paraId="00F4BDA4" w14:textId="77777777" w:rsidR="003C3AAF" w:rsidRPr="003C3AAF" w:rsidRDefault="003C3AAF" w:rsidP="003C3AAF">
      <w:pPr>
        <w:ind w:left="426"/>
        <w:jc w:val="both"/>
        <w:rPr>
          <w:rFonts w:ascii="Arial" w:hAnsi="Arial" w:cs="Arial"/>
          <w:snapToGrid w:val="0"/>
          <w:sz w:val="24"/>
          <w:szCs w:val="24"/>
        </w:rPr>
      </w:pPr>
    </w:p>
    <w:p w14:paraId="481BE8B6"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The Administering Authority's general approach in this area is as follows:</w:t>
      </w:r>
    </w:p>
    <w:p w14:paraId="71BB676E" w14:textId="77777777" w:rsidR="003C3AAF" w:rsidRPr="003C3AAF" w:rsidRDefault="003C3AAF" w:rsidP="003C3AAF">
      <w:pPr>
        <w:jc w:val="both"/>
        <w:rPr>
          <w:rFonts w:ascii="Arial" w:hAnsi="Arial" w:cs="Arial"/>
          <w:sz w:val="24"/>
          <w:szCs w:val="24"/>
        </w:rPr>
      </w:pPr>
    </w:p>
    <w:p w14:paraId="3D7BE00C"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Where the date of exit is known, and is more than three years hence, or is unknown and assumed to be indefinite, interim valuations will generally not be carried out at the behest of the Administering Authority.</w:t>
      </w:r>
    </w:p>
    <w:p w14:paraId="544EF437"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For Transferee Admission Bodies falling into the above category, the Administering Authority sees it as the responsibility of the relevant Scheme Employer to instruct it if an interim valuation is required. Such an exercise would be at the expense of the relevant Scheme Employer unless otherwise agreed.</w:t>
      </w:r>
    </w:p>
    <w:p w14:paraId="73FBC33C"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A material change in circumstances, such as the date of exit becoming known, material membership movements or material financial information coming to light may cause the Administering Authority to informally review the situation and subsequently formally request an interim valuation.</w:t>
      </w:r>
    </w:p>
    <w:p w14:paraId="1C7DCC29"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For an employer whose participation is due to exit within the next three years, the Administering Authority will keep an eye on developments and may see fit to request an interim valuation at any time.</w:t>
      </w:r>
    </w:p>
    <w:p w14:paraId="210E0202" w14:textId="77777777" w:rsidR="003C3AAF" w:rsidRPr="003C3AAF" w:rsidRDefault="003C3AAF" w:rsidP="003C3AAF">
      <w:pPr>
        <w:jc w:val="both"/>
        <w:rPr>
          <w:rFonts w:ascii="Arial" w:hAnsi="Arial" w:cs="Arial"/>
          <w:sz w:val="24"/>
          <w:szCs w:val="24"/>
        </w:rPr>
      </w:pPr>
    </w:p>
    <w:p w14:paraId="316FDAA6"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 xml:space="preserve">Notwithstanding the above guidelines, the Administering Authority reserves the right to request an interim valuation of any employer at any time if Regulation 64(4) applies. </w:t>
      </w:r>
    </w:p>
    <w:p w14:paraId="2B23D691" w14:textId="77777777" w:rsidR="003C3AAF" w:rsidRPr="003C3AAF" w:rsidRDefault="003C3AAF" w:rsidP="003C3AAF">
      <w:pPr>
        <w:ind w:left="426"/>
        <w:jc w:val="both"/>
        <w:rPr>
          <w:rFonts w:ascii="Arial" w:hAnsi="Arial" w:cs="Arial"/>
          <w:snapToGrid w:val="0"/>
          <w:sz w:val="24"/>
          <w:szCs w:val="24"/>
        </w:rPr>
      </w:pPr>
    </w:p>
    <w:p w14:paraId="18EB3E5D"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Regulation 64A of the Regulations provides the Administering Authority with a power to obtain a revision of the rates and adjustments certificate in certain other circumstances. Further details of the Administering Authority's policy in relation to Regulation 64A is set out in Appendix 2.</w:t>
      </w:r>
    </w:p>
    <w:p w14:paraId="13C4266B" w14:textId="77777777" w:rsidR="003C3AAF" w:rsidRPr="003C3AAF" w:rsidRDefault="003C3AAF" w:rsidP="003C3AAF">
      <w:pPr>
        <w:jc w:val="both"/>
        <w:rPr>
          <w:rFonts w:ascii="Arial" w:hAnsi="Arial" w:cs="Arial"/>
          <w:sz w:val="24"/>
          <w:szCs w:val="24"/>
        </w:rPr>
      </w:pPr>
    </w:p>
    <w:p w14:paraId="670285ED" w14:textId="77777777" w:rsidR="00C36412" w:rsidRDefault="003C3AAF" w:rsidP="003C3AAF">
      <w:pPr>
        <w:pBdr>
          <w:top w:val="nil"/>
          <w:left w:val="nil"/>
          <w:bottom w:val="nil"/>
          <w:right w:val="nil"/>
          <w:between w:val="nil"/>
          <w:bar w:val="nil"/>
        </w:pBdr>
        <w:tabs>
          <w:tab w:val="left" w:pos="426"/>
        </w:tabs>
        <w:spacing w:after="60"/>
        <w:jc w:val="both"/>
        <w:rPr>
          <w:rFonts w:ascii="Arial" w:hAnsi="Arial" w:cs="Arial"/>
          <w:b/>
          <w:sz w:val="24"/>
          <w:szCs w:val="24"/>
        </w:rPr>
      </w:pPr>
      <w:r w:rsidRPr="003C3AAF">
        <w:rPr>
          <w:rFonts w:ascii="Arial" w:hAnsi="Arial" w:cs="Arial"/>
          <w:b/>
          <w:sz w:val="24"/>
          <w:szCs w:val="24"/>
        </w:rPr>
        <w:tab/>
      </w:r>
    </w:p>
    <w:p w14:paraId="66D8B1A2" w14:textId="77777777" w:rsidR="003C3AAF" w:rsidRPr="003C3AAF" w:rsidRDefault="003C3AAF" w:rsidP="003C3AAF">
      <w:pPr>
        <w:pBdr>
          <w:top w:val="nil"/>
          <w:left w:val="nil"/>
          <w:bottom w:val="nil"/>
          <w:right w:val="nil"/>
          <w:between w:val="nil"/>
          <w:bar w:val="nil"/>
        </w:pBdr>
        <w:tabs>
          <w:tab w:val="left" w:pos="426"/>
        </w:tabs>
        <w:spacing w:after="60"/>
        <w:jc w:val="both"/>
        <w:rPr>
          <w:rFonts w:ascii="Arial" w:hAnsi="Arial" w:cs="Arial"/>
          <w:b/>
          <w:sz w:val="24"/>
          <w:szCs w:val="24"/>
        </w:rPr>
      </w:pPr>
      <w:r w:rsidRPr="003C3AAF">
        <w:rPr>
          <w:rFonts w:ascii="Arial" w:eastAsia="Calibri" w:hAnsi="Arial" w:cs="Arial"/>
          <w:b/>
          <w:bCs/>
          <w:color w:val="000000"/>
          <w:sz w:val="24"/>
          <w:szCs w:val="24"/>
          <w:u w:color="000000"/>
          <w:bdr w:val="nil"/>
        </w:rPr>
        <w:lastRenderedPageBreak/>
        <w:t>Guarantors</w:t>
      </w:r>
    </w:p>
    <w:p w14:paraId="22237A35"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Some employers may participate in the Fund by virtue of the existence of a Guarantor. The Administering Authority maintains a list of employers and their associated Guarantors and monitors the exposure of the Guarantors. The Administering Authority, unless notified otherwise, sees the duty of a Guarantor to include the following:</w:t>
      </w:r>
    </w:p>
    <w:p w14:paraId="4613FB60" w14:textId="77777777" w:rsidR="003C3AAF" w:rsidRPr="003C3AAF" w:rsidRDefault="003C3AAF" w:rsidP="003C3AAF">
      <w:pPr>
        <w:pStyle w:val="Default"/>
        <w:jc w:val="both"/>
      </w:pPr>
    </w:p>
    <w:p w14:paraId="079F6D97"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If an employer ceases and defaults on any of its financial obligations to the Fund, the Guarantor is expected to provide finance to the Fund such that the Fund receives the amount certified by the Fund Actuary as due, including any interest payable thereon.</w:t>
      </w:r>
    </w:p>
    <w:p w14:paraId="0A3BF9EC"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If the Guarantor is an employer in the Fund and is judged to be of suitable covenant by the Administering Authority, the Guarantor may defray some of the financial liability by subsuming the residual liabilities into its own pool of Fund liabilities. In other words, it agrees to be a source of future funding in respect of those liabilities should future deficiencies emerge.</w:t>
      </w:r>
    </w:p>
    <w:p w14:paraId="39EF91D3" w14:textId="77777777" w:rsidR="003C3AAF" w:rsidRPr="003C3AAF" w:rsidRDefault="003C3AAF" w:rsidP="003C3AAF">
      <w:pPr>
        <w:widowControl w:val="0"/>
        <w:numPr>
          <w:ilvl w:val="0"/>
          <w:numId w:val="15"/>
        </w:numPr>
        <w:tabs>
          <w:tab w:val="clear" w:pos="360"/>
          <w:tab w:val="num" w:pos="720"/>
        </w:tabs>
        <w:ind w:left="1077" w:hanging="357"/>
        <w:jc w:val="both"/>
        <w:rPr>
          <w:rFonts w:ascii="Arial" w:hAnsi="Arial" w:cs="Arial"/>
          <w:sz w:val="24"/>
          <w:szCs w:val="24"/>
        </w:rPr>
      </w:pPr>
      <w:r w:rsidRPr="003C3AAF">
        <w:rPr>
          <w:rFonts w:ascii="Arial" w:hAnsi="Arial" w:cs="Arial"/>
          <w:sz w:val="24"/>
          <w:szCs w:val="24"/>
        </w:rPr>
        <w:t>During the period of participation of the employer a Guarantor can at any time agree to the future subsumption of any residual liabilities of an employer. The effect of that action would be to reduce the Funding and Solvency Targets for the employer, which would probably lead to reduced contribution requirements.</w:t>
      </w:r>
    </w:p>
    <w:p w14:paraId="36BA233F" w14:textId="77777777" w:rsidR="00C36412" w:rsidRDefault="003C3AAF" w:rsidP="003C3AAF">
      <w:pPr>
        <w:tabs>
          <w:tab w:val="left" w:pos="426"/>
        </w:tabs>
        <w:rPr>
          <w:rFonts w:ascii="Arial" w:hAnsi="Arial" w:cs="Arial"/>
          <w:b/>
          <w:sz w:val="24"/>
          <w:szCs w:val="24"/>
        </w:rPr>
      </w:pPr>
      <w:r w:rsidRPr="003C3AAF">
        <w:rPr>
          <w:rFonts w:ascii="Arial" w:hAnsi="Arial" w:cs="Arial"/>
          <w:b/>
          <w:sz w:val="24"/>
          <w:szCs w:val="24"/>
        </w:rPr>
        <w:tab/>
      </w:r>
    </w:p>
    <w:p w14:paraId="1DE6E854" w14:textId="77777777" w:rsidR="003C3AAF" w:rsidRPr="003C3AAF" w:rsidRDefault="003C3AAF" w:rsidP="003C3AAF">
      <w:pPr>
        <w:tabs>
          <w:tab w:val="left" w:pos="426"/>
        </w:tabs>
        <w:rPr>
          <w:rFonts w:ascii="Arial" w:hAnsi="Arial" w:cs="Arial"/>
          <w:b/>
          <w:sz w:val="24"/>
          <w:szCs w:val="24"/>
        </w:rPr>
      </w:pPr>
      <w:r w:rsidRPr="003C3AAF">
        <w:rPr>
          <w:rFonts w:ascii="Arial" w:hAnsi="Arial" w:cs="Arial"/>
          <w:b/>
          <w:sz w:val="24"/>
          <w:szCs w:val="24"/>
        </w:rPr>
        <w:t>New employers</w:t>
      </w:r>
    </w:p>
    <w:p w14:paraId="3E6B9A16" w14:textId="77777777" w:rsidR="003C3AAF" w:rsidRPr="003C3AAF" w:rsidRDefault="003C3AAF" w:rsidP="003C3AAF">
      <w:pPr>
        <w:rPr>
          <w:rFonts w:ascii="Arial" w:hAnsi="Arial" w:cs="Arial"/>
          <w:b/>
          <w:sz w:val="24"/>
          <w:szCs w:val="24"/>
        </w:rPr>
      </w:pPr>
    </w:p>
    <w:p w14:paraId="410300FA" w14:textId="77777777" w:rsidR="003C3AAF" w:rsidRPr="003C3AAF" w:rsidRDefault="003C3AAF" w:rsidP="003C3AAF">
      <w:pPr>
        <w:pBdr>
          <w:top w:val="nil"/>
          <w:left w:val="nil"/>
          <w:bottom w:val="nil"/>
          <w:right w:val="nil"/>
          <w:between w:val="nil"/>
          <w:bar w:val="nil"/>
        </w:pBdr>
        <w:tabs>
          <w:tab w:val="left" w:pos="426"/>
        </w:tabs>
        <w:spacing w:after="60"/>
        <w:jc w:val="both"/>
        <w:rPr>
          <w:rFonts w:ascii="Arial" w:eastAsia="Calibri" w:hAnsi="Arial" w:cs="Arial"/>
          <w:b/>
          <w:bCs/>
          <w:color w:val="000000"/>
          <w:sz w:val="24"/>
          <w:szCs w:val="24"/>
          <w:u w:color="000000"/>
          <w:bdr w:val="nil"/>
        </w:rPr>
      </w:pPr>
      <w:r w:rsidRPr="003C3AAF">
        <w:rPr>
          <w:rFonts w:ascii="Arial" w:eastAsia="Calibri" w:hAnsi="Arial" w:cs="Arial"/>
          <w:b/>
          <w:bCs/>
          <w:color w:val="000000"/>
          <w:sz w:val="24"/>
          <w:szCs w:val="24"/>
          <w:u w:color="000000"/>
          <w:bdr w:val="nil"/>
        </w:rPr>
        <w:tab/>
        <w:t>Initial Rate</w:t>
      </w:r>
    </w:p>
    <w:p w14:paraId="2B495F7F"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 xml:space="preserve">When a new employer joins the Fund, the Fund's Actuary determines the initial employer contribution rate payable. </w:t>
      </w:r>
    </w:p>
    <w:p w14:paraId="38E15B76" w14:textId="77777777" w:rsidR="003C3AAF" w:rsidRPr="003C3AAF" w:rsidRDefault="003C3AAF" w:rsidP="003C3AAF">
      <w:pPr>
        <w:pBdr>
          <w:top w:val="nil"/>
          <w:left w:val="nil"/>
          <w:bottom w:val="nil"/>
          <w:right w:val="nil"/>
          <w:between w:val="nil"/>
          <w:bar w:val="nil"/>
        </w:pBdr>
        <w:jc w:val="both"/>
        <w:rPr>
          <w:rFonts w:ascii="Arial" w:hAnsi="Arial" w:cs="Arial"/>
          <w:sz w:val="24"/>
          <w:szCs w:val="24"/>
        </w:rPr>
      </w:pPr>
    </w:p>
    <w:p w14:paraId="387E8CEB"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 xml:space="preserve">An interim contribution rate may be set pending a more accurate calculation by the Fund's Actuary of the employer contribution rate payable. The Administering Authority will determine these interim contribution rates following each Actuarial Valuation and at any other time at its discretion. </w:t>
      </w:r>
    </w:p>
    <w:p w14:paraId="69F0DF0C" w14:textId="77777777" w:rsidR="003C3AAF" w:rsidRPr="003C3AAF" w:rsidRDefault="003C3AAF" w:rsidP="003C3AAF">
      <w:pPr>
        <w:pBdr>
          <w:top w:val="nil"/>
          <w:left w:val="nil"/>
          <w:bottom w:val="nil"/>
          <w:right w:val="nil"/>
          <w:between w:val="nil"/>
          <w:bar w:val="nil"/>
        </w:pBdr>
        <w:jc w:val="both"/>
        <w:rPr>
          <w:rFonts w:ascii="Arial" w:hAnsi="Arial" w:cs="Arial"/>
          <w:sz w:val="24"/>
          <w:szCs w:val="24"/>
        </w:rPr>
      </w:pPr>
    </w:p>
    <w:p w14:paraId="58A9BABB"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The employer contribution rate will be set in accordance with the Funding Strategy Statement, taking into consideration elements such as:</w:t>
      </w:r>
    </w:p>
    <w:p w14:paraId="026D7CF1" w14:textId="77777777" w:rsidR="003C3AAF" w:rsidRPr="003C3AAF" w:rsidRDefault="003C3AAF" w:rsidP="003C3AAF">
      <w:pPr>
        <w:ind w:left="426"/>
        <w:jc w:val="both"/>
        <w:rPr>
          <w:rFonts w:ascii="Arial" w:hAnsi="Arial" w:cs="Arial"/>
          <w:snapToGrid w:val="0"/>
          <w:sz w:val="24"/>
          <w:szCs w:val="24"/>
        </w:rPr>
      </w:pPr>
    </w:p>
    <w:p w14:paraId="3D5ED755"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Any past service or transferred liabilities</w:t>
      </w:r>
    </w:p>
    <w:p w14:paraId="7A77B10B"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Whether the new employer is open or closed to new entrants</w:t>
      </w:r>
    </w:p>
    <w:p w14:paraId="5CCFE9AE"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The funding target that applies to the employer</w:t>
      </w:r>
    </w:p>
    <w:p w14:paraId="2F44ADA0"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The funding level on commencement and, where there is a surplus or deficit, whether the admission agreement is fixed term or not, whether open or closed and the period of any fixed term contract period or average future working lifetime of the employee membership (as appropriate)</w:t>
      </w:r>
    </w:p>
    <w:p w14:paraId="78C59ECD"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lastRenderedPageBreak/>
        <w:t>Other relevant circumstances as determined by the Administering Authority on the advice of the Fund Actuary</w:t>
      </w:r>
    </w:p>
    <w:p w14:paraId="506A09D8" w14:textId="77777777" w:rsidR="003C3AAF" w:rsidRPr="003C3AAF" w:rsidRDefault="003C3AAF" w:rsidP="003C3AAF">
      <w:pPr>
        <w:tabs>
          <w:tab w:val="left" w:pos="426"/>
        </w:tabs>
        <w:spacing w:after="60"/>
        <w:rPr>
          <w:rFonts w:ascii="Arial" w:hAnsi="Arial" w:cs="Arial"/>
          <w:b/>
          <w:sz w:val="24"/>
          <w:szCs w:val="24"/>
        </w:rPr>
      </w:pPr>
      <w:r w:rsidRPr="003C3AAF">
        <w:rPr>
          <w:rFonts w:ascii="Arial" w:hAnsi="Arial" w:cs="Arial"/>
          <w:b/>
          <w:sz w:val="24"/>
          <w:szCs w:val="24"/>
        </w:rPr>
        <w:tab/>
        <w:t>New Admission Bodies</w:t>
      </w:r>
    </w:p>
    <w:p w14:paraId="0F08888D"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Where the Administering Authority makes an admission agreement with a body (the New Body), the default stance of the Fund is that the relevant Scheme employer, as defined in Part 3 of Schedule 2 of the LGPS Regulation 2013, will be required to subsume the liabilities (see below) at the point that the New Body no longer has any contributing members. This will be set out within the Admission Agreement or side agreement, and apply to both the liabilities of the initial transferring membership and, in the case of an open admission agreement, any liabilities of the New Body relating to members that commence participation after the initial transfer under the terms of the Admission Agreement.</w:t>
      </w:r>
    </w:p>
    <w:p w14:paraId="556B3DF9" w14:textId="77777777" w:rsidR="003C3AAF" w:rsidRPr="003C3AAF" w:rsidRDefault="003C3AAF" w:rsidP="003C3AAF">
      <w:pPr>
        <w:rPr>
          <w:rFonts w:ascii="Arial" w:hAnsi="Arial" w:cs="Arial"/>
          <w:sz w:val="24"/>
          <w:szCs w:val="24"/>
        </w:rPr>
      </w:pPr>
    </w:p>
    <w:p w14:paraId="0E354E81"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Unless agreed otherwise (between the relevant Scheme employer and the New Body) the New Body would be required to target sufficient assets to fully fund the liabilities subsumed by the relevant Scheme employer at exit on the assumptions applicable to the relevant Scheme employer.</w:t>
      </w:r>
    </w:p>
    <w:p w14:paraId="2E11648F" w14:textId="77777777" w:rsidR="003C3AAF" w:rsidRPr="003C3AAF" w:rsidRDefault="003C3AAF" w:rsidP="003C3AAF">
      <w:pPr>
        <w:jc w:val="both"/>
        <w:rPr>
          <w:rFonts w:ascii="Arial" w:hAnsi="Arial" w:cs="Arial"/>
          <w:b/>
          <w:sz w:val="24"/>
          <w:szCs w:val="24"/>
        </w:rPr>
      </w:pPr>
    </w:p>
    <w:p w14:paraId="6C4B968A" w14:textId="77777777" w:rsidR="003C3AAF" w:rsidRPr="003C3AAF" w:rsidRDefault="003C3AAF" w:rsidP="003C3AAF">
      <w:pPr>
        <w:tabs>
          <w:tab w:val="left" w:pos="426"/>
        </w:tabs>
        <w:spacing w:after="60"/>
        <w:rPr>
          <w:rFonts w:ascii="Arial" w:hAnsi="Arial" w:cs="Arial"/>
          <w:b/>
          <w:sz w:val="24"/>
          <w:szCs w:val="24"/>
        </w:rPr>
      </w:pPr>
      <w:r w:rsidRPr="003C3AAF">
        <w:rPr>
          <w:rFonts w:ascii="Arial" w:hAnsi="Arial" w:cs="Arial"/>
          <w:b/>
          <w:sz w:val="24"/>
          <w:szCs w:val="24"/>
        </w:rPr>
        <w:tab/>
        <w:t>Bonds and other securitization</w:t>
      </w:r>
    </w:p>
    <w:p w14:paraId="2ADB2F1C"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 xml:space="preserve">Paragraph 6 of Part 3, Schedule 2 of the Regulations creates a requirement for a new Admission Body to carry out to the satisfaction of the Administering Authority (and the Scheme Employer in the case of a Transferee Admission Body admitted under paragraph 1(d)(i) of that Part) an assessment taking account of actuarial advice of the level of risk on premature termination by reason of insolvency, winding up or liquidation. </w:t>
      </w:r>
    </w:p>
    <w:p w14:paraId="35AB0C21" w14:textId="77777777" w:rsidR="003C3AAF" w:rsidRPr="003C3AAF" w:rsidRDefault="003C3AAF" w:rsidP="003C3AAF">
      <w:pPr>
        <w:pStyle w:val="Normalplus"/>
        <w:jc w:val="both"/>
        <w:rPr>
          <w:rFonts w:cs="Arial"/>
        </w:rPr>
      </w:pPr>
    </w:p>
    <w:p w14:paraId="7DFD2859"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 xml:space="preserve">Where the level of risk identified by the assessment is such as to require it the Admission Body shall enter into an indemnity or bond with an appropriate party. Where it is not desirable for an Admission Body to enter into an indemnity or bond, the body is required to secure a guarantee in a form satisfactory to the Administering Authority from an organisation that either funds, owns or controls the functions of the admission body. </w:t>
      </w:r>
    </w:p>
    <w:p w14:paraId="7401E0C8" w14:textId="77777777" w:rsidR="003C3AAF" w:rsidRPr="003C3AAF" w:rsidRDefault="003C3AAF" w:rsidP="003C3AAF">
      <w:pPr>
        <w:pStyle w:val="Normalplus"/>
        <w:rPr>
          <w:rFonts w:cs="Arial"/>
        </w:rPr>
      </w:pPr>
    </w:p>
    <w:p w14:paraId="07193BA4"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The Administering Authority's approach in this area is as follows:</w:t>
      </w:r>
    </w:p>
    <w:p w14:paraId="6E11B41A" w14:textId="77777777" w:rsidR="003C3AAF" w:rsidRPr="003C3AAF" w:rsidRDefault="003C3AAF" w:rsidP="003C3AAF">
      <w:pPr>
        <w:pStyle w:val="Default"/>
        <w:jc w:val="both"/>
      </w:pPr>
    </w:p>
    <w:p w14:paraId="38374C1F"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 xml:space="preserve">In the case of Transferee Admission Bodies admitted under Paragraph 1(d) of Part 3, Schedule 2 of the Regulations and other Admission Bodies with a Guarantor, and so long as the Administering Authority judges the relevant Scheme Employer or Guarantor to be of sufficiently sound covenant, any bond exists purely to protect the relevant Scheme Employer or Guarantor on default of the Admission Body. As such, it is entirely the responsibility of the relevant Scheme Employer or Guarantor to arrange any risk assessments and decide the level of required bond. The Administering Authority will be pleased to supply some standard calculations provided by the Fund Actuary to aid the relevant Scheme Employer, but this should not be construed as advice to the relevant Scheme Employer on this matter. </w:t>
      </w:r>
    </w:p>
    <w:p w14:paraId="3C7012B6"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lastRenderedPageBreak/>
        <w:t xml:space="preserve">In the case of Transferee Admission Bodies admitted under Paragraph 1(d) of Part 3, Schedule 2 of the Regulations, or under Paragraph 1(e) of Part 3, Schedule 2 of the Regulations, where the Administering Authority does not judge the relevant Scheme Employer to be of sufficiently strong covenant, and other Admission Bodies with no Guarantor or where the Administering Authority does not judge the Guarantor to be of sufficiently strong covenant, the Administering Authority must be involved in the assessment of the required level of bond to protect the Fund. The admission will only be able to proceed once the Administering Authority has agreed the level of bond cover. The Administering Authority will supply some standard calculations provided by the Fund Actuary to aid the relevant Scheme Employer form a view on what level of bond would be satisfactory. The Administering Authority will also on request supply this to the Admission Body or Guarantor. This should not be construed as advice to the Scheme Employer, Guarantor or Admission Body. </w:t>
      </w:r>
    </w:p>
    <w:p w14:paraId="328A949A"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The Administering Authority notes that levels of required bond cover can fluctuate and will review, or recommends that the Scheme Employer reviews, the required cover at least once a year.</w:t>
      </w:r>
    </w:p>
    <w:p w14:paraId="0973B28A" w14:textId="77777777" w:rsidR="003C3AAF" w:rsidRPr="003C3AAF" w:rsidRDefault="003C3AAF" w:rsidP="003C3AAF">
      <w:pPr>
        <w:jc w:val="both"/>
        <w:rPr>
          <w:rFonts w:ascii="Arial" w:hAnsi="Arial" w:cs="Arial"/>
          <w:b/>
          <w:sz w:val="24"/>
          <w:szCs w:val="24"/>
        </w:rPr>
      </w:pPr>
    </w:p>
    <w:p w14:paraId="3694FC66" w14:textId="77777777" w:rsidR="003C3AAF" w:rsidRPr="003C3AAF" w:rsidRDefault="003C3AAF" w:rsidP="003C3AAF">
      <w:pPr>
        <w:tabs>
          <w:tab w:val="left" w:pos="426"/>
        </w:tabs>
        <w:spacing w:after="60"/>
        <w:rPr>
          <w:rFonts w:ascii="Arial" w:hAnsi="Arial" w:cs="Arial"/>
          <w:b/>
          <w:sz w:val="24"/>
          <w:szCs w:val="24"/>
        </w:rPr>
      </w:pPr>
      <w:r w:rsidRPr="003C3AAF">
        <w:rPr>
          <w:rFonts w:ascii="Arial" w:hAnsi="Arial" w:cs="Arial"/>
          <w:b/>
          <w:sz w:val="24"/>
          <w:szCs w:val="24"/>
        </w:rPr>
        <w:tab/>
        <w:t>Subsumed liabilities</w:t>
      </w:r>
    </w:p>
    <w:p w14:paraId="0CA3AB9A"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Where an employer is exiting the Fund such that it will no longer have any contributing members, it is possible that another employer in the Fund agrees to provide a source of future funding in respect of any emerging deficiencies in respect of those liabilities.</w:t>
      </w:r>
    </w:p>
    <w:p w14:paraId="7DFADE8D" w14:textId="77777777" w:rsidR="003C3AAF" w:rsidRPr="003C3AAF" w:rsidRDefault="003C3AAF" w:rsidP="003C3AAF">
      <w:pPr>
        <w:pStyle w:val="Default"/>
        <w:jc w:val="both"/>
      </w:pPr>
    </w:p>
    <w:p w14:paraId="1C38BC7D"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In such circumstances the liabilities are known as subsumed liabilities (in that responsibility for them is subsumed by the accepting employer). For such liabilities the Administering Authority will assume that the investments held in respect of those liabilities will be the same as those held for the rest of the liabilities of the accepting employer. Generally this will mean assuming continued investment in a mix of growth and matching assets.</w:t>
      </w:r>
    </w:p>
    <w:p w14:paraId="47A3C53A" w14:textId="77777777" w:rsidR="003C3AAF" w:rsidRPr="003C3AAF" w:rsidRDefault="003C3AAF" w:rsidP="003C3AAF">
      <w:pPr>
        <w:jc w:val="both"/>
        <w:rPr>
          <w:rFonts w:ascii="Arial" w:hAnsi="Arial" w:cs="Arial"/>
          <w:b/>
          <w:sz w:val="24"/>
          <w:szCs w:val="24"/>
        </w:rPr>
      </w:pPr>
    </w:p>
    <w:p w14:paraId="70D21649" w14:textId="77777777" w:rsidR="003C3AAF" w:rsidRPr="003C3AAF" w:rsidRDefault="003C3AAF" w:rsidP="003C3AAF">
      <w:pPr>
        <w:tabs>
          <w:tab w:val="left" w:pos="426"/>
        </w:tabs>
        <w:spacing w:after="60"/>
        <w:rPr>
          <w:rFonts w:ascii="Arial" w:hAnsi="Arial" w:cs="Arial"/>
          <w:b/>
          <w:sz w:val="24"/>
          <w:szCs w:val="24"/>
        </w:rPr>
      </w:pPr>
      <w:r w:rsidRPr="003C3AAF">
        <w:rPr>
          <w:rFonts w:ascii="Arial" w:hAnsi="Arial" w:cs="Arial"/>
          <w:b/>
          <w:sz w:val="24"/>
          <w:szCs w:val="24"/>
        </w:rPr>
        <w:tab/>
        <w:t>Orphan liabilities</w:t>
      </w:r>
    </w:p>
    <w:p w14:paraId="46ADF504"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Where an employer is exiting the Fund such that it will no longer have any contributing members, unless any residual liabilities are to become subsumed liabilities, the Administering Authority will act on the basis that it will have no further access for funding from that employer once any exit valuation, carried out in accordance with Regulation 64, has been completed and any sums due have been paid. Residual liabilities of employers from whom no further funding can be obtained are known as orphan liabilities.</w:t>
      </w:r>
    </w:p>
    <w:p w14:paraId="1A9D7618" w14:textId="77777777" w:rsidR="003C3AAF" w:rsidRPr="003C3AAF" w:rsidRDefault="003C3AAF" w:rsidP="003C3AAF">
      <w:pPr>
        <w:jc w:val="both"/>
        <w:rPr>
          <w:rFonts w:ascii="Arial" w:hAnsi="Arial" w:cs="Arial"/>
          <w:sz w:val="24"/>
          <w:szCs w:val="24"/>
        </w:rPr>
      </w:pPr>
    </w:p>
    <w:p w14:paraId="25C82FD1"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 xml:space="preserve">The Administering Authority will seek to minimise the risk to other employers in the Fund that any deficiency arises on the orphan liabilities such that this creates a cost for those other employers to make good the deficiency. To give effect to this, the Administering Authority will seek funding from the outgoing employer sufficient </w:t>
      </w:r>
      <w:r w:rsidRPr="003C3AAF">
        <w:rPr>
          <w:rFonts w:ascii="Arial" w:hAnsi="Arial" w:cs="Arial"/>
          <w:snapToGrid w:val="0"/>
          <w:sz w:val="24"/>
          <w:szCs w:val="24"/>
        </w:rPr>
        <w:lastRenderedPageBreak/>
        <w:t>to enable it to match the liabilities with low risk investments, generally Government bonds.</w:t>
      </w:r>
    </w:p>
    <w:p w14:paraId="0BDF2824" w14:textId="77777777" w:rsidR="003C3AAF" w:rsidRPr="003C3AAF" w:rsidRDefault="003C3AAF" w:rsidP="003C3AAF">
      <w:pPr>
        <w:pStyle w:val="ListParagraph"/>
        <w:rPr>
          <w:rFonts w:cs="Arial"/>
          <w:snapToGrid w:val="0"/>
          <w:sz w:val="24"/>
          <w:lang w:eastAsia="en-US"/>
        </w:rPr>
      </w:pPr>
    </w:p>
    <w:p w14:paraId="0B139DEF" w14:textId="77777777" w:rsidR="003C3AAF" w:rsidRPr="003C3AAF" w:rsidRDefault="003C3AAF" w:rsidP="003C3AAF">
      <w:pPr>
        <w:ind w:left="426"/>
        <w:jc w:val="both"/>
        <w:rPr>
          <w:rFonts w:ascii="Arial" w:hAnsi="Arial" w:cs="Arial"/>
          <w:snapToGrid w:val="0"/>
          <w:sz w:val="24"/>
          <w:szCs w:val="24"/>
        </w:rPr>
      </w:pPr>
    </w:p>
    <w:p w14:paraId="0A9E9DCA" w14:textId="77777777" w:rsidR="003C3AAF" w:rsidRPr="003C3AAF" w:rsidRDefault="003C3AAF" w:rsidP="003C3AAF">
      <w:pPr>
        <w:jc w:val="both"/>
        <w:rPr>
          <w:rFonts w:ascii="Arial" w:hAnsi="Arial" w:cs="Arial"/>
          <w:sz w:val="24"/>
          <w:szCs w:val="24"/>
        </w:rPr>
      </w:pPr>
    </w:p>
    <w:p w14:paraId="0217F832"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To the extent that the Administering Authority decides not to match these liabilities with Government bonds of appropriate term then any excess or deficient returns will be added to or deducted from the investment return to be attributed to the employer's notional assets between the exit date of the employer and each subsequent funding valuation of the Fund. Assets will then be reallocated within the Fund to ensure the orphan liabilities remain 100% funded on a low risk basis after taking account of any outstanding exit payments payable to, or due from the exiting employer, with any investment profit or loss allocated to the contributing employers in proportion to their notional asset share.</w:t>
      </w:r>
    </w:p>
    <w:p w14:paraId="6C995746" w14:textId="77777777" w:rsidR="003C3AAF" w:rsidRPr="003C3AAF" w:rsidRDefault="003C3AAF" w:rsidP="003C3AAF">
      <w:pPr>
        <w:jc w:val="both"/>
        <w:rPr>
          <w:rFonts w:ascii="Arial" w:hAnsi="Arial" w:cs="Arial"/>
          <w:sz w:val="24"/>
          <w:szCs w:val="24"/>
        </w:rPr>
      </w:pPr>
    </w:p>
    <w:p w14:paraId="51B612B7" w14:textId="77777777" w:rsidR="003C3AAF" w:rsidRPr="003C3AAF" w:rsidRDefault="003C3AAF" w:rsidP="003C3AAF">
      <w:pPr>
        <w:tabs>
          <w:tab w:val="left" w:pos="426"/>
        </w:tabs>
        <w:spacing w:after="60"/>
        <w:rPr>
          <w:rFonts w:ascii="Arial" w:hAnsi="Arial" w:cs="Arial"/>
          <w:b/>
          <w:sz w:val="24"/>
          <w:szCs w:val="24"/>
        </w:rPr>
      </w:pPr>
      <w:r w:rsidRPr="003C3AAF">
        <w:rPr>
          <w:rFonts w:ascii="Arial" w:hAnsi="Arial" w:cs="Arial"/>
          <w:b/>
          <w:sz w:val="24"/>
          <w:szCs w:val="24"/>
        </w:rPr>
        <w:tab/>
        <w:t>Smoothing of contribution rates for Admission Bodies</w:t>
      </w:r>
    </w:p>
    <w:p w14:paraId="50F8D1D1"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The Administering Authority recognises that a balance needs to be struck as regards the financial demands made of Admission Bodies. On the one hand, the Administering Authority requires all Admission Bodies to be fully self funding, such that other employers in the Fund are not subject to levels of expense as a consequence of the participation of those Admission Bodies. On the other hand, in extreme circumstances, requiring achievement of Full Funding over a short time horizon may precipitate failure of the body in question, leading to significant costs for other participating employers.</w:t>
      </w:r>
    </w:p>
    <w:p w14:paraId="749628DF" w14:textId="77777777" w:rsidR="003C3AAF" w:rsidRPr="003C3AAF" w:rsidRDefault="003C3AAF" w:rsidP="003C3AAF">
      <w:pPr>
        <w:pStyle w:val="Default"/>
        <w:jc w:val="both"/>
      </w:pPr>
    </w:p>
    <w:p w14:paraId="3FAAED12"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 xml:space="preserve">In circumstances which the Administering Authority judges to be extreme, the Administering Authority will engage with the City and County of Swansea and Neath Port Talbot County Borough Council, as the dominant employers in the Fund, with a view to seeking agreement that the requirement that contribution rates target Full Funding can be temporarily relaxed, or alternatively one or both employers agree to subsume the relevant Admission Bodies on exit. </w:t>
      </w:r>
    </w:p>
    <w:p w14:paraId="1B55A156" w14:textId="77777777" w:rsidR="003C3AAF" w:rsidRPr="003C3AAF" w:rsidRDefault="003C3AAF" w:rsidP="003C3AAF">
      <w:pPr>
        <w:pStyle w:val="Default"/>
        <w:jc w:val="both"/>
      </w:pPr>
    </w:p>
    <w:p w14:paraId="3F1B12E5"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Should an Admission Body leave the Fund during a period where the City and County of Swansea and/or Neath Port Talbot County Borough Council has agreed to subsumption of residual liabilities, the exit funding requirement will be reduced to reflect the Fund's continuing access to funding, should a deficiency emerge in the future in respect of those liabilities (see cessation of participation for subsumed liabilities below).</w:t>
      </w:r>
    </w:p>
    <w:p w14:paraId="0CB0ACF1" w14:textId="77777777" w:rsidR="003C3AAF" w:rsidRPr="003C3AAF" w:rsidRDefault="003C3AAF" w:rsidP="003C3AAF">
      <w:pPr>
        <w:spacing w:line="240" w:lineRule="atLeast"/>
        <w:ind w:left="360"/>
        <w:jc w:val="both"/>
        <w:rPr>
          <w:rFonts w:ascii="Arial" w:hAnsi="Arial" w:cs="Arial"/>
          <w:sz w:val="24"/>
          <w:szCs w:val="24"/>
        </w:rPr>
      </w:pPr>
    </w:p>
    <w:p w14:paraId="70E7538B"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At subsequent valuations the position will be reassessed with a view to returning Admission Bodies to paying contributions which target Full Funding.</w:t>
      </w:r>
    </w:p>
    <w:p w14:paraId="757CEBF6" w14:textId="77777777" w:rsidR="003C3AAF" w:rsidRPr="003C3AAF" w:rsidRDefault="003C3AAF" w:rsidP="003C3AAF">
      <w:pPr>
        <w:jc w:val="both"/>
        <w:rPr>
          <w:rFonts w:ascii="Arial" w:hAnsi="Arial" w:cs="Arial"/>
          <w:sz w:val="24"/>
          <w:szCs w:val="24"/>
        </w:rPr>
      </w:pPr>
    </w:p>
    <w:p w14:paraId="54752EEE" w14:textId="77777777" w:rsidR="00C36412" w:rsidRDefault="003C3AAF" w:rsidP="003C3AAF">
      <w:pPr>
        <w:tabs>
          <w:tab w:val="left" w:pos="426"/>
        </w:tabs>
        <w:spacing w:after="60"/>
        <w:rPr>
          <w:rFonts w:ascii="Arial" w:hAnsi="Arial" w:cs="Arial"/>
          <w:b/>
          <w:sz w:val="24"/>
          <w:szCs w:val="24"/>
        </w:rPr>
      </w:pPr>
      <w:r w:rsidRPr="003C3AAF">
        <w:rPr>
          <w:rFonts w:ascii="Arial" w:hAnsi="Arial" w:cs="Arial"/>
          <w:b/>
          <w:sz w:val="24"/>
          <w:szCs w:val="24"/>
        </w:rPr>
        <w:tab/>
      </w:r>
    </w:p>
    <w:p w14:paraId="2E965653" w14:textId="77777777" w:rsidR="00C36412" w:rsidRDefault="00C36412" w:rsidP="003C3AAF">
      <w:pPr>
        <w:tabs>
          <w:tab w:val="left" w:pos="426"/>
        </w:tabs>
        <w:spacing w:after="60"/>
        <w:rPr>
          <w:rFonts w:ascii="Arial" w:hAnsi="Arial" w:cs="Arial"/>
          <w:b/>
          <w:sz w:val="24"/>
          <w:szCs w:val="24"/>
        </w:rPr>
      </w:pPr>
    </w:p>
    <w:p w14:paraId="587A7D47" w14:textId="77777777" w:rsidR="00C36412" w:rsidRDefault="00C36412" w:rsidP="003C3AAF">
      <w:pPr>
        <w:tabs>
          <w:tab w:val="left" w:pos="426"/>
        </w:tabs>
        <w:spacing w:after="60"/>
        <w:rPr>
          <w:rFonts w:ascii="Arial" w:hAnsi="Arial" w:cs="Arial"/>
          <w:b/>
          <w:sz w:val="24"/>
          <w:szCs w:val="24"/>
        </w:rPr>
      </w:pPr>
    </w:p>
    <w:p w14:paraId="6E24DF70" w14:textId="77777777" w:rsidR="003C3AAF" w:rsidRPr="003C3AAF" w:rsidRDefault="003C3AAF" w:rsidP="003C3AAF">
      <w:pPr>
        <w:tabs>
          <w:tab w:val="left" w:pos="426"/>
        </w:tabs>
        <w:spacing w:after="60"/>
        <w:rPr>
          <w:rFonts w:ascii="Arial" w:hAnsi="Arial" w:cs="Arial"/>
          <w:b/>
          <w:sz w:val="24"/>
          <w:szCs w:val="24"/>
        </w:rPr>
      </w:pPr>
      <w:r w:rsidRPr="003C3AAF">
        <w:rPr>
          <w:rFonts w:ascii="Arial" w:hAnsi="Arial" w:cs="Arial"/>
          <w:b/>
          <w:sz w:val="24"/>
          <w:szCs w:val="24"/>
        </w:rPr>
        <w:lastRenderedPageBreak/>
        <w:t>Cessation of participation i.e. Exiting the Fund</w:t>
      </w:r>
    </w:p>
    <w:p w14:paraId="179CB2F1"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Where an employer becomes an exiting employer, an exit valuation will be carried out in accordance with Regulation 64. That valuation will take account of any activity as a consequence of exiting regarding any existing contributing members (for example any bulk transfer payments due) and the status of any liabilities that will remain in the Fund. When employees do not transfer to another employer they will retain pension rights within the Fund, i.e. either as a deferred pensioner or immediately taking retirement benefits.</w:t>
      </w:r>
    </w:p>
    <w:p w14:paraId="718986B6" w14:textId="77777777" w:rsidR="003C3AAF" w:rsidRPr="003C3AAF" w:rsidRDefault="003C3AAF" w:rsidP="003C3AAF">
      <w:pPr>
        <w:jc w:val="both"/>
        <w:rPr>
          <w:rFonts w:ascii="Arial" w:hAnsi="Arial" w:cs="Arial"/>
          <w:sz w:val="24"/>
          <w:szCs w:val="24"/>
        </w:rPr>
      </w:pPr>
    </w:p>
    <w:p w14:paraId="4401F90A"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 xml:space="preserve">The assumptions adopted to value the departing employer’s liabilities for the exit valuation (including on termination of any Deferred Debt Agreement) will depend upon the circumstances. In particular, the exit valuation will distinguish between residual liabilities which will become orphan liabilities, and liabilities which will be subsumed by long-term other employers. </w:t>
      </w:r>
    </w:p>
    <w:p w14:paraId="1ABBD777" w14:textId="77777777" w:rsidR="003C3AAF" w:rsidRPr="003C3AAF" w:rsidRDefault="003C3AAF" w:rsidP="003C3AAF">
      <w:pPr>
        <w:jc w:val="both"/>
        <w:rPr>
          <w:rFonts w:ascii="Arial" w:hAnsi="Arial" w:cs="Arial"/>
          <w:sz w:val="24"/>
          <w:szCs w:val="24"/>
        </w:rPr>
      </w:pPr>
    </w:p>
    <w:p w14:paraId="3345BA1C"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For orphan liabilities the Funding Target in the exit valuation will anticipate investment in low risk investments such as Government bonds. This is to protect the other employers in the Fund, as upon exit, the employer's liabilities will become "orphan" liabilities within the Fund, and there is no recourse to that (former) employer if a deficit emerges in relation to these liabilities after the exit date. Any deficit or surplus in the Fund in respect of the employer will generally be due to the Fund as a termination contribution (but see 5.29 below), or payable by the Fund to the employer as an exit credit respectively, where the exit date is on or after 14 May 2018.</w:t>
      </w:r>
    </w:p>
    <w:p w14:paraId="1501A1C3" w14:textId="77777777" w:rsidR="003C3AAF" w:rsidRPr="003C3AAF" w:rsidRDefault="003C3AAF" w:rsidP="003C3AAF">
      <w:pPr>
        <w:pStyle w:val="ListParagraph"/>
        <w:rPr>
          <w:rFonts w:cs="Arial"/>
          <w:snapToGrid w:val="0"/>
          <w:sz w:val="24"/>
          <w:lang w:eastAsia="en-US"/>
        </w:rPr>
      </w:pPr>
    </w:p>
    <w:p w14:paraId="7AA7644B" w14:textId="77777777" w:rsidR="003C3AAF" w:rsidRPr="003C3AAF" w:rsidRDefault="003C3AAF" w:rsidP="003C3AAF">
      <w:pPr>
        <w:ind w:left="426"/>
        <w:jc w:val="both"/>
        <w:rPr>
          <w:rFonts w:ascii="Arial" w:hAnsi="Arial" w:cs="Arial"/>
          <w:snapToGrid w:val="0"/>
          <w:sz w:val="24"/>
          <w:szCs w:val="24"/>
        </w:rPr>
      </w:pPr>
    </w:p>
    <w:p w14:paraId="02BF82C4" w14:textId="77777777" w:rsidR="003C3AAF" w:rsidRPr="003C3AAF" w:rsidRDefault="003C3AAF" w:rsidP="003C3AAF">
      <w:pPr>
        <w:pStyle w:val="ListParagraph"/>
        <w:rPr>
          <w:rFonts w:cs="Arial"/>
          <w:snapToGrid w:val="0"/>
          <w:sz w:val="24"/>
          <w:lang w:eastAsia="en-US"/>
        </w:rPr>
      </w:pPr>
    </w:p>
    <w:p w14:paraId="080853E0"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For subsumed liabilities the exit valuation will be determined on the basis that the scheme employer, or in the case of grouped employers, the remaining contributing group employers, providing the subsumption commitment will subsume all assets and liabilities from the exiting scheme employer. No exit credit will be paid to, or any exit debt required from, the exiting scheme employer, unless the exiting scheme employer is in surplus when liabilities are calculated using a Funding Target that anticipates investment in low risk investments such as Government bonds. The assets and liabilities will be subsumed within those of the employer, or employers, providing the subsumption commitment, with future contribution requirements for this employer, or group of employers, being reassessed at each actuarial valuation.</w:t>
      </w:r>
    </w:p>
    <w:p w14:paraId="42867478" w14:textId="77777777" w:rsidR="003C3AAF" w:rsidRPr="003C3AAF" w:rsidRDefault="003C3AAF" w:rsidP="003C3AAF">
      <w:pPr>
        <w:ind w:left="426"/>
        <w:jc w:val="both"/>
        <w:rPr>
          <w:rFonts w:ascii="Arial" w:hAnsi="Arial" w:cs="Arial"/>
          <w:snapToGrid w:val="0"/>
          <w:sz w:val="24"/>
          <w:szCs w:val="24"/>
        </w:rPr>
      </w:pPr>
    </w:p>
    <w:p w14:paraId="3B2F03FD" w14:textId="77777777" w:rsidR="003C3AAF" w:rsidRPr="003C3AAF" w:rsidRDefault="003C3AAF" w:rsidP="0073304A">
      <w:pPr>
        <w:numPr>
          <w:ilvl w:val="1"/>
          <w:numId w:val="83"/>
        </w:numPr>
        <w:ind w:left="426" w:hanging="454"/>
        <w:jc w:val="both"/>
        <w:rPr>
          <w:rFonts w:ascii="Arial" w:hAnsi="Arial" w:cs="Arial"/>
          <w:snapToGrid w:val="0"/>
          <w:sz w:val="24"/>
          <w:szCs w:val="24"/>
        </w:rPr>
      </w:pPr>
      <w:r w:rsidRPr="003C3AAF">
        <w:rPr>
          <w:rFonts w:ascii="Arial" w:hAnsi="Arial" w:cs="Arial"/>
          <w:snapToGrid w:val="0"/>
          <w:sz w:val="24"/>
          <w:szCs w:val="24"/>
        </w:rPr>
        <w:t>In addition, the Administering Authority may, at its discretion, include additional margins for prudence compared to the approach used for determining ongoing contributions, for example in relation to regulatory uncertainty (which at the date of this Statement includes uncertainty associated with the McCloud case, the Goodwin case, cost management process and indexation and equalisation of GMP).</w:t>
      </w:r>
    </w:p>
    <w:p w14:paraId="15B8DAC1" w14:textId="77777777" w:rsidR="003C3AAF" w:rsidRPr="003C3AAF" w:rsidRDefault="003C3AAF" w:rsidP="003C3AAF">
      <w:pPr>
        <w:pStyle w:val="ListParagraph"/>
        <w:rPr>
          <w:rFonts w:cs="Arial"/>
          <w:snapToGrid w:val="0"/>
          <w:sz w:val="24"/>
          <w:lang w:eastAsia="en-US"/>
        </w:rPr>
      </w:pPr>
    </w:p>
    <w:p w14:paraId="6FACC96B" w14:textId="77777777" w:rsidR="003C3AAF" w:rsidRPr="003C3AAF" w:rsidRDefault="003C3AAF" w:rsidP="0073304A">
      <w:pPr>
        <w:numPr>
          <w:ilvl w:val="1"/>
          <w:numId w:val="83"/>
        </w:numPr>
        <w:spacing w:after="120"/>
        <w:ind w:left="426" w:hanging="454"/>
        <w:jc w:val="both"/>
        <w:rPr>
          <w:rFonts w:ascii="Arial" w:hAnsi="Arial" w:cs="Arial"/>
          <w:snapToGrid w:val="0"/>
          <w:sz w:val="24"/>
          <w:szCs w:val="24"/>
        </w:rPr>
      </w:pPr>
      <w:r w:rsidRPr="003C3AAF">
        <w:rPr>
          <w:rFonts w:ascii="Arial" w:hAnsi="Arial" w:cs="Arial"/>
          <w:snapToGrid w:val="0"/>
          <w:sz w:val="24"/>
          <w:szCs w:val="24"/>
        </w:rPr>
        <w:t>Following the above process, any deficit in the Fund in respect of the Employer will be due to the Fund as a termination contribution unless it is agreed by the Administering Authority and the other parties involved that:</w:t>
      </w:r>
    </w:p>
    <w:p w14:paraId="52B80D9F" w14:textId="77777777" w:rsidR="003C3AAF" w:rsidRPr="003C3AAF" w:rsidRDefault="003C3AAF" w:rsidP="0073304A">
      <w:pPr>
        <w:numPr>
          <w:ilvl w:val="0"/>
          <w:numId w:val="97"/>
        </w:numPr>
        <w:spacing w:after="120"/>
        <w:jc w:val="both"/>
        <w:rPr>
          <w:rFonts w:ascii="Arial" w:hAnsi="Arial" w:cs="Arial"/>
          <w:snapToGrid w:val="0"/>
          <w:sz w:val="24"/>
          <w:szCs w:val="24"/>
        </w:rPr>
      </w:pPr>
      <w:r w:rsidRPr="003C3AAF">
        <w:rPr>
          <w:rFonts w:ascii="Arial" w:hAnsi="Arial" w:cs="Arial"/>
          <w:snapToGrid w:val="0"/>
          <w:sz w:val="24"/>
          <w:szCs w:val="24"/>
        </w:rPr>
        <w:t>the assets and liabilities relating to the employer will transfer within the Fund to another participating employer.</w:t>
      </w:r>
    </w:p>
    <w:p w14:paraId="79EF816C" w14:textId="77777777" w:rsidR="003C3AAF" w:rsidRPr="003C3AAF" w:rsidRDefault="003C3AAF" w:rsidP="0073304A">
      <w:pPr>
        <w:numPr>
          <w:ilvl w:val="0"/>
          <w:numId w:val="97"/>
        </w:numPr>
        <w:spacing w:after="120"/>
        <w:jc w:val="both"/>
        <w:rPr>
          <w:rFonts w:ascii="Arial" w:hAnsi="Arial" w:cs="Arial"/>
          <w:snapToGrid w:val="0"/>
          <w:sz w:val="24"/>
          <w:szCs w:val="24"/>
        </w:rPr>
      </w:pPr>
      <w:r w:rsidRPr="003C3AAF">
        <w:rPr>
          <w:rFonts w:ascii="Arial" w:hAnsi="Arial" w:cs="Arial"/>
          <w:snapToGrid w:val="0"/>
          <w:sz w:val="24"/>
          <w:szCs w:val="24"/>
        </w:rPr>
        <w:t>the employer and Administering Authority will enter into a Deferred Debt Agreement;</w:t>
      </w:r>
    </w:p>
    <w:p w14:paraId="74450551" w14:textId="77777777" w:rsidR="003C3AAF" w:rsidRPr="003C3AAF" w:rsidRDefault="003C3AAF" w:rsidP="0073304A">
      <w:pPr>
        <w:numPr>
          <w:ilvl w:val="0"/>
          <w:numId w:val="97"/>
        </w:numPr>
        <w:jc w:val="both"/>
        <w:rPr>
          <w:rFonts w:ascii="Arial" w:hAnsi="Arial" w:cs="Arial"/>
          <w:snapToGrid w:val="0"/>
          <w:sz w:val="24"/>
          <w:szCs w:val="24"/>
        </w:rPr>
      </w:pPr>
      <w:r w:rsidRPr="003C3AAF">
        <w:rPr>
          <w:rFonts w:ascii="Arial" w:hAnsi="Arial" w:cs="Arial"/>
          <w:snapToGrid w:val="0"/>
          <w:sz w:val="24"/>
          <w:szCs w:val="24"/>
        </w:rPr>
        <w:t>the exit payment can be spread over a reasonable period as permitted by regulation 64B</w:t>
      </w:r>
    </w:p>
    <w:p w14:paraId="16E9E2A6" w14:textId="77777777" w:rsidR="003C3AAF" w:rsidRPr="003C3AAF" w:rsidRDefault="003C3AAF" w:rsidP="003C3AAF">
      <w:pPr>
        <w:spacing w:before="240"/>
        <w:ind w:left="426"/>
        <w:jc w:val="both"/>
        <w:rPr>
          <w:rFonts w:ascii="Arial" w:hAnsi="Arial" w:cs="Arial"/>
          <w:snapToGrid w:val="0"/>
          <w:sz w:val="24"/>
          <w:szCs w:val="24"/>
        </w:rPr>
      </w:pPr>
      <w:r w:rsidRPr="003C3AAF">
        <w:rPr>
          <w:rFonts w:ascii="Arial" w:hAnsi="Arial" w:cs="Arial"/>
          <w:snapToGrid w:val="0"/>
          <w:sz w:val="24"/>
          <w:szCs w:val="24"/>
        </w:rPr>
        <w:t>Details of the approach to be adopted for such an assessment on exit, including how any exit credit may be determined and the conditions in which the Administering Authority will consider agreeing to enter into a Deferred Debt Agreement or to permit spreading of any exit payments are set out in Appendix 1.</w:t>
      </w:r>
    </w:p>
    <w:p w14:paraId="25A8B546" w14:textId="77777777" w:rsidR="003C3AAF" w:rsidRPr="003C3AAF" w:rsidRDefault="003C3AAF" w:rsidP="003C3AAF">
      <w:pPr>
        <w:spacing w:before="240"/>
        <w:jc w:val="both"/>
        <w:rPr>
          <w:rFonts w:ascii="Arial" w:hAnsi="Arial" w:cs="Arial"/>
          <w:b/>
          <w:snapToGrid w:val="0"/>
          <w:sz w:val="24"/>
          <w:szCs w:val="24"/>
        </w:rPr>
      </w:pPr>
      <w:r w:rsidRPr="003C3AAF">
        <w:rPr>
          <w:rFonts w:ascii="Arial" w:hAnsi="Arial" w:cs="Arial"/>
          <w:b/>
          <w:snapToGrid w:val="0"/>
          <w:sz w:val="24"/>
          <w:szCs w:val="24"/>
        </w:rPr>
        <w:t>Exit payments and exit credits</w:t>
      </w:r>
    </w:p>
    <w:p w14:paraId="543F1665" w14:textId="77777777" w:rsidR="003C3AAF" w:rsidRPr="003C3AAF" w:rsidRDefault="003C3AAF" w:rsidP="0073304A">
      <w:pPr>
        <w:numPr>
          <w:ilvl w:val="1"/>
          <w:numId w:val="83"/>
        </w:numPr>
        <w:spacing w:before="240"/>
        <w:jc w:val="both"/>
        <w:rPr>
          <w:rFonts w:ascii="Arial" w:hAnsi="Arial" w:cs="Arial"/>
          <w:snapToGrid w:val="0"/>
          <w:sz w:val="24"/>
          <w:szCs w:val="24"/>
        </w:rPr>
      </w:pPr>
      <w:r w:rsidRPr="003C3AAF">
        <w:rPr>
          <w:rFonts w:ascii="Arial" w:hAnsi="Arial" w:cs="Arial"/>
          <w:snapToGrid w:val="0"/>
          <w:sz w:val="24"/>
          <w:szCs w:val="24"/>
        </w:rPr>
        <w:t>Further information on the Administering Authority's policy on exit payments, and exit credits is set out in Appendix 1.</w:t>
      </w:r>
    </w:p>
    <w:p w14:paraId="134B03F9" w14:textId="77777777" w:rsidR="003C3AAF" w:rsidRPr="003C3AAF" w:rsidRDefault="003C3AAF" w:rsidP="003C3AAF">
      <w:pPr>
        <w:spacing w:before="240"/>
        <w:jc w:val="both"/>
        <w:rPr>
          <w:rFonts w:ascii="Arial" w:hAnsi="Arial" w:cs="Arial"/>
          <w:b/>
          <w:snapToGrid w:val="0"/>
          <w:sz w:val="24"/>
          <w:szCs w:val="24"/>
        </w:rPr>
      </w:pPr>
      <w:r w:rsidRPr="003C3AAF">
        <w:rPr>
          <w:rFonts w:ascii="Arial" w:hAnsi="Arial" w:cs="Arial"/>
          <w:b/>
          <w:snapToGrid w:val="0"/>
          <w:sz w:val="24"/>
          <w:szCs w:val="24"/>
        </w:rPr>
        <w:t>Deferred Debt Agreements</w:t>
      </w:r>
    </w:p>
    <w:p w14:paraId="3FE434C9" w14:textId="77777777" w:rsidR="003C3AAF" w:rsidRPr="003C3AAF" w:rsidRDefault="003C3AAF" w:rsidP="0073304A">
      <w:pPr>
        <w:numPr>
          <w:ilvl w:val="1"/>
          <w:numId w:val="83"/>
        </w:numPr>
        <w:spacing w:before="240"/>
        <w:jc w:val="both"/>
        <w:rPr>
          <w:rFonts w:ascii="Arial" w:hAnsi="Arial" w:cs="Arial"/>
          <w:snapToGrid w:val="0"/>
          <w:sz w:val="24"/>
          <w:szCs w:val="24"/>
        </w:rPr>
      </w:pPr>
      <w:r w:rsidRPr="003C3AAF">
        <w:rPr>
          <w:rFonts w:ascii="Arial" w:hAnsi="Arial" w:cs="Arial"/>
          <w:snapToGrid w:val="0"/>
          <w:sz w:val="24"/>
          <w:szCs w:val="24"/>
        </w:rPr>
        <w:t>Regulation 64(7A) permits the Administering Authority to enter into a written agreement with an existing Scheme employer for that employer to defer their obligation to make an exit payment and continue to make contributions at the secondary rate ("a Deferred Debt Agreement").</w:t>
      </w:r>
    </w:p>
    <w:p w14:paraId="30C9C7E1" w14:textId="77777777" w:rsidR="003C3AAF" w:rsidRPr="003C3AAF" w:rsidRDefault="003C3AAF" w:rsidP="003C3AAF">
      <w:pPr>
        <w:spacing w:before="240"/>
        <w:ind w:left="426"/>
        <w:jc w:val="both"/>
        <w:rPr>
          <w:rFonts w:ascii="Arial" w:hAnsi="Arial" w:cs="Arial"/>
          <w:snapToGrid w:val="0"/>
          <w:sz w:val="24"/>
          <w:szCs w:val="24"/>
        </w:rPr>
      </w:pPr>
      <w:r w:rsidRPr="003C3AAF">
        <w:rPr>
          <w:rFonts w:ascii="Arial" w:hAnsi="Arial" w:cs="Arial"/>
          <w:snapToGrid w:val="0"/>
          <w:sz w:val="24"/>
          <w:szCs w:val="24"/>
        </w:rPr>
        <w:t>The Administering Authority's policy in relation Deferred Debt Agreements is set out in Appendix 1.</w:t>
      </w:r>
    </w:p>
    <w:p w14:paraId="4805D9CE" w14:textId="77777777" w:rsidR="003C3AAF" w:rsidRPr="003C3AAF" w:rsidRDefault="003C3AAF" w:rsidP="0073304A">
      <w:pPr>
        <w:numPr>
          <w:ilvl w:val="0"/>
          <w:numId w:val="83"/>
        </w:numPr>
        <w:autoSpaceDE w:val="0"/>
        <w:autoSpaceDN w:val="0"/>
        <w:adjustRightInd w:val="0"/>
        <w:ind w:left="426" w:hanging="454"/>
        <w:jc w:val="both"/>
        <w:rPr>
          <w:rFonts w:ascii="Arial" w:hAnsi="Arial" w:cs="Arial"/>
          <w:b/>
          <w:bCs/>
          <w:sz w:val="24"/>
          <w:szCs w:val="24"/>
        </w:rPr>
      </w:pPr>
      <w:r w:rsidRPr="003C3AAF">
        <w:rPr>
          <w:rFonts w:ascii="Arial" w:hAnsi="Arial" w:cs="Arial"/>
          <w:b/>
          <w:bCs/>
          <w:sz w:val="24"/>
          <w:szCs w:val="24"/>
        </w:rPr>
        <w:br w:type="page"/>
      </w:r>
      <w:r w:rsidRPr="003C3AAF">
        <w:rPr>
          <w:rFonts w:ascii="Arial" w:hAnsi="Arial" w:cs="Arial"/>
          <w:b/>
          <w:bCs/>
          <w:sz w:val="24"/>
          <w:szCs w:val="24"/>
        </w:rPr>
        <w:lastRenderedPageBreak/>
        <w:t xml:space="preserve">IDENTIFICATION OF RISKS </w:t>
      </w:r>
      <w:smartTag w:uri="urn:schemas-microsoft-com:office:smarttags" w:element="stockticker">
        <w:r w:rsidRPr="003C3AAF">
          <w:rPr>
            <w:rFonts w:ascii="Arial" w:hAnsi="Arial" w:cs="Arial"/>
            <w:b/>
            <w:bCs/>
            <w:sz w:val="24"/>
            <w:szCs w:val="24"/>
          </w:rPr>
          <w:t>AND</w:t>
        </w:r>
      </w:smartTag>
      <w:r w:rsidRPr="003C3AAF">
        <w:rPr>
          <w:rFonts w:ascii="Arial" w:hAnsi="Arial" w:cs="Arial"/>
          <w:b/>
          <w:bCs/>
          <w:sz w:val="24"/>
          <w:szCs w:val="24"/>
        </w:rPr>
        <w:t xml:space="preserve"> COUNTER MEASURES</w:t>
      </w:r>
    </w:p>
    <w:p w14:paraId="23819039" w14:textId="77777777" w:rsidR="003C3AAF" w:rsidRPr="003C3AAF" w:rsidRDefault="003C3AAF" w:rsidP="003C3AAF">
      <w:pPr>
        <w:autoSpaceDE w:val="0"/>
        <w:autoSpaceDN w:val="0"/>
        <w:adjustRightInd w:val="0"/>
        <w:jc w:val="both"/>
        <w:rPr>
          <w:rFonts w:ascii="Arial" w:hAnsi="Arial" w:cs="Arial"/>
          <w:b/>
          <w:bCs/>
          <w:sz w:val="24"/>
          <w:szCs w:val="24"/>
        </w:rPr>
      </w:pPr>
    </w:p>
    <w:p w14:paraId="3C86B31F" w14:textId="77777777" w:rsidR="003C3AAF" w:rsidRPr="003C3AAF" w:rsidRDefault="003C3AAF" w:rsidP="003C3AAF">
      <w:pPr>
        <w:tabs>
          <w:tab w:val="left" w:pos="426"/>
        </w:tabs>
        <w:spacing w:after="60"/>
        <w:rPr>
          <w:rFonts w:ascii="Arial" w:hAnsi="Arial" w:cs="Arial"/>
          <w:b/>
          <w:bCs/>
          <w:sz w:val="24"/>
          <w:szCs w:val="24"/>
        </w:rPr>
      </w:pPr>
      <w:r w:rsidRPr="003C3AAF">
        <w:rPr>
          <w:rFonts w:ascii="Arial" w:hAnsi="Arial" w:cs="Arial"/>
          <w:b/>
          <w:bCs/>
          <w:sz w:val="24"/>
          <w:szCs w:val="24"/>
        </w:rPr>
        <w:tab/>
      </w:r>
      <w:r w:rsidRPr="003C3AAF">
        <w:rPr>
          <w:rFonts w:ascii="Arial" w:hAnsi="Arial" w:cs="Arial"/>
          <w:b/>
          <w:sz w:val="24"/>
          <w:szCs w:val="24"/>
        </w:rPr>
        <w:t>Approach</w:t>
      </w:r>
    </w:p>
    <w:p w14:paraId="169292FE" w14:textId="77777777" w:rsidR="003C3AAF" w:rsidRPr="003C3AAF" w:rsidRDefault="003C3AAF" w:rsidP="0073304A">
      <w:pPr>
        <w:pStyle w:val="Heading2"/>
        <w:widowControl w:val="0"/>
        <w:numPr>
          <w:ilvl w:val="1"/>
          <w:numId w:val="83"/>
        </w:numPr>
        <w:ind w:left="426"/>
        <w:jc w:val="both"/>
        <w:rPr>
          <w:rFonts w:cs="Arial"/>
          <w:b w:val="0"/>
          <w:sz w:val="24"/>
          <w:szCs w:val="24"/>
        </w:rPr>
      </w:pPr>
      <w:r w:rsidRPr="003C3AAF">
        <w:rPr>
          <w:rFonts w:cs="Arial"/>
          <w:b w:val="0"/>
          <w:sz w:val="24"/>
          <w:szCs w:val="24"/>
        </w:rPr>
        <w:t xml:space="preserve">The Administering Authority seeks to identify all risks to the Fund and to consider the position both in aggregate and at an individual risk level. The Administering Authority will monitor the risks to the Fund, and will take appropriate action to limit the impact of these both before, and after, they emerge wherever possible. </w:t>
      </w:r>
    </w:p>
    <w:p w14:paraId="101DCEE0" w14:textId="77777777" w:rsidR="003C3AAF" w:rsidRPr="003C3AAF" w:rsidRDefault="003C3AAF" w:rsidP="003C3AAF">
      <w:pPr>
        <w:widowControl w:val="0"/>
        <w:jc w:val="both"/>
        <w:rPr>
          <w:rFonts w:ascii="Arial" w:hAnsi="Arial" w:cs="Arial"/>
          <w:snapToGrid w:val="0"/>
          <w:sz w:val="24"/>
          <w:szCs w:val="24"/>
        </w:rPr>
      </w:pPr>
    </w:p>
    <w:p w14:paraId="62962E7B" w14:textId="77777777" w:rsidR="003C3AAF" w:rsidRPr="003C3AAF" w:rsidRDefault="003C3AAF" w:rsidP="0073304A">
      <w:pPr>
        <w:pStyle w:val="Heading2"/>
        <w:widowControl w:val="0"/>
        <w:numPr>
          <w:ilvl w:val="1"/>
          <w:numId w:val="83"/>
        </w:numPr>
        <w:ind w:left="426"/>
        <w:jc w:val="both"/>
        <w:rPr>
          <w:rFonts w:cs="Arial"/>
          <w:b w:val="0"/>
          <w:sz w:val="24"/>
          <w:szCs w:val="24"/>
        </w:rPr>
      </w:pPr>
      <w:r w:rsidRPr="003C3AAF">
        <w:rPr>
          <w:rFonts w:cs="Arial"/>
          <w:b w:val="0"/>
          <w:sz w:val="24"/>
          <w:szCs w:val="24"/>
        </w:rPr>
        <w:t>The Administering Authority will ensure that funding risks are included within their overarching risk management framework and strategy, linking to their risk register and risk management policy as appropriate and includes defining a role for the Local Pension Board within this framework.</w:t>
      </w:r>
    </w:p>
    <w:p w14:paraId="36820CFC" w14:textId="77777777" w:rsidR="003C3AAF" w:rsidRPr="003C3AAF" w:rsidRDefault="003C3AAF" w:rsidP="003C3AAF">
      <w:pPr>
        <w:widowControl w:val="0"/>
        <w:jc w:val="both"/>
        <w:rPr>
          <w:rFonts w:ascii="Arial" w:hAnsi="Arial" w:cs="Arial"/>
          <w:snapToGrid w:val="0"/>
          <w:sz w:val="24"/>
          <w:szCs w:val="24"/>
        </w:rPr>
      </w:pPr>
    </w:p>
    <w:p w14:paraId="3638F364" w14:textId="77777777" w:rsidR="003C3AAF" w:rsidRPr="003C3AAF" w:rsidRDefault="003C3AAF" w:rsidP="0073304A">
      <w:pPr>
        <w:pStyle w:val="Heading2"/>
        <w:widowControl w:val="0"/>
        <w:numPr>
          <w:ilvl w:val="1"/>
          <w:numId w:val="83"/>
        </w:numPr>
        <w:ind w:left="426"/>
        <w:jc w:val="both"/>
        <w:rPr>
          <w:rFonts w:cs="Arial"/>
          <w:b w:val="0"/>
          <w:sz w:val="24"/>
          <w:szCs w:val="24"/>
        </w:rPr>
      </w:pPr>
      <w:r w:rsidRPr="003C3AAF">
        <w:rPr>
          <w:rFonts w:cs="Arial"/>
          <w:b w:val="0"/>
          <w:sz w:val="24"/>
          <w:szCs w:val="24"/>
        </w:rPr>
        <w:t>The main risks to the Fund are considered below:</w:t>
      </w:r>
    </w:p>
    <w:p w14:paraId="41DE26FC" w14:textId="77777777" w:rsidR="003C3AAF" w:rsidRPr="003C3AAF" w:rsidRDefault="003C3AAF" w:rsidP="003C3AAF">
      <w:pPr>
        <w:widowControl w:val="0"/>
        <w:jc w:val="both"/>
        <w:rPr>
          <w:rFonts w:ascii="Arial" w:hAnsi="Arial" w:cs="Arial"/>
          <w:snapToGrid w:val="0"/>
          <w:sz w:val="24"/>
          <w:szCs w:val="24"/>
        </w:rPr>
      </w:pPr>
    </w:p>
    <w:p w14:paraId="028A5B5B" w14:textId="77777777" w:rsidR="003C3AAF" w:rsidRPr="003C3AAF" w:rsidRDefault="003C3AAF" w:rsidP="003C3AAF">
      <w:pPr>
        <w:autoSpaceDE w:val="0"/>
        <w:autoSpaceDN w:val="0"/>
        <w:adjustRightInd w:val="0"/>
        <w:spacing w:after="60"/>
        <w:ind w:left="425"/>
        <w:jc w:val="both"/>
        <w:rPr>
          <w:rFonts w:ascii="Arial" w:hAnsi="Arial" w:cs="Arial"/>
          <w:b/>
          <w:bCs/>
          <w:sz w:val="24"/>
          <w:szCs w:val="24"/>
        </w:rPr>
      </w:pPr>
      <w:r w:rsidRPr="003C3AAF">
        <w:rPr>
          <w:rFonts w:ascii="Arial" w:hAnsi="Arial" w:cs="Arial"/>
          <w:b/>
          <w:bCs/>
          <w:sz w:val="24"/>
          <w:szCs w:val="24"/>
        </w:rPr>
        <w:t>Choice of Solvency and Funding Targets</w:t>
      </w:r>
    </w:p>
    <w:p w14:paraId="10DF6251" w14:textId="77777777" w:rsidR="003C3AAF" w:rsidRPr="003C3AAF" w:rsidRDefault="003C3AAF" w:rsidP="0073304A">
      <w:pPr>
        <w:pStyle w:val="Heading2"/>
        <w:widowControl w:val="0"/>
        <w:numPr>
          <w:ilvl w:val="1"/>
          <w:numId w:val="83"/>
        </w:numPr>
        <w:ind w:left="426"/>
        <w:jc w:val="both"/>
        <w:rPr>
          <w:rFonts w:cs="Arial"/>
          <w:sz w:val="24"/>
          <w:szCs w:val="24"/>
        </w:rPr>
      </w:pPr>
      <w:r w:rsidRPr="003C3AAF">
        <w:rPr>
          <w:rFonts w:cs="Arial"/>
          <w:b w:val="0"/>
          <w:sz w:val="24"/>
          <w:szCs w:val="24"/>
        </w:rPr>
        <w:t>The Administering Authority recognises that future experience and investment income cannot be predicted with certainty. Instead, there is a range of possible outcomes, and different assumed outcomes will lie at different places within that range</w:t>
      </w:r>
      <w:r w:rsidRPr="003C3AAF">
        <w:rPr>
          <w:rFonts w:cs="Arial"/>
          <w:sz w:val="24"/>
          <w:szCs w:val="24"/>
        </w:rPr>
        <w:t>.</w:t>
      </w:r>
    </w:p>
    <w:p w14:paraId="64CB7001" w14:textId="77777777" w:rsidR="003C3AAF" w:rsidRPr="003C3AAF" w:rsidRDefault="003C3AAF" w:rsidP="003C3AAF">
      <w:pPr>
        <w:ind w:left="425" w:firstLine="454"/>
        <w:rPr>
          <w:rFonts w:ascii="Arial" w:hAnsi="Arial" w:cs="Arial"/>
          <w:sz w:val="24"/>
          <w:szCs w:val="24"/>
        </w:rPr>
      </w:pPr>
    </w:p>
    <w:p w14:paraId="6B94B824" w14:textId="77777777" w:rsidR="003C3AAF" w:rsidRPr="003C3AAF" w:rsidRDefault="003C3AAF" w:rsidP="0073304A">
      <w:pPr>
        <w:pStyle w:val="Heading2"/>
        <w:widowControl w:val="0"/>
        <w:numPr>
          <w:ilvl w:val="1"/>
          <w:numId w:val="83"/>
        </w:numPr>
        <w:ind w:left="426"/>
        <w:jc w:val="both"/>
        <w:rPr>
          <w:rFonts w:cs="Arial"/>
          <w:b w:val="0"/>
          <w:sz w:val="24"/>
          <w:szCs w:val="24"/>
        </w:rPr>
      </w:pPr>
      <w:r w:rsidRPr="003C3AAF">
        <w:rPr>
          <w:rFonts w:cs="Arial"/>
          <w:b w:val="0"/>
          <w:sz w:val="24"/>
          <w:szCs w:val="24"/>
        </w:rPr>
        <w:t>The more optimistic the assumptions made in determining the Solvency and Funding Targets, the more that outcome will sit towards the 'favourable' end of the range of possible outcomes, the lower will be the probability of experience actually matching or being more favourable than the assumed experience, and the lower will be the Solvency and Funding Targets calculated by reference to those assumptions.</w:t>
      </w:r>
    </w:p>
    <w:p w14:paraId="43693EDB" w14:textId="77777777" w:rsidR="003C3AAF" w:rsidRPr="003C3AAF" w:rsidRDefault="003C3AAF" w:rsidP="003C3AAF">
      <w:pPr>
        <w:ind w:left="425" w:firstLine="454"/>
        <w:jc w:val="both"/>
        <w:rPr>
          <w:rFonts w:ascii="Arial" w:hAnsi="Arial" w:cs="Arial"/>
          <w:sz w:val="24"/>
          <w:szCs w:val="24"/>
        </w:rPr>
      </w:pPr>
    </w:p>
    <w:p w14:paraId="379D221D" w14:textId="77777777" w:rsidR="003C3AAF" w:rsidRPr="003C3AAF" w:rsidRDefault="003C3AAF" w:rsidP="0073304A">
      <w:pPr>
        <w:pStyle w:val="Heading2"/>
        <w:widowControl w:val="0"/>
        <w:numPr>
          <w:ilvl w:val="1"/>
          <w:numId w:val="83"/>
        </w:numPr>
        <w:spacing w:after="120"/>
        <w:ind w:left="425" w:hanging="448"/>
        <w:jc w:val="both"/>
        <w:rPr>
          <w:rFonts w:cs="Arial"/>
          <w:b w:val="0"/>
          <w:sz w:val="24"/>
          <w:szCs w:val="24"/>
        </w:rPr>
      </w:pPr>
      <w:r w:rsidRPr="003C3AAF">
        <w:rPr>
          <w:rFonts w:cs="Arial"/>
          <w:b w:val="0"/>
          <w:sz w:val="24"/>
          <w:szCs w:val="24"/>
        </w:rPr>
        <w:t>The Administering Authority will not adopt assumptions for Scheduled Bodies and certain other bodies which, in its judgement, and on the basis of actuarial advice received, are such that it is less than 55% likely that the strategy will deliver funding success (as defined earlier in this document). Where the probability of funding success is less than 65% the Administering Authority will not adopt assumptions which lead to a reduction in the aggregate employer contribution rate to the Fund.</w:t>
      </w:r>
    </w:p>
    <w:p w14:paraId="2232821C"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The Administering Authority’s policy will be to monitor an underlying 'low risk' position (making no allowance for returns in excess of those available on Government stocks) to ensure that the Funding Target remains realistic.</w:t>
      </w:r>
    </w:p>
    <w:p w14:paraId="06B64245" w14:textId="77777777" w:rsidR="003C3AAF" w:rsidRPr="003C3AAF" w:rsidRDefault="003C3AAF" w:rsidP="003C3AAF">
      <w:pPr>
        <w:widowControl w:val="0"/>
        <w:jc w:val="both"/>
        <w:rPr>
          <w:rFonts w:ascii="Arial" w:hAnsi="Arial" w:cs="Arial"/>
          <w:snapToGrid w:val="0"/>
          <w:sz w:val="24"/>
          <w:szCs w:val="24"/>
        </w:rPr>
      </w:pPr>
    </w:p>
    <w:p w14:paraId="1918F93B" w14:textId="77777777" w:rsidR="003C3AAF" w:rsidRPr="003C3AAF" w:rsidRDefault="003C3AAF" w:rsidP="003C3AAF">
      <w:pPr>
        <w:autoSpaceDE w:val="0"/>
        <w:autoSpaceDN w:val="0"/>
        <w:adjustRightInd w:val="0"/>
        <w:spacing w:after="60"/>
        <w:ind w:left="425"/>
        <w:jc w:val="both"/>
        <w:rPr>
          <w:rFonts w:ascii="Arial" w:hAnsi="Arial" w:cs="Arial"/>
          <w:sz w:val="24"/>
          <w:szCs w:val="24"/>
          <w:u w:val="single"/>
        </w:rPr>
      </w:pPr>
      <w:r w:rsidRPr="003C3AAF">
        <w:rPr>
          <w:rFonts w:ascii="Arial" w:hAnsi="Arial" w:cs="Arial"/>
          <w:b/>
          <w:bCs/>
          <w:sz w:val="24"/>
          <w:szCs w:val="24"/>
        </w:rPr>
        <w:t>Investment Risk</w:t>
      </w:r>
    </w:p>
    <w:p w14:paraId="6E1E0DB2"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w:t>
      </w:r>
      <w:r w:rsidRPr="003C3AAF">
        <w:rPr>
          <w:rFonts w:cs="Arial"/>
          <w:b w:val="0"/>
          <w:spacing w:val="-1"/>
          <w:sz w:val="24"/>
          <w:szCs w:val="24"/>
        </w:rPr>
        <w:t>i</w:t>
      </w:r>
      <w:r w:rsidRPr="003C3AAF">
        <w:rPr>
          <w:rFonts w:cs="Arial"/>
          <w:b w:val="0"/>
          <w:sz w:val="24"/>
          <w:szCs w:val="24"/>
        </w:rPr>
        <w:t>s</w:t>
      </w:r>
      <w:r w:rsidRPr="003C3AAF">
        <w:rPr>
          <w:rFonts w:cs="Arial"/>
          <w:b w:val="0"/>
          <w:spacing w:val="10"/>
          <w:sz w:val="24"/>
          <w:szCs w:val="24"/>
        </w:rPr>
        <w:t xml:space="preserve"> </w:t>
      </w:r>
      <w:r w:rsidRPr="003C3AAF">
        <w:rPr>
          <w:rFonts w:cs="Arial"/>
          <w:b w:val="0"/>
          <w:sz w:val="24"/>
          <w:szCs w:val="24"/>
        </w:rPr>
        <w:t>covers</w:t>
      </w:r>
      <w:r w:rsidRPr="003C3AAF">
        <w:rPr>
          <w:rFonts w:cs="Arial"/>
          <w:b w:val="0"/>
          <w:spacing w:val="8"/>
          <w:sz w:val="24"/>
          <w:szCs w:val="24"/>
        </w:rPr>
        <w:t xml:space="preserve"> </w:t>
      </w:r>
      <w:r w:rsidRPr="003C3AAF">
        <w:rPr>
          <w:rFonts w:cs="Arial"/>
          <w:b w:val="0"/>
          <w:sz w:val="24"/>
          <w:szCs w:val="24"/>
        </w:rPr>
        <w:t>items</w:t>
      </w:r>
      <w:r w:rsidRPr="003C3AAF">
        <w:rPr>
          <w:rFonts w:cs="Arial"/>
          <w:b w:val="0"/>
          <w:spacing w:val="8"/>
          <w:sz w:val="24"/>
          <w:szCs w:val="24"/>
        </w:rPr>
        <w:t xml:space="preserve"> </w:t>
      </w:r>
      <w:r w:rsidRPr="003C3AAF">
        <w:rPr>
          <w:rFonts w:cs="Arial"/>
          <w:b w:val="0"/>
          <w:sz w:val="24"/>
          <w:szCs w:val="24"/>
        </w:rPr>
        <w:t>such</w:t>
      </w:r>
      <w:r w:rsidRPr="003C3AAF">
        <w:rPr>
          <w:rFonts w:cs="Arial"/>
          <w:b w:val="0"/>
          <w:spacing w:val="10"/>
          <w:sz w:val="24"/>
          <w:szCs w:val="24"/>
        </w:rPr>
        <w:t xml:space="preserve"> </w:t>
      </w:r>
      <w:r w:rsidRPr="003C3AAF">
        <w:rPr>
          <w:rFonts w:cs="Arial"/>
          <w:b w:val="0"/>
          <w:sz w:val="24"/>
          <w:szCs w:val="24"/>
        </w:rPr>
        <w:t>as</w:t>
      </w:r>
      <w:r w:rsidRPr="003C3AAF">
        <w:rPr>
          <w:rFonts w:cs="Arial"/>
          <w:b w:val="0"/>
          <w:spacing w:val="12"/>
          <w:sz w:val="24"/>
          <w:szCs w:val="24"/>
        </w:rPr>
        <w:t xml:space="preserve"> </w:t>
      </w:r>
      <w:r w:rsidRPr="003C3AAF">
        <w:rPr>
          <w:rFonts w:cs="Arial"/>
          <w:b w:val="0"/>
          <w:spacing w:val="1"/>
          <w:sz w:val="24"/>
          <w:szCs w:val="24"/>
        </w:rPr>
        <w:t>t</w:t>
      </w:r>
      <w:r w:rsidRPr="003C3AAF">
        <w:rPr>
          <w:rFonts w:cs="Arial"/>
          <w:b w:val="0"/>
          <w:spacing w:val="-2"/>
          <w:sz w:val="24"/>
          <w:szCs w:val="24"/>
        </w:rPr>
        <w:t>h</w:t>
      </w:r>
      <w:r w:rsidRPr="003C3AAF">
        <w:rPr>
          <w:rFonts w:cs="Arial"/>
          <w:b w:val="0"/>
          <w:sz w:val="24"/>
          <w:szCs w:val="24"/>
        </w:rPr>
        <w:t>e</w:t>
      </w:r>
      <w:r w:rsidRPr="003C3AAF">
        <w:rPr>
          <w:rFonts w:cs="Arial"/>
          <w:b w:val="0"/>
          <w:spacing w:val="12"/>
          <w:sz w:val="24"/>
          <w:szCs w:val="24"/>
        </w:rPr>
        <w:t xml:space="preserve"> </w:t>
      </w:r>
      <w:r w:rsidRPr="003C3AAF">
        <w:rPr>
          <w:rFonts w:cs="Arial"/>
          <w:b w:val="0"/>
          <w:spacing w:val="-1"/>
          <w:sz w:val="24"/>
          <w:szCs w:val="24"/>
        </w:rPr>
        <w:t>p</w:t>
      </w:r>
      <w:r w:rsidRPr="003C3AAF">
        <w:rPr>
          <w:rFonts w:cs="Arial"/>
          <w:b w:val="0"/>
          <w:sz w:val="24"/>
          <w:szCs w:val="24"/>
        </w:rPr>
        <w:t>e</w:t>
      </w:r>
      <w:r w:rsidRPr="003C3AAF">
        <w:rPr>
          <w:rFonts w:cs="Arial"/>
          <w:b w:val="0"/>
          <w:spacing w:val="-1"/>
          <w:sz w:val="24"/>
          <w:szCs w:val="24"/>
        </w:rPr>
        <w:t>rf</w:t>
      </w:r>
      <w:r w:rsidRPr="003C3AAF">
        <w:rPr>
          <w:rFonts w:cs="Arial"/>
          <w:b w:val="0"/>
          <w:sz w:val="24"/>
          <w:szCs w:val="24"/>
        </w:rPr>
        <w:t>ormance of</w:t>
      </w:r>
      <w:r w:rsidRPr="003C3AAF">
        <w:rPr>
          <w:rFonts w:cs="Arial"/>
          <w:b w:val="0"/>
          <w:spacing w:val="12"/>
          <w:sz w:val="24"/>
          <w:szCs w:val="24"/>
        </w:rPr>
        <w:t xml:space="preserve"> financial </w:t>
      </w:r>
      <w:r w:rsidRPr="003C3AAF">
        <w:rPr>
          <w:rFonts w:cs="Arial"/>
          <w:b w:val="0"/>
          <w:spacing w:val="1"/>
          <w:sz w:val="24"/>
          <w:szCs w:val="24"/>
        </w:rPr>
        <w:t>m</w:t>
      </w:r>
      <w:r w:rsidRPr="003C3AAF">
        <w:rPr>
          <w:rFonts w:cs="Arial"/>
          <w:b w:val="0"/>
          <w:sz w:val="24"/>
          <w:szCs w:val="24"/>
        </w:rPr>
        <w:t>arke</w:t>
      </w:r>
      <w:r w:rsidRPr="003C3AAF">
        <w:rPr>
          <w:rFonts w:cs="Arial"/>
          <w:b w:val="0"/>
          <w:spacing w:val="-1"/>
          <w:sz w:val="24"/>
          <w:szCs w:val="24"/>
        </w:rPr>
        <w:t>t</w:t>
      </w:r>
      <w:r w:rsidRPr="003C3AAF">
        <w:rPr>
          <w:rFonts w:cs="Arial"/>
          <w:b w:val="0"/>
          <w:sz w:val="24"/>
          <w:szCs w:val="24"/>
        </w:rPr>
        <w:t>s and</w:t>
      </w:r>
      <w:r w:rsidRPr="003C3AAF">
        <w:rPr>
          <w:rFonts w:cs="Arial"/>
          <w:b w:val="0"/>
          <w:spacing w:val="6"/>
          <w:sz w:val="24"/>
          <w:szCs w:val="24"/>
        </w:rPr>
        <w:t xml:space="preserve"> </w:t>
      </w:r>
      <w:r w:rsidRPr="003C3AAF">
        <w:rPr>
          <w:rFonts w:cs="Arial"/>
          <w:b w:val="0"/>
          <w:sz w:val="24"/>
          <w:szCs w:val="24"/>
        </w:rPr>
        <w:t>the</w:t>
      </w:r>
      <w:r w:rsidRPr="003C3AAF">
        <w:rPr>
          <w:rFonts w:cs="Arial"/>
          <w:b w:val="0"/>
          <w:spacing w:val="9"/>
          <w:sz w:val="24"/>
          <w:szCs w:val="24"/>
        </w:rPr>
        <w:t xml:space="preserve"> </w:t>
      </w:r>
      <w:r w:rsidRPr="003C3AAF">
        <w:rPr>
          <w:rFonts w:cs="Arial"/>
          <w:b w:val="0"/>
          <w:sz w:val="24"/>
          <w:szCs w:val="24"/>
        </w:rPr>
        <w:t>F</w:t>
      </w:r>
      <w:r w:rsidRPr="003C3AAF">
        <w:rPr>
          <w:rFonts w:cs="Arial"/>
          <w:b w:val="0"/>
          <w:spacing w:val="1"/>
          <w:sz w:val="24"/>
          <w:szCs w:val="24"/>
        </w:rPr>
        <w:t>u</w:t>
      </w:r>
      <w:r w:rsidRPr="003C3AAF">
        <w:rPr>
          <w:rFonts w:cs="Arial"/>
          <w:b w:val="0"/>
          <w:sz w:val="24"/>
          <w:szCs w:val="24"/>
        </w:rPr>
        <w:t>nd</w:t>
      </w:r>
      <w:r w:rsidRPr="003C3AAF">
        <w:rPr>
          <w:rFonts w:cs="Arial"/>
          <w:b w:val="0"/>
          <w:spacing w:val="1"/>
          <w:sz w:val="24"/>
          <w:szCs w:val="24"/>
        </w:rPr>
        <w:t>’</w:t>
      </w:r>
      <w:r w:rsidRPr="003C3AAF">
        <w:rPr>
          <w:rFonts w:cs="Arial"/>
          <w:b w:val="0"/>
          <w:sz w:val="24"/>
          <w:szCs w:val="24"/>
        </w:rPr>
        <w:t>s</w:t>
      </w:r>
      <w:r w:rsidRPr="003C3AAF">
        <w:rPr>
          <w:rFonts w:cs="Arial"/>
          <w:b w:val="0"/>
          <w:spacing w:val="3"/>
          <w:sz w:val="24"/>
          <w:szCs w:val="24"/>
        </w:rPr>
        <w:t xml:space="preserve"> </w:t>
      </w:r>
      <w:r w:rsidRPr="003C3AAF">
        <w:rPr>
          <w:rFonts w:cs="Arial"/>
          <w:b w:val="0"/>
          <w:spacing w:val="1"/>
          <w:sz w:val="24"/>
          <w:szCs w:val="24"/>
        </w:rPr>
        <w:t>i</w:t>
      </w:r>
      <w:r w:rsidRPr="003C3AAF">
        <w:rPr>
          <w:rFonts w:cs="Arial"/>
          <w:b w:val="0"/>
          <w:spacing w:val="-2"/>
          <w:sz w:val="24"/>
          <w:szCs w:val="24"/>
        </w:rPr>
        <w:t>n</w:t>
      </w:r>
      <w:r w:rsidRPr="003C3AAF">
        <w:rPr>
          <w:rFonts w:cs="Arial"/>
          <w:b w:val="0"/>
          <w:sz w:val="24"/>
          <w:szCs w:val="24"/>
        </w:rPr>
        <w:t>v</w:t>
      </w:r>
      <w:r w:rsidRPr="003C3AAF">
        <w:rPr>
          <w:rFonts w:cs="Arial"/>
          <w:b w:val="0"/>
          <w:spacing w:val="2"/>
          <w:sz w:val="24"/>
          <w:szCs w:val="24"/>
        </w:rPr>
        <w:t>e</w:t>
      </w:r>
      <w:r w:rsidRPr="003C3AAF">
        <w:rPr>
          <w:rFonts w:cs="Arial"/>
          <w:b w:val="0"/>
          <w:sz w:val="24"/>
          <w:szCs w:val="24"/>
        </w:rPr>
        <w:t xml:space="preserve">stment managers, </w:t>
      </w:r>
      <w:r w:rsidRPr="003C3AAF">
        <w:rPr>
          <w:rFonts w:cs="Arial"/>
          <w:b w:val="0"/>
          <w:spacing w:val="1"/>
          <w:sz w:val="24"/>
          <w:szCs w:val="24"/>
        </w:rPr>
        <w:t>a</w:t>
      </w:r>
      <w:r w:rsidRPr="003C3AAF">
        <w:rPr>
          <w:rFonts w:cs="Arial"/>
          <w:b w:val="0"/>
          <w:sz w:val="24"/>
          <w:szCs w:val="24"/>
        </w:rPr>
        <w:t>sset</w:t>
      </w:r>
      <w:r w:rsidRPr="003C3AAF">
        <w:rPr>
          <w:rFonts w:cs="Arial"/>
          <w:b w:val="0"/>
          <w:spacing w:val="5"/>
          <w:sz w:val="24"/>
          <w:szCs w:val="24"/>
        </w:rPr>
        <w:t xml:space="preserve"> </w:t>
      </w:r>
      <w:r w:rsidRPr="003C3AAF">
        <w:rPr>
          <w:rFonts w:cs="Arial"/>
          <w:b w:val="0"/>
          <w:sz w:val="24"/>
          <w:szCs w:val="24"/>
        </w:rPr>
        <w:t xml:space="preserve">reallocation </w:t>
      </w:r>
      <w:r w:rsidRPr="003C3AAF">
        <w:rPr>
          <w:rFonts w:cs="Arial"/>
          <w:b w:val="0"/>
          <w:spacing w:val="-1"/>
          <w:sz w:val="24"/>
          <w:szCs w:val="24"/>
        </w:rPr>
        <w:t>i</w:t>
      </w:r>
      <w:r w:rsidRPr="003C3AAF">
        <w:rPr>
          <w:rFonts w:cs="Arial"/>
          <w:b w:val="0"/>
          <w:sz w:val="24"/>
          <w:szCs w:val="24"/>
        </w:rPr>
        <w:t>n</w:t>
      </w:r>
      <w:r w:rsidRPr="003C3AAF">
        <w:rPr>
          <w:rFonts w:cs="Arial"/>
          <w:b w:val="0"/>
          <w:spacing w:val="14"/>
          <w:sz w:val="24"/>
          <w:szCs w:val="24"/>
        </w:rPr>
        <w:t xml:space="preserve"> </w:t>
      </w:r>
      <w:r w:rsidRPr="003C3AAF">
        <w:rPr>
          <w:rFonts w:cs="Arial"/>
          <w:b w:val="0"/>
          <w:sz w:val="24"/>
          <w:szCs w:val="24"/>
        </w:rPr>
        <w:t>v</w:t>
      </w:r>
      <w:r w:rsidRPr="003C3AAF">
        <w:rPr>
          <w:rFonts w:cs="Arial"/>
          <w:b w:val="0"/>
          <w:spacing w:val="1"/>
          <w:sz w:val="24"/>
          <w:szCs w:val="24"/>
        </w:rPr>
        <w:t>o</w:t>
      </w:r>
      <w:r w:rsidRPr="003C3AAF">
        <w:rPr>
          <w:rFonts w:cs="Arial"/>
          <w:b w:val="0"/>
          <w:spacing w:val="-1"/>
          <w:sz w:val="24"/>
          <w:szCs w:val="24"/>
        </w:rPr>
        <w:t>la</w:t>
      </w:r>
      <w:r w:rsidRPr="003C3AAF">
        <w:rPr>
          <w:rFonts w:cs="Arial"/>
          <w:b w:val="0"/>
          <w:sz w:val="24"/>
          <w:szCs w:val="24"/>
        </w:rPr>
        <w:t>tile</w:t>
      </w:r>
      <w:r w:rsidRPr="003C3AAF">
        <w:rPr>
          <w:rFonts w:cs="Arial"/>
          <w:b w:val="0"/>
          <w:spacing w:val="11"/>
          <w:sz w:val="24"/>
          <w:szCs w:val="24"/>
        </w:rPr>
        <w:t xml:space="preserve"> </w:t>
      </w:r>
      <w:r w:rsidRPr="003C3AAF">
        <w:rPr>
          <w:rFonts w:cs="Arial"/>
          <w:b w:val="0"/>
          <w:sz w:val="24"/>
          <w:szCs w:val="24"/>
        </w:rPr>
        <w:t>mar</w:t>
      </w:r>
      <w:r w:rsidRPr="003C3AAF">
        <w:rPr>
          <w:rFonts w:cs="Arial"/>
          <w:b w:val="0"/>
          <w:spacing w:val="-1"/>
          <w:sz w:val="24"/>
          <w:szCs w:val="24"/>
        </w:rPr>
        <w:t>k</w:t>
      </w:r>
      <w:r w:rsidRPr="003C3AAF">
        <w:rPr>
          <w:rFonts w:cs="Arial"/>
          <w:b w:val="0"/>
          <w:sz w:val="24"/>
          <w:szCs w:val="24"/>
        </w:rPr>
        <w:t>et</w:t>
      </w:r>
      <w:r w:rsidRPr="003C3AAF">
        <w:rPr>
          <w:rFonts w:cs="Arial"/>
          <w:b w:val="0"/>
          <w:spacing w:val="-1"/>
          <w:sz w:val="24"/>
          <w:szCs w:val="24"/>
        </w:rPr>
        <w:t>s</w:t>
      </w:r>
      <w:r w:rsidRPr="003C3AAF">
        <w:rPr>
          <w:rFonts w:cs="Arial"/>
          <w:b w:val="0"/>
          <w:sz w:val="24"/>
          <w:szCs w:val="24"/>
        </w:rPr>
        <w:t xml:space="preserve">, leading to </w:t>
      </w:r>
      <w:r w:rsidRPr="003C3AAF">
        <w:rPr>
          <w:rFonts w:cs="Arial"/>
          <w:b w:val="0"/>
          <w:spacing w:val="8"/>
          <w:sz w:val="24"/>
          <w:szCs w:val="24"/>
        </w:rPr>
        <w:t>t</w:t>
      </w:r>
      <w:r w:rsidRPr="003C3AAF">
        <w:rPr>
          <w:rFonts w:cs="Arial"/>
          <w:b w:val="0"/>
          <w:sz w:val="24"/>
          <w:szCs w:val="24"/>
        </w:rPr>
        <w:t>he risk of investments not performing (income) or increasing in value (growth) as forecast.  Examples of specific risks would be:</w:t>
      </w:r>
    </w:p>
    <w:p w14:paraId="12004786" w14:textId="77777777" w:rsidR="003C3AAF" w:rsidRPr="003C3AAF" w:rsidRDefault="003C3AAF" w:rsidP="003C3AAF">
      <w:pPr>
        <w:pStyle w:val="Normalplus"/>
        <w:jc w:val="both"/>
        <w:rPr>
          <w:rFonts w:cs="Arial"/>
        </w:rPr>
      </w:pPr>
    </w:p>
    <w:p w14:paraId="2FC49BD9"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lastRenderedPageBreak/>
        <w:t>assets not delivering the required return (for whatever reason, including manager underperformance)</w:t>
      </w:r>
    </w:p>
    <w:p w14:paraId="249BA834"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systemic risk with the possibility of interlinked and simultaneous financial market volatility</w:t>
      </w:r>
    </w:p>
    <w:p w14:paraId="02909A9A"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insufficient funds to meet liabilities as they fall due</w:t>
      </w:r>
    </w:p>
    <w:p w14:paraId="0087B2E8"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inadequate, inappropriate or incomplete investment and actuarial advice is taken and acted upon</w:t>
      </w:r>
    </w:p>
    <w:p w14:paraId="70E72128"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counterparty failure</w:t>
      </w:r>
    </w:p>
    <w:p w14:paraId="6DEFF92D" w14:textId="77777777" w:rsidR="003C3AAF" w:rsidRPr="003C3AAF" w:rsidRDefault="003C3AAF" w:rsidP="003C3AAF">
      <w:pPr>
        <w:ind w:left="360"/>
        <w:jc w:val="both"/>
        <w:rPr>
          <w:rFonts w:ascii="Arial" w:hAnsi="Arial" w:cs="Arial"/>
          <w:sz w:val="24"/>
          <w:szCs w:val="24"/>
        </w:rPr>
      </w:pPr>
    </w:p>
    <w:p w14:paraId="2A3737E6" w14:textId="77777777" w:rsidR="003C3AAF" w:rsidRPr="003C3AAF" w:rsidRDefault="003C3AAF" w:rsidP="0073304A">
      <w:pPr>
        <w:pStyle w:val="Heading2"/>
        <w:widowControl w:val="0"/>
        <w:numPr>
          <w:ilvl w:val="1"/>
          <w:numId w:val="83"/>
        </w:numPr>
        <w:spacing w:before="120"/>
        <w:ind w:left="425" w:hanging="448"/>
        <w:jc w:val="both"/>
        <w:rPr>
          <w:rFonts w:cs="Arial"/>
          <w:b w:val="0"/>
          <w:sz w:val="24"/>
          <w:szCs w:val="24"/>
        </w:rPr>
      </w:pPr>
      <w:r w:rsidRPr="003C3AAF">
        <w:rPr>
          <w:rFonts w:cs="Arial"/>
          <w:b w:val="0"/>
          <w:sz w:val="24"/>
          <w:szCs w:val="24"/>
        </w:rPr>
        <w:t>The specific risks associated with assets and asset classes are:</w:t>
      </w:r>
    </w:p>
    <w:p w14:paraId="23683278" w14:textId="77777777" w:rsidR="003C3AAF" w:rsidRPr="003C3AAF" w:rsidRDefault="003C3AAF" w:rsidP="003C3AAF">
      <w:pPr>
        <w:jc w:val="both"/>
        <w:rPr>
          <w:rFonts w:ascii="Arial" w:hAnsi="Arial" w:cs="Arial"/>
          <w:sz w:val="24"/>
          <w:szCs w:val="24"/>
        </w:rPr>
      </w:pPr>
    </w:p>
    <w:p w14:paraId="6F64FD1C"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equities – industry, country, size and stock risks</w:t>
      </w:r>
    </w:p>
    <w:p w14:paraId="104EFB02"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fixed income - yield curve, credit risks, duration risks and market risks</w:t>
      </w:r>
    </w:p>
    <w:p w14:paraId="41003B7E"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alternative assets – liquidity risks, property risk, alpha risk</w:t>
      </w:r>
    </w:p>
    <w:p w14:paraId="40F71A5A"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money market – credit risk and liquidity risk</w:t>
      </w:r>
    </w:p>
    <w:p w14:paraId="62BAD6C5"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currency risk</w:t>
      </w:r>
    </w:p>
    <w:p w14:paraId="34CE28DF"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macroeconomic risks</w:t>
      </w:r>
    </w:p>
    <w:p w14:paraId="6402BCAA" w14:textId="77777777" w:rsidR="003C3AAF" w:rsidRPr="003C3AAF" w:rsidRDefault="003C3AAF"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sidRPr="003C3AAF">
        <w:rPr>
          <w:rFonts w:ascii="Arial" w:hAnsi="Arial" w:cs="Arial"/>
          <w:sz w:val="24"/>
          <w:szCs w:val="24"/>
        </w:rPr>
        <w:t>environmental; social and corporate governance risks</w:t>
      </w:r>
    </w:p>
    <w:p w14:paraId="580CB4CD" w14:textId="77777777" w:rsidR="003C3AAF" w:rsidRPr="003C3AAF" w:rsidRDefault="003C3AAF" w:rsidP="003C3AAF">
      <w:pPr>
        <w:jc w:val="both"/>
        <w:rPr>
          <w:rFonts w:ascii="Arial" w:hAnsi="Arial" w:cs="Arial"/>
          <w:sz w:val="24"/>
          <w:szCs w:val="24"/>
        </w:rPr>
      </w:pPr>
    </w:p>
    <w:p w14:paraId="7A80FDA7"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The Administering Authority reviews each investment manager’s performance quarterly and annually considers the asset allocation of the Fund by carrying out an annual review meeting with its Investment Advisors and Fund Managers. The Administering Authority also annually reviews the effect of market movements on the Fund’s overall funding position.</w:t>
      </w:r>
    </w:p>
    <w:p w14:paraId="418FE010" w14:textId="77777777" w:rsidR="003C3AAF" w:rsidRPr="003C3AAF" w:rsidRDefault="003C3AAF" w:rsidP="003C3AAF">
      <w:pPr>
        <w:pStyle w:val="Heading3"/>
        <w:rPr>
          <w:rFonts w:cs="Arial"/>
          <w:szCs w:val="24"/>
        </w:rPr>
      </w:pPr>
    </w:p>
    <w:p w14:paraId="47938AF9" w14:textId="77777777" w:rsidR="003C3AAF" w:rsidRPr="003C3AAF" w:rsidRDefault="003C3AAF" w:rsidP="003C3AAF">
      <w:pPr>
        <w:autoSpaceDE w:val="0"/>
        <w:autoSpaceDN w:val="0"/>
        <w:adjustRightInd w:val="0"/>
        <w:spacing w:after="60"/>
        <w:ind w:left="425"/>
        <w:jc w:val="both"/>
        <w:rPr>
          <w:rFonts w:ascii="Arial" w:hAnsi="Arial" w:cs="Arial"/>
          <w:spacing w:val="-1"/>
          <w:sz w:val="24"/>
          <w:szCs w:val="24"/>
          <w:u w:val="single"/>
        </w:rPr>
      </w:pPr>
      <w:r w:rsidRPr="003C3AAF">
        <w:rPr>
          <w:rFonts w:ascii="Arial" w:hAnsi="Arial" w:cs="Arial"/>
          <w:b/>
          <w:bCs/>
          <w:sz w:val="24"/>
          <w:szCs w:val="24"/>
        </w:rPr>
        <w:t>Employer risk</w:t>
      </w:r>
    </w:p>
    <w:p w14:paraId="02473F0A" w14:textId="77777777" w:rsidR="003C3AAF" w:rsidRPr="003C3AAF" w:rsidRDefault="003C3AAF" w:rsidP="0073304A">
      <w:pPr>
        <w:pStyle w:val="Heading2"/>
        <w:widowControl w:val="0"/>
        <w:numPr>
          <w:ilvl w:val="1"/>
          <w:numId w:val="83"/>
        </w:numPr>
        <w:jc w:val="both"/>
        <w:rPr>
          <w:rFonts w:cs="Arial"/>
          <w:b w:val="0"/>
          <w:sz w:val="24"/>
          <w:szCs w:val="24"/>
        </w:rPr>
      </w:pPr>
      <w:r w:rsidRPr="003C3AAF">
        <w:rPr>
          <w:rFonts w:cs="Arial"/>
          <w:b w:val="0"/>
          <w:sz w:val="24"/>
          <w:szCs w:val="24"/>
        </w:rPr>
        <w:t>These risks arise from the ever-changing mix of employers, from short-term and ceasing employers, and the potential for a shortfall in payments and/or orphaned liabilities where employers are unable to meet their obligations to the Scheme. The Administering Authority monitors employer payments and expects employers in financial difficulty to engage with the Fund, noting that contributions can be reviewed between formal valuations if the conditions in Regulation 64A and the terms of the Administering Authority's policy, as set out in Appendix 2, are met.</w:t>
      </w:r>
    </w:p>
    <w:p w14:paraId="024A082D" w14:textId="77777777" w:rsidR="003C3AAF" w:rsidRPr="003C3AAF" w:rsidRDefault="003C3AAF" w:rsidP="003C3AAF">
      <w:pPr>
        <w:widowControl w:val="0"/>
        <w:jc w:val="both"/>
        <w:rPr>
          <w:rFonts w:ascii="Arial" w:hAnsi="Arial" w:cs="Arial"/>
          <w:spacing w:val="-1"/>
          <w:sz w:val="24"/>
          <w:szCs w:val="24"/>
        </w:rPr>
      </w:pPr>
    </w:p>
    <w:p w14:paraId="6D2859E6"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 xml:space="preserve">The Administering Authority will put in place a Funding Strategy Statement which contains sufficient detail on how funding risks are managed in respect of the main categories of employer (e.g. scheduled and admission bodies) and other pension fund stakeholders. </w:t>
      </w:r>
    </w:p>
    <w:p w14:paraId="400DBC32" w14:textId="77777777" w:rsidR="003C3AAF" w:rsidRPr="003C3AAF" w:rsidRDefault="003C3AAF" w:rsidP="003C3AAF">
      <w:pPr>
        <w:widowControl w:val="0"/>
        <w:jc w:val="both"/>
        <w:rPr>
          <w:rFonts w:ascii="Arial" w:hAnsi="Arial" w:cs="Arial"/>
          <w:spacing w:val="-1"/>
          <w:sz w:val="24"/>
          <w:szCs w:val="24"/>
        </w:rPr>
      </w:pPr>
    </w:p>
    <w:p w14:paraId="69F98EDF"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 xml:space="preserve">The Administering Authority will maintain a knowledge base on their employers, their basis of participation and their legal status (e.g., charities, companies limited </w:t>
      </w:r>
      <w:r w:rsidRPr="003C3AAF">
        <w:rPr>
          <w:rFonts w:cs="Arial"/>
          <w:b w:val="0"/>
          <w:sz w:val="24"/>
          <w:szCs w:val="24"/>
        </w:rPr>
        <w:lastRenderedPageBreak/>
        <w:t>by guarantee, group/subsidiary arrangements) and will use this information to inform the Funding Strategy Statement.</w:t>
      </w:r>
    </w:p>
    <w:p w14:paraId="25EAF082" w14:textId="77777777" w:rsidR="003C3AAF" w:rsidRPr="003C3AAF" w:rsidRDefault="003C3AAF" w:rsidP="003C3AAF">
      <w:pPr>
        <w:rPr>
          <w:rFonts w:ascii="Arial" w:hAnsi="Arial" w:cs="Arial"/>
          <w:sz w:val="24"/>
          <w:szCs w:val="24"/>
        </w:rPr>
      </w:pPr>
    </w:p>
    <w:p w14:paraId="4119697E" w14:textId="77777777" w:rsidR="003C3AAF" w:rsidRPr="003C3AAF" w:rsidRDefault="003C3AAF" w:rsidP="003C3AAF">
      <w:pPr>
        <w:autoSpaceDE w:val="0"/>
        <w:autoSpaceDN w:val="0"/>
        <w:adjustRightInd w:val="0"/>
        <w:spacing w:after="60"/>
        <w:ind w:left="425"/>
        <w:jc w:val="both"/>
        <w:rPr>
          <w:rFonts w:ascii="Arial" w:hAnsi="Arial" w:cs="Arial"/>
          <w:spacing w:val="-1"/>
          <w:sz w:val="24"/>
          <w:szCs w:val="24"/>
          <w:u w:val="single"/>
        </w:rPr>
      </w:pPr>
      <w:r w:rsidRPr="003C3AAF">
        <w:rPr>
          <w:rFonts w:ascii="Arial" w:hAnsi="Arial" w:cs="Arial"/>
          <w:b/>
          <w:bCs/>
          <w:sz w:val="24"/>
          <w:szCs w:val="24"/>
        </w:rPr>
        <w:t>Climate change</w:t>
      </w:r>
    </w:p>
    <w:p w14:paraId="06F0DE71" w14:textId="77777777" w:rsidR="003C3AAF" w:rsidRPr="003C3AAF" w:rsidRDefault="003C3AAF" w:rsidP="0073304A">
      <w:pPr>
        <w:pStyle w:val="Heading2"/>
        <w:widowControl w:val="0"/>
        <w:numPr>
          <w:ilvl w:val="1"/>
          <w:numId w:val="83"/>
        </w:numPr>
        <w:jc w:val="both"/>
        <w:rPr>
          <w:rFonts w:cs="Arial"/>
          <w:b w:val="0"/>
          <w:sz w:val="24"/>
          <w:szCs w:val="24"/>
        </w:rPr>
      </w:pPr>
      <w:r w:rsidRPr="003C3AAF">
        <w:rPr>
          <w:rFonts w:cs="Arial"/>
          <w:b w:val="0"/>
          <w:sz w:val="24"/>
          <w:szCs w:val="24"/>
        </w:rPr>
        <w:t>The systemic risks posed by climate change and the policies implemented to tackle them will fundamentally change economic, political and social systems and the global financial system. They will impact every asset class, sector, industry and market in varying ways and at different times, creating both risks and opportunities for investors.  The Administering Authority and Investment Advisory Panel keeps the effect of climate change on future returns under review and will commission modelling or advice from the Fund Actuary on the potential effect on funding as required.</w:t>
      </w:r>
    </w:p>
    <w:p w14:paraId="61925C75" w14:textId="77777777" w:rsidR="003C3AAF" w:rsidRPr="003C3AAF" w:rsidRDefault="003C3AAF" w:rsidP="003C3AAF">
      <w:pPr>
        <w:pStyle w:val="Heading3"/>
        <w:rPr>
          <w:rFonts w:cs="Arial"/>
          <w:szCs w:val="24"/>
        </w:rPr>
      </w:pPr>
    </w:p>
    <w:p w14:paraId="46F1D250" w14:textId="77777777" w:rsidR="003C3AAF" w:rsidRPr="003C3AAF" w:rsidRDefault="003C3AAF" w:rsidP="003C3AAF">
      <w:pPr>
        <w:autoSpaceDE w:val="0"/>
        <w:autoSpaceDN w:val="0"/>
        <w:adjustRightInd w:val="0"/>
        <w:spacing w:after="60"/>
        <w:ind w:left="425"/>
        <w:jc w:val="both"/>
        <w:rPr>
          <w:rFonts w:ascii="Arial" w:hAnsi="Arial" w:cs="Arial"/>
          <w:sz w:val="24"/>
          <w:szCs w:val="24"/>
        </w:rPr>
      </w:pPr>
      <w:r w:rsidRPr="003C3AAF">
        <w:rPr>
          <w:rFonts w:ascii="Arial" w:hAnsi="Arial" w:cs="Arial"/>
          <w:b/>
          <w:bCs/>
          <w:sz w:val="24"/>
          <w:szCs w:val="24"/>
        </w:rPr>
        <w:t>Liability Risk</w:t>
      </w:r>
      <w:r w:rsidRPr="003C3AAF">
        <w:rPr>
          <w:rFonts w:ascii="Arial" w:hAnsi="Arial" w:cs="Arial"/>
          <w:sz w:val="24"/>
          <w:szCs w:val="24"/>
        </w:rPr>
        <w:t xml:space="preserve"> </w:t>
      </w:r>
    </w:p>
    <w:p w14:paraId="461E30C9" w14:textId="77777777" w:rsidR="003C3AAF" w:rsidRPr="003C3AAF" w:rsidRDefault="003C3AAF" w:rsidP="0073304A">
      <w:pPr>
        <w:pStyle w:val="Heading2"/>
        <w:widowControl w:val="0"/>
        <w:numPr>
          <w:ilvl w:val="1"/>
          <w:numId w:val="83"/>
        </w:numPr>
        <w:jc w:val="both"/>
        <w:rPr>
          <w:rFonts w:cs="Arial"/>
          <w:b w:val="0"/>
          <w:sz w:val="24"/>
          <w:szCs w:val="24"/>
        </w:rPr>
      </w:pPr>
      <w:r w:rsidRPr="003C3AAF">
        <w:rPr>
          <w:rFonts w:cs="Arial"/>
          <w:b w:val="0"/>
          <w:sz w:val="24"/>
          <w:szCs w:val="24"/>
        </w:rPr>
        <w:t>The main risks include discount rates, pay and price inflation, changing retirement patterns, mortality and other demographic risks. Some of these risks will affect the amount of benefit payments; others will affect the value of benefit payments, i.e. level of assets deemed to be required to meet those benefit payments (the funding target).</w:t>
      </w:r>
    </w:p>
    <w:p w14:paraId="0F42742D" w14:textId="77777777" w:rsidR="003C3AAF" w:rsidRPr="003C3AAF" w:rsidRDefault="003C3AAF" w:rsidP="003C3AAF">
      <w:pPr>
        <w:rPr>
          <w:rFonts w:ascii="Arial" w:hAnsi="Arial" w:cs="Arial"/>
          <w:sz w:val="24"/>
          <w:szCs w:val="24"/>
        </w:rPr>
      </w:pPr>
    </w:p>
    <w:p w14:paraId="036F9E12"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The Administering Authority will ensure that the Fund Actuary investigates demographic, pay and pension increase experience at each valuation and reports on developments. The demographic assumptions are intended to be best estimate, informed by Fund experience and wider evidence where needed, e.g. the mortality assumptions are informed by a postcode analysis carried out by the Fund Actuary's specialist longevity team and the projections model released by the Continuous Mortality Investigation of the Institute and Faculty of Actuaries. If the Administering Authority becomes aware of any material changes in population mortality which may also be reflected in the Fund's experience it will ask the Fund Actuary to report on the effect on the funding position and employer contributions.</w:t>
      </w:r>
    </w:p>
    <w:p w14:paraId="6C0FC319" w14:textId="77777777" w:rsidR="003C3AAF" w:rsidRPr="003C3AAF" w:rsidRDefault="003C3AAF" w:rsidP="003C3AAF">
      <w:pPr>
        <w:rPr>
          <w:rFonts w:ascii="Arial" w:hAnsi="Arial" w:cs="Arial"/>
          <w:sz w:val="24"/>
          <w:szCs w:val="24"/>
        </w:rPr>
      </w:pPr>
    </w:p>
    <w:p w14:paraId="33BC7684" w14:textId="77777777" w:rsidR="003C3AAF" w:rsidRPr="003C3AAF" w:rsidRDefault="003C3AAF" w:rsidP="003C3AAF">
      <w:pPr>
        <w:rPr>
          <w:rFonts w:ascii="Arial" w:hAnsi="Arial" w:cs="Arial"/>
          <w:sz w:val="24"/>
          <w:szCs w:val="24"/>
        </w:rPr>
      </w:pPr>
    </w:p>
    <w:p w14:paraId="601B7719" w14:textId="77777777" w:rsidR="003C3AAF" w:rsidRPr="003C3AAF" w:rsidRDefault="003C3AAF" w:rsidP="003C3AAF">
      <w:pPr>
        <w:rPr>
          <w:rFonts w:ascii="Arial" w:hAnsi="Arial" w:cs="Arial"/>
          <w:sz w:val="24"/>
          <w:szCs w:val="24"/>
        </w:rPr>
      </w:pPr>
    </w:p>
    <w:p w14:paraId="18B4EF6C" w14:textId="77777777" w:rsidR="003C3AAF" w:rsidRPr="003C3AAF" w:rsidRDefault="003C3AAF" w:rsidP="0073304A">
      <w:pPr>
        <w:pStyle w:val="Heading2"/>
        <w:widowControl w:val="0"/>
        <w:numPr>
          <w:ilvl w:val="1"/>
          <w:numId w:val="83"/>
        </w:numPr>
        <w:spacing w:before="120"/>
        <w:ind w:left="425" w:hanging="448"/>
        <w:jc w:val="both"/>
        <w:rPr>
          <w:rFonts w:cs="Arial"/>
          <w:b w:val="0"/>
          <w:sz w:val="24"/>
          <w:szCs w:val="24"/>
        </w:rPr>
      </w:pPr>
      <w:r w:rsidRPr="003C3AAF">
        <w:rPr>
          <w:rFonts w:cs="Arial"/>
          <w:b w:val="0"/>
          <w:sz w:val="24"/>
          <w:szCs w:val="24"/>
        </w:rPr>
        <w:t xml:space="preserve">The Fund Actuary will also provide quarterly funding updates to assist the Administering Authority in its monitoring of the financial liability risks.  The Administering Authority will, as far as practical, monitor changes in the age profile of the Fund membership early retirements, redundancies and ill health early retirements in the Fund and, if any changes are considered to be material, ask the Fund Actuary to report on their effect on the funding position and employer contributions.  </w:t>
      </w:r>
    </w:p>
    <w:p w14:paraId="7051C6F1" w14:textId="77777777" w:rsidR="003C3AAF" w:rsidRPr="003C3AAF" w:rsidRDefault="003C3AAF" w:rsidP="003C3AAF">
      <w:pPr>
        <w:rPr>
          <w:rFonts w:ascii="Arial" w:hAnsi="Arial" w:cs="Arial"/>
          <w:sz w:val="24"/>
          <w:szCs w:val="24"/>
        </w:rPr>
      </w:pPr>
    </w:p>
    <w:p w14:paraId="0C49FB0C"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 xml:space="preserve">If significant changes in the value of the liabilities become apparent between valuations, the Administering Authority may consider revising an employer's contributions as permitted by Regulation 64A and will notify the affected employers of the anticipated impact on costs that will emerge. In addition, the Administering Authority may consider whether to require a review of the bonds that are in place </w:t>
      </w:r>
      <w:r w:rsidRPr="003C3AAF">
        <w:rPr>
          <w:rFonts w:cs="Arial"/>
          <w:b w:val="0"/>
          <w:sz w:val="24"/>
          <w:szCs w:val="24"/>
        </w:rPr>
        <w:lastRenderedPageBreak/>
        <w:t xml:space="preserve">for Admission Bodies. It will also consider the extent to which such changes can or should be allowed for in exit valuations, taking advice from the Fund Actuary. </w:t>
      </w:r>
    </w:p>
    <w:p w14:paraId="0D30B9A1" w14:textId="77777777" w:rsidR="003C3AAF" w:rsidRPr="003C3AAF" w:rsidRDefault="003C3AAF" w:rsidP="003C3AAF">
      <w:pPr>
        <w:autoSpaceDE w:val="0"/>
        <w:autoSpaceDN w:val="0"/>
        <w:adjustRightInd w:val="0"/>
        <w:spacing w:after="60"/>
        <w:ind w:left="425"/>
        <w:jc w:val="both"/>
        <w:rPr>
          <w:rFonts w:ascii="Arial" w:hAnsi="Arial" w:cs="Arial"/>
          <w:sz w:val="24"/>
          <w:szCs w:val="24"/>
          <w:u w:val="single"/>
        </w:rPr>
      </w:pPr>
    </w:p>
    <w:p w14:paraId="214E06CB" w14:textId="77777777" w:rsidR="003C3AAF" w:rsidRPr="003C3AAF" w:rsidRDefault="003C3AAF" w:rsidP="003C3AAF">
      <w:pPr>
        <w:autoSpaceDE w:val="0"/>
        <w:autoSpaceDN w:val="0"/>
        <w:adjustRightInd w:val="0"/>
        <w:spacing w:after="60"/>
        <w:ind w:left="425"/>
        <w:jc w:val="both"/>
        <w:rPr>
          <w:rFonts w:ascii="Arial" w:hAnsi="Arial" w:cs="Arial"/>
          <w:b/>
          <w:bCs/>
          <w:sz w:val="24"/>
          <w:szCs w:val="24"/>
        </w:rPr>
      </w:pPr>
      <w:r w:rsidRPr="003C3AAF">
        <w:rPr>
          <w:rFonts w:ascii="Arial" w:hAnsi="Arial" w:cs="Arial"/>
          <w:b/>
          <w:bCs/>
          <w:sz w:val="24"/>
          <w:szCs w:val="24"/>
        </w:rPr>
        <w:t>Regulatory and Compliance Risk</w:t>
      </w:r>
    </w:p>
    <w:p w14:paraId="49676127"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The risks relate to changes to general and LGPS specific regulations, national pension requirements or HM Revenue and Customs' rules. The Administering Authority will keep abreast of all proposed changes to Regulations and LGPS benefits. If any change potentially affects the costs of the Fund, the Administering Authority will ask the Fund Actuary to assess the possible impact on costs of the change. Where significant, the Administering Authority will notify employers of the possible impact and the timing of any change.</w:t>
      </w:r>
    </w:p>
    <w:p w14:paraId="1E06F2FB" w14:textId="77777777" w:rsidR="003C3AAF" w:rsidRPr="003C3AAF" w:rsidRDefault="003C3AAF" w:rsidP="003C3AAF">
      <w:pPr>
        <w:rPr>
          <w:rFonts w:ascii="Arial" w:hAnsi="Arial" w:cs="Arial"/>
          <w:sz w:val="24"/>
          <w:szCs w:val="24"/>
        </w:rPr>
      </w:pPr>
    </w:p>
    <w:p w14:paraId="0BA44A8C"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There are a number of consultations which have been issued in recent years, some of which represent proposed changes which were first raised a number of years ago, including a cap on exit payments by public sector employers, new Fair Deal arrangements and greater flexibility on employer exit from the LGPS.  Some of these may affect funding and pose a risk to the Fund.  The Government has also consulted on changes to the valuation cycle although the Administering Authority understands that the 2022 valuation is going ahead as previously planned.</w:t>
      </w:r>
    </w:p>
    <w:p w14:paraId="38CC9BA6" w14:textId="77777777" w:rsidR="003C3AAF" w:rsidRPr="003C3AAF" w:rsidRDefault="003C3AAF" w:rsidP="003C3AAF">
      <w:pPr>
        <w:rPr>
          <w:rFonts w:ascii="Arial" w:hAnsi="Arial" w:cs="Arial"/>
          <w:sz w:val="24"/>
          <w:szCs w:val="24"/>
        </w:rPr>
      </w:pPr>
    </w:p>
    <w:p w14:paraId="1C7C1163"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There are a number of additional uncertainties associated with the benefit structure at the time of the latest formal review of this Statement, including:</w:t>
      </w:r>
    </w:p>
    <w:p w14:paraId="5EB3D3E3" w14:textId="77777777" w:rsidR="003C3AAF" w:rsidRPr="003C3AAF" w:rsidRDefault="003C3AAF" w:rsidP="003C3AAF">
      <w:pPr>
        <w:rPr>
          <w:rFonts w:ascii="Arial" w:hAnsi="Arial" w:cs="Arial"/>
          <w:sz w:val="24"/>
          <w:szCs w:val="24"/>
        </w:rPr>
      </w:pPr>
    </w:p>
    <w:p w14:paraId="33D48BE6"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How Government will address the issues of GMP indexation and equalisation beyond expiry of the current interim solution from 6 April 2021</w:t>
      </w:r>
    </w:p>
    <w:p w14:paraId="7C07C7A0" w14:textId="77777777" w:rsidR="003C3AAF" w:rsidRPr="003C3AAF" w:rsidRDefault="003C3AAF" w:rsidP="003C3AAF">
      <w:pPr>
        <w:rPr>
          <w:rFonts w:ascii="Arial" w:hAnsi="Arial" w:cs="Arial"/>
          <w:sz w:val="24"/>
          <w:szCs w:val="24"/>
        </w:rPr>
      </w:pPr>
    </w:p>
    <w:p w14:paraId="5182337E"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 xml:space="preserve">The timing of any final regulations in relation to the McCloud/Sargeant cases which ruled that the transitional protections implemented in the Firefighters' and Judges' Pension Schemes are illegal age discrimination. </w:t>
      </w:r>
    </w:p>
    <w:p w14:paraId="0AFE580C" w14:textId="77777777" w:rsidR="003C3AAF" w:rsidRPr="003C3AAF" w:rsidRDefault="003C3AAF" w:rsidP="003C3AAF">
      <w:pPr>
        <w:rPr>
          <w:rFonts w:ascii="Arial" w:hAnsi="Arial" w:cs="Arial"/>
          <w:sz w:val="24"/>
          <w:szCs w:val="24"/>
        </w:rPr>
      </w:pPr>
    </w:p>
    <w:p w14:paraId="5A846DB8"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The outcome of the cost management process as at 31 March 2016 and 31 March 2020, noting the agreement reached in relation to the 2016 Scheme Advisory Board (SAB) process for member contributions to be reduced and benefits enhanced to achieve an additional cost of 0.9% of pay, before the process was paused due to the McCloud judgement.</w:t>
      </w:r>
    </w:p>
    <w:p w14:paraId="25720FE0" w14:textId="77777777" w:rsidR="003C3AAF" w:rsidRPr="003C3AAF" w:rsidRDefault="003C3AAF" w:rsidP="003C3AAF">
      <w:pPr>
        <w:rPr>
          <w:rFonts w:ascii="Arial" w:hAnsi="Arial" w:cs="Arial"/>
          <w:sz w:val="24"/>
          <w:szCs w:val="24"/>
        </w:rPr>
      </w:pPr>
    </w:p>
    <w:p w14:paraId="23D7CAA9" w14:textId="77777777" w:rsidR="003C3AAF" w:rsidRPr="003C3AAF" w:rsidRDefault="003C3AAF" w:rsidP="0073304A">
      <w:pPr>
        <w:pStyle w:val="Heading2"/>
        <w:widowControl w:val="0"/>
        <w:numPr>
          <w:ilvl w:val="1"/>
          <w:numId w:val="83"/>
        </w:numPr>
        <w:jc w:val="both"/>
        <w:rPr>
          <w:rFonts w:cs="Arial"/>
          <w:b w:val="0"/>
          <w:sz w:val="24"/>
          <w:szCs w:val="24"/>
        </w:rPr>
      </w:pPr>
      <w:r w:rsidRPr="003C3AAF">
        <w:rPr>
          <w:rFonts w:cs="Arial"/>
          <w:b w:val="0"/>
          <w:sz w:val="24"/>
          <w:szCs w:val="24"/>
        </w:rPr>
        <w:t>The Goodwin case in which an Employment Tribunal ruled (in relation to the Teachers' Pension Scheme) that the less favourable provisions for survivor's benefits of a female member in an opposite sex marriage compared to a female in a same sex marriage or civil partnership amounts to direct discrimination on grounds of sexual orientation. Following a written ministerial statement by the Chief Secretary to the Treasury on 20 July 2020 it is expected that changes will be made to the LGPS Regulations to reflect the ruling, but no changes have yet been proposed.</w:t>
      </w:r>
    </w:p>
    <w:p w14:paraId="28867768" w14:textId="77777777" w:rsidR="003C3AAF" w:rsidRPr="003C3AAF" w:rsidRDefault="003C3AAF" w:rsidP="003C3AAF">
      <w:pPr>
        <w:rPr>
          <w:rFonts w:ascii="Arial" w:hAnsi="Arial" w:cs="Arial"/>
          <w:sz w:val="24"/>
          <w:szCs w:val="24"/>
        </w:rPr>
      </w:pPr>
    </w:p>
    <w:p w14:paraId="499FAB98"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lastRenderedPageBreak/>
        <w:t>Details of the allowance made for these uncertainties in the 2019 valuation are as follows:</w:t>
      </w:r>
    </w:p>
    <w:p w14:paraId="0D86C5C1" w14:textId="77777777" w:rsidR="003C3AAF" w:rsidRPr="003C3AAF" w:rsidRDefault="003C3AAF" w:rsidP="003C3AAF">
      <w:pPr>
        <w:rPr>
          <w:rFonts w:ascii="Arial" w:hAnsi="Arial" w:cs="Arial"/>
          <w:sz w:val="24"/>
          <w:szCs w:val="24"/>
        </w:rPr>
      </w:pPr>
    </w:p>
    <w:p w14:paraId="065D474C" w14:textId="77777777" w:rsidR="003C3AAF" w:rsidRPr="003C3AAF" w:rsidRDefault="003C3AAF" w:rsidP="003C3AAF">
      <w:pPr>
        <w:rPr>
          <w:rFonts w:ascii="Arial" w:hAnsi="Arial" w:cs="Arial"/>
          <w:sz w:val="24"/>
          <w:szCs w:val="24"/>
        </w:rPr>
      </w:pPr>
    </w:p>
    <w:p w14:paraId="4384DB57" w14:textId="77777777" w:rsidR="003C3AAF" w:rsidRPr="003C3AAF" w:rsidRDefault="003C3AAF" w:rsidP="003C3AAF">
      <w:pPr>
        <w:rPr>
          <w:rFonts w:ascii="Arial" w:hAnsi="Arial" w:cs="Arial"/>
          <w:sz w:val="24"/>
          <w:szCs w:val="24"/>
        </w:rPr>
      </w:pPr>
    </w:p>
    <w:p w14:paraId="5ADF834D" w14:textId="77777777" w:rsidR="003C3AAF" w:rsidRPr="003C3AAF" w:rsidRDefault="003C3AAF" w:rsidP="003C3AAF">
      <w:pPr>
        <w:shd w:val="clear" w:color="auto" w:fill="FFFFFF"/>
        <w:spacing w:after="60"/>
        <w:ind w:left="425"/>
        <w:rPr>
          <w:rFonts w:ascii="Arial" w:hAnsi="Arial" w:cs="Arial"/>
          <w:snapToGrid w:val="0"/>
          <w:sz w:val="24"/>
          <w:szCs w:val="24"/>
          <w:u w:val="single"/>
        </w:rPr>
      </w:pPr>
      <w:r w:rsidRPr="003C3AAF">
        <w:rPr>
          <w:rFonts w:ascii="Arial" w:hAnsi="Arial" w:cs="Arial"/>
          <w:snapToGrid w:val="0"/>
          <w:sz w:val="24"/>
          <w:szCs w:val="24"/>
          <w:u w:val="single"/>
        </w:rPr>
        <w:t>McCloud/Cost Cap</w:t>
      </w:r>
    </w:p>
    <w:p w14:paraId="4BBD13FD"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1.5% of pay has been added to employer contributions based on Fund-specific calculations carried out by the Fund Actuary. This figure has been calculated across the Fund as a whole on the scheduled and subsumption body funding target assuming the following remedy:</w:t>
      </w:r>
    </w:p>
    <w:p w14:paraId="2FB4A3C8" w14:textId="77777777" w:rsidR="003C3AAF" w:rsidRPr="003C3AAF" w:rsidRDefault="003C3AAF" w:rsidP="003C3AAF">
      <w:pPr>
        <w:rPr>
          <w:rFonts w:ascii="Arial" w:hAnsi="Arial" w:cs="Arial"/>
          <w:sz w:val="24"/>
          <w:szCs w:val="24"/>
        </w:rPr>
      </w:pPr>
    </w:p>
    <w:p w14:paraId="3FFC0573"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Compensation will apply to members who joined the LGPS before 1 April 2014 (see below).</w:t>
      </w:r>
    </w:p>
    <w:p w14:paraId="4269E5CB" w14:textId="77777777" w:rsidR="003C3AAF" w:rsidRPr="003C3AAF" w:rsidRDefault="003C3AAF" w:rsidP="003C3AAF">
      <w:pPr>
        <w:rPr>
          <w:rFonts w:ascii="Arial" w:hAnsi="Arial" w:cs="Arial"/>
          <w:sz w:val="24"/>
          <w:szCs w:val="24"/>
        </w:rPr>
      </w:pPr>
    </w:p>
    <w:p w14:paraId="73A16E7D"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Benefits will be the better of those accrued in the 2014 Scheme or those accrued in the 2008 Scheme, backdated to 1 April 2014 (i.e. an 'underpin' approach).</w:t>
      </w:r>
    </w:p>
    <w:p w14:paraId="1318B822" w14:textId="77777777" w:rsidR="003C3AAF" w:rsidRPr="003C3AAF" w:rsidRDefault="003C3AAF" w:rsidP="003C3AAF">
      <w:pPr>
        <w:rPr>
          <w:rFonts w:ascii="Arial" w:hAnsi="Arial" w:cs="Arial"/>
          <w:sz w:val="24"/>
          <w:szCs w:val="24"/>
        </w:rPr>
      </w:pPr>
    </w:p>
    <w:p w14:paraId="365CBA9B"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 xml:space="preserve">Compensation will apply to members who retire from active service with immediate pension benefits, through normal health or ill health retirement (this is because transitional protections only applied to members retiring from active service with immediate pension). </w:t>
      </w:r>
    </w:p>
    <w:p w14:paraId="1E6FA660" w14:textId="77777777" w:rsidR="003C3AAF" w:rsidRPr="003C3AAF" w:rsidRDefault="003C3AAF" w:rsidP="003C3AAF">
      <w:pPr>
        <w:rPr>
          <w:rFonts w:ascii="Arial" w:hAnsi="Arial" w:cs="Arial"/>
          <w:sz w:val="24"/>
          <w:szCs w:val="24"/>
        </w:rPr>
      </w:pPr>
    </w:p>
    <w:p w14:paraId="3C4E7117"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The remedy will not apply to spouses' or dependants' benefits. This is because transitional protections only applied to members' benefits</w:t>
      </w:r>
    </w:p>
    <w:p w14:paraId="28554C62" w14:textId="77777777" w:rsidR="003C3AAF" w:rsidRPr="003C3AAF" w:rsidRDefault="003C3AAF" w:rsidP="003C3AAF">
      <w:pPr>
        <w:pStyle w:val="Heading2"/>
        <w:ind w:left="425"/>
        <w:rPr>
          <w:rFonts w:cs="Arial"/>
          <w:b w:val="0"/>
          <w:sz w:val="24"/>
          <w:szCs w:val="24"/>
        </w:rPr>
      </w:pPr>
    </w:p>
    <w:p w14:paraId="6B601AF3"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The cost is split 0.4% of pay in respect of past service and 1.1% of pay in respect of future service where the past service cost has been spread over a recovery period of 19 years.</w:t>
      </w:r>
    </w:p>
    <w:p w14:paraId="60F6C3D4" w14:textId="77777777" w:rsidR="003C3AAF" w:rsidRPr="003C3AAF" w:rsidRDefault="003C3AAF" w:rsidP="003C3AAF">
      <w:pPr>
        <w:rPr>
          <w:rFonts w:ascii="Arial" w:hAnsi="Arial" w:cs="Arial"/>
          <w:sz w:val="24"/>
          <w:szCs w:val="24"/>
        </w:rPr>
      </w:pPr>
    </w:p>
    <w:p w14:paraId="75C3770D" w14:textId="77777777" w:rsidR="003C3AAF" w:rsidRPr="003C3AAF" w:rsidRDefault="003C3AAF" w:rsidP="003C3AAF">
      <w:pPr>
        <w:shd w:val="clear" w:color="auto" w:fill="FFFFFF"/>
        <w:tabs>
          <w:tab w:val="left" w:pos="426"/>
        </w:tabs>
        <w:spacing w:after="60"/>
        <w:rPr>
          <w:rFonts w:ascii="Arial" w:hAnsi="Arial" w:cs="Arial"/>
          <w:snapToGrid w:val="0"/>
          <w:sz w:val="24"/>
          <w:szCs w:val="24"/>
          <w:u w:val="single"/>
        </w:rPr>
      </w:pPr>
      <w:r w:rsidRPr="003C3AAF">
        <w:rPr>
          <w:rFonts w:ascii="Arial" w:hAnsi="Arial" w:cs="Arial"/>
          <w:b/>
          <w:snapToGrid w:val="0"/>
          <w:sz w:val="24"/>
          <w:szCs w:val="24"/>
        </w:rPr>
        <w:tab/>
      </w:r>
      <w:r w:rsidRPr="003C3AAF">
        <w:rPr>
          <w:rFonts w:ascii="Arial" w:hAnsi="Arial" w:cs="Arial"/>
          <w:snapToGrid w:val="0"/>
          <w:sz w:val="24"/>
          <w:szCs w:val="24"/>
          <w:u w:val="single"/>
        </w:rPr>
        <w:t>GMP indexation/equalisation</w:t>
      </w:r>
    </w:p>
    <w:p w14:paraId="66BB2229"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There is no allowance for GMP equalisation beyond the extended 'interim' solution announced in January 2018, i.e. for full inflationary increases on GMP to be paid from the Fund for members reaching State Pension Age by 5 April 2021.</w:t>
      </w:r>
    </w:p>
    <w:p w14:paraId="341A6339" w14:textId="77777777" w:rsidR="003C3AAF" w:rsidRPr="003C3AAF" w:rsidRDefault="003C3AAF" w:rsidP="003C3AAF">
      <w:pPr>
        <w:widowControl w:val="0"/>
        <w:jc w:val="both"/>
        <w:rPr>
          <w:rFonts w:ascii="Arial" w:hAnsi="Arial" w:cs="Arial"/>
          <w:snapToGrid w:val="0"/>
          <w:sz w:val="24"/>
          <w:szCs w:val="24"/>
        </w:rPr>
      </w:pPr>
    </w:p>
    <w:p w14:paraId="735D63DC" w14:textId="77777777" w:rsidR="00C36412" w:rsidRDefault="003C3AAF" w:rsidP="003C3AAF">
      <w:pPr>
        <w:widowControl w:val="0"/>
        <w:tabs>
          <w:tab w:val="left" w:pos="426"/>
        </w:tabs>
        <w:spacing w:after="60"/>
        <w:rPr>
          <w:rFonts w:ascii="Arial" w:hAnsi="Arial" w:cs="Arial"/>
          <w:snapToGrid w:val="0"/>
          <w:sz w:val="24"/>
          <w:szCs w:val="24"/>
        </w:rPr>
      </w:pPr>
      <w:r w:rsidRPr="003C3AAF">
        <w:rPr>
          <w:rFonts w:ascii="Arial" w:hAnsi="Arial" w:cs="Arial"/>
          <w:snapToGrid w:val="0"/>
          <w:sz w:val="24"/>
          <w:szCs w:val="24"/>
        </w:rPr>
        <w:tab/>
      </w:r>
    </w:p>
    <w:p w14:paraId="60CCED2D" w14:textId="77777777" w:rsidR="00C36412" w:rsidRDefault="00C36412" w:rsidP="003C3AAF">
      <w:pPr>
        <w:widowControl w:val="0"/>
        <w:tabs>
          <w:tab w:val="left" w:pos="426"/>
        </w:tabs>
        <w:spacing w:after="60"/>
        <w:rPr>
          <w:rFonts w:ascii="Arial" w:hAnsi="Arial" w:cs="Arial"/>
          <w:snapToGrid w:val="0"/>
          <w:sz w:val="24"/>
          <w:szCs w:val="24"/>
        </w:rPr>
      </w:pPr>
    </w:p>
    <w:p w14:paraId="30B3B3BC" w14:textId="77777777" w:rsidR="003C3AAF" w:rsidRPr="003C3AAF" w:rsidRDefault="003C3AAF" w:rsidP="003C3AAF">
      <w:pPr>
        <w:widowControl w:val="0"/>
        <w:tabs>
          <w:tab w:val="left" w:pos="426"/>
        </w:tabs>
        <w:spacing w:after="60"/>
        <w:rPr>
          <w:rFonts w:ascii="Arial" w:hAnsi="Arial" w:cs="Arial"/>
          <w:b/>
          <w:snapToGrid w:val="0"/>
          <w:sz w:val="24"/>
          <w:szCs w:val="24"/>
        </w:rPr>
      </w:pPr>
      <w:r w:rsidRPr="003C3AAF">
        <w:rPr>
          <w:rFonts w:ascii="Arial" w:hAnsi="Arial" w:cs="Arial"/>
          <w:b/>
          <w:snapToGrid w:val="0"/>
          <w:sz w:val="24"/>
          <w:szCs w:val="24"/>
        </w:rPr>
        <w:t>Liquidity and Maturity Risk</w:t>
      </w:r>
    </w:p>
    <w:p w14:paraId="79030BB6"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 xml:space="preserve">This is the risk of a reduction in cash flows into the Fund (including investment income – e.g.  potentially resulting from changes in investment holdings), or an increase in cash flows out of the Fund, or both, which can be linked to changes in the membership and, in particular, a shift in the balance from contributing members to members drawing their pensions.  Changes in the funding position and hence (secondary) employer contributions can also affect the cashflow position since it is not always possible to deliver complete stability of contributions.  </w:t>
      </w:r>
      <w:r w:rsidRPr="003C3AAF">
        <w:rPr>
          <w:rFonts w:cs="Arial"/>
          <w:b w:val="0"/>
          <w:sz w:val="24"/>
          <w:szCs w:val="24"/>
        </w:rPr>
        <w:lastRenderedPageBreak/>
        <w:t xml:space="preserve">Timing of contribution payments by employers can also impact on liquidity requirements were flexibility is granted by the Administering Authority. Changes within the public sector and to the LGPS itself may affect the maturity profile of the LGPS and have potential cash flow implications.  For example, </w:t>
      </w:r>
    </w:p>
    <w:p w14:paraId="04E52BD9" w14:textId="77777777" w:rsidR="003C3AAF" w:rsidRPr="003C3AAF" w:rsidRDefault="003C3AAF" w:rsidP="003C3AAF">
      <w:pPr>
        <w:jc w:val="both"/>
        <w:rPr>
          <w:rFonts w:ascii="Arial" w:hAnsi="Arial" w:cs="Arial"/>
          <w:sz w:val="24"/>
          <w:szCs w:val="24"/>
        </w:rPr>
      </w:pPr>
    </w:p>
    <w:p w14:paraId="66CFD881" w14:textId="77777777" w:rsidR="003C3AAF" w:rsidRPr="003C3AAF" w:rsidRDefault="003C3AAF" w:rsidP="0073304A">
      <w:pPr>
        <w:numPr>
          <w:ilvl w:val="0"/>
          <w:numId w:val="79"/>
        </w:numPr>
        <w:ind w:hanging="294"/>
        <w:jc w:val="both"/>
        <w:rPr>
          <w:rFonts w:ascii="Arial" w:hAnsi="Arial" w:cs="Arial"/>
          <w:sz w:val="24"/>
          <w:szCs w:val="24"/>
        </w:rPr>
      </w:pPr>
      <w:r w:rsidRPr="003C3AAF">
        <w:rPr>
          <w:rFonts w:ascii="Arial" w:hAnsi="Arial" w:cs="Arial"/>
          <w:sz w:val="24"/>
          <w:szCs w:val="24"/>
        </w:rPr>
        <w:t>Budget cuts and headcount reductions could reduce the active (contributing) membership and increase the number of pensioners through early retirements;</w:t>
      </w:r>
    </w:p>
    <w:p w14:paraId="4EB1C14D" w14:textId="77777777" w:rsidR="003C3AAF" w:rsidRPr="003C3AAF" w:rsidRDefault="003C3AAF" w:rsidP="0073304A">
      <w:pPr>
        <w:numPr>
          <w:ilvl w:val="0"/>
          <w:numId w:val="79"/>
        </w:numPr>
        <w:ind w:hanging="294"/>
        <w:jc w:val="both"/>
        <w:rPr>
          <w:rFonts w:ascii="Arial" w:hAnsi="Arial" w:cs="Arial"/>
          <w:sz w:val="24"/>
          <w:szCs w:val="24"/>
        </w:rPr>
      </w:pPr>
      <w:r w:rsidRPr="003C3AAF">
        <w:rPr>
          <w:rFonts w:ascii="Arial" w:hAnsi="Arial" w:cs="Arial"/>
          <w:sz w:val="24"/>
          <w:szCs w:val="24"/>
        </w:rPr>
        <w:t xml:space="preserve">An increased emphasis on outsourcing and other alternative models for service delivery may result in falling active membership (e.g. where new admissions are closed), </w:t>
      </w:r>
    </w:p>
    <w:p w14:paraId="14518B28" w14:textId="77777777" w:rsidR="003C3AAF" w:rsidRPr="003C3AAF" w:rsidRDefault="003C3AAF" w:rsidP="0073304A">
      <w:pPr>
        <w:numPr>
          <w:ilvl w:val="0"/>
          <w:numId w:val="79"/>
        </w:numPr>
        <w:ind w:hanging="294"/>
        <w:jc w:val="both"/>
        <w:rPr>
          <w:rFonts w:ascii="Arial" w:hAnsi="Arial" w:cs="Arial"/>
          <w:sz w:val="24"/>
          <w:szCs w:val="24"/>
        </w:rPr>
      </w:pPr>
      <w:r w:rsidRPr="003C3AAF">
        <w:rPr>
          <w:rFonts w:ascii="Arial" w:hAnsi="Arial" w:cs="Arial"/>
          <w:sz w:val="24"/>
          <w:szCs w:val="24"/>
        </w:rPr>
        <w:t>Public sector reorganisations may lead to a transfer of responsibility between different public sector bodies, (e.g. to bodies which do not participate in the LGPS),</w:t>
      </w:r>
    </w:p>
    <w:p w14:paraId="17542B64" w14:textId="77777777" w:rsidR="003C3AAF" w:rsidRPr="003C3AAF" w:rsidRDefault="003C3AAF" w:rsidP="0073304A">
      <w:pPr>
        <w:numPr>
          <w:ilvl w:val="0"/>
          <w:numId w:val="79"/>
        </w:numPr>
        <w:ind w:hanging="294"/>
        <w:jc w:val="both"/>
        <w:rPr>
          <w:rFonts w:ascii="Arial" w:hAnsi="Arial" w:cs="Arial"/>
          <w:sz w:val="24"/>
          <w:szCs w:val="24"/>
        </w:rPr>
      </w:pPr>
      <w:r w:rsidRPr="003C3AAF">
        <w:rPr>
          <w:rFonts w:ascii="Arial" w:hAnsi="Arial" w:cs="Arial"/>
          <w:sz w:val="24"/>
          <w:szCs w:val="24"/>
        </w:rPr>
        <w:t>Scheme changes, for example, lower member contributions as provisionally agreed as part of the Scheme Advisory Board Cost Management Process will lead to lower member contributions which may not be immediately matched by higher employer contributions,</w:t>
      </w:r>
    </w:p>
    <w:p w14:paraId="1311551A" w14:textId="77777777" w:rsidR="003C3AAF" w:rsidRPr="003C3AAF" w:rsidRDefault="003C3AAF" w:rsidP="0073304A">
      <w:pPr>
        <w:numPr>
          <w:ilvl w:val="0"/>
          <w:numId w:val="79"/>
        </w:numPr>
        <w:ind w:hanging="294"/>
        <w:jc w:val="both"/>
        <w:rPr>
          <w:rFonts w:ascii="Arial" w:hAnsi="Arial" w:cs="Arial"/>
          <w:sz w:val="24"/>
          <w:szCs w:val="24"/>
        </w:rPr>
      </w:pPr>
      <w:r w:rsidRPr="003C3AAF">
        <w:rPr>
          <w:rFonts w:ascii="Arial" w:hAnsi="Arial" w:cs="Arial"/>
          <w:sz w:val="24"/>
          <w:szCs w:val="24"/>
        </w:rPr>
        <w:t>An increase in the take-up of the 50/50 option (whether on affordability grounds or to avoid tax charges) will reduce member contributions to the Fund</w:t>
      </w:r>
    </w:p>
    <w:p w14:paraId="1AFA7BA6" w14:textId="77777777" w:rsidR="003C3AAF" w:rsidRPr="003C3AAF" w:rsidRDefault="003C3AAF" w:rsidP="003C3AAF">
      <w:pPr>
        <w:ind w:left="720"/>
        <w:jc w:val="both"/>
        <w:rPr>
          <w:rFonts w:ascii="Arial" w:hAnsi="Arial" w:cs="Arial"/>
          <w:sz w:val="24"/>
          <w:szCs w:val="24"/>
        </w:rPr>
      </w:pPr>
    </w:p>
    <w:p w14:paraId="1666416F"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The Administering Authority seeks to maintain regular contact with employers to mitigate against the risk of unexpected or unforeseen changes in maturity or other changes leading to cashflow or liquidity issues. The Administering Authority also commissions the Fund Actuary to provide projections of benefit payments and contributions based at each valuation and monitors the cashflow position on a regular basis.</w:t>
      </w:r>
    </w:p>
    <w:p w14:paraId="6BE906A7" w14:textId="77777777" w:rsidR="003C3AAF" w:rsidRPr="003C3AAF" w:rsidRDefault="003C3AAF" w:rsidP="003C3AAF">
      <w:pPr>
        <w:jc w:val="both"/>
        <w:rPr>
          <w:rFonts w:ascii="Arial" w:hAnsi="Arial" w:cs="Arial"/>
          <w:sz w:val="24"/>
          <w:szCs w:val="24"/>
        </w:rPr>
      </w:pPr>
    </w:p>
    <w:p w14:paraId="65B131DF" w14:textId="77777777" w:rsidR="003C3AAF" w:rsidRPr="003C3AAF" w:rsidRDefault="003C3AAF" w:rsidP="003C3AAF">
      <w:pPr>
        <w:widowControl w:val="0"/>
        <w:tabs>
          <w:tab w:val="left" w:pos="426"/>
        </w:tabs>
        <w:spacing w:after="60"/>
        <w:rPr>
          <w:rFonts w:ascii="Arial" w:hAnsi="Arial" w:cs="Arial"/>
          <w:b/>
          <w:snapToGrid w:val="0"/>
          <w:sz w:val="24"/>
          <w:szCs w:val="24"/>
        </w:rPr>
      </w:pPr>
      <w:r w:rsidRPr="003C3AAF">
        <w:rPr>
          <w:rFonts w:ascii="Arial" w:hAnsi="Arial" w:cs="Arial"/>
          <w:sz w:val="24"/>
          <w:szCs w:val="24"/>
        </w:rPr>
        <w:tab/>
      </w:r>
      <w:r w:rsidRPr="003C3AAF">
        <w:rPr>
          <w:rFonts w:ascii="Arial" w:hAnsi="Arial" w:cs="Arial"/>
          <w:b/>
          <w:snapToGrid w:val="0"/>
          <w:sz w:val="24"/>
          <w:szCs w:val="24"/>
        </w:rPr>
        <w:t>Governance Risk</w:t>
      </w:r>
    </w:p>
    <w:p w14:paraId="59D325EE"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This covers the risk of unexpected structural changes in the Fund membership (for example the closure of an employer to new entrants or the large scale withdrawal or retirement of groups of staff), or establishment of a wholly owned company which does not participate in the Fund, or only partially participates, and the related risk of the Administering Authority not being made aware of such changes in a timely manner.</w:t>
      </w:r>
    </w:p>
    <w:p w14:paraId="14630736" w14:textId="77777777" w:rsidR="003C3AAF" w:rsidRPr="003C3AAF" w:rsidRDefault="003C3AAF" w:rsidP="0073304A">
      <w:pPr>
        <w:pStyle w:val="Heading2"/>
        <w:widowControl w:val="0"/>
        <w:numPr>
          <w:ilvl w:val="1"/>
          <w:numId w:val="83"/>
        </w:numPr>
        <w:spacing w:before="120"/>
        <w:ind w:left="425" w:hanging="448"/>
        <w:jc w:val="both"/>
        <w:rPr>
          <w:rFonts w:cs="Arial"/>
          <w:b w:val="0"/>
          <w:sz w:val="24"/>
          <w:szCs w:val="24"/>
        </w:rPr>
      </w:pPr>
      <w:r w:rsidRPr="003C3AAF">
        <w:rPr>
          <w:rFonts w:cs="Arial"/>
          <w:b w:val="0"/>
          <w:sz w:val="24"/>
          <w:szCs w:val="24"/>
        </w:rPr>
        <w:t>The Administering Authority’s policy is to require regular communication between itself and employers, and to ensure regular reviews of such items as bond arrangements, financial standing of non-tax raising employers and funding levels. The Fund will consider commissioning triennial reviews of any bonds as part of its risk management.</w:t>
      </w:r>
    </w:p>
    <w:p w14:paraId="36185DBD" w14:textId="77777777" w:rsidR="003C3AAF" w:rsidRPr="003C3AAF" w:rsidRDefault="003C3AAF" w:rsidP="003C3AAF">
      <w:pPr>
        <w:widowControl w:val="0"/>
        <w:jc w:val="both"/>
        <w:rPr>
          <w:rFonts w:ascii="Arial" w:hAnsi="Arial" w:cs="Arial"/>
          <w:snapToGrid w:val="0"/>
          <w:sz w:val="24"/>
          <w:szCs w:val="24"/>
        </w:rPr>
      </w:pPr>
    </w:p>
    <w:p w14:paraId="5FD0DB33" w14:textId="77777777" w:rsidR="003C3AAF" w:rsidRPr="003C3AAF" w:rsidRDefault="003C3AAF" w:rsidP="003C3AAF">
      <w:pPr>
        <w:pStyle w:val="Heading2"/>
        <w:tabs>
          <w:tab w:val="left" w:pos="426"/>
        </w:tabs>
        <w:spacing w:after="60"/>
        <w:rPr>
          <w:rFonts w:cs="Arial"/>
          <w:sz w:val="24"/>
          <w:szCs w:val="24"/>
        </w:rPr>
      </w:pPr>
      <w:r w:rsidRPr="003C3AAF">
        <w:rPr>
          <w:rFonts w:cs="Arial"/>
          <w:b w:val="0"/>
          <w:sz w:val="24"/>
          <w:szCs w:val="24"/>
        </w:rPr>
        <w:tab/>
      </w:r>
      <w:r w:rsidRPr="003C3AAF">
        <w:rPr>
          <w:rFonts w:cs="Arial"/>
          <w:sz w:val="24"/>
          <w:szCs w:val="24"/>
        </w:rPr>
        <w:t>Statistical/Financial Risk</w:t>
      </w:r>
    </w:p>
    <w:p w14:paraId="6A760E90"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 xml:space="preserve">This covers such items such as the performances of markets, Fund investment managers, asset reallocation in volatile markets, pay and /or price inflation varying from anticipated levels or the effect of possible increases in employer contribution rate on service delivery and on Fund employers. The Administering Authority policy will regularly assess such aspects to ensure that all assumptions used are </w:t>
      </w:r>
      <w:r w:rsidRPr="003C3AAF">
        <w:rPr>
          <w:rFonts w:cs="Arial"/>
          <w:b w:val="0"/>
          <w:sz w:val="24"/>
          <w:szCs w:val="24"/>
        </w:rPr>
        <w:lastRenderedPageBreak/>
        <w:t>still justified.</w:t>
      </w:r>
    </w:p>
    <w:p w14:paraId="4E199EC0" w14:textId="77777777" w:rsidR="003C3AAF" w:rsidRPr="003C3AAF" w:rsidRDefault="003C3AAF" w:rsidP="003C3AAF">
      <w:pPr>
        <w:widowControl w:val="0"/>
        <w:jc w:val="both"/>
        <w:rPr>
          <w:rFonts w:ascii="Arial" w:hAnsi="Arial" w:cs="Arial"/>
          <w:snapToGrid w:val="0"/>
          <w:sz w:val="24"/>
          <w:szCs w:val="24"/>
        </w:rPr>
      </w:pPr>
    </w:p>
    <w:p w14:paraId="47EC0FEE" w14:textId="77777777" w:rsidR="003C3AAF" w:rsidRPr="003C3AAF" w:rsidRDefault="003C3AAF" w:rsidP="00C36412">
      <w:pPr>
        <w:pStyle w:val="Heading3"/>
        <w:tabs>
          <w:tab w:val="left" w:pos="426"/>
        </w:tabs>
        <w:spacing w:after="60"/>
        <w:jc w:val="left"/>
        <w:rPr>
          <w:rFonts w:cs="Arial"/>
          <w:b w:val="0"/>
          <w:szCs w:val="24"/>
        </w:rPr>
      </w:pPr>
      <w:r w:rsidRPr="003C3AAF">
        <w:rPr>
          <w:rFonts w:cs="Arial"/>
          <w:szCs w:val="24"/>
        </w:rPr>
        <w:tab/>
      </w:r>
      <w:r w:rsidRPr="003C3AAF">
        <w:rPr>
          <w:rFonts w:cs="Arial"/>
          <w:b w:val="0"/>
          <w:szCs w:val="24"/>
        </w:rPr>
        <w:t>Smoothing Risk</w:t>
      </w:r>
    </w:p>
    <w:p w14:paraId="462BF1AE"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 xml:space="preserve">The Administering Authority recognises that utilisation of a smoothing adjustment in the solvency measurement introduces an element of risk, in that the smoothing adjustment may not provide a true measure of the underlying position. Where such an adjustment is used, the Administering Authority will review the impact of this adjustment at each valuation to ensure that it remains within acceptable limits. </w:t>
      </w:r>
    </w:p>
    <w:p w14:paraId="1EE38059" w14:textId="77777777" w:rsidR="003C3AAF" w:rsidRPr="003C3AAF" w:rsidRDefault="003C3AAF" w:rsidP="003C3AAF">
      <w:pPr>
        <w:pStyle w:val="Heading3"/>
        <w:rPr>
          <w:rFonts w:cs="Arial"/>
          <w:szCs w:val="24"/>
        </w:rPr>
      </w:pPr>
    </w:p>
    <w:p w14:paraId="18BF8B89" w14:textId="77777777" w:rsidR="003C3AAF" w:rsidRPr="003C3AAF" w:rsidRDefault="003C3AAF" w:rsidP="00C36412">
      <w:pPr>
        <w:pStyle w:val="Heading3"/>
        <w:tabs>
          <w:tab w:val="left" w:pos="426"/>
        </w:tabs>
        <w:spacing w:after="60"/>
        <w:jc w:val="left"/>
        <w:rPr>
          <w:rFonts w:cs="Arial"/>
          <w:b w:val="0"/>
          <w:szCs w:val="24"/>
        </w:rPr>
      </w:pPr>
      <w:r w:rsidRPr="003C3AAF">
        <w:rPr>
          <w:rFonts w:cs="Arial"/>
          <w:szCs w:val="24"/>
        </w:rPr>
        <w:tab/>
      </w:r>
      <w:r w:rsidRPr="003C3AAF">
        <w:rPr>
          <w:rFonts w:cs="Arial"/>
          <w:b w:val="0"/>
          <w:szCs w:val="24"/>
        </w:rPr>
        <w:t>Recovery Period Risk</w:t>
      </w:r>
    </w:p>
    <w:p w14:paraId="0758B8E6"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The Administering Authority recognises that permitting surpluses or deficiencies to be eliminated over a recovery period rather than immediately introduces a risk that action to restore solvency is insufficient between successive measurements. The Administering Authority will discuss the risks inherent in each situation with the Fund Actuary and to limit the permitted length of recovery period where appropriate. Details of the Administering Authority's policy are set out earlier in this Statement.</w:t>
      </w:r>
    </w:p>
    <w:p w14:paraId="71BA16E2" w14:textId="77777777" w:rsidR="003C3AAF" w:rsidRPr="003C3AAF" w:rsidRDefault="003C3AAF" w:rsidP="003C3AAF">
      <w:pPr>
        <w:widowControl w:val="0"/>
        <w:jc w:val="both"/>
        <w:rPr>
          <w:rFonts w:ascii="Arial" w:hAnsi="Arial" w:cs="Arial"/>
          <w:snapToGrid w:val="0"/>
          <w:sz w:val="24"/>
          <w:szCs w:val="24"/>
        </w:rPr>
      </w:pPr>
    </w:p>
    <w:p w14:paraId="0B0CD94F" w14:textId="77777777" w:rsidR="003C3AAF" w:rsidRPr="003C3AAF" w:rsidRDefault="003C3AAF" w:rsidP="00C36412">
      <w:pPr>
        <w:pStyle w:val="Heading3"/>
        <w:tabs>
          <w:tab w:val="left" w:pos="426"/>
        </w:tabs>
        <w:spacing w:after="60"/>
        <w:jc w:val="left"/>
        <w:rPr>
          <w:rFonts w:cs="Arial"/>
          <w:b w:val="0"/>
          <w:szCs w:val="24"/>
        </w:rPr>
      </w:pPr>
      <w:r w:rsidRPr="003C3AAF">
        <w:rPr>
          <w:rFonts w:cs="Arial"/>
          <w:szCs w:val="24"/>
        </w:rPr>
        <w:tab/>
      </w:r>
      <w:r w:rsidRPr="003C3AAF">
        <w:rPr>
          <w:rFonts w:cs="Arial"/>
          <w:b w:val="0"/>
          <w:szCs w:val="24"/>
        </w:rPr>
        <w:t>Stepping Risk</w:t>
      </w:r>
    </w:p>
    <w:p w14:paraId="06F97342" w14:textId="77777777" w:rsidR="003C3AAF" w:rsidRPr="003C3AAF" w:rsidRDefault="003C3AAF" w:rsidP="0073304A">
      <w:pPr>
        <w:pStyle w:val="Heading2"/>
        <w:widowControl w:val="0"/>
        <w:numPr>
          <w:ilvl w:val="1"/>
          <w:numId w:val="83"/>
        </w:numPr>
        <w:ind w:left="425" w:hanging="448"/>
        <w:jc w:val="both"/>
        <w:rPr>
          <w:rFonts w:cs="Arial"/>
          <w:b w:val="0"/>
          <w:sz w:val="24"/>
          <w:szCs w:val="24"/>
        </w:rPr>
      </w:pPr>
      <w:r w:rsidRPr="003C3AAF">
        <w:rPr>
          <w:rFonts w:cs="Arial"/>
          <w:b w:val="0"/>
          <w:sz w:val="24"/>
          <w:szCs w:val="24"/>
        </w:rPr>
        <w:t>The Administering Authority recognises that permitting contribution rate changes to be introduced by annual steps rather than immediately introduces a risk that action to restore solvency is insufficient in the early years of the process. The Administering Authority will limit the number of permitted steps as appropriate. Details of the Administering Authority's policy are set out earlier in this statement.</w:t>
      </w:r>
    </w:p>
    <w:p w14:paraId="2AC7705D" w14:textId="77777777" w:rsidR="003C3AAF" w:rsidRPr="003C3AAF" w:rsidRDefault="003C3AAF" w:rsidP="003C3AAF">
      <w:pPr>
        <w:rPr>
          <w:rFonts w:ascii="Arial" w:hAnsi="Arial" w:cs="Arial"/>
          <w:sz w:val="24"/>
          <w:szCs w:val="24"/>
        </w:rPr>
      </w:pPr>
    </w:p>
    <w:p w14:paraId="402E5AE7" w14:textId="77777777" w:rsidR="003C3AAF" w:rsidRPr="003C3AAF" w:rsidRDefault="003C3AAF" w:rsidP="003C3AAF">
      <w:pPr>
        <w:rPr>
          <w:rFonts w:ascii="Arial" w:hAnsi="Arial" w:cs="Arial"/>
          <w:sz w:val="24"/>
          <w:szCs w:val="24"/>
        </w:rPr>
      </w:pPr>
    </w:p>
    <w:p w14:paraId="4D6235D2" w14:textId="77777777" w:rsidR="003C3AAF" w:rsidRPr="003C3AAF" w:rsidRDefault="003C3AAF" w:rsidP="003C3AAF">
      <w:pPr>
        <w:rPr>
          <w:rFonts w:ascii="Arial" w:hAnsi="Arial" w:cs="Arial"/>
          <w:sz w:val="24"/>
          <w:szCs w:val="24"/>
        </w:rPr>
      </w:pPr>
    </w:p>
    <w:p w14:paraId="4BB79454" w14:textId="77777777" w:rsidR="003C3AAF" w:rsidRPr="003C3AAF" w:rsidRDefault="003C3AAF" w:rsidP="003C3AAF">
      <w:pPr>
        <w:pStyle w:val="Heading1"/>
        <w:rPr>
          <w:rFonts w:cs="Arial"/>
          <w:szCs w:val="24"/>
        </w:rPr>
      </w:pPr>
      <w:r w:rsidRPr="003C3AAF">
        <w:rPr>
          <w:rFonts w:cs="Arial"/>
          <w:szCs w:val="24"/>
        </w:rPr>
        <w:br w:type="page"/>
      </w:r>
      <w:r w:rsidRPr="003C3AAF">
        <w:rPr>
          <w:rFonts w:cs="Arial"/>
          <w:szCs w:val="24"/>
        </w:rPr>
        <w:lastRenderedPageBreak/>
        <w:t>APPENDIX 1: Policy on Exit payments, Exit credits and Deferred Debt Agreements</w:t>
      </w:r>
    </w:p>
    <w:p w14:paraId="5CC22897" w14:textId="77777777" w:rsidR="003C3AAF" w:rsidRPr="003C3AAF" w:rsidRDefault="003C3AAF" w:rsidP="003C3AAF">
      <w:pPr>
        <w:rPr>
          <w:rFonts w:ascii="Arial" w:hAnsi="Arial" w:cs="Arial"/>
          <w:sz w:val="24"/>
          <w:szCs w:val="24"/>
        </w:rPr>
      </w:pPr>
    </w:p>
    <w:p w14:paraId="1F9C0D09" w14:textId="77777777" w:rsidR="003C3AAF" w:rsidRPr="003C3AAF" w:rsidRDefault="003C3AAF" w:rsidP="003C3AAF">
      <w:pPr>
        <w:shd w:val="clear" w:color="auto" w:fill="FFFFFF"/>
        <w:spacing w:after="120"/>
        <w:jc w:val="both"/>
        <w:rPr>
          <w:rFonts w:ascii="Arial" w:hAnsi="Arial" w:cs="Arial"/>
          <w:snapToGrid w:val="0"/>
          <w:sz w:val="24"/>
          <w:szCs w:val="24"/>
        </w:rPr>
      </w:pPr>
      <w:r w:rsidRPr="003C3AAF">
        <w:rPr>
          <w:rFonts w:ascii="Arial" w:hAnsi="Arial" w:cs="Arial"/>
          <w:snapToGrid w:val="0"/>
          <w:sz w:val="24"/>
          <w:szCs w:val="24"/>
        </w:rPr>
        <w:t>An employing authority can cease participation in the following circumstances:</w:t>
      </w:r>
    </w:p>
    <w:p w14:paraId="40ACE67D" w14:textId="77777777" w:rsidR="003C3AAF" w:rsidRPr="003C3AAF" w:rsidRDefault="003C3AAF" w:rsidP="0073304A">
      <w:pPr>
        <w:pStyle w:val="ListParagraph"/>
        <w:numPr>
          <w:ilvl w:val="0"/>
          <w:numId w:val="98"/>
        </w:numPr>
        <w:shd w:val="clear" w:color="auto" w:fill="FFFFFF"/>
        <w:spacing w:before="0" w:after="120" w:line="240" w:lineRule="auto"/>
        <w:ind w:left="357" w:hanging="357"/>
        <w:contextualSpacing w:val="0"/>
        <w:jc w:val="both"/>
        <w:rPr>
          <w:rFonts w:cs="Arial"/>
          <w:snapToGrid w:val="0"/>
          <w:sz w:val="24"/>
          <w:lang w:eastAsia="en-US"/>
        </w:rPr>
      </w:pPr>
      <w:r w:rsidRPr="003C3AAF">
        <w:rPr>
          <w:rFonts w:cs="Arial"/>
          <w:snapToGrid w:val="0"/>
          <w:sz w:val="24"/>
          <w:lang w:eastAsia="en-US"/>
        </w:rPr>
        <w:t xml:space="preserve">an active employer ceases to be a Scheme employer (including ceasing to be an admission body participating in the Fund), or has no active members contributing to the Fund and does not enter into a Deferred Debt Agreement, </w:t>
      </w:r>
    </w:p>
    <w:p w14:paraId="4413298B" w14:textId="77777777" w:rsidR="003C3AAF" w:rsidRPr="003C3AAF" w:rsidRDefault="003C3AAF" w:rsidP="0073304A">
      <w:pPr>
        <w:pStyle w:val="ListParagraph"/>
        <w:numPr>
          <w:ilvl w:val="0"/>
          <w:numId w:val="98"/>
        </w:numPr>
        <w:shd w:val="clear" w:color="auto" w:fill="FFFFFF"/>
        <w:spacing w:before="0" w:after="0" w:line="240" w:lineRule="auto"/>
        <w:jc w:val="both"/>
        <w:rPr>
          <w:rFonts w:cs="Arial"/>
          <w:snapToGrid w:val="0"/>
          <w:sz w:val="24"/>
          <w:lang w:eastAsia="en-US"/>
        </w:rPr>
      </w:pPr>
      <w:r w:rsidRPr="003C3AAF">
        <w:rPr>
          <w:rFonts w:cs="Arial"/>
          <w:snapToGrid w:val="0"/>
          <w:sz w:val="24"/>
          <w:lang w:eastAsia="en-US"/>
        </w:rPr>
        <w:t>a deferred employer ceases to participate where the Deferred Debt Agreement ends.</w:t>
      </w:r>
    </w:p>
    <w:p w14:paraId="2E2D950F" w14:textId="77777777" w:rsidR="003C3AAF" w:rsidRPr="003C3AAF" w:rsidRDefault="003C3AAF" w:rsidP="003C3AAF">
      <w:pPr>
        <w:spacing w:before="240"/>
        <w:jc w:val="both"/>
        <w:rPr>
          <w:rFonts w:ascii="Arial" w:hAnsi="Arial" w:cs="Arial"/>
          <w:snapToGrid w:val="0"/>
          <w:sz w:val="24"/>
          <w:szCs w:val="24"/>
        </w:rPr>
      </w:pPr>
      <w:r w:rsidRPr="003C3AAF">
        <w:rPr>
          <w:rFonts w:ascii="Arial" w:hAnsi="Arial" w:cs="Arial"/>
          <w:snapToGrid w:val="0"/>
          <w:sz w:val="24"/>
          <w:szCs w:val="24"/>
        </w:rPr>
        <w:t>Where participation ceases, an exit valuation will be carried out in accordance with Regulation 64. Further details on the approach and assumptions are set out in section 5 of the Funding Strategy Statement.</w:t>
      </w:r>
    </w:p>
    <w:p w14:paraId="25BC38F1"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 xml:space="preserve">If there are liabilities which cannot be recovered from the exiting employer or any bond/indemnity these will fall to be met by the Fund as a whole (i.e. all other employers) unless there is a guarantor, successor body or subsumption commitment within the Fund. </w:t>
      </w:r>
    </w:p>
    <w:p w14:paraId="40E13CE2" w14:textId="77777777" w:rsidR="003C3AAF" w:rsidRPr="003C3AAF" w:rsidRDefault="003C3AAF" w:rsidP="003C3AAF">
      <w:pPr>
        <w:shd w:val="clear" w:color="auto" w:fill="FFFFFF"/>
        <w:spacing w:before="240"/>
        <w:jc w:val="both"/>
        <w:rPr>
          <w:rFonts w:ascii="Arial" w:hAnsi="Arial" w:cs="Arial"/>
          <w:snapToGrid w:val="0"/>
          <w:sz w:val="24"/>
          <w:szCs w:val="24"/>
        </w:rPr>
      </w:pPr>
      <w:bookmarkStart w:id="11" w:name="_Hlk65682051"/>
      <w:r w:rsidRPr="003C3AAF">
        <w:rPr>
          <w:rFonts w:ascii="Arial" w:hAnsi="Arial" w:cs="Arial"/>
          <w:snapToGrid w:val="0"/>
          <w:sz w:val="24"/>
          <w:szCs w:val="24"/>
        </w:rPr>
        <w:t>Employers should be aware that advisory and other costs incurred by the Administering Authority in relation to the exit of an employer from the Fund will be re-charged to the exiting employer.</w:t>
      </w:r>
    </w:p>
    <w:bookmarkEnd w:id="11"/>
    <w:p w14:paraId="1BE980F2" w14:textId="77777777" w:rsidR="003C3AAF" w:rsidRPr="003C3AAF" w:rsidRDefault="003C3AAF" w:rsidP="003C3AAF">
      <w:pPr>
        <w:shd w:val="clear" w:color="auto" w:fill="FFFFFF"/>
        <w:spacing w:before="240"/>
        <w:jc w:val="both"/>
        <w:rPr>
          <w:rFonts w:ascii="Arial" w:hAnsi="Arial" w:cs="Arial"/>
          <w:b/>
          <w:snapToGrid w:val="0"/>
          <w:sz w:val="24"/>
          <w:szCs w:val="24"/>
        </w:rPr>
      </w:pPr>
      <w:r w:rsidRPr="003C3AAF">
        <w:rPr>
          <w:rFonts w:ascii="Arial" w:hAnsi="Arial" w:cs="Arial"/>
          <w:b/>
          <w:snapToGrid w:val="0"/>
          <w:sz w:val="24"/>
          <w:szCs w:val="24"/>
        </w:rPr>
        <w:t>Exit payments</w:t>
      </w:r>
    </w:p>
    <w:p w14:paraId="68048B65"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Any deficit would normally be levied on the departing employer as a single capital payment although, the Administering Authority may allow phased payments as permitted under Regulation 64B.  The Administering Authority's policy in relation to the spreading of exit payments under Regulation 64B is set out below.</w:t>
      </w:r>
    </w:p>
    <w:p w14:paraId="11648679"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It is envisaged that spreading of exit payments will only be considered at the request of an employer. The Administering Authority will then engage/consult with the employer to consider its application and determine whether or not spreading the exit payment is appropriate and the terms which should apply.</w:t>
      </w:r>
    </w:p>
    <w:p w14:paraId="58878F32" w14:textId="77777777" w:rsidR="003C3AAF" w:rsidRPr="003C3AAF" w:rsidRDefault="003C3AAF" w:rsidP="003C3AAF">
      <w:pPr>
        <w:pStyle w:val="ListParagraph"/>
        <w:shd w:val="clear" w:color="auto" w:fill="FFFFFF"/>
        <w:spacing w:before="240" w:after="120"/>
        <w:ind w:left="0"/>
        <w:jc w:val="both"/>
        <w:rPr>
          <w:rFonts w:cs="Arial"/>
          <w:snapToGrid w:val="0"/>
          <w:sz w:val="24"/>
          <w:lang w:eastAsia="en-US"/>
        </w:rPr>
      </w:pPr>
      <w:r w:rsidRPr="003C3AAF">
        <w:rPr>
          <w:rFonts w:cs="Arial"/>
          <w:snapToGrid w:val="0"/>
          <w:sz w:val="24"/>
          <w:lang w:eastAsia="en-US"/>
        </w:rPr>
        <w:t>In determining whether or not to permit an exit payment to be spread, the Administering Authority will consider factors including, but not limited to:</w:t>
      </w:r>
    </w:p>
    <w:p w14:paraId="638D56B1" w14:textId="77777777" w:rsidR="003C3AAF" w:rsidRPr="003C3AAF" w:rsidRDefault="003C3AAF" w:rsidP="0073304A">
      <w:pPr>
        <w:pStyle w:val="ListParagraph"/>
        <w:numPr>
          <w:ilvl w:val="0"/>
          <w:numId w:val="100"/>
        </w:numPr>
        <w:shd w:val="clear" w:color="auto" w:fill="FFFFFF"/>
        <w:spacing w:before="0" w:after="120" w:line="240" w:lineRule="auto"/>
        <w:contextualSpacing w:val="0"/>
        <w:jc w:val="both"/>
        <w:rPr>
          <w:rFonts w:cs="Arial"/>
          <w:snapToGrid w:val="0"/>
          <w:sz w:val="24"/>
          <w:lang w:eastAsia="en-US"/>
        </w:rPr>
      </w:pPr>
      <w:r w:rsidRPr="003C3AAF">
        <w:rPr>
          <w:rFonts w:cs="Arial"/>
          <w:snapToGrid w:val="0"/>
          <w:sz w:val="24"/>
          <w:lang w:eastAsia="en-US"/>
        </w:rPr>
        <w:t xml:space="preserve">the ability of the employer to make a single capital payment; </w:t>
      </w:r>
    </w:p>
    <w:p w14:paraId="4043A2DC" w14:textId="77777777" w:rsidR="003C3AAF" w:rsidRPr="003C3AAF" w:rsidRDefault="003C3AAF" w:rsidP="0073304A">
      <w:pPr>
        <w:pStyle w:val="ListParagraph"/>
        <w:numPr>
          <w:ilvl w:val="0"/>
          <w:numId w:val="100"/>
        </w:numPr>
        <w:shd w:val="clear" w:color="auto" w:fill="FFFFFF"/>
        <w:spacing w:before="0" w:after="120" w:line="240" w:lineRule="auto"/>
        <w:contextualSpacing w:val="0"/>
        <w:jc w:val="both"/>
        <w:rPr>
          <w:rFonts w:cs="Arial"/>
          <w:snapToGrid w:val="0"/>
          <w:sz w:val="24"/>
          <w:lang w:eastAsia="en-US"/>
        </w:rPr>
      </w:pPr>
      <w:r w:rsidRPr="003C3AAF">
        <w:rPr>
          <w:rFonts w:cs="Arial"/>
          <w:snapToGrid w:val="0"/>
          <w:sz w:val="24"/>
          <w:lang w:eastAsia="en-US"/>
        </w:rPr>
        <w:t xml:space="preserve">whether any security is in place, including a charge over assets, bond, guarantee or other indemnity; </w:t>
      </w:r>
    </w:p>
    <w:p w14:paraId="7DCBB499" w14:textId="77777777" w:rsidR="003C3AAF" w:rsidRPr="003C3AAF" w:rsidRDefault="003C3AAF" w:rsidP="0073304A">
      <w:pPr>
        <w:pStyle w:val="ListParagraph"/>
        <w:numPr>
          <w:ilvl w:val="0"/>
          <w:numId w:val="100"/>
        </w:numPr>
        <w:shd w:val="clear" w:color="auto" w:fill="FFFFFF"/>
        <w:spacing w:before="240" w:after="0" w:line="240" w:lineRule="auto"/>
        <w:jc w:val="both"/>
        <w:rPr>
          <w:rFonts w:cs="Arial"/>
          <w:snapToGrid w:val="0"/>
          <w:sz w:val="24"/>
          <w:lang w:eastAsia="en-US"/>
        </w:rPr>
      </w:pPr>
      <w:r w:rsidRPr="003C3AAF">
        <w:rPr>
          <w:rFonts w:cs="Arial"/>
          <w:snapToGrid w:val="0"/>
          <w:sz w:val="24"/>
          <w:lang w:eastAsia="en-US"/>
        </w:rPr>
        <w:t xml:space="preserve">whether the overall recovery to the Fund is likely to be higher if spreading the exit payment is permitted.  </w:t>
      </w:r>
    </w:p>
    <w:p w14:paraId="0ADC5A41"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 xml:space="preserve">In determining the employer's ability to make a single payment the Administering Authority will seek actuarial, covenant or legal advice as required. Where the </w:t>
      </w:r>
      <w:r w:rsidRPr="003C3AAF">
        <w:rPr>
          <w:rFonts w:ascii="Arial" w:hAnsi="Arial" w:cs="Arial"/>
          <w:snapToGrid w:val="0"/>
          <w:sz w:val="24"/>
          <w:szCs w:val="24"/>
        </w:rPr>
        <w:lastRenderedPageBreak/>
        <w:t xml:space="preserve">Administering Authority considers that the employer is financially able to make a single capital payment it will not normally be appropriate for the exit payment to be spread. </w:t>
      </w:r>
    </w:p>
    <w:p w14:paraId="427F2F14" w14:textId="77777777" w:rsidR="003C3AAF" w:rsidRPr="003C3AAF" w:rsidRDefault="003C3AAF" w:rsidP="003C3AAF">
      <w:pPr>
        <w:pStyle w:val="ListParagraph"/>
        <w:shd w:val="clear" w:color="auto" w:fill="FFFFFF"/>
        <w:spacing w:before="240" w:after="240"/>
        <w:ind w:left="0"/>
        <w:jc w:val="both"/>
        <w:rPr>
          <w:rFonts w:cs="Arial"/>
          <w:snapToGrid w:val="0"/>
          <w:sz w:val="24"/>
          <w:lang w:eastAsia="en-US"/>
        </w:rPr>
      </w:pPr>
      <w:r w:rsidRPr="003C3AAF">
        <w:rPr>
          <w:rFonts w:cs="Arial"/>
          <w:snapToGrid w:val="0"/>
          <w:sz w:val="24"/>
          <w:lang w:eastAsia="en-US"/>
        </w:rPr>
        <w:t>The employer will be required to provide details of its financial position, business plans and financial forecasts and such other information as required by the Administering Authority in order for it to make a decision on whether or not to permit the exit payment to be spread. This information must be provided within 2 months of request.</w:t>
      </w:r>
    </w:p>
    <w:p w14:paraId="243DE656" w14:textId="77777777" w:rsidR="003C3AAF" w:rsidRPr="003C3AAF" w:rsidRDefault="003C3AAF" w:rsidP="003C3AAF">
      <w:pPr>
        <w:jc w:val="both"/>
        <w:rPr>
          <w:rFonts w:ascii="Arial" w:hAnsi="Arial" w:cs="Arial"/>
          <w:snapToGrid w:val="0"/>
          <w:sz w:val="24"/>
          <w:szCs w:val="24"/>
        </w:rPr>
      </w:pPr>
      <w:r w:rsidRPr="003C3AAF">
        <w:rPr>
          <w:rFonts w:ascii="Arial" w:hAnsi="Arial" w:cs="Arial"/>
          <w:snapToGrid w:val="0"/>
          <w:sz w:val="24"/>
          <w:szCs w:val="24"/>
        </w:rPr>
        <w:t>In determining the appropriate length of time for an exit payment to be spread, the Administering Authority will consider the affordability of the instalments using different spreading periods for the employer. The default spreading period will be three years but longer periods of up to ten years will be considered where the Administering Authority is satisfied that this doesn't pose undue risk to the Fund in relation to the employer's ability to continue to make payments over the period.</w:t>
      </w:r>
    </w:p>
    <w:p w14:paraId="75BA4370" w14:textId="77777777" w:rsidR="003C3AAF" w:rsidRPr="003C3AAF" w:rsidRDefault="003C3AAF" w:rsidP="003C3AAF">
      <w:pPr>
        <w:spacing w:before="240" w:after="240"/>
        <w:jc w:val="both"/>
        <w:rPr>
          <w:rFonts w:ascii="Arial" w:hAnsi="Arial" w:cs="Arial"/>
          <w:snapToGrid w:val="0"/>
          <w:sz w:val="24"/>
          <w:szCs w:val="24"/>
        </w:rPr>
      </w:pPr>
      <w:r w:rsidRPr="003C3AAF">
        <w:rPr>
          <w:rFonts w:ascii="Arial" w:hAnsi="Arial" w:cs="Arial"/>
          <w:snapToGrid w:val="0"/>
          <w:sz w:val="24"/>
          <w:szCs w:val="24"/>
        </w:rPr>
        <w:t xml:space="preserve">Whilst the Administering Authority's preference would be for an employer to request spreading of any exit payment in advance of the exit date, it is acknowledged that a final decision by the employer (and the Administering Authority) on whether this will be financially beneficial/appropriate may not be possible until the employer has exited. Exiting employers will be advised of the exit deficit and the spreading of any payment will only be considered at the request of the employer. Where there is a guarantor, the guarantor will also be consulted and any agreement to spread the exit deficit may be conditional on the guarantee continuing in force during the spreading period. </w:t>
      </w:r>
    </w:p>
    <w:p w14:paraId="05BA037F" w14:textId="77777777" w:rsidR="003C3AAF" w:rsidRPr="003C3AAF" w:rsidRDefault="003C3AAF" w:rsidP="003C3AAF">
      <w:pPr>
        <w:spacing w:after="240"/>
        <w:jc w:val="both"/>
        <w:rPr>
          <w:rFonts w:ascii="Arial" w:hAnsi="Arial" w:cs="Arial"/>
          <w:snapToGrid w:val="0"/>
          <w:sz w:val="24"/>
          <w:szCs w:val="24"/>
        </w:rPr>
      </w:pPr>
      <w:r w:rsidRPr="003C3AAF">
        <w:rPr>
          <w:rFonts w:ascii="Arial" w:hAnsi="Arial" w:cs="Arial"/>
          <w:snapToGrid w:val="0"/>
          <w:sz w:val="24"/>
          <w:szCs w:val="24"/>
        </w:rPr>
        <w:t>The amount of the instalments due under an exit deficit spreading agreement will generally be calculated as level annual amounts allowing for interest over the spreading period in line with the discount rate used to calculate the exit liabilities. Where the exit amount is significant, monthly payments may be required or the Administering Authority may require a higher initial payment with lower annual payments thereafter to reduce the risk to the Fund. Alternative payment arrangements may be made in exceptional circumstances as long as the Administering Authority is satisfied that they don't materially increase the risk to the Fund.</w:t>
      </w:r>
    </w:p>
    <w:p w14:paraId="4C24D084" w14:textId="77777777" w:rsidR="003C3AAF" w:rsidRPr="003C3AAF" w:rsidRDefault="003C3AAF" w:rsidP="003C3AAF">
      <w:pPr>
        <w:pStyle w:val="CommentText"/>
        <w:jc w:val="both"/>
        <w:rPr>
          <w:rFonts w:ascii="Arial" w:hAnsi="Arial" w:cs="Arial"/>
          <w:snapToGrid w:val="0"/>
          <w:sz w:val="24"/>
          <w:szCs w:val="24"/>
        </w:rPr>
      </w:pPr>
      <w:r w:rsidRPr="003C3AAF">
        <w:rPr>
          <w:rFonts w:ascii="Arial" w:hAnsi="Arial" w:cs="Arial"/>
          <w:snapToGrid w:val="0"/>
          <w:sz w:val="24"/>
          <w:szCs w:val="24"/>
        </w:rPr>
        <w:t xml:space="preserve">Where it has been agreed to spread an exit payment the Administering Authority will advise the employer in writing of the arrangement, including the spreading period; the annual payments due; interest rates applicable; other costs payable (Employers will be asked to pay all advisory costs associated with the spreading agreement as well as calculation of the exit deficit (these costs will not be spread)) and the responsibilities of the employer during the spreading period. Where a request to spread an exit payment has been denied the Administering Authority will advise the employer in writing and provide a brief explanation of the rationale for the decision. The Administering Authority will generally review spreading agreements as part of its preparation for each triennial valuation and will take actuarial, covenant, legal and other advice as considered necessary. In addition, employers will be expected to engage with the Administering Authority during the spreading period and adhere to the </w:t>
      </w:r>
      <w:bookmarkStart w:id="12" w:name="_Hlk65682671"/>
      <w:r w:rsidRPr="003C3AAF">
        <w:rPr>
          <w:rFonts w:ascii="Arial" w:hAnsi="Arial" w:cs="Arial"/>
          <w:snapToGrid w:val="0"/>
          <w:sz w:val="24"/>
          <w:szCs w:val="24"/>
        </w:rPr>
        <w:t xml:space="preserve">notifiable events framework as set out in the Pensions Administration Strategy.  </w:t>
      </w:r>
      <w:bookmarkEnd w:id="12"/>
      <w:r w:rsidRPr="003C3AAF">
        <w:rPr>
          <w:rFonts w:ascii="Arial" w:hAnsi="Arial" w:cs="Arial"/>
          <w:snapToGrid w:val="0"/>
          <w:sz w:val="24"/>
          <w:szCs w:val="24"/>
        </w:rPr>
        <w:t xml:space="preserve">If the Administering Authority has reason to believe the employer's circumstances have changed such that </w:t>
      </w:r>
      <w:r w:rsidRPr="003C3AAF">
        <w:rPr>
          <w:rFonts w:ascii="Arial" w:hAnsi="Arial" w:cs="Arial"/>
          <w:snapToGrid w:val="0"/>
          <w:sz w:val="24"/>
          <w:szCs w:val="24"/>
        </w:rPr>
        <w:lastRenderedPageBreak/>
        <w:t>a review of the spreading period (and hence the payment amounts) is appropriate, it will consult with the employer and a revised payment schedule may be implemented. Whilst this review may also consider the frequency of payments, it should be noted that it is not envisaged that any review will consider changes to the original exit amount nor interest rate applicable. An employer will be able to discharge its obligations under the spreading arrangement by paying off all future instalments at its discretion. The Administering Authority will seek actuarial advice in relation to whether or not there should be a discount for early payment given interest will have been added in line with the discount rate used for the exit valuation.</w:t>
      </w:r>
    </w:p>
    <w:p w14:paraId="3B602654" w14:textId="77777777" w:rsidR="003C3AAF" w:rsidRPr="003C3AAF" w:rsidRDefault="003C3AAF" w:rsidP="003C3AAF">
      <w:pPr>
        <w:shd w:val="clear" w:color="auto" w:fill="FFFFFF"/>
        <w:spacing w:before="240"/>
        <w:jc w:val="both"/>
        <w:outlineLvl w:val="3"/>
        <w:rPr>
          <w:rFonts w:ascii="Arial" w:hAnsi="Arial" w:cs="Arial"/>
          <w:b/>
          <w:snapToGrid w:val="0"/>
          <w:sz w:val="24"/>
          <w:szCs w:val="24"/>
        </w:rPr>
      </w:pPr>
      <w:r w:rsidRPr="003C3AAF">
        <w:rPr>
          <w:rFonts w:ascii="Arial" w:hAnsi="Arial" w:cs="Arial"/>
          <w:b/>
          <w:snapToGrid w:val="0"/>
          <w:sz w:val="24"/>
          <w:szCs w:val="24"/>
        </w:rPr>
        <w:t>Exit credits</w:t>
      </w:r>
    </w:p>
    <w:p w14:paraId="72AB3E34" w14:textId="77777777" w:rsidR="003C3AAF" w:rsidRPr="003C3AAF" w:rsidRDefault="003C3AAF" w:rsidP="003C3AAF">
      <w:pPr>
        <w:shd w:val="clear" w:color="auto" w:fill="FFFFFF"/>
        <w:spacing w:before="240" w:after="120"/>
        <w:jc w:val="both"/>
        <w:rPr>
          <w:rFonts w:ascii="Arial" w:hAnsi="Arial" w:cs="Arial"/>
          <w:snapToGrid w:val="0"/>
          <w:sz w:val="24"/>
          <w:szCs w:val="24"/>
        </w:rPr>
      </w:pPr>
      <w:r w:rsidRPr="003C3AAF">
        <w:rPr>
          <w:rFonts w:ascii="Arial" w:hAnsi="Arial" w:cs="Arial"/>
          <w:snapToGrid w:val="0"/>
          <w:sz w:val="24"/>
          <w:szCs w:val="24"/>
        </w:rPr>
        <w:t>Where an exit valuation discloses that there is a surplus in the Fund in respect of the exiting employer, and an exit credit is due to be paid to the exiting employer, the Administering Authority will, unless otherwise agreed with the employer, pay the exit credit to the employer within 6 months of the exit date.  Where the employer has not provided all the necessary information required by the Administering Authority to enable the Fund Actuary to calculate the final liabilities on exit within 2 months of the exit date, the employer will be deemed to have agreed that the 6 month period should run from the date all the necessary data has been provided. In determining the amount of any exit credit payable the Administering Authority will take the following factors into consideration:</w:t>
      </w:r>
    </w:p>
    <w:p w14:paraId="2E7E3AFE" w14:textId="77777777" w:rsidR="003C3AAF" w:rsidRPr="003C3AAF" w:rsidRDefault="003C3AAF" w:rsidP="003C3AAF">
      <w:pPr>
        <w:shd w:val="clear" w:color="auto" w:fill="FFFFFF"/>
        <w:spacing w:after="120"/>
        <w:ind w:left="567"/>
        <w:jc w:val="both"/>
        <w:rPr>
          <w:rFonts w:ascii="Arial" w:hAnsi="Arial" w:cs="Arial"/>
          <w:snapToGrid w:val="0"/>
          <w:sz w:val="24"/>
          <w:szCs w:val="24"/>
        </w:rPr>
      </w:pPr>
      <w:r w:rsidRPr="003C3AAF">
        <w:rPr>
          <w:rFonts w:ascii="Arial" w:hAnsi="Arial" w:cs="Arial"/>
          <w:snapToGrid w:val="0"/>
          <w:sz w:val="24"/>
          <w:szCs w:val="24"/>
        </w:rPr>
        <w:t>(a) the extent to which there is an excess of assets in the Fund relating to that employer over the liabilities (i.e. a surplus)</w:t>
      </w:r>
    </w:p>
    <w:p w14:paraId="3BA9DD8B" w14:textId="77777777" w:rsidR="003C3AAF" w:rsidRPr="003C3AAF" w:rsidRDefault="003C3AAF" w:rsidP="003C3AAF">
      <w:pPr>
        <w:shd w:val="clear" w:color="auto" w:fill="FFFFFF"/>
        <w:spacing w:after="120"/>
        <w:ind w:left="567"/>
        <w:jc w:val="both"/>
        <w:rPr>
          <w:rFonts w:ascii="Arial" w:hAnsi="Arial" w:cs="Arial"/>
          <w:snapToGrid w:val="0"/>
          <w:sz w:val="24"/>
          <w:szCs w:val="24"/>
        </w:rPr>
      </w:pPr>
      <w:r w:rsidRPr="003C3AAF">
        <w:rPr>
          <w:rFonts w:ascii="Arial" w:hAnsi="Arial" w:cs="Arial"/>
          <w:snapToGrid w:val="0"/>
          <w:sz w:val="24"/>
          <w:szCs w:val="24"/>
        </w:rPr>
        <w:t>(b) the proportion of the surplus which has arisen because of the value of the employer's contributions</w:t>
      </w:r>
    </w:p>
    <w:p w14:paraId="7EA4EAF8" w14:textId="77777777" w:rsidR="003C3AAF" w:rsidRPr="003C3AAF" w:rsidRDefault="003C3AAF" w:rsidP="003C3AAF">
      <w:pPr>
        <w:shd w:val="clear" w:color="auto" w:fill="FFFFFF"/>
        <w:spacing w:after="120"/>
        <w:ind w:left="567"/>
        <w:jc w:val="both"/>
        <w:rPr>
          <w:rFonts w:ascii="Arial" w:hAnsi="Arial" w:cs="Arial"/>
          <w:snapToGrid w:val="0"/>
          <w:sz w:val="24"/>
          <w:szCs w:val="24"/>
        </w:rPr>
      </w:pPr>
      <w:r w:rsidRPr="003C3AAF">
        <w:rPr>
          <w:rFonts w:ascii="Arial" w:hAnsi="Arial" w:cs="Arial"/>
          <w:snapToGrid w:val="0"/>
          <w:sz w:val="24"/>
          <w:szCs w:val="24"/>
        </w:rPr>
        <w:t xml:space="preserve">(c) any representations made by the exiting employer and, where that employer participates in the scheme by virtue of an admission agreement, any body listed in paragraphs (8)(a) to (d)(iii) of Part 3 to Schedule 2 of the 2013 Regulations, and </w:t>
      </w:r>
    </w:p>
    <w:p w14:paraId="17D72541" w14:textId="77777777" w:rsidR="003C3AAF" w:rsidRPr="003C3AAF" w:rsidRDefault="003C3AAF" w:rsidP="003C3AAF">
      <w:pPr>
        <w:shd w:val="clear" w:color="auto" w:fill="FFFFFF"/>
        <w:ind w:left="567"/>
        <w:jc w:val="both"/>
        <w:rPr>
          <w:rFonts w:ascii="Arial" w:hAnsi="Arial" w:cs="Arial"/>
          <w:snapToGrid w:val="0"/>
          <w:sz w:val="24"/>
          <w:szCs w:val="24"/>
        </w:rPr>
      </w:pPr>
      <w:r w:rsidRPr="003C3AAF">
        <w:rPr>
          <w:rFonts w:ascii="Arial" w:hAnsi="Arial" w:cs="Arial"/>
          <w:snapToGrid w:val="0"/>
          <w:sz w:val="24"/>
          <w:szCs w:val="24"/>
        </w:rPr>
        <w:t>(d) any other relevant factors, which include any legal, actuarial or other costs incurred by the Administering Authority in relation to the exit, the circumstances in which any subsumption commitment was granted, and any risk sharing arrangements in place.</w:t>
      </w:r>
    </w:p>
    <w:p w14:paraId="33BCFD84" w14:textId="77777777" w:rsidR="003C3AAF" w:rsidRPr="003C3AAF" w:rsidRDefault="003C3AAF" w:rsidP="003C3AAF">
      <w:pPr>
        <w:shd w:val="clear" w:color="auto" w:fill="FFFFFF"/>
        <w:spacing w:before="240"/>
        <w:jc w:val="both"/>
        <w:rPr>
          <w:rFonts w:ascii="Arial" w:hAnsi="Arial" w:cs="Arial"/>
          <w:b/>
          <w:snapToGrid w:val="0"/>
          <w:sz w:val="24"/>
          <w:szCs w:val="24"/>
        </w:rPr>
      </w:pPr>
      <w:r w:rsidRPr="003C3AAF">
        <w:rPr>
          <w:rFonts w:ascii="Arial" w:hAnsi="Arial" w:cs="Arial"/>
          <w:b/>
          <w:snapToGrid w:val="0"/>
          <w:sz w:val="24"/>
          <w:szCs w:val="24"/>
        </w:rPr>
        <w:t>Suspension notices</w:t>
      </w:r>
    </w:p>
    <w:p w14:paraId="74566EB1"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 xml:space="preserve">Regulation 64(2A) permits the suspension of an employer's liability to make an exit payment for up to 3 years where the Administering Authority believes that the employer is likely to have one or more active members contributing to the Fund within the period specified in the suspension notice. In that case, the Fund will advise the employer of the exit amount calculated by the Actuary and serve a written suspension notice on the employer. Whilst under such a suspension notice, the employer must continue to pay any deficit payments certified to the Fund as if it were an ongoing employer and the actuary will recalculate any deficit and contributions due at the next </w:t>
      </w:r>
      <w:r w:rsidRPr="003C3AAF">
        <w:rPr>
          <w:rFonts w:ascii="Arial" w:hAnsi="Arial" w:cs="Arial"/>
          <w:snapToGrid w:val="0"/>
          <w:sz w:val="24"/>
          <w:szCs w:val="24"/>
        </w:rPr>
        <w:lastRenderedPageBreak/>
        <w:t>Actuarial Valuation. If there are no new members by the time the suspension notice expires the Fund Actuary will carry out an exit valuation as at the date the suspension notice expires.</w:t>
      </w:r>
    </w:p>
    <w:p w14:paraId="32E16FEB" w14:textId="77777777" w:rsidR="003C3AAF" w:rsidRPr="003C3AAF" w:rsidRDefault="003C3AAF" w:rsidP="003C3AAF">
      <w:pPr>
        <w:shd w:val="clear" w:color="auto" w:fill="FFFFFF"/>
        <w:spacing w:before="240"/>
        <w:jc w:val="both"/>
        <w:rPr>
          <w:rFonts w:ascii="Arial" w:hAnsi="Arial" w:cs="Arial"/>
          <w:b/>
          <w:snapToGrid w:val="0"/>
          <w:sz w:val="24"/>
          <w:szCs w:val="24"/>
        </w:rPr>
      </w:pPr>
      <w:r w:rsidRPr="003C3AAF">
        <w:rPr>
          <w:rFonts w:ascii="Arial" w:hAnsi="Arial" w:cs="Arial"/>
          <w:b/>
          <w:snapToGrid w:val="0"/>
          <w:sz w:val="24"/>
          <w:szCs w:val="24"/>
        </w:rPr>
        <w:t>Deferred Debt Agreements (DDAs)</w:t>
      </w:r>
    </w:p>
    <w:p w14:paraId="0D8F4857"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 xml:space="preserve">Regulation 64(7A) permits the Administering Authority to enter into a written agreement with an exiting Scheme employer for that employer to defer their obligation to make an exit payment and continue to make contributions at the secondary rate ("a deferred debt agreement"). </w:t>
      </w:r>
    </w:p>
    <w:p w14:paraId="4CD6ED66"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The Administering Authority's policy in relation to the spreading of exit payments under Regulation 64(7A) is set out below.</w:t>
      </w:r>
    </w:p>
    <w:p w14:paraId="6C5E39F1" w14:textId="77777777" w:rsidR="003C3AAF" w:rsidRPr="003C3AAF" w:rsidRDefault="003C3AAF" w:rsidP="003C3AAF">
      <w:pPr>
        <w:shd w:val="clear" w:color="auto" w:fill="FFFFFF"/>
        <w:spacing w:before="240" w:after="120"/>
        <w:jc w:val="both"/>
        <w:rPr>
          <w:rFonts w:ascii="Arial" w:hAnsi="Arial" w:cs="Arial"/>
          <w:snapToGrid w:val="0"/>
          <w:sz w:val="24"/>
          <w:szCs w:val="24"/>
        </w:rPr>
      </w:pPr>
      <w:r w:rsidRPr="003C3AAF">
        <w:rPr>
          <w:rFonts w:ascii="Arial" w:hAnsi="Arial" w:cs="Arial"/>
          <w:snapToGrid w:val="0"/>
          <w:sz w:val="24"/>
          <w:szCs w:val="24"/>
        </w:rPr>
        <w:t xml:space="preserve">In determining whether or not to enter into a DDA with an employer the Administering Authority will take into account the following factors, including but not limited to: </w:t>
      </w:r>
    </w:p>
    <w:p w14:paraId="75E1D539" w14:textId="77777777" w:rsidR="003C3AAF" w:rsidRPr="003C3AAF" w:rsidRDefault="003C3AAF" w:rsidP="0073304A">
      <w:pPr>
        <w:numPr>
          <w:ilvl w:val="2"/>
          <w:numId w:val="92"/>
        </w:numPr>
        <w:shd w:val="clear" w:color="auto" w:fill="FFFFFF"/>
        <w:spacing w:after="120"/>
        <w:ind w:left="364" w:hanging="364"/>
        <w:jc w:val="both"/>
        <w:rPr>
          <w:rFonts w:ascii="Arial" w:hAnsi="Arial" w:cs="Arial"/>
          <w:snapToGrid w:val="0"/>
          <w:sz w:val="24"/>
          <w:szCs w:val="24"/>
        </w:rPr>
      </w:pPr>
      <w:r w:rsidRPr="003C3AAF">
        <w:rPr>
          <w:rFonts w:ascii="Arial" w:hAnsi="Arial" w:cs="Arial"/>
          <w:snapToGrid w:val="0"/>
          <w:sz w:val="24"/>
          <w:szCs w:val="24"/>
        </w:rPr>
        <w:t>The materiality of the employer and any exit deficit in terms of the Fund as a whole;</w:t>
      </w:r>
    </w:p>
    <w:p w14:paraId="73BDE384" w14:textId="77777777" w:rsidR="003C3AAF" w:rsidRPr="003C3AAF" w:rsidRDefault="003C3AAF" w:rsidP="0073304A">
      <w:pPr>
        <w:numPr>
          <w:ilvl w:val="2"/>
          <w:numId w:val="92"/>
        </w:numPr>
        <w:shd w:val="clear" w:color="auto" w:fill="FFFFFF"/>
        <w:spacing w:after="120"/>
        <w:ind w:left="364" w:hanging="364"/>
        <w:jc w:val="both"/>
        <w:rPr>
          <w:rFonts w:ascii="Arial" w:hAnsi="Arial" w:cs="Arial"/>
          <w:snapToGrid w:val="0"/>
          <w:sz w:val="24"/>
          <w:szCs w:val="24"/>
        </w:rPr>
      </w:pPr>
      <w:r w:rsidRPr="003C3AAF">
        <w:rPr>
          <w:rFonts w:ascii="Arial" w:hAnsi="Arial" w:cs="Arial"/>
          <w:snapToGrid w:val="0"/>
          <w:sz w:val="24"/>
          <w:szCs w:val="24"/>
        </w:rPr>
        <w:t xml:space="preserve">The risk to the Fund of entering into a DDA, in terms of the likelihood of the employer failing before the DDA has ended, based on information supplied by the employer and supported by a financial risk assessment or more detailed covenant review carried out by the Fund Actuary or other covenant adviser; </w:t>
      </w:r>
    </w:p>
    <w:p w14:paraId="56CE29E0" w14:textId="77777777" w:rsidR="003C3AAF" w:rsidRPr="003C3AAF" w:rsidRDefault="003C3AAF" w:rsidP="0073304A">
      <w:pPr>
        <w:numPr>
          <w:ilvl w:val="2"/>
          <w:numId w:val="92"/>
        </w:numPr>
        <w:shd w:val="clear" w:color="auto" w:fill="FFFFFF"/>
        <w:spacing w:after="120"/>
        <w:ind w:left="364" w:hanging="364"/>
        <w:jc w:val="both"/>
        <w:rPr>
          <w:rFonts w:ascii="Arial" w:hAnsi="Arial" w:cs="Arial"/>
          <w:snapToGrid w:val="0"/>
          <w:sz w:val="24"/>
          <w:szCs w:val="24"/>
        </w:rPr>
      </w:pPr>
      <w:r w:rsidRPr="003C3AAF">
        <w:rPr>
          <w:rFonts w:ascii="Arial" w:hAnsi="Arial" w:cs="Arial"/>
          <w:snapToGrid w:val="0"/>
          <w:sz w:val="24"/>
          <w:szCs w:val="24"/>
        </w:rPr>
        <w:t>The rationale for the employer requesting a DDA, particularly if the Administering Authority believes it would be able to make an immediate payment to cover the exit deficit; and</w:t>
      </w:r>
    </w:p>
    <w:p w14:paraId="3E295802" w14:textId="77777777" w:rsidR="003C3AAF" w:rsidRPr="003C3AAF" w:rsidRDefault="003C3AAF" w:rsidP="0073304A">
      <w:pPr>
        <w:numPr>
          <w:ilvl w:val="2"/>
          <w:numId w:val="92"/>
        </w:numPr>
        <w:shd w:val="clear" w:color="auto" w:fill="FFFFFF"/>
        <w:ind w:left="364" w:hanging="364"/>
        <w:jc w:val="both"/>
        <w:rPr>
          <w:rFonts w:ascii="Arial" w:hAnsi="Arial" w:cs="Arial"/>
          <w:snapToGrid w:val="0"/>
          <w:sz w:val="24"/>
          <w:szCs w:val="24"/>
        </w:rPr>
      </w:pPr>
      <w:r w:rsidRPr="003C3AAF">
        <w:rPr>
          <w:rFonts w:ascii="Arial" w:hAnsi="Arial" w:cs="Arial"/>
          <w:snapToGrid w:val="0"/>
          <w:sz w:val="24"/>
          <w:szCs w:val="24"/>
        </w:rPr>
        <w:t>Whether an up front payment will be made towards the deficit, and/or any security is, or can be put, in place, including a charge over assets, bond, guarantee or other indemnity, to reduce the risk to other employers.</w:t>
      </w:r>
    </w:p>
    <w:p w14:paraId="53221234"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Where it is expected that the employer's covenant may materially weaken over time the Administering Authority is very unlikely to consider entering into a DDA with that employer. Further, where an employer can demonstrably meet the exit payment in a single instalment, the Administering Authority would be unlikely to enter into a DDA unless it was clear that this wouldn't increase risk to the Fund, e.g. if the employer was fully taxpayer-backed and sufficient assurance was in place that all contributions due, including any residual deficit at the end of the DDA, would be met in full.</w:t>
      </w:r>
    </w:p>
    <w:p w14:paraId="5D2127AF"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It is envisaged that DDAs will only be entered into at the request of an employer. In any case, the Administering Authority will engage/consult with the employer to consider whether or not a DDA is appropriate and the terms which should apply.  As part of its application for a DDA, the Administering Authority will require information from the employer to enable the Administering Authority to take a view on the employer's strength of covenant. Information will also be required on an ongoing basis to enable the employer's financial strength/covenant to be monitored. It is expected that DDAs will be monitored on an annual basis unless circumstances dictate otherwise. Monitoring may be more frequent as the end of the period of the DDA approaches.</w:t>
      </w:r>
    </w:p>
    <w:p w14:paraId="5BFC59C3"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lastRenderedPageBreak/>
        <w:t xml:space="preserve">Employers should be aware that all advisory fees incurred by the Fund associated with a request for a DDA, whether or not this results in an agreement being entered into, and its ongoing monitoring, will be recharged to the employer. </w:t>
      </w:r>
    </w:p>
    <w:p w14:paraId="7B0C6AF9" w14:textId="77777777" w:rsidR="003C3AAF" w:rsidRPr="003C3AAF" w:rsidRDefault="003C3AAF" w:rsidP="003C3AAF">
      <w:pPr>
        <w:shd w:val="clear" w:color="auto" w:fill="FFFFFF"/>
        <w:spacing w:before="240" w:after="120"/>
        <w:jc w:val="both"/>
        <w:rPr>
          <w:rFonts w:ascii="Arial" w:hAnsi="Arial" w:cs="Arial"/>
          <w:snapToGrid w:val="0"/>
          <w:sz w:val="24"/>
          <w:szCs w:val="24"/>
        </w:rPr>
      </w:pPr>
      <w:r w:rsidRPr="003C3AAF">
        <w:rPr>
          <w:rFonts w:ascii="Arial" w:hAnsi="Arial" w:cs="Arial"/>
          <w:snapToGrid w:val="0"/>
          <w:sz w:val="24"/>
          <w:szCs w:val="24"/>
        </w:rPr>
        <w:t>The Administering Authority will provide a standard form of agreement for DDAs, which it will require employers (and any guarantors) to sign up to.  The matters which the Administering Authority will reflect in the DDA, include:</w:t>
      </w:r>
    </w:p>
    <w:p w14:paraId="2670CA32" w14:textId="77777777" w:rsidR="003C3AAF" w:rsidRPr="003C3AAF" w:rsidRDefault="003C3AAF" w:rsidP="0073304A">
      <w:pPr>
        <w:numPr>
          <w:ilvl w:val="0"/>
          <w:numId w:val="102"/>
        </w:numPr>
        <w:shd w:val="clear" w:color="auto" w:fill="FFFFFF"/>
        <w:spacing w:after="120"/>
        <w:jc w:val="both"/>
        <w:rPr>
          <w:rFonts w:ascii="Arial" w:hAnsi="Arial" w:cs="Arial"/>
          <w:snapToGrid w:val="0"/>
          <w:sz w:val="24"/>
          <w:szCs w:val="24"/>
        </w:rPr>
      </w:pPr>
      <w:r w:rsidRPr="003C3AAF">
        <w:rPr>
          <w:rFonts w:ascii="Arial" w:hAnsi="Arial" w:cs="Arial"/>
          <w:snapToGrid w:val="0"/>
          <w:sz w:val="24"/>
          <w:szCs w:val="24"/>
        </w:rPr>
        <w:t xml:space="preserve">An undertaking by the employer to meet all requirements on Scheme employers, including payment of the secondary rate of contributions, but excluding the requirement to pay the primary rate of contributions; </w:t>
      </w:r>
    </w:p>
    <w:p w14:paraId="50099DD4" w14:textId="77777777" w:rsidR="003C3AAF" w:rsidRPr="003C3AAF" w:rsidRDefault="003C3AAF" w:rsidP="0073304A">
      <w:pPr>
        <w:numPr>
          <w:ilvl w:val="0"/>
          <w:numId w:val="102"/>
        </w:numPr>
        <w:shd w:val="clear" w:color="auto" w:fill="FFFFFF"/>
        <w:spacing w:after="120"/>
        <w:jc w:val="both"/>
        <w:rPr>
          <w:rFonts w:ascii="Arial" w:hAnsi="Arial" w:cs="Arial"/>
          <w:snapToGrid w:val="0"/>
          <w:sz w:val="24"/>
          <w:szCs w:val="24"/>
        </w:rPr>
      </w:pPr>
      <w:r w:rsidRPr="003C3AAF">
        <w:rPr>
          <w:rFonts w:ascii="Arial" w:hAnsi="Arial" w:cs="Arial"/>
          <w:snapToGrid w:val="0"/>
          <w:sz w:val="24"/>
          <w:szCs w:val="24"/>
        </w:rPr>
        <w:t>A provision for the DDA to remain in force for a specified period, which may be varied by agreement of the Administering Authority and the deferred employer;</w:t>
      </w:r>
    </w:p>
    <w:p w14:paraId="1BF8BAAA" w14:textId="77777777" w:rsidR="003C3AAF" w:rsidRPr="003C3AAF" w:rsidRDefault="003C3AAF" w:rsidP="0073304A">
      <w:pPr>
        <w:numPr>
          <w:ilvl w:val="0"/>
          <w:numId w:val="102"/>
        </w:numPr>
        <w:shd w:val="clear" w:color="auto" w:fill="FFFFFF"/>
        <w:spacing w:after="120"/>
        <w:jc w:val="both"/>
        <w:rPr>
          <w:rFonts w:ascii="Arial" w:hAnsi="Arial" w:cs="Arial"/>
          <w:snapToGrid w:val="0"/>
          <w:sz w:val="24"/>
          <w:szCs w:val="24"/>
        </w:rPr>
      </w:pPr>
      <w:r w:rsidRPr="003C3AAF">
        <w:rPr>
          <w:rFonts w:ascii="Arial" w:hAnsi="Arial" w:cs="Arial"/>
          <w:snapToGrid w:val="0"/>
          <w:sz w:val="24"/>
          <w:szCs w:val="24"/>
        </w:rPr>
        <w:t>A provision that the DDA will terminate on the first date on which one of the following events occurs-</w:t>
      </w:r>
    </w:p>
    <w:p w14:paraId="301DCDC5" w14:textId="77777777" w:rsidR="003C3AAF" w:rsidRPr="003C3AAF" w:rsidRDefault="003C3AAF" w:rsidP="0073304A">
      <w:pPr>
        <w:numPr>
          <w:ilvl w:val="1"/>
          <w:numId w:val="93"/>
        </w:numPr>
        <w:shd w:val="clear" w:color="auto" w:fill="FFFFFF"/>
        <w:ind w:left="709"/>
        <w:jc w:val="both"/>
        <w:rPr>
          <w:rFonts w:ascii="Arial" w:hAnsi="Arial" w:cs="Arial"/>
          <w:snapToGrid w:val="0"/>
          <w:sz w:val="24"/>
          <w:szCs w:val="24"/>
        </w:rPr>
      </w:pPr>
      <w:r w:rsidRPr="003C3AAF">
        <w:rPr>
          <w:rFonts w:ascii="Arial" w:hAnsi="Arial" w:cs="Arial"/>
          <w:snapToGrid w:val="0"/>
          <w:sz w:val="24"/>
          <w:szCs w:val="24"/>
        </w:rPr>
        <w:t>The deferred employer enrols new active members;</w:t>
      </w:r>
    </w:p>
    <w:p w14:paraId="026BD962" w14:textId="77777777" w:rsidR="003C3AAF" w:rsidRPr="003C3AAF" w:rsidRDefault="003C3AAF" w:rsidP="0073304A">
      <w:pPr>
        <w:numPr>
          <w:ilvl w:val="1"/>
          <w:numId w:val="93"/>
        </w:numPr>
        <w:shd w:val="clear" w:color="auto" w:fill="FFFFFF"/>
        <w:ind w:left="709"/>
        <w:jc w:val="both"/>
        <w:rPr>
          <w:rFonts w:ascii="Arial" w:hAnsi="Arial" w:cs="Arial"/>
          <w:snapToGrid w:val="0"/>
          <w:sz w:val="24"/>
          <w:szCs w:val="24"/>
        </w:rPr>
      </w:pPr>
      <w:r w:rsidRPr="003C3AAF">
        <w:rPr>
          <w:rFonts w:ascii="Arial" w:hAnsi="Arial" w:cs="Arial"/>
          <w:snapToGrid w:val="0"/>
          <w:sz w:val="24"/>
          <w:szCs w:val="24"/>
        </w:rPr>
        <w:t>The period specified, or as varied, elapses;</w:t>
      </w:r>
    </w:p>
    <w:p w14:paraId="7E7F3DC5" w14:textId="77777777" w:rsidR="003C3AAF" w:rsidRPr="003C3AAF" w:rsidRDefault="003C3AAF" w:rsidP="0073304A">
      <w:pPr>
        <w:numPr>
          <w:ilvl w:val="1"/>
          <w:numId w:val="93"/>
        </w:numPr>
        <w:shd w:val="clear" w:color="auto" w:fill="FFFFFF"/>
        <w:ind w:left="709"/>
        <w:jc w:val="both"/>
        <w:rPr>
          <w:rFonts w:ascii="Arial" w:hAnsi="Arial" w:cs="Arial"/>
          <w:snapToGrid w:val="0"/>
          <w:sz w:val="24"/>
          <w:szCs w:val="24"/>
        </w:rPr>
      </w:pPr>
      <w:r w:rsidRPr="003C3AAF">
        <w:rPr>
          <w:rFonts w:ascii="Arial" w:hAnsi="Arial" w:cs="Arial"/>
          <w:snapToGrid w:val="0"/>
          <w:sz w:val="24"/>
          <w:szCs w:val="24"/>
        </w:rPr>
        <w:t>The take-over, amalgamation, insolvency, winding up or liquidation of the deferred employer;</w:t>
      </w:r>
    </w:p>
    <w:p w14:paraId="72719F1C" w14:textId="77777777" w:rsidR="003C3AAF" w:rsidRPr="003C3AAF" w:rsidRDefault="003C3AAF" w:rsidP="0073304A">
      <w:pPr>
        <w:numPr>
          <w:ilvl w:val="1"/>
          <w:numId w:val="93"/>
        </w:numPr>
        <w:shd w:val="clear" w:color="auto" w:fill="FFFFFF"/>
        <w:ind w:left="709"/>
        <w:jc w:val="both"/>
        <w:rPr>
          <w:rFonts w:ascii="Arial" w:hAnsi="Arial" w:cs="Arial"/>
          <w:snapToGrid w:val="0"/>
          <w:sz w:val="24"/>
          <w:szCs w:val="24"/>
        </w:rPr>
      </w:pPr>
      <w:r w:rsidRPr="003C3AAF">
        <w:rPr>
          <w:rFonts w:ascii="Arial" w:hAnsi="Arial" w:cs="Arial"/>
          <w:snapToGrid w:val="0"/>
          <w:sz w:val="24"/>
          <w:szCs w:val="24"/>
        </w:rPr>
        <w:t>The Administering Authority serves a notice on the deferred employer that it is reasonably satisfied that the deferred employer's ability to meet the contributions payable under the deferred debt arrangement has weakened materially or is likely to weaken materially in the next 12 months; or</w:t>
      </w:r>
    </w:p>
    <w:p w14:paraId="0BF1DF59" w14:textId="77777777" w:rsidR="003C3AAF" w:rsidRPr="003C3AAF" w:rsidRDefault="003C3AAF" w:rsidP="0073304A">
      <w:pPr>
        <w:numPr>
          <w:ilvl w:val="1"/>
          <w:numId w:val="93"/>
        </w:numPr>
        <w:shd w:val="clear" w:color="auto" w:fill="FFFFFF"/>
        <w:spacing w:after="120"/>
        <w:ind w:left="709" w:hanging="357"/>
        <w:jc w:val="both"/>
        <w:rPr>
          <w:rFonts w:ascii="Arial" w:hAnsi="Arial" w:cs="Arial"/>
          <w:snapToGrid w:val="0"/>
          <w:sz w:val="24"/>
          <w:szCs w:val="24"/>
        </w:rPr>
      </w:pPr>
      <w:r w:rsidRPr="003C3AAF">
        <w:rPr>
          <w:rFonts w:ascii="Arial" w:hAnsi="Arial" w:cs="Arial"/>
          <w:snapToGrid w:val="0"/>
          <w:sz w:val="24"/>
          <w:szCs w:val="24"/>
        </w:rPr>
        <w:t>The Fund Actuary assesses that the deferred employer has paid sufficient secondary contributions to cover the exit payment that would have been due if the employer had become an exiting employer on the calculation date.</w:t>
      </w:r>
    </w:p>
    <w:p w14:paraId="59121BA4" w14:textId="77777777" w:rsidR="003C3AAF" w:rsidRPr="003C3AAF" w:rsidRDefault="003C3AAF" w:rsidP="0073304A">
      <w:pPr>
        <w:numPr>
          <w:ilvl w:val="0"/>
          <w:numId w:val="101"/>
        </w:numPr>
        <w:shd w:val="clear" w:color="auto" w:fill="FFFFFF"/>
        <w:spacing w:after="120"/>
        <w:jc w:val="both"/>
        <w:rPr>
          <w:rFonts w:ascii="Arial" w:hAnsi="Arial" w:cs="Arial"/>
          <w:snapToGrid w:val="0"/>
          <w:sz w:val="24"/>
          <w:szCs w:val="24"/>
        </w:rPr>
      </w:pPr>
      <w:r w:rsidRPr="003C3AAF">
        <w:rPr>
          <w:rFonts w:ascii="Arial" w:hAnsi="Arial" w:cs="Arial"/>
          <w:snapToGrid w:val="0"/>
          <w:sz w:val="24"/>
          <w:szCs w:val="24"/>
        </w:rPr>
        <w:t>The responsibilities of the deferred employer</w:t>
      </w:r>
    </w:p>
    <w:p w14:paraId="26BB5944" w14:textId="77777777" w:rsidR="003C3AAF" w:rsidRPr="003C3AAF" w:rsidRDefault="003C3AAF" w:rsidP="0073304A">
      <w:pPr>
        <w:numPr>
          <w:ilvl w:val="0"/>
          <w:numId w:val="103"/>
        </w:numPr>
        <w:shd w:val="clear" w:color="auto" w:fill="FFFFFF"/>
        <w:jc w:val="both"/>
        <w:rPr>
          <w:rFonts w:ascii="Arial" w:hAnsi="Arial" w:cs="Arial"/>
          <w:snapToGrid w:val="0"/>
          <w:sz w:val="24"/>
          <w:szCs w:val="24"/>
        </w:rPr>
      </w:pPr>
      <w:r w:rsidRPr="003C3AAF">
        <w:rPr>
          <w:rFonts w:ascii="Arial" w:hAnsi="Arial" w:cs="Arial"/>
          <w:snapToGrid w:val="0"/>
          <w:sz w:val="24"/>
          <w:szCs w:val="24"/>
        </w:rPr>
        <w:t>The circumstances triggering a cessation of the arrangement leading to an exit payment (or credit) becoming payable, in addition to those set out in Regulation 64 (7E) and above</w:t>
      </w:r>
    </w:p>
    <w:p w14:paraId="7C5C54C0"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It is expected that the consultation process with the employer will include discussions on the precise details of the DDA, although the purpose of providing a standard form of agreement is to make the process easier, and quicker and therefore it is not envisaged that there will be material changes to this standard.</w:t>
      </w:r>
    </w:p>
    <w:p w14:paraId="7D2C3BCA"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 xml:space="preserve">The Administering Authority will monitor the funding position and risk/covenant associated with deferred employers on a regular basis. This will be at least triennially and most likely annually, but the frequency will depend on factors such as the size of the employer and any deficit and the materiality of movements in market conditions or the employer's membership. </w:t>
      </w:r>
    </w:p>
    <w:p w14:paraId="24FE9FE8" w14:textId="77777777" w:rsidR="003C3AAF" w:rsidRPr="003C3AAF" w:rsidRDefault="003C3AAF" w:rsidP="003C3AAF">
      <w:pPr>
        <w:shd w:val="clear" w:color="auto" w:fill="FFFFFF"/>
        <w:spacing w:before="240" w:after="120"/>
        <w:jc w:val="both"/>
        <w:rPr>
          <w:rFonts w:ascii="Arial" w:hAnsi="Arial" w:cs="Arial"/>
          <w:snapToGrid w:val="0"/>
          <w:sz w:val="24"/>
          <w:szCs w:val="24"/>
        </w:rPr>
      </w:pPr>
      <w:r w:rsidRPr="003C3AAF">
        <w:rPr>
          <w:rFonts w:ascii="Arial" w:hAnsi="Arial" w:cs="Arial"/>
          <w:snapToGrid w:val="0"/>
          <w:sz w:val="24"/>
          <w:szCs w:val="24"/>
        </w:rPr>
        <w:t>The circumstances in which the Administering Authority may consider seeking to agree a variation to the length of the agreement under regulation 64(7D) include:</w:t>
      </w:r>
    </w:p>
    <w:p w14:paraId="574953EF" w14:textId="77777777" w:rsidR="003C3AAF" w:rsidRPr="003C3AAF" w:rsidRDefault="003C3AAF" w:rsidP="0073304A">
      <w:pPr>
        <w:numPr>
          <w:ilvl w:val="0"/>
          <w:numId w:val="104"/>
        </w:numPr>
        <w:shd w:val="clear" w:color="auto" w:fill="FFFFFF"/>
        <w:spacing w:after="120"/>
        <w:jc w:val="both"/>
        <w:rPr>
          <w:rFonts w:ascii="Arial" w:hAnsi="Arial" w:cs="Arial"/>
          <w:snapToGrid w:val="0"/>
          <w:sz w:val="24"/>
          <w:szCs w:val="24"/>
        </w:rPr>
      </w:pPr>
      <w:r w:rsidRPr="003C3AAF">
        <w:rPr>
          <w:rFonts w:ascii="Arial" w:hAnsi="Arial" w:cs="Arial"/>
          <w:snapToGrid w:val="0"/>
          <w:sz w:val="24"/>
          <w:szCs w:val="24"/>
        </w:rPr>
        <w:lastRenderedPageBreak/>
        <w:t>Where the exit deficit has reduced (increased) such that it is reasonable to reduce (extend) the length of the recovery period and associated period of the DDA assuming that, in the case of the latter, this does not materially increase the risk to the other employers/Fund</w:t>
      </w:r>
    </w:p>
    <w:p w14:paraId="3325CAB2" w14:textId="77777777" w:rsidR="003C3AAF" w:rsidRPr="003C3AAF" w:rsidRDefault="003C3AAF" w:rsidP="0073304A">
      <w:pPr>
        <w:numPr>
          <w:ilvl w:val="0"/>
          <w:numId w:val="104"/>
        </w:numPr>
        <w:shd w:val="clear" w:color="auto" w:fill="FFFFFF"/>
        <w:spacing w:after="120"/>
        <w:jc w:val="both"/>
        <w:rPr>
          <w:rFonts w:ascii="Arial" w:hAnsi="Arial" w:cs="Arial"/>
          <w:snapToGrid w:val="0"/>
          <w:sz w:val="24"/>
          <w:szCs w:val="24"/>
        </w:rPr>
      </w:pPr>
      <w:r w:rsidRPr="003C3AAF">
        <w:rPr>
          <w:rFonts w:ascii="Arial" w:hAnsi="Arial" w:cs="Arial"/>
          <w:snapToGrid w:val="0"/>
          <w:sz w:val="24"/>
          <w:szCs w:val="24"/>
        </w:rPr>
        <w:t>Where the deferred employer's business plans, staffing levels, finances or projected finances have changed significantly, but, in the case of a deterioration, the Administering Authority, having taken legal, actuarial, covenant or other advice as appropriate, does not consider that there is sufficient evidence that deferred employer’s ability to meet the contributions payable under the DDA has weakened materially, or is likely to weaken materially in the next 12 months</w:t>
      </w:r>
    </w:p>
    <w:p w14:paraId="4BDDE475" w14:textId="77777777" w:rsidR="003C3AAF" w:rsidRPr="003C3AAF" w:rsidRDefault="003C3AAF" w:rsidP="0073304A">
      <w:pPr>
        <w:numPr>
          <w:ilvl w:val="0"/>
          <w:numId w:val="104"/>
        </w:numPr>
        <w:shd w:val="clear" w:color="auto" w:fill="FFFFFF"/>
        <w:jc w:val="both"/>
        <w:rPr>
          <w:rFonts w:ascii="Arial" w:hAnsi="Arial" w:cs="Arial"/>
          <w:snapToGrid w:val="0"/>
          <w:sz w:val="24"/>
          <w:szCs w:val="24"/>
        </w:rPr>
      </w:pPr>
      <w:r w:rsidRPr="003C3AAF">
        <w:rPr>
          <w:rFonts w:ascii="Arial" w:hAnsi="Arial" w:cs="Arial"/>
          <w:snapToGrid w:val="0"/>
          <w:sz w:val="24"/>
          <w:szCs w:val="24"/>
        </w:rPr>
        <w:t>Where the level of security available to the Fund has changed in relation to the DDA, as determined by the Administering Authority, taking legal, actuarial or other advice as appropriate</w:t>
      </w:r>
    </w:p>
    <w:p w14:paraId="1A923585"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 xml:space="preserve">At each triennial valuation, or more frequently as required, the Administering Authority will carry out an analysis of the financial risk or covenant of the deferred employer, considering actuarial, covenant, legal and other advice as necessary. Where supported by the analysis and considered necessary to protect the interests of all employers, the Administering Authority will serve notice on the deferred employer that the DDA will terminate on the grounds that it is reasonably satisfied that the deferred employer’s ability to meet the contributions payable under the deferred debt arrangement has weakened materially, or is likely to weaken materially in the next 12 months, as set out under regulation 64(7E)(d). </w:t>
      </w:r>
    </w:p>
    <w:p w14:paraId="761C010F"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 xml:space="preserve">Employers should be aware that all advisory fees incurred by the Fund associated with consideration of a DDA for an exiting employer, whether or not this results in a DDA being entered into, will be recharged to the employer. This will include actuarial, legal, covenant and other advice and the costs of monitoring the arrangement as well as the initial set up. Estimated costs can be provided on request. All fees must be paid up front and cannot be added to any secondary contributions payable under the DDA. </w:t>
      </w:r>
    </w:p>
    <w:p w14:paraId="2B61A32C"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It is expected that employers will make a request to consider a DDA before they would otherwise have exited the Fund under Regulation 64(1) and that a DDA should be entered into within 3 months of that date. The employer should continue to make secondary contributions at the prevailing rate whilst the DDA is being considered unless the Administering Authority, having taken actuarial and other advice as appropriate, determines that increased contributions should be payable. In exceptional circumstances, e.g. where there has been a justifiable delay due to circumstances outside of the employer's control, and at the sole discretion of the Administering Authority, a DDA may be entered into more than 3 months after the exit date.</w:t>
      </w:r>
    </w:p>
    <w:p w14:paraId="5BBD993D" w14:textId="77777777" w:rsidR="003C3AAF" w:rsidRPr="003C3AAF" w:rsidRDefault="003C3AAF" w:rsidP="003C3AAF">
      <w:pPr>
        <w:shd w:val="clear" w:color="auto" w:fill="FFFFFF"/>
        <w:spacing w:before="240"/>
        <w:jc w:val="both"/>
        <w:rPr>
          <w:rFonts w:ascii="Arial" w:hAnsi="Arial" w:cs="Arial"/>
          <w:snapToGrid w:val="0"/>
          <w:sz w:val="24"/>
          <w:szCs w:val="24"/>
        </w:rPr>
      </w:pPr>
      <w:r w:rsidRPr="003C3AAF">
        <w:rPr>
          <w:rFonts w:ascii="Arial" w:hAnsi="Arial" w:cs="Arial"/>
          <w:snapToGrid w:val="0"/>
          <w:sz w:val="24"/>
          <w:szCs w:val="24"/>
        </w:rPr>
        <w:t>Deferred employers will be expected to engage with the Administering Authority during the period of the DDA and adhere to the notifiable events framework as set out in the Pensions Administration Strategy as well as providing financial and other information on a regular basis. This will be necessary to support the effective monitoring of the arrangement and will be a requirement of the DDA.</w:t>
      </w:r>
    </w:p>
    <w:p w14:paraId="13AC933A" w14:textId="77777777" w:rsidR="003C3AAF" w:rsidRPr="003C3AAF" w:rsidRDefault="003C3AAF" w:rsidP="003C3AAF">
      <w:pPr>
        <w:shd w:val="clear" w:color="auto" w:fill="FFFFFF"/>
        <w:spacing w:before="240"/>
        <w:jc w:val="both"/>
        <w:rPr>
          <w:rFonts w:ascii="Arial" w:hAnsi="Arial" w:cs="Arial"/>
          <w:b/>
          <w:bCs/>
          <w:sz w:val="24"/>
          <w:szCs w:val="24"/>
        </w:rPr>
      </w:pPr>
      <w:r w:rsidRPr="003C3AAF">
        <w:rPr>
          <w:rFonts w:ascii="Arial" w:hAnsi="Arial" w:cs="Arial"/>
          <w:snapToGrid w:val="0"/>
          <w:sz w:val="24"/>
          <w:szCs w:val="24"/>
        </w:rPr>
        <w:br w:type="page"/>
      </w:r>
      <w:r w:rsidRPr="003C3AAF">
        <w:rPr>
          <w:rFonts w:ascii="Arial" w:hAnsi="Arial" w:cs="Arial"/>
          <w:b/>
          <w:bCs/>
          <w:sz w:val="24"/>
          <w:szCs w:val="24"/>
        </w:rPr>
        <w:lastRenderedPageBreak/>
        <w:t>APPENDIX 2: Policy on reviewing employer contributions between formal valuations under Regulation 64A</w:t>
      </w:r>
    </w:p>
    <w:p w14:paraId="5E98D848" w14:textId="77777777" w:rsidR="003C3AAF" w:rsidRPr="003C3AAF" w:rsidRDefault="003C3AAF" w:rsidP="003C3AAF">
      <w:pPr>
        <w:shd w:val="clear" w:color="auto" w:fill="FFFFFF"/>
        <w:outlineLvl w:val="2"/>
        <w:rPr>
          <w:rFonts w:ascii="Arial" w:hAnsi="Arial" w:cs="Arial"/>
          <w:b/>
          <w:bCs/>
          <w:sz w:val="24"/>
          <w:szCs w:val="24"/>
        </w:rPr>
      </w:pPr>
    </w:p>
    <w:p w14:paraId="28AE358C" w14:textId="77777777" w:rsidR="003C3AAF" w:rsidRPr="003C3AAF" w:rsidRDefault="003C3AAF" w:rsidP="003C3AAF">
      <w:pPr>
        <w:shd w:val="clear" w:color="auto" w:fill="FFFFFF"/>
        <w:outlineLvl w:val="2"/>
        <w:rPr>
          <w:rFonts w:ascii="Arial" w:hAnsi="Arial" w:cs="Arial"/>
          <w:b/>
          <w:bCs/>
          <w:sz w:val="24"/>
          <w:szCs w:val="24"/>
        </w:rPr>
      </w:pPr>
      <w:r w:rsidRPr="003C3AAF">
        <w:rPr>
          <w:rFonts w:ascii="Arial" w:hAnsi="Arial" w:cs="Arial"/>
          <w:b/>
          <w:bCs/>
          <w:sz w:val="24"/>
          <w:szCs w:val="24"/>
        </w:rPr>
        <w:t>1. Background</w:t>
      </w:r>
    </w:p>
    <w:p w14:paraId="3E490B35" w14:textId="77777777" w:rsidR="003C3AAF" w:rsidRPr="003C3AAF" w:rsidRDefault="003C3AAF" w:rsidP="003C3AAF">
      <w:pPr>
        <w:shd w:val="clear" w:color="auto" w:fill="FFFFFF"/>
        <w:spacing w:before="240"/>
        <w:rPr>
          <w:rFonts w:ascii="Arial" w:hAnsi="Arial" w:cs="Arial"/>
          <w:sz w:val="24"/>
          <w:szCs w:val="24"/>
        </w:rPr>
      </w:pPr>
      <w:r w:rsidRPr="003C3AAF">
        <w:rPr>
          <w:rFonts w:ascii="Arial" w:hAnsi="Arial" w:cs="Arial"/>
          <w:sz w:val="24"/>
          <w:szCs w:val="24"/>
        </w:rPr>
        <w:t xml:space="preserve">This Document explains the policies and procedures of the City and County of Swansea Pension Fund (“the Fund”), administered by City and County of Swansea (“the Administering Authority”), in relation to any amendment of employer contributions between formal valuations as permitted by Regulation 64A. </w:t>
      </w:r>
    </w:p>
    <w:p w14:paraId="133FD7CF" w14:textId="77777777" w:rsidR="003C3AAF" w:rsidRPr="003C3AAF" w:rsidRDefault="003C3AAF" w:rsidP="003C3AAF">
      <w:pPr>
        <w:pStyle w:val="ListParagraph"/>
        <w:shd w:val="clear" w:color="auto" w:fill="FFFFFF"/>
        <w:spacing w:before="240"/>
        <w:ind w:left="0"/>
        <w:rPr>
          <w:rFonts w:cs="Arial"/>
          <w:sz w:val="24"/>
        </w:rPr>
      </w:pPr>
      <w:r w:rsidRPr="003C3AAF">
        <w:rPr>
          <w:rFonts w:cs="Arial"/>
          <w:sz w:val="24"/>
        </w:rPr>
        <w:t>This Policy supplements the general funding policy as set out in the Funding Strategy Statement and should be read in conjunction with that statement. It is intended to provide transparency and consistency for employers in use of the flexibilities within the Regulations.</w:t>
      </w:r>
    </w:p>
    <w:p w14:paraId="1346D4BA" w14:textId="77777777" w:rsidR="003C3AAF" w:rsidRPr="003C3AAF" w:rsidRDefault="003C3AAF" w:rsidP="003C3AAF">
      <w:pPr>
        <w:pStyle w:val="ListParagraph"/>
        <w:shd w:val="clear" w:color="auto" w:fill="FFFFFF"/>
        <w:spacing w:before="240" w:after="120"/>
        <w:ind w:left="0"/>
        <w:rPr>
          <w:rFonts w:cs="Arial"/>
          <w:sz w:val="24"/>
        </w:rPr>
      </w:pPr>
      <w:r w:rsidRPr="003C3AAF">
        <w:rPr>
          <w:rFonts w:cs="Arial"/>
          <w:sz w:val="24"/>
        </w:rPr>
        <w:t>The Administering Authority will consider reviewing employer contributions between formal valuations in the following circumstances:</w:t>
      </w:r>
    </w:p>
    <w:p w14:paraId="1F5BA3B6" w14:textId="77777777" w:rsidR="003C3AAF" w:rsidRPr="003C3AAF" w:rsidRDefault="003C3AAF" w:rsidP="0073304A">
      <w:pPr>
        <w:pStyle w:val="ListParagraph"/>
        <w:numPr>
          <w:ilvl w:val="0"/>
          <w:numId w:val="99"/>
        </w:numPr>
        <w:shd w:val="clear" w:color="auto" w:fill="FFFFFF"/>
        <w:tabs>
          <w:tab w:val="clear" w:pos="720"/>
        </w:tabs>
        <w:spacing w:before="0" w:after="120" w:line="240" w:lineRule="auto"/>
        <w:ind w:left="378" w:hanging="364"/>
        <w:contextualSpacing w:val="0"/>
        <w:rPr>
          <w:rFonts w:cs="Arial"/>
          <w:sz w:val="24"/>
        </w:rPr>
      </w:pPr>
      <w:r w:rsidRPr="003C3AAF">
        <w:rPr>
          <w:rFonts w:cs="Arial"/>
          <w:sz w:val="24"/>
        </w:rPr>
        <w:t>it appears likely to the Administering Authority that the amount of the liabilities arising or likely to arise has changed significantly since the last valuation;</w:t>
      </w:r>
    </w:p>
    <w:p w14:paraId="19A4432E" w14:textId="77777777" w:rsidR="003C3AAF" w:rsidRPr="003C3AAF" w:rsidRDefault="003C3AAF" w:rsidP="0073304A">
      <w:pPr>
        <w:pStyle w:val="ListParagraph"/>
        <w:numPr>
          <w:ilvl w:val="0"/>
          <w:numId w:val="99"/>
        </w:numPr>
        <w:shd w:val="clear" w:color="auto" w:fill="FFFFFF"/>
        <w:tabs>
          <w:tab w:val="clear" w:pos="720"/>
        </w:tabs>
        <w:spacing w:before="0" w:after="120" w:line="240" w:lineRule="auto"/>
        <w:ind w:left="378" w:hanging="364"/>
        <w:contextualSpacing w:val="0"/>
        <w:rPr>
          <w:rFonts w:cs="Arial"/>
          <w:sz w:val="24"/>
        </w:rPr>
      </w:pPr>
      <w:r w:rsidRPr="003C3AAF">
        <w:rPr>
          <w:rFonts w:cs="Arial"/>
          <w:sz w:val="24"/>
        </w:rPr>
        <w:t>it appears likely to the Administering Authority that there has been a significant change in the ability of the Scheme employer or employers to meet the obligations of employers in the Scheme; or</w:t>
      </w:r>
    </w:p>
    <w:p w14:paraId="4DB1E8D1" w14:textId="77777777" w:rsidR="003C3AAF" w:rsidRPr="003C3AAF" w:rsidRDefault="003C3AAF" w:rsidP="0073304A">
      <w:pPr>
        <w:pStyle w:val="ListParagraph"/>
        <w:numPr>
          <w:ilvl w:val="0"/>
          <w:numId w:val="99"/>
        </w:numPr>
        <w:shd w:val="clear" w:color="auto" w:fill="FFFFFF"/>
        <w:tabs>
          <w:tab w:val="clear" w:pos="720"/>
        </w:tabs>
        <w:spacing w:before="240" w:after="0" w:line="240" w:lineRule="auto"/>
        <w:ind w:left="378" w:hanging="364"/>
        <w:rPr>
          <w:rFonts w:cs="Arial"/>
          <w:sz w:val="24"/>
        </w:rPr>
      </w:pPr>
      <w:r w:rsidRPr="003C3AAF">
        <w:rPr>
          <w:rFonts w:cs="Arial"/>
          <w:sz w:val="24"/>
        </w:rPr>
        <w:t>Scheme employer or employers have requested a review of Scheme employer contributions and have undertaken to meet the costs of that review.</w:t>
      </w:r>
    </w:p>
    <w:p w14:paraId="3D3D811A" w14:textId="77777777" w:rsidR="003C3AAF" w:rsidRPr="003C3AAF" w:rsidRDefault="003C3AAF" w:rsidP="003C3AAF">
      <w:pPr>
        <w:pStyle w:val="ListParagraph"/>
        <w:shd w:val="clear" w:color="auto" w:fill="FFFFFF"/>
        <w:spacing w:before="240"/>
        <w:ind w:left="0"/>
        <w:rPr>
          <w:rFonts w:cs="Arial"/>
          <w:sz w:val="24"/>
        </w:rPr>
      </w:pPr>
      <w:r w:rsidRPr="003C3AAF">
        <w:rPr>
          <w:rFonts w:cs="Arial"/>
          <w:sz w:val="24"/>
        </w:rPr>
        <w:t>For the avoidance of doubt, the Administering Authority will not consider a review of contributions purely on the grounds of a change in market conditions or demographic assumptions affecting the value of assets and/or liabilities.</w:t>
      </w:r>
    </w:p>
    <w:p w14:paraId="7B8EA0DA" w14:textId="77777777" w:rsidR="003C3AAF" w:rsidRPr="003C3AAF" w:rsidRDefault="003C3AAF" w:rsidP="003C3AAF">
      <w:pPr>
        <w:pStyle w:val="ListParagraph"/>
        <w:shd w:val="clear" w:color="auto" w:fill="FFFFFF"/>
        <w:spacing w:before="240"/>
        <w:ind w:left="0"/>
        <w:rPr>
          <w:rFonts w:cs="Arial"/>
          <w:b/>
          <w:sz w:val="24"/>
        </w:rPr>
      </w:pPr>
      <w:r w:rsidRPr="003C3AAF">
        <w:rPr>
          <w:rFonts w:cs="Arial"/>
          <w:b/>
          <w:sz w:val="24"/>
        </w:rPr>
        <w:t>2. Factors used to determine when a review is appropriate</w:t>
      </w:r>
    </w:p>
    <w:p w14:paraId="29BDC64E" w14:textId="77777777" w:rsidR="003C3AAF" w:rsidRPr="003C3AAF" w:rsidRDefault="003C3AAF" w:rsidP="003C3AAF">
      <w:pPr>
        <w:pStyle w:val="ListParagraph"/>
        <w:shd w:val="clear" w:color="auto" w:fill="FFFFFF"/>
        <w:spacing w:before="240" w:after="120"/>
        <w:ind w:left="0"/>
        <w:rPr>
          <w:rFonts w:cs="Arial"/>
          <w:sz w:val="24"/>
        </w:rPr>
      </w:pPr>
      <w:r w:rsidRPr="003C3AAF">
        <w:rPr>
          <w:rFonts w:cs="Arial"/>
          <w:sz w:val="24"/>
        </w:rPr>
        <w:t>In determining whether or not a review should take place, the Administering Authority will consider the following factors (noting that this is not an exhaustive list):</w:t>
      </w:r>
    </w:p>
    <w:p w14:paraId="706D6298" w14:textId="77777777" w:rsidR="003C3AAF" w:rsidRPr="003C3AAF" w:rsidRDefault="003C3AAF" w:rsidP="0073304A">
      <w:pPr>
        <w:pStyle w:val="ListParagraph"/>
        <w:numPr>
          <w:ilvl w:val="0"/>
          <w:numId w:val="94"/>
        </w:numPr>
        <w:shd w:val="clear" w:color="auto" w:fill="FFFFFF"/>
        <w:spacing w:before="0" w:after="120" w:line="240" w:lineRule="auto"/>
        <w:contextualSpacing w:val="0"/>
        <w:rPr>
          <w:rFonts w:cs="Arial"/>
          <w:sz w:val="24"/>
        </w:rPr>
      </w:pPr>
      <w:r w:rsidRPr="003C3AAF">
        <w:rPr>
          <w:rFonts w:cs="Arial"/>
          <w:sz w:val="24"/>
        </w:rPr>
        <w:t>the circumstances leading to the change in liabilities arising or likely to arise, for example whether this is the result of a decision by the employer, such as a significant outsourcing or transfer of staff, closure to new entrants, material redundancies or significant pay awards, or other factors such as ill-health retirements, voluntary withdrawals or the loss of a significant contract</w:t>
      </w:r>
    </w:p>
    <w:p w14:paraId="2F6C4D44" w14:textId="77777777" w:rsidR="003C3AAF" w:rsidRPr="003C3AAF" w:rsidRDefault="003C3AAF" w:rsidP="0073304A">
      <w:pPr>
        <w:pStyle w:val="ListParagraph"/>
        <w:numPr>
          <w:ilvl w:val="0"/>
          <w:numId w:val="94"/>
        </w:numPr>
        <w:shd w:val="clear" w:color="auto" w:fill="FFFFFF"/>
        <w:spacing w:before="0" w:after="120" w:line="240" w:lineRule="auto"/>
        <w:contextualSpacing w:val="0"/>
        <w:rPr>
          <w:rFonts w:cs="Arial"/>
          <w:sz w:val="24"/>
        </w:rPr>
      </w:pPr>
      <w:r w:rsidRPr="003C3AAF">
        <w:rPr>
          <w:rFonts w:cs="Arial"/>
          <w:sz w:val="24"/>
        </w:rPr>
        <w:t xml:space="preserve">the materiality of any change in the employer's membership or liabilities, taking account of the Actuary's view of how this might affect its funding position, primary or secondary contribution rate </w:t>
      </w:r>
    </w:p>
    <w:p w14:paraId="68DD00D8" w14:textId="77777777" w:rsidR="003C3AAF" w:rsidRPr="003C3AAF" w:rsidRDefault="003C3AAF" w:rsidP="0073304A">
      <w:pPr>
        <w:pStyle w:val="ListParagraph"/>
        <w:numPr>
          <w:ilvl w:val="0"/>
          <w:numId w:val="94"/>
        </w:numPr>
        <w:shd w:val="clear" w:color="auto" w:fill="FFFFFF"/>
        <w:spacing w:before="0" w:after="120" w:line="240" w:lineRule="auto"/>
        <w:contextualSpacing w:val="0"/>
        <w:rPr>
          <w:rFonts w:cs="Arial"/>
          <w:sz w:val="24"/>
        </w:rPr>
      </w:pPr>
      <w:r w:rsidRPr="003C3AAF">
        <w:rPr>
          <w:rFonts w:cs="Arial"/>
          <w:sz w:val="24"/>
        </w:rPr>
        <w:t>whether, having taken advice from the Actuary, the Administering Authority believes a change in ongoing funding target or deficit recovery period would be justified, e.g. on provision or removal of any security, subsumption commitment, bond, guarantee, or other form of indemnity in relation to the employer's liabilities in the Fund</w:t>
      </w:r>
    </w:p>
    <w:p w14:paraId="017641D4" w14:textId="77777777" w:rsidR="003C3AAF" w:rsidRPr="003C3AAF" w:rsidRDefault="003C3AAF" w:rsidP="0073304A">
      <w:pPr>
        <w:pStyle w:val="ListParagraph"/>
        <w:numPr>
          <w:ilvl w:val="0"/>
          <w:numId w:val="94"/>
        </w:numPr>
        <w:shd w:val="clear" w:color="auto" w:fill="FFFFFF"/>
        <w:spacing w:before="0" w:after="120" w:line="240" w:lineRule="auto"/>
        <w:contextualSpacing w:val="0"/>
        <w:rPr>
          <w:rFonts w:cs="Arial"/>
          <w:sz w:val="24"/>
        </w:rPr>
      </w:pPr>
      <w:r w:rsidRPr="003C3AAF">
        <w:rPr>
          <w:rFonts w:cs="Arial"/>
          <w:sz w:val="24"/>
        </w:rPr>
        <w:lastRenderedPageBreak/>
        <w:t xml:space="preserve">the materiality of any change in the employer's financial strength or longer-term financial outlook, based on information supplied by the employer and supported by a financial risk assessment or more detailed covenant review carried out by the Fund Actuary or other covenant adviser to the Fund </w:t>
      </w:r>
    </w:p>
    <w:p w14:paraId="30C80FF3" w14:textId="77777777" w:rsidR="003C3AAF" w:rsidRPr="003C3AAF" w:rsidRDefault="003C3AAF" w:rsidP="0073304A">
      <w:pPr>
        <w:pStyle w:val="ListParagraph"/>
        <w:numPr>
          <w:ilvl w:val="0"/>
          <w:numId w:val="94"/>
        </w:numPr>
        <w:shd w:val="clear" w:color="auto" w:fill="FFFFFF"/>
        <w:spacing w:before="240" w:after="0" w:line="240" w:lineRule="auto"/>
        <w:rPr>
          <w:rFonts w:cs="Arial"/>
          <w:sz w:val="24"/>
        </w:rPr>
      </w:pPr>
      <w:r w:rsidRPr="003C3AAF">
        <w:rPr>
          <w:rFonts w:cs="Arial"/>
          <w:sz w:val="24"/>
        </w:rPr>
        <w:t>the general level of engagement from the employer and its adherence to its legal obligations as set out in the Pensions Administration Strategy Statement and elsewhere, including the nature and frequency of any breaches such as failure to pay contributions on time and data quality issues due to failure to provide new starter or leaver forms</w:t>
      </w:r>
    </w:p>
    <w:p w14:paraId="06189E05" w14:textId="77777777" w:rsidR="003C3AAF" w:rsidRPr="003C3AAF" w:rsidRDefault="003C3AAF" w:rsidP="003C3AAF">
      <w:pPr>
        <w:pStyle w:val="ListParagraph"/>
        <w:shd w:val="clear" w:color="auto" w:fill="FFFFFF"/>
        <w:spacing w:before="240"/>
        <w:ind w:left="0"/>
        <w:rPr>
          <w:rFonts w:cs="Arial"/>
          <w:b/>
          <w:sz w:val="24"/>
        </w:rPr>
      </w:pPr>
    </w:p>
    <w:p w14:paraId="7972E265" w14:textId="77777777" w:rsidR="003C3AAF" w:rsidRPr="003C3AAF" w:rsidRDefault="003C3AAF" w:rsidP="003C3AAF">
      <w:pPr>
        <w:pStyle w:val="ListParagraph"/>
        <w:shd w:val="clear" w:color="auto" w:fill="FFFFFF"/>
        <w:spacing w:before="240"/>
        <w:ind w:left="0"/>
        <w:rPr>
          <w:rFonts w:cs="Arial"/>
          <w:b/>
          <w:sz w:val="24"/>
        </w:rPr>
      </w:pPr>
      <w:r w:rsidRPr="003C3AAF">
        <w:rPr>
          <w:rFonts w:cs="Arial"/>
          <w:b/>
          <w:sz w:val="24"/>
        </w:rPr>
        <w:t xml:space="preserve">3. Assessment of the risk/impact on other employers </w:t>
      </w:r>
    </w:p>
    <w:p w14:paraId="47642434" w14:textId="77777777" w:rsidR="003C3AAF" w:rsidRPr="003C3AAF" w:rsidRDefault="003C3AAF" w:rsidP="003C3AAF">
      <w:pPr>
        <w:pStyle w:val="ListParagraph"/>
        <w:shd w:val="clear" w:color="auto" w:fill="FFFFFF"/>
        <w:spacing w:before="240" w:after="240"/>
        <w:ind w:left="0"/>
        <w:rPr>
          <w:rFonts w:cs="Arial"/>
          <w:sz w:val="24"/>
        </w:rPr>
      </w:pPr>
      <w:r w:rsidRPr="003C3AAF">
        <w:rPr>
          <w:rFonts w:cs="Arial"/>
          <w:sz w:val="24"/>
        </w:rPr>
        <w:t>In determining whether or not a review should take place, the Administering Authority will generally focus on the materiality of any potential changes in the context of the employer concerned; its financial position and current contribution levels. As a matter of principle, the Administering Authority does not consider that a review is not justified just because an employer is small in the context of the Fund as a whole, noting that failure to act could make discussions at the next formal valuation more difficult and compound the risk to the Fund. However, in determining the extent and speed of any changes to the employer's contributions the Administering Authority will consider the effect on the overall funding position of the Fund, i.e. other Fund employers.</w:t>
      </w:r>
    </w:p>
    <w:p w14:paraId="67CDC983" w14:textId="77777777" w:rsidR="003C3AAF" w:rsidRPr="003C3AAF" w:rsidRDefault="003C3AAF" w:rsidP="003C3AAF">
      <w:pPr>
        <w:rPr>
          <w:rFonts w:ascii="Arial" w:hAnsi="Arial" w:cs="Arial"/>
          <w:sz w:val="24"/>
          <w:szCs w:val="24"/>
        </w:rPr>
      </w:pPr>
      <w:r w:rsidRPr="003C3AAF">
        <w:rPr>
          <w:rFonts w:ascii="Arial" w:hAnsi="Arial" w:cs="Arial"/>
          <w:sz w:val="24"/>
          <w:szCs w:val="24"/>
        </w:rPr>
        <w:t xml:space="preserve">Where contributions are being reviewed for an employer with links to another Fund employer, particularly where this is a formal organisational or contractual link, e.g. there is a tripartite admission agreement, an ownership relationship or a formal guarantee or subsumption commitment is in place, the Administering Authority will consider the potential risk/impact of the contribution review on those other employer(s), taking advice from the Fund Actuary as required. </w:t>
      </w:r>
    </w:p>
    <w:p w14:paraId="5CB892A3" w14:textId="77777777" w:rsidR="003C3AAF" w:rsidRPr="003C3AAF" w:rsidRDefault="003C3AAF" w:rsidP="003C3AAF">
      <w:pPr>
        <w:pStyle w:val="ListParagraph"/>
        <w:shd w:val="clear" w:color="auto" w:fill="FFFFFF"/>
        <w:spacing w:before="240"/>
        <w:ind w:left="0"/>
        <w:rPr>
          <w:rFonts w:cs="Arial"/>
          <w:b/>
          <w:sz w:val="24"/>
        </w:rPr>
      </w:pPr>
      <w:r w:rsidRPr="003C3AAF">
        <w:rPr>
          <w:rFonts w:cs="Arial"/>
          <w:b/>
          <w:sz w:val="24"/>
        </w:rPr>
        <w:t xml:space="preserve">4. Employer involvement and consultation </w:t>
      </w:r>
    </w:p>
    <w:p w14:paraId="2FDE4E35" w14:textId="77777777" w:rsidR="003C3AAF" w:rsidRPr="003C3AAF" w:rsidRDefault="003C3AAF" w:rsidP="003C3AAF">
      <w:pPr>
        <w:rPr>
          <w:rFonts w:ascii="Arial" w:hAnsi="Arial" w:cs="Arial"/>
          <w:sz w:val="24"/>
          <w:szCs w:val="24"/>
        </w:rPr>
      </w:pPr>
    </w:p>
    <w:p w14:paraId="7E6B1CAB" w14:textId="77777777" w:rsidR="003C3AAF" w:rsidRPr="003C3AAF" w:rsidRDefault="003C3AAF" w:rsidP="003C3AAF">
      <w:pPr>
        <w:spacing w:after="240"/>
        <w:rPr>
          <w:rFonts w:ascii="Arial" w:hAnsi="Arial" w:cs="Arial"/>
          <w:sz w:val="24"/>
          <w:szCs w:val="24"/>
        </w:rPr>
      </w:pPr>
      <w:r w:rsidRPr="003C3AAF">
        <w:rPr>
          <w:rFonts w:ascii="Arial" w:hAnsi="Arial" w:cs="Arial"/>
          <w:sz w:val="24"/>
          <w:szCs w:val="24"/>
        </w:rPr>
        <w:t xml:space="preserve">It is expected that in most cases the employer will be aware of the proposed review of their contributions since this will be triggered by an employer's action and employers should be aware of the need to engage with the Fund in relation to any activity which could materially affect their liabilities or ability to meet those liabilities. </w:t>
      </w:r>
    </w:p>
    <w:p w14:paraId="6E37CF05" w14:textId="77777777" w:rsidR="003C3AAF" w:rsidRPr="003C3AAF" w:rsidRDefault="003C3AAF" w:rsidP="003C3AAF">
      <w:pPr>
        <w:spacing w:after="240"/>
        <w:rPr>
          <w:rFonts w:ascii="Arial" w:hAnsi="Arial" w:cs="Arial"/>
          <w:sz w:val="24"/>
          <w:szCs w:val="24"/>
        </w:rPr>
      </w:pPr>
      <w:r w:rsidRPr="003C3AAF">
        <w:rPr>
          <w:rFonts w:ascii="Arial" w:hAnsi="Arial" w:cs="Arial"/>
          <w:sz w:val="24"/>
          <w:szCs w:val="24"/>
        </w:rPr>
        <w:t>In other cases information will be required from the employer, e.g. in relation to its financial position and business plans which could be the catalyst for informing the employer that a review is being proposed.  In all cases the Administering Authority will advise the employer that a review is being carried out and share the results of the review and any risk or covenant assessment as appropriate.  It should be noted that the fact of a review being carried out does not automatically mean that contributions will be amended (up or down) since that will depend upon the materiality of the changes and other factors such as the outcome of discussions with the employer and any related/linked employer in the Fund and the proximity to the next formal valuation.</w:t>
      </w:r>
    </w:p>
    <w:p w14:paraId="6E0DD93E" w14:textId="77777777" w:rsidR="003C3AAF" w:rsidRPr="003C3AAF" w:rsidRDefault="003C3AAF" w:rsidP="003C3AAF">
      <w:pPr>
        <w:rPr>
          <w:rFonts w:ascii="Arial" w:hAnsi="Arial" w:cs="Arial"/>
          <w:sz w:val="24"/>
          <w:szCs w:val="24"/>
        </w:rPr>
      </w:pPr>
      <w:r w:rsidRPr="003C3AAF">
        <w:rPr>
          <w:rFonts w:ascii="Arial" w:hAnsi="Arial" w:cs="Arial"/>
          <w:sz w:val="24"/>
          <w:szCs w:val="24"/>
        </w:rPr>
        <w:lastRenderedPageBreak/>
        <w:t>Where, following representations from the employer, the Administering Authority is considering not increasing the employer's contributions following a review, despite there being good reason to do so from a funding and actuarial perspective, e.g. if it would precipitate the failure of the employer or otherwise seriously impair the employer's ability to deliver its organisational objectives or it is expected that the employer's financial position will improve significantly in the near-term, the Administering Authority will consult with any related/linked employers (including any guarantor or employer providing a subsumption commitment) and, where appropriate, the largest employers in the Fund with a view to seeking their agreement to this approach.</w:t>
      </w:r>
    </w:p>
    <w:p w14:paraId="2454050E" w14:textId="77777777" w:rsidR="003C3AAF" w:rsidRPr="003C3AAF" w:rsidRDefault="003C3AAF" w:rsidP="003C3AAF">
      <w:pPr>
        <w:pStyle w:val="ListParagraph"/>
        <w:shd w:val="clear" w:color="auto" w:fill="FFFFFF"/>
        <w:spacing w:before="240" w:after="240"/>
        <w:ind w:left="0"/>
        <w:rPr>
          <w:rFonts w:cs="Arial"/>
          <w:b/>
          <w:sz w:val="24"/>
        </w:rPr>
      </w:pPr>
      <w:r w:rsidRPr="003C3AAF">
        <w:rPr>
          <w:rFonts w:cs="Arial"/>
          <w:b/>
          <w:sz w:val="24"/>
        </w:rPr>
        <w:t xml:space="preserve">5. Process for requesting a review </w:t>
      </w:r>
    </w:p>
    <w:p w14:paraId="4652A25B" w14:textId="77777777" w:rsidR="003C3AAF" w:rsidRPr="003C3AAF" w:rsidRDefault="003C3AAF" w:rsidP="003C3AAF">
      <w:pPr>
        <w:rPr>
          <w:rFonts w:ascii="Arial" w:hAnsi="Arial" w:cs="Arial"/>
          <w:sz w:val="24"/>
          <w:szCs w:val="24"/>
        </w:rPr>
      </w:pPr>
      <w:r w:rsidRPr="003C3AAF">
        <w:rPr>
          <w:rFonts w:ascii="Arial" w:hAnsi="Arial" w:cs="Arial"/>
          <w:sz w:val="24"/>
          <w:szCs w:val="24"/>
        </w:rPr>
        <w:t xml:space="preserve">Before requesting a review, employers should consider the regulatory requirements and the Fund's policy as set out above and satisfy themselves that there has been a relevant change in the expected amount of liabilities or their ability to meet those liabilities. The employer should contact Mr Jeffrey Dong, </w:t>
      </w:r>
      <w:hyperlink r:id="rId58" w:history="1">
        <w:r w:rsidRPr="003C3AAF">
          <w:rPr>
            <w:rStyle w:val="Hyperlink"/>
            <w:rFonts w:ascii="Arial" w:hAnsi="Arial" w:cs="Arial"/>
            <w:sz w:val="24"/>
            <w:szCs w:val="24"/>
          </w:rPr>
          <w:t>Jeffrey.dong@swansea.gov.uk</w:t>
        </w:r>
      </w:hyperlink>
      <w:r w:rsidRPr="003C3AAF">
        <w:rPr>
          <w:rFonts w:ascii="Arial" w:hAnsi="Arial" w:cs="Arial"/>
          <w:sz w:val="24"/>
          <w:szCs w:val="24"/>
        </w:rPr>
        <w:t xml:space="preserve"> and complete the necessary information requirements for submission to the Administering Authority in support of their application. The Administering Authority will consider the employer's request and may ask for further information or supporting documentation/evidence as required. If the Administering Authority, having taken actuarial advice as required, is of the opinion that a review is justified, it will advise the employer and provide an indicative cost. Employers should be aware that all advisory fees incurred by the Fund associated with a contribution review request, whether or not this results in contributions being amended, will be recharged to the employer. </w:t>
      </w:r>
    </w:p>
    <w:p w14:paraId="6B2B66B5" w14:textId="77777777" w:rsidR="003C3AAF" w:rsidRPr="003C3AAF" w:rsidRDefault="003C3AAF" w:rsidP="003C3AAF">
      <w:pPr>
        <w:spacing w:after="240"/>
        <w:rPr>
          <w:rFonts w:ascii="Arial" w:hAnsi="Arial" w:cs="Arial"/>
          <w:sz w:val="24"/>
          <w:szCs w:val="24"/>
        </w:rPr>
      </w:pPr>
    </w:p>
    <w:p w14:paraId="7B100BEF" w14:textId="77777777" w:rsidR="003C3AAF" w:rsidRPr="003C3AAF" w:rsidRDefault="003C3AAF" w:rsidP="003C3AAF">
      <w:pPr>
        <w:spacing w:after="240"/>
        <w:rPr>
          <w:rFonts w:ascii="Arial" w:hAnsi="Arial" w:cs="Arial"/>
          <w:sz w:val="24"/>
          <w:szCs w:val="24"/>
        </w:rPr>
      </w:pPr>
    </w:p>
    <w:p w14:paraId="31A6DC77" w14:textId="77777777" w:rsidR="003C3AAF" w:rsidRPr="003C3AAF" w:rsidRDefault="003C3AAF" w:rsidP="003C3AAF">
      <w:pPr>
        <w:spacing w:after="240"/>
        <w:rPr>
          <w:rFonts w:ascii="Arial" w:hAnsi="Arial" w:cs="Arial"/>
          <w:b/>
          <w:sz w:val="24"/>
          <w:szCs w:val="24"/>
        </w:rPr>
      </w:pPr>
      <w:r w:rsidRPr="003C3AAF">
        <w:rPr>
          <w:rFonts w:ascii="Arial" w:hAnsi="Arial" w:cs="Arial"/>
          <w:b/>
          <w:sz w:val="24"/>
          <w:szCs w:val="24"/>
        </w:rPr>
        <w:t>6. Other considerations</w:t>
      </w:r>
    </w:p>
    <w:p w14:paraId="696498D2" w14:textId="77777777" w:rsidR="003C3AAF" w:rsidRPr="003C3AAF" w:rsidRDefault="003C3AAF" w:rsidP="003C3AAF">
      <w:pPr>
        <w:spacing w:after="240"/>
        <w:rPr>
          <w:rFonts w:ascii="Arial" w:hAnsi="Arial" w:cs="Arial"/>
          <w:sz w:val="24"/>
          <w:szCs w:val="24"/>
        </w:rPr>
      </w:pPr>
      <w:r w:rsidRPr="003C3AAF">
        <w:rPr>
          <w:rFonts w:ascii="Arial" w:hAnsi="Arial" w:cs="Arial"/>
          <w:sz w:val="24"/>
          <w:szCs w:val="24"/>
        </w:rPr>
        <w:t>The Administering Authority may carry out a review at any time during the valuation cycle where it becomes aware that a review is required. In such cases the employer will be expected to provide the requested information within one month of request and the review will be completed within 6 weeks of the provision of all requested information, or completion of the risk/covenant assessment if later.</w:t>
      </w:r>
    </w:p>
    <w:p w14:paraId="53479717" w14:textId="77777777" w:rsidR="003C3AAF" w:rsidRPr="003C3AAF" w:rsidRDefault="003C3AAF" w:rsidP="003C3AAF">
      <w:pPr>
        <w:spacing w:afterLines="200" w:after="480"/>
        <w:rPr>
          <w:rFonts w:ascii="Arial" w:hAnsi="Arial" w:cs="Arial"/>
          <w:sz w:val="24"/>
          <w:szCs w:val="24"/>
        </w:rPr>
      </w:pPr>
      <w:r w:rsidRPr="003C3AAF">
        <w:rPr>
          <w:rFonts w:ascii="Arial" w:hAnsi="Arial" w:cs="Arial"/>
          <w:sz w:val="24"/>
          <w:szCs w:val="24"/>
        </w:rPr>
        <w:t xml:space="preserve">The Administering Authority will consult with the employer on the timing of any contribution changes and there will be a minimum of 4 weeks' notice given of any contribution increases. In determining whether, and when, any contribution changes are to take effect the Administering Authority will also take into account the timing of contribution changes flowing from the next formal valuation. As a result, contribution reviews are unlikely to be carried out during the 12 month period from the valuation date although if there were any material changes to the expected amount of liabilities arising or the ability of the employer to meet those liabilities during that period, this </w:t>
      </w:r>
      <w:r w:rsidRPr="003C3AAF">
        <w:rPr>
          <w:rFonts w:ascii="Arial" w:hAnsi="Arial" w:cs="Arial"/>
          <w:sz w:val="24"/>
          <w:szCs w:val="24"/>
        </w:rPr>
        <w:lastRenderedPageBreak/>
        <w:t xml:space="preserve">should be taken into account when finalising the Rates and Adjustments Certificate flowing from the valuation. </w:t>
      </w:r>
    </w:p>
    <w:p w14:paraId="7C7C2F49" w14:textId="77777777" w:rsidR="003C3AAF" w:rsidRPr="003C3AAF" w:rsidRDefault="003C3AAF" w:rsidP="003C3AAF">
      <w:pPr>
        <w:spacing w:afterLines="50" w:after="120"/>
        <w:rPr>
          <w:rFonts w:ascii="Arial" w:hAnsi="Arial" w:cs="Arial"/>
          <w:b/>
          <w:sz w:val="24"/>
          <w:szCs w:val="24"/>
        </w:rPr>
      </w:pPr>
      <w:r w:rsidRPr="003C3AAF">
        <w:rPr>
          <w:rFonts w:ascii="Arial" w:hAnsi="Arial" w:cs="Arial"/>
          <w:b/>
          <w:sz w:val="24"/>
          <w:szCs w:val="24"/>
        </w:rPr>
        <w:t>Appeals Process</w:t>
      </w:r>
    </w:p>
    <w:p w14:paraId="432EECDE" w14:textId="77777777" w:rsidR="003C3AAF" w:rsidRPr="003C3AAF" w:rsidRDefault="003C3AAF" w:rsidP="003C3AAF">
      <w:pPr>
        <w:spacing w:afterLines="50" w:after="120"/>
        <w:rPr>
          <w:rFonts w:ascii="Arial" w:hAnsi="Arial" w:cs="Arial"/>
          <w:iCs/>
          <w:sz w:val="24"/>
          <w:szCs w:val="24"/>
        </w:rPr>
      </w:pPr>
      <w:r w:rsidRPr="003C3AAF">
        <w:rPr>
          <w:rFonts w:ascii="Arial" w:hAnsi="Arial" w:cs="Arial"/>
          <w:iCs/>
          <w:sz w:val="24"/>
          <w:szCs w:val="24"/>
        </w:rPr>
        <w:t xml:space="preserve">Any appeal against the Administering Authority’s decision must be made in writing to Mr Jeffrey Dong, Deputy Chief Finance Officer within 6 months of being notified of the decision. </w:t>
      </w:r>
    </w:p>
    <w:p w14:paraId="7A41E978" w14:textId="77777777" w:rsidR="003C3AAF" w:rsidRPr="003C3AAF" w:rsidRDefault="003C3AAF" w:rsidP="003C3AAF">
      <w:pPr>
        <w:spacing w:afterLines="200" w:after="480" w:line="276" w:lineRule="auto"/>
        <w:rPr>
          <w:rFonts w:ascii="Arial" w:hAnsi="Arial" w:cs="Arial"/>
          <w:iCs/>
          <w:sz w:val="24"/>
          <w:szCs w:val="24"/>
        </w:rPr>
      </w:pPr>
      <w:r w:rsidRPr="003C3AAF">
        <w:rPr>
          <w:rFonts w:ascii="Arial" w:hAnsi="Arial" w:cs="Arial"/>
          <w:iCs/>
          <w:sz w:val="24"/>
          <w:szCs w:val="24"/>
        </w:rPr>
        <w:t>An appeal will require the employer to evidence one of the following:</w:t>
      </w:r>
    </w:p>
    <w:p w14:paraId="4DA6A537" w14:textId="77777777" w:rsidR="003C3AAF" w:rsidRPr="003C3AAF" w:rsidRDefault="003C3AAF" w:rsidP="0073304A">
      <w:pPr>
        <w:numPr>
          <w:ilvl w:val="0"/>
          <w:numId w:val="105"/>
        </w:numPr>
        <w:spacing w:before="240" w:line="276" w:lineRule="auto"/>
        <w:contextualSpacing/>
        <w:rPr>
          <w:rFonts w:ascii="Arial" w:hAnsi="Arial" w:cs="Arial"/>
          <w:iCs/>
          <w:sz w:val="24"/>
          <w:szCs w:val="24"/>
        </w:rPr>
      </w:pPr>
      <w:r w:rsidRPr="003C3AAF">
        <w:rPr>
          <w:rFonts w:ascii="Arial" w:hAnsi="Arial" w:cs="Arial"/>
          <w:iCs/>
          <w:sz w:val="24"/>
          <w:szCs w:val="24"/>
        </w:rPr>
        <w:t>deviation from the published policy or process by the Administering Authority, or</w:t>
      </w:r>
    </w:p>
    <w:p w14:paraId="0D1D1C4E" w14:textId="77777777" w:rsidR="003C3AAF" w:rsidRPr="003C3AAF" w:rsidRDefault="003C3AAF" w:rsidP="0073304A">
      <w:pPr>
        <w:numPr>
          <w:ilvl w:val="0"/>
          <w:numId w:val="105"/>
        </w:numPr>
        <w:spacing w:before="240" w:line="276" w:lineRule="auto"/>
        <w:contextualSpacing/>
        <w:rPr>
          <w:rFonts w:ascii="Arial" w:hAnsi="Arial" w:cs="Arial"/>
          <w:iCs/>
          <w:sz w:val="24"/>
          <w:szCs w:val="24"/>
        </w:rPr>
      </w:pPr>
      <w:r w:rsidRPr="003C3AAF">
        <w:rPr>
          <w:rFonts w:ascii="Arial" w:hAnsi="Arial" w:cs="Arial"/>
          <w:iCs/>
          <w:sz w:val="24"/>
          <w:szCs w:val="24"/>
        </w:rPr>
        <w:t>any further information (or interpretation of information provided) which could influence the outcome, noting new evidence will be considered at the discretion of the Administering Authority.</w:t>
      </w:r>
    </w:p>
    <w:p w14:paraId="30D39056" w14:textId="77777777" w:rsidR="003C3AAF" w:rsidRPr="003C3AAF" w:rsidRDefault="003C3AAF" w:rsidP="003C3AAF">
      <w:pPr>
        <w:spacing w:line="276" w:lineRule="auto"/>
        <w:rPr>
          <w:rFonts w:ascii="Arial" w:eastAsia="Calibri" w:hAnsi="Arial" w:cs="Arial"/>
          <w:sz w:val="24"/>
          <w:szCs w:val="24"/>
        </w:rPr>
      </w:pPr>
    </w:p>
    <w:p w14:paraId="3F550F54" w14:textId="77777777" w:rsidR="003C3AAF" w:rsidRDefault="003C3AAF" w:rsidP="003C3AAF">
      <w:pPr>
        <w:spacing w:afterLines="200" w:after="480" w:line="276" w:lineRule="auto"/>
        <w:rPr>
          <w:rFonts w:ascii="Arial" w:hAnsi="Arial" w:cs="Arial"/>
          <w:sz w:val="24"/>
          <w:szCs w:val="24"/>
        </w:rPr>
      </w:pPr>
    </w:p>
    <w:p w14:paraId="3D39EC6C" w14:textId="77777777" w:rsidR="00C36412" w:rsidRDefault="00C36412" w:rsidP="003C3AAF">
      <w:pPr>
        <w:spacing w:afterLines="200" w:after="480" w:line="276" w:lineRule="auto"/>
        <w:rPr>
          <w:rFonts w:ascii="Arial" w:hAnsi="Arial" w:cs="Arial"/>
          <w:sz w:val="24"/>
          <w:szCs w:val="24"/>
        </w:rPr>
      </w:pPr>
    </w:p>
    <w:p w14:paraId="722FBC14" w14:textId="77777777" w:rsidR="00C36412" w:rsidRDefault="00C36412" w:rsidP="003C3AAF">
      <w:pPr>
        <w:spacing w:afterLines="200" w:after="480" w:line="276" w:lineRule="auto"/>
        <w:rPr>
          <w:rFonts w:ascii="Arial" w:hAnsi="Arial" w:cs="Arial"/>
          <w:sz w:val="24"/>
          <w:szCs w:val="24"/>
        </w:rPr>
      </w:pPr>
    </w:p>
    <w:p w14:paraId="2C4F4B18" w14:textId="77777777" w:rsidR="00C36412" w:rsidRDefault="00C36412" w:rsidP="003C3AAF">
      <w:pPr>
        <w:spacing w:afterLines="200" w:after="480" w:line="276" w:lineRule="auto"/>
        <w:rPr>
          <w:rFonts w:ascii="Arial" w:hAnsi="Arial" w:cs="Arial"/>
          <w:sz w:val="24"/>
          <w:szCs w:val="24"/>
        </w:rPr>
      </w:pPr>
    </w:p>
    <w:p w14:paraId="7900AD0F" w14:textId="77777777" w:rsidR="00C36412" w:rsidRDefault="00C36412" w:rsidP="003C3AAF">
      <w:pPr>
        <w:spacing w:afterLines="200" w:after="480" w:line="276" w:lineRule="auto"/>
        <w:rPr>
          <w:rFonts w:ascii="Arial" w:hAnsi="Arial" w:cs="Arial"/>
          <w:sz w:val="24"/>
          <w:szCs w:val="24"/>
        </w:rPr>
      </w:pPr>
    </w:p>
    <w:p w14:paraId="29FC1462" w14:textId="77777777" w:rsidR="00C36412" w:rsidRDefault="00C36412" w:rsidP="003C3AAF">
      <w:pPr>
        <w:spacing w:afterLines="200" w:after="480" w:line="276" w:lineRule="auto"/>
        <w:rPr>
          <w:rFonts w:ascii="Arial" w:hAnsi="Arial" w:cs="Arial"/>
          <w:sz w:val="24"/>
          <w:szCs w:val="24"/>
        </w:rPr>
      </w:pPr>
    </w:p>
    <w:p w14:paraId="46A6B7DC" w14:textId="77777777" w:rsidR="00C36412" w:rsidRDefault="00C36412" w:rsidP="003C3AAF">
      <w:pPr>
        <w:spacing w:afterLines="200" w:after="480" w:line="276" w:lineRule="auto"/>
        <w:rPr>
          <w:rFonts w:ascii="Arial" w:hAnsi="Arial" w:cs="Arial"/>
          <w:sz w:val="24"/>
          <w:szCs w:val="24"/>
        </w:rPr>
      </w:pPr>
    </w:p>
    <w:p w14:paraId="04E85EF9" w14:textId="77777777" w:rsidR="00C36412" w:rsidRDefault="00C36412" w:rsidP="003C3AAF">
      <w:pPr>
        <w:spacing w:afterLines="200" w:after="480" w:line="276" w:lineRule="auto"/>
        <w:rPr>
          <w:rFonts w:ascii="Arial" w:hAnsi="Arial" w:cs="Arial"/>
          <w:sz w:val="24"/>
          <w:szCs w:val="24"/>
        </w:rPr>
      </w:pPr>
    </w:p>
    <w:p w14:paraId="61902715" w14:textId="77777777" w:rsidR="00C36412" w:rsidRDefault="00C36412" w:rsidP="003C3AAF">
      <w:pPr>
        <w:spacing w:afterLines="200" w:after="480" w:line="276" w:lineRule="auto"/>
        <w:rPr>
          <w:rFonts w:ascii="Arial" w:hAnsi="Arial" w:cs="Arial"/>
          <w:sz w:val="24"/>
          <w:szCs w:val="24"/>
        </w:rPr>
      </w:pPr>
    </w:p>
    <w:p w14:paraId="72384C68" w14:textId="77777777" w:rsidR="00C36412" w:rsidRDefault="00C36412" w:rsidP="003C3AAF">
      <w:pPr>
        <w:spacing w:afterLines="200" w:after="480" w:line="276" w:lineRule="auto"/>
        <w:rPr>
          <w:rFonts w:ascii="Arial" w:hAnsi="Arial" w:cs="Arial"/>
          <w:sz w:val="24"/>
          <w:szCs w:val="24"/>
        </w:rPr>
      </w:pPr>
    </w:p>
    <w:p w14:paraId="74D834AE" w14:textId="77777777" w:rsidR="00375775" w:rsidRDefault="00375775" w:rsidP="008B4ECC">
      <w:pPr>
        <w:jc w:val="right"/>
        <w:rPr>
          <w:rFonts w:ascii="Arial" w:hAnsi="Arial" w:cs="Arial"/>
          <w:b/>
          <w:sz w:val="24"/>
          <w:szCs w:val="24"/>
        </w:rPr>
      </w:pPr>
    </w:p>
    <w:p w14:paraId="2569DDA4" w14:textId="77777777" w:rsidR="00DA752D" w:rsidRPr="00853770" w:rsidRDefault="00626E87" w:rsidP="008B4ECC">
      <w:pPr>
        <w:jc w:val="right"/>
        <w:rPr>
          <w:rFonts w:ascii="Arial" w:hAnsi="Arial" w:cs="Arial"/>
          <w:b/>
          <w:sz w:val="24"/>
          <w:szCs w:val="24"/>
        </w:rPr>
      </w:pPr>
      <w:r w:rsidRPr="00853770">
        <w:rPr>
          <w:rFonts w:ascii="Arial" w:hAnsi="Arial" w:cs="Arial"/>
          <w:b/>
          <w:sz w:val="24"/>
          <w:szCs w:val="24"/>
        </w:rPr>
        <w:t>A</w:t>
      </w:r>
      <w:r w:rsidR="00DA752D" w:rsidRPr="00853770">
        <w:rPr>
          <w:rFonts w:ascii="Arial" w:hAnsi="Arial" w:cs="Arial"/>
          <w:b/>
          <w:sz w:val="24"/>
          <w:szCs w:val="24"/>
        </w:rPr>
        <w:t>ppendix 9</w:t>
      </w:r>
    </w:p>
    <w:p w14:paraId="69689BBE" w14:textId="77777777" w:rsidR="00DA752D" w:rsidRDefault="00DA752D" w:rsidP="00DA752D">
      <w:pPr>
        <w:jc w:val="both"/>
        <w:rPr>
          <w:rFonts w:ascii="Arial" w:hAnsi="Arial" w:cs="Arial"/>
          <w:b/>
          <w:szCs w:val="28"/>
        </w:rPr>
      </w:pPr>
    </w:p>
    <w:p w14:paraId="6D2BA695" w14:textId="77777777" w:rsidR="00DA752D" w:rsidRDefault="00DA752D" w:rsidP="00DA752D">
      <w:pPr>
        <w:jc w:val="both"/>
        <w:rPr>
          <w:rFonts w:ascii="Arial" w:hAnsi="Arial" w:cs="Arial"/>
          <w:b/>
          <w:szCs w:val="28"/>
        </w:rPr>
      </w:pPr>
      <w:r w:rsidRPr="000D4F44">
        <w:rPr>
          <w:rFonts w:ascii="Arial" w:hAnsi="Arial" w:cs="Arial"/>
          <w:b/>
          <w:szCs w:val="28"/>
        </w:rPr>
        <w:t>Local Government Pension Scheme (LGPS) -</w:t>
      </w:r>
      <w:r>
        <w:rPr>
          <w:rFonts w:ascii="Arial" w:hAnsi="Arial" w:cs="Arial"/>
          <w:b/>
          <w:szCs w:val="28"/>
        </w:rPr>
        <w:t xml:space="preserve"> </w:t>
      </w:r>
      <w:r w:rsidRPr="000D4F44">
        <w:rPr>
          <w:rFonts w:ascii="Arial" w:hAnsi="Arial" w:cs="Arial"/>
          <w:b/>
          <w:szCs w:val="28"/>
        </w:rPr>
        <w:t xml:space="preserve">Governance Arrangements </w:t>
      </w:r>
    </w:p>
    <w:p w14:paraId="3EA284CF" w14:textId="77777777" w:rsidR="00DA752D" w:rsidRDefault="00DA752D" w:rsidP="00DA752D">
      <w:pPr>
        <w:jc w:val="both"/>
        <w:rPr>
          <w:rFonts w:ascii="Arial" w:hAnsi="Arial"/>
          <w:sz w:val="24"/>
        </w:rPr>
      </w:pPr>
    </w:p>
    <w:p w14:paraId="7BCDDB94" w14:textId="77777777" w:rsidR="00DA752D" w:rsidRDefault="00DA752D" w:rsidP="00DA752D">
      <w:pPr>
        <w:jc w:val="both"/>
        <w:rPr>
          <w:rFonts w:ascii="Arial" w:hAnsi="Arial"/>
          <w:b/>
          <w:sz w:val="24"/>
        </w:rPr>
      </w:pPr>
      <w:r w:rsidRPr="000D4F44">
        <w:rPr>
          <w:rFonts w:ascii="Arial" w:hAnsi="Arial"/>
          <w:b/>
          <w:sz w:val="24"/>
        </w:rPr>
        <w:t>Introduction</w:t>
      </w:r>
    </w:p>
    <w:p w14:paraId="236DA990" w14:textId="77777777" w:rsidR="00DA752D" w:rsidRDefault="00DA752D" w:rsidP="00DA752D">
      <w:pPr>
        <w:jc w:val="both"/>
        <w:rPr>
          <w:rFonts w:ascii="Arial" w:hAnsi="Arial"/>
          <w:sz w:val="24"/>
        </w:rPr>
      </w:pPr>
      <w:r>
        <w:rPr>
          <w:rFonts w:ascii="Arial" w:hAnsi="Arial"/>
          <w:sz w:val="24"/>
        </w:rPr>
        <w:t xml:space="preserve">The City &amp; County of Swansea Pension Fund formally adopted its governance policy at the </w:t>
      </w:r>
      <w:r w:rsidR="00891EB3">
        <w:rPr>
          <w:rFonts w:ascii="Arial" w:hAnsi="Arial"/>
          <w:sz w:val="24"/>
        </w:rPr>
        <w:t xml:space="preserve">Pension Fund </w:t>
      </w:r>
      <w:r w:rsidR="00475A78">
        <w:rPr>
          <w:rFonts w:ascii="Arial" w:hAnsi="Arial"/>
          <w:sz w:val="24"/>
        </w:rPr>
        <w:t>Panel</w:t>
      </w:r>
      <w:r>
        <w:rPr>
          <w:rFonts w:ascii="Arial" w:hAnsi="Arial"/>
          <w:sz w:val="24"/>
        </w:rPr>
        <w:t xml:space="preserve"> </w:t>
      </w:r>
      <w:r w:rsidR="00A82870">
        <w:rPr>
          <w:rFonts w:ascii="Arial" w:hAnsi="Arial"/>
          <w:sz w:val="24"/>
        </w:rPr>
        <w:t xml:space="preserve">(subsequently Pension Fund </w:t>
      </w:r>
      <w:r w:rsidR="00A82870" w:rsidRPr="00A82870">
        <w:rPr>
          <w:rFonts w:ascii="Arial" w:hAnsi="Arial"/>
          <w:sz w:val="24"/>
        </w:rPr>
        <w:t xml:space="preserve">Committee) </w:t>
      </w:r>
      <w:r w:rsidRPr="00A82870">
        <w:rPr>
          <w:rFonts w:ascii="Arial" w:hAnsi="Arial"/>
          <w:sz w:val="24"/>
        </w:rPr>
        <w:t>meeting of the 8</w:t>
      </w:r>
      <w:r w:rsidRPr="00A82870">
        <w:rPr>
          <w:rFonts w:ascii="Arial" w:hAnsi="Arial"/>
          <w:sz w:val="24"/>
          <w:vertAlign w:val="superscript"/>
        </w:rPr>
        <w:t>th</w:t>
      </w:r>
      <w:r w:rsidRPr="00A82870">
        <w:rPr>
          <w:rFonts w:ascii="Arial" w:hAnsi="Arial"/>
          <w:sz w:val="24"/>
        </w:rPr>
        <w:t xml:space="preserve"> March 2006, attached at Appendix A for information.</w:t>
      </w:r>
    </w:p>
    <w:p w14:paraId="410EC943" w14:textId="77777777" w:rsidR="00DA752D" w:rsidRDefault="00DA752D" w:rsidP="00DA752D">
      <w:pPr>
        <w:jc w:val="both"/>
        <w:rPr>
          <w:rFonts w:ascii="Arial" w:hAnsi="Arial"/>
          <w:sz w:val="24"/>
        </w:rPr>
      </w:pPr>
    </w:p>
    <w:p w14:paraId="6F4BE1E9" w14:textId="77777777" w:rsidR="00DA752D" w:rsidRDefault="00DA752D" w:rsidP="00DA752D">
      <w:pPr>
        <w:jc w:val="both"/>
        <w:rPr>
          <w:rFonts w:ascii="Arial" w:hAnsi="Arial"/>
          <w:sz w:val="24"/>
        </w:rPr>
      </w:pPr>
      <w:r>
        <w:rPr>
          <w:rFonts w:ascii="Arial" w:hAnsi="Arial"/>
          <w:sz w:val="24"/>
        </w:rPr>
        <w:t>Administering Authorities are required by the Department of Communities and Local Government to review the same, with a view to finalising revised arrangements by 1</w:t>
      </w:r>
      <w:r w:rsidRPr="0036732F">
        <w:rPr>
          <w:rFonts w:ascii="Arial" w:hAnsi="Arial"/>
          <w:sz w:val="24"/>
          <w:vertAlign w:val="superscript"/>
        </w:rPr>
        <w:t>st</w:t>
      </w:r>
      <w:r>
        <w:rPr>
          <w:rFonts w:ascii="Arial" w:hAnsi="Arial"/>
          <w:sz w:val="24"/>
        </w:rPr>
        <w:t xml:space="preserve">  March  2008.</w:t>
      </w:r>
    </w:p>
    <w:p w14:paraId="4D2687ED" w14:textId="77777777" w:rsidR="00DA752D" w:rsidRDefault="00DA752D" w:rsidP="00DA752D">
      <w:pPr>
        <w:jc w:val="both"/>
        <w:rPr>
          <w:rFonts w:ascii="Arial" w:hAnsi="Arial"/>
          <w:sz w:val="24"/>
        </w:rPr>
      </w:pPr>
    </w:p>
    <w:p w14:paraId="5A3978AC" w14:textId="77777777" w:rsidR="00DA752D" w:rsidRDefault="00DA752D" w:rsidP="00DA752D">
      <w:pPr>
        <w:jc w:val="both"/>
        <w:rPr>
          <w:rFonts w:ascii="Arial" w:hAnsi="Arial"/>
          <w:sz w:val="24"/>
        </w:rPr>
      </w:pPr>
      <w:r>
        <w:rPr>
          <w:rFonts w:ascii="Arial" w:hAnsi="Arial"/>
          <w:sz w:val="24"/>
        </w:rPr>
        <w:t xml:space="preserve">Following the receipt of the responses to the above exercise, the department for Communities and Local Government have issued governance compliance statutory guidance attached at </w:t>
      </w:r>
      <w:r w:rsidRPr="00944356">
        <w:rPr>
          <w:rFonts w:ascii="Arial" w:hAnsi="Arial"/>
          <w:sz w:val="24"/>
        </w:rPr>
        <w:t>Appendix B</w:t>
      </w:r>
      <w:r>
        <w:rPr>
          <w:rFonts w:ascii="Arial" w:hAnsi="Arial"/>
          <w:sz w:val="24"/>
        </w:rPr>
        <w:t xml:space="preserve"> against which Administering Authorities are asked to benchmark local arrangements and produce revised policy statements.</w:t>
      </w:r>
    </w:p>
    <w:p w14:paraId="69D735B3" w14:textId="77777777" w:rsidR="00DA752D" w:rsidRDefault="00DA752D" w:rsidP="00DA752D">
      <w:pPr>
        <w:jc w:val="both"/>
        <w:rPr>
          <w:rFonts w:ascii="Arial" w:hAnsi="Arial"/>
          <w:sz w:val="24"/>
        </w:rPr>
      </w:pPr>
    </w:p>
    <w:p w14:paraId="0033FE5B" w14:textId="77777777" w:rsidR="00DA752D" w:rsidRDefault="00DA752D" w:rsidP="00DA752D">
      <w:pPr>
        <w:jc w:val="both"/>
        <w:rPr>
          <w:rFonts w:ascii="Arial" w:hAnsi="Arial"/>
          <w:b/>
          <w:sz w:val="24"/>
        </w:rPr>
      </w:pPr>
      <w:r>
        <w:rPr>
          <w:rFonts w:ascii="Arial" w:hAnsi="Arial"/>
          <w:b/>
          <w:sz w:val="24"/>
        </w:rPr>
        <w:t xml:space="preserve">The </w:t>
      </w:r>
      <w:r w:rsidRPr="00CA6712">
        <w:rPr>
          <w:rFonts w:ascii="Arial" w:hAnsi="Arial"/>
          <w:b/>
          <w:sz w:val="24"/>
        </w:rPr>
        <w:t>City &amp; County of Swansea</w:t>
      </w:r>
      <w:r>
        <w:rPr>
          <w:rFonts w:ascii="Arial" w:hAnsi="Arial"/>
          <w:b/>
          <w:sz w:val="24"/>
        </w:rPr>
        <w:t xml:space="preserve"> Pension Fund Governance Arrangements</w:t>
      </w:r>
    </w:p>
    <w:p w14:paraId="65B192DE" w14:textId="77777777" w:rsidR="00DA752D" w:rsidRDefault="00DA752D" w:rsidP="00DA752D">
      <w:pPr>
        <w:jc w:val="both"/>
        <w:rPr>
          <w:rFonts w:ascii="Arial" w:hAnsi="Arial"/>
          <w:sz w:val="24"/>
        </w:rPr>
      </w:pPr>
      <w:r w:rsidRPr="006C5B9D">
        <w:rPr>
          <w:rFonts w:ascii="Arial" w:hAnsi="Arial"/>
          <w:sz w:val="24"/>
        </w:rPr>
        <w:t xml:space="preserve">In </w:t>
      </w:r>
      <w:r>
        <w:rPr>
          <w:rFonts w:ascii="Arial" w:hAnsi="Arial"/>
          <w:sz w:val="24"/>
        </w:rPr>
        <w:t xml:space="preserve">accordance with the guidance issued, an evaluation of current local governance arrangements has been undertaken (Appendix C) which measures compliance against the nine main principles </w:t>
      </w:r>
      <w:r w:rsidR="00C65DAC" w:rsidRPr="00E23135">
        <w:rPr>
          <w:rFonts w:ascii="Arial" w:hAnsi="Arial"/>
          <w:sz w:val="24"/>
        </w:rPr>
        <w:t>identified</w:t>
      </w:r>
      <w:r w:rsidRPr="00E23135">
        <w:rPr>
          <w:rFonts w:ascii="Arial" w:hAnsi="Arial"/>
          <w:sz w:val="24"/>
        </w:rPr>
        <w:t>:</w:t>
      </w:r>
    </w:p>
    <w:p w14:paraId="685C3620" w14:textId="77777777" w:rsidR="00DA752D" w:rsidRDefault="00DA752D" w:rsidP="00DA752D">
      <w:pPr>
        <w:jc w:val="both"/>
        <w:rPr>
          <w:rFonts w:ascii="Arial" w:hAnsi="Arial"/>
          <w:sz w:val="24"/>
        </w:rPr>
      </w:pPr>
    </w:p>
    <w:p w14:paraId="34954BEF" w14:textId="77777777" w:rsidR="00DA752D" w:rsidRDefault="00DA752D" w:rsidP="000E5920">
      <w:pPr>
        <w:numPr>
          <w:ilvl w:val="0"/>
          <w:numId w:val="17"/>
        </w:numPr>
        <w:overflowPunct w:val="0"/>
        <w:autoSpaceDE w:val="0"/>
        <w:autoSpaceDN w:val="0"/>
        <w:adjustRightInd w:val="0"/>
        <w:jc w:val="both"/>
        <w:textAlignment w:val="baseline"/>
        <w:rPr>
          <w:rFonts w:ascii="Arial" w:hAnsi="Arial"/>
          <w:sz w:val="24"/>
        </w:rPr>
      </w:pPr>
      <w:r>
        <w:rPr>
          <w:rFonts w:ascii="Arial" w:hAnsi="Arial"/>
          <w:sz w:val="24"/>
        </w:rPr>
        <w:t>Structure</w:t>
      </w:r>
    </w:p>
    <w:p w14:paraId="5E8ECF49" w14:textId="77777777" w:rsidR="00DA752D" w:rsidRDefault="00DA752D" w:rsidP="000E5920">
      <w:pPr>
        <w:numPr>
          <w:ilvl w:val="0"/>
          <w:numId w:val="17"/>
        </w:numPr>
        <w:overflowPunct w:val="0"/>
        <w:autoSpaceDE w:val="0"/>
        <w:autoSpaceDN w:val="0"/>
        <w:adjustRightInd w:val="0"/>
        <w:jc w:val="both"/>
        <w:textAlignment w:val="baseline"/>
        <w:rPr>
          <w:rFonts w:ascii="Arial" w:hAnsi="Arial"/>
          <w:sz w:val="24"/>
        </w:rPr>
      </w:pPr>
      <w:r>
        <w:rPr>
          <w:rFonts w:ascii="Arial" w:hAnsi="Arial"/>
          <w:sz w:val="24"/>
        </w:rPr>
        <w:t>Representation</w:t>
      </w:r>
    </w:p>
    <w:p w14:paraId="27B31DF4" w14:textId="77777777" w:rsidR="00DA752D" w:rsidRDefault="00DA752D" w:rsidP="000E5920">
      <w:pPr>
        <w:numPr>
          <w:ilvl w:val="0"/>
          <w:numId w:val="17"/>
        </w:numPr>
        <w:overflowPunct w:val="0"/>
        <w:autoSpaceDE w:val="0"/>
        <w:autoSpaceDN w:val="0"/>
        <w:adjustRightInd w:val="0"/>
        <w:jc w:val="both"/>
        <w:textAlignment w:val="baseline"/>
        <w:rPr>
          <w:rFonts w:ascii="Arial" w:hAnsi="Arial"/>
          <w:sz w:val="24"/>
        </w:rPr>
      </w:pPr>
      <w:r>
        <w:rPr>
          <w:rFonts w:ascii="Arial" w:hAnsi="Arial"/>
          <w:sz w:val="24"/>
        </w:rPr>
        <w:t>Selection and role of lay members</w:t>
      </w:r>
    </w:p>
    <w:p w14:paraId="1D90EBD7" w14:textId="77777777" w:rsidR="00DA752D" w:rsidRDefault="00DA752D" w:rsidP="000E5920">
      <w:pPr>
        <w:numPr>
          <w:ilvl w:val="0"/>
          <w:numId w:val="17"/>
        </w:numPr>
        <w:overflowPunct w:val="0"/>
        <w:autoSpaceDE w:val="0"/>
        <w:autoSpaceDN w:val="0"/>
        <w:adjustRightInd w:val="0"/>
        <w:jc w:val="both"/>
        <w:textAlignment w:val="baseline"/>
        <w:rPr>
          <w:rFonts w:ascii="Arial" w:hAnsi="Arial"/>
          <w:sz w:val="24"/>
        </w:rPr>
      </w:pPr>
      <w:r>
        <w:rPr>
          <w:rFonts w:ascii="Arial" w:hAnsi="Arial"/>
          <w:sz w:val="24"/>
        </w:rPr>
        <w:t>Voting</w:t>
      </w:r>
    </w:p>
    <w:p w14:paraId="5BB4548C" w14:textId="77777777" w:rsidR="00DA752D" w:rsidRDefault="00DA752D" w:rsidP="000E5920">
      <w:pPr>
        <w:numPr>
          <w:ilvl w:val="0"/>
          <w:numId w:val="17"/>
        </w:numPr>
        <w:overflowPunct w:val="0"/>
        <w:autoSpaceDE w:val="0"/>
        <w:autoSpaceDN w:val="0"/>
        <w:adjustRightInd w:val="0"/>
        <w:jc w:val="both"/>
        <w:textAlignment w:val="baseline"/>
        <w:rPr>
          <w:rFonts w:ascii="Arial" w:hAnsi="Arial"/>
          <w:sz w:val="24"/>
        </w:rPr>
      </w:pPr>
      <w:r>
        <w:rPr>
          <w:rFonts w:ascii="Arial" w:hAnsi="Arial"/>
          <w:sz w:val="24"/>
        </w:rPr>
        <w:t>Training/Facility time/Expenses</w:t>
      </w:r>
    </w:p>
    <w:p w14:paraId="301C569A" w14:textId="77777777" w:rsidR="00DA752D" w:rsidRDefault="00DA752D" w:rsidP="000E5920">
      <w:pPr>
        <w:numPr>
          <w:ilvl w:val="0"/>
          <w:numId w:val="17"/>
        </w:numPr>
        <w:overflowPunct w:val="0"/>
        <w:autoSpaceDE w:val="0"/>
        <w:autoSpaceDN w:val="0"/>
        <w:adjustRightInd w:val="0"/>
        <w:jc w:val="both"/>
        <w:textAlignment w:val="baseline"/>
        <w:rPr>
          <w:rFonts w:ascii="Arial" w:hAnsi="Arial"/>
          <w:sz w:val="24"/>
        </w:rPr>
      </w:pPr>
      <w:r>
        <w:rPr>
          <w:rFonts w:ascii="Arial" w:hAnsi="Arial"/>
          <w:sz w:val="24"/>
        </w:rPr>
        <w:t>Meetings (frequency/quorum)</w:t>
      </w:r>
    </w:p>
    <w:p w14:paraId="4A332052" w14:textId="77777777" w:rsidR="00DA752D" w:rsidRDefault="00DA752D" w:rsidP="000E5920">
      <w:pPr>
        <w:numPr>
          <w:ilvl w:val="0"/>
          <w:numId w:val="17"/>
        </w:numPr>
        <w:overflowPunct w:val="0"/>
        <w:autoSpaceDE w:val="0"/>
        <w:autoSpaceDN w:val="0"/>
        <w:adjustRightInd w:val="0"/>
        <w:jc w:val="both"/>
        <w:textAlignment w:val="baseline"/>
        <w:rPr>
          <w:rFonts w:ascii="Arial" w:hAnsi="Arial"/>
          <w:sz w:val="24"/>
        </w:rPr>
      </w:pPr>
      <w:r>
        <w:rPr>
          <w:rFonts w:ascii="Arial" w:hAnsi="Arial"/>
          <w:sz w:val="24"/>
        </w:rPr>
        <w:t>Access</w:t>
      </w:r>
    </w:p>
    <w:p w14:paraId="266BC37B" w14:textId="77777777" w:rsidR="00DA752D" w:rsidRDefault="00DA752D" w:rsidP="000E5920">
      <w:pPr>
        <w:numPr>
          <w:ilvl w:val="0"/>
          <w:numId w:val="17"/>
        </w:numPr>
        <w:overflowPunct w:val="0"/>
        <w:autoSpaceDE w:val="0"/>
        <w:autoSpaceDN w:val="0"/>
        <w:adjustRightInd w:val="0"/>
        <w:jc w:val="both"/>
        <w:textAlignment w:val="baseline"/>
        <w:rPr>
          <w:rFonts w:ascii="Arial" w:hAnsi="Arial"/>
          <w:sz w:val="24"/>
        </w:rPr>
      </w:pPr>
      <w:r>
        <w:rPr>
          <w:rFonts w:ascii="Arial" w:hAnsi="Arial"/>
          <w:sz w:val="24"/>
        </w:rPr>
        <w:t>Scope</w:t>
      </w:r>
    </w:p>
    <w:p w14:paraId="0F37096C" w14:textId="77777777" w:rsidR="00DA752D" w:rsidRDefault="00DA752D" w:rsidP="000E5920">
      <w:pPr>
        <w:numPr>
          <w:ilvl w:val="0"/>
          <w:numId w:val="17"/>
        </w:numPr>
        <w:overflowPunct w:val="0"/>
        <w:autoSpaceDE w:val="0"/>
        <w:autoSpaceDN w:val="0"/>
        <w:adjustRightInd w:val="0"/>
        <w:jc w:val="both"/>
        <w:textAlignment w:val="baseline"/>
        <w:rPr>
          <w:rFonts w:ascii="Arial" w:hAnsi="Arial"/>
          <w:sz w:val="24"/>
        </w:rPr>
      </w:pPr>
      <w:r>
        <w:rPr>
          <w:rFonts w:ascii="Arial" w:hAnsi="Arial"/>
          <w:sz w:val="24"/>
        </w:rPr>
        <w:t>Publicity</w:t>
      </w:r>
    </w:p>
    <w:p w14:paraId="4D712F81" w14:textId="77777777" w:rsidR="00DA752D" w:rsidRDefault="00DA752D" w:rsidP="00DA752D">
      <w:pPr>
        <w:jc w:val="both"/>
        <w:rPr>
          <w:rFonts w:ascii="Arial" w:hAnsi="Arial"/>
          <w:sz w:val="24"/>
        </w:rPr>
      </w:pPr>
    </w:p>
    <w:p w14:paraId="0A383558" w14:textId="77777777" w:rsidR="00DA752D" w:rsidRDefault="00DA752D" w:rsidP="00DA752D">
      <w:pPr>
        <w:jc w:val="both"/>
        <w:rPr>
          <w:rFonts w:ascii="Arial" w:hAnsi="Arial"/>
          <w:sz w:val="24"/>
        </w:rPr>
      </w:pPr>
      <w:r>
        <w:rPr>
          <w:rFonts w:ascii="Arial" w:hAnsi="Arial"/>
          <w:sz w:val="24"/>
        </w:rPr>
        <w:t xml:space="preserve">As can be seen in Appendix C, local arrangements would largely seem to be compliant save for the area of representation where arrangements could be perceived as non compliant. </w:t>
      </w:r>
    </w:p>
    <w:p w14:paraId="29631D67" w14:textId="77777777" w:rsidR="00DA752D" w:rsidRDefault="00DA752D" w:rsidP="00DA752D">
      <w:pPr>
        <w:jc w:val="both"/>
        <w:rPr>
          <w:rFonts w:ascii="Arial" w:hAnsi="Arial"/>
          <w:sz w:val="24"/>
        </w:rPr>
      </w:pPr>
    </w:p>
    <w:p w14:paraId="5A6BC73E" w14:textId="77777777" w:rsidR="00DA752D" w:rsidRDefault="00DA752D" w:rsidP="00DA752D">
      <w:pPr>
        <w:jc w:val="both"/>
        <w:rPr>
          <w:rFonts w:ascii="Arial" w:hAnsi="Arial"/>
          <w:sz w:val="24"/>
        </w:rPr>
      </w:pPr>
      <w:r>
        <w:rPr>
          <w:rFonts w:ascii="Arial" w:hAnsi="Arial"/>
          <w:sz w:val="24"/>
        </w:rPr>
        <w:t xml:space="preserve">The above position was discussed at length (subsequent to the publication of the guidance) with the DCLG and the context of the </w:t>
      </w:r>
      <w:r w:rsidRPr="00B26A74">
        <w:rPr>
          <w:rFonts w:ascii="Arial" w:hAnsi="Arial"/>
          <w:sz w:val="24"/>
        </w:rPr>
        <w:t>City &amp; County of Swansea</w:t>
      </w:r>
      <w:r>
        <w:rPr>
          <w:rFonts w:ascii="Arial" w:hAnsi="Arial"/>
          <w:sz w:val="24"/>
        </w:rPr>
        <w:t xml:space="preserve"> Pension Fund’s classification of ‘no forms of representation’.  It was subsequently recognised by the DCLG that the collaborative work undertaken by the CCSPF in undertaking roadshows, AGMs and having an observer member of another scheme employer should subsequently be recognised in the assessment of representation. </w:t>
      </w:r>
    </w:p>
    <w:p w14:paraId="73C772A8" w14:textId="77777777" w:rsidR="00DA752D" w:rsidRDefault="00DA752D" w:rsidP="00DA752D">
      <w:pPr>
        <w:jc w:val="both"/>
        <w:rPr>
          <w:rFonts w:ascii="Arial" w:hAnsi="Arial"/>
          <w:sz w:val="24"/>
        </w:rPr>
      </w:pPr>
    </w:p>
    <w:p w14:paraId="45868EC4" w14:textId="77777777" w:rsidR="00DA752D" w:rsidRPr="00262108" w:rsidRDefault="00DA752D" w:rsidP="00DA752D">
      <w:pPr>
        <w:jc w:val="both"/>
        <w:rPr>
          <w:rFonts w:ascii="Arial" w:hAnsi="Arial"/>
          <w:sz w:val="24"/>
        </w:rPr>
      </w:pPr>
      <w:r w:rsidRPr="00262108">
        <w:rPr>
          <w:rFonts w:ascii="Arial" w:hAnsi="Arial"/>
          <w:sz w:val="24"/>
        </w:rPr>
        <w:t>This Administering Authority has always contended that representation correlated with the risk undertaken and as scheme member contribution</w:t>
      </w:r>
      <w:r>
        <w:rPr>
          <w:rFonts w:ascii="Arial" w:hAnsi="Arial"/>
          <w:sz w:val="24"/>
        </w:rPr>
        <w:t xml:space="preserve"> rates</w:t>
      </w:r>
      <w:r w:rsidRPr="00262108">
        <w:rPr>
          <w:rFonts w:ascii="Arial" w:hAnsi="Arial"/>
          <w:sz w:val="24"/>
        </w:rPr>
        <w:t xml:space="preserve"> are guaranteed by statute, the only investment risk lies with the employers who are represented in the CCSPF by </w:t>
      </w:r>
      <w:r>
        <w:rPr>
          <w:rFonts w:ascii="Arial" w:hAnsi="Arial"/>
          <w:sz w:val="24"/>
        </w:rPr>
        <w:t xml:space="preserve">the </w:t>
      </w:r>
      <w:r w:rsidRPr="00262108">
        <w:rPr>
          <w:rFonts w:ascii="Arial" w:hAnsi="Arial"/>
          <w:sz w:val="24"/>
        </w:rPr>
        <w:t>member</w:t>
      </w:r>
      <w:r>
        <w:rPr>
          <w:rFonts w:ascii="Arial" w:hAnsi="Arial"/>
          <w:sz w:val="24"/>
        </w:rPr>
        <w:t>s</w:t>
      </w:r>
      <w:r w:rsidRPr="00262108">
        <w:rPr>
          <w:rFonts w:ascii="Arial" w:hAnsi="Arial"/>
          <w:sz w:val="24"/>
        </w:rPr>
        <w:t xml:space="preserve"> from</w:t>
      </w:r>
      <w:r>
        <w:rPr>
          <w:rFonts w:ascii="Arial" w:hAnsi="Arial"/>
          <w:sz w:val="24"/>
        </w:rPr>
        <w:t xml:space="preserve"> the </w:t>
      </w:r>
      <w:r w:rsidRPr="002A4C40">
        <w:rPr>
          <w:rFonts w:ascii="Arial" w:hAnsi="Arial"/>
          <w:sz w:val="24"/>
        </w:rPr>
        <w:t>City &amp; County of Swansea</w:t>
      </w:r>
      <w:r>
        <w:rPr>
          <w:rFonts w:ascii="Arial" w:hAnsi="Arial"/>
          <w:sz w:val="24"/>
        </w:rPr>
        <w:t xml:space="preserve"> and N</w:t>
      </w:r>
      <w:r w:rsidRPr="00262108">
        <w:rPr>
          <w:rFonts w:ascii="Arial" w:hAnsi="Arial"/>
          <w:sz w:val="24"/>
        </w:rPr>
        <w:t>eath Port Talbot</w:t>
      </w:r>
      <w:r>
        <w:rPr>
          <w:rFonts w:ascii="Arial" w:hAnsi="Arial"/>
          <w:sz w:val="24"/>
        </w:rPr>
        <w:t xml:space="preserve"> CBC.</w:t>
      </w:r>
    </w:p>
    <w:p w14:paraId="561FD93B" w14:textId="77777777" w:rsidR="00DA752D" w:rsidRPr="00262108" w:rsidRDefault="00DA752D" w:rsidP="00DA752D">
      <w:pPr>
        <w:jc w:val="both"/>
        <w:rPr>
          <w:rFonts w:ascii="Arial" w:hAnsi="Arial"/>
          <w:sz w:val="24"/>
        </w:rPr>
      </w:pPr>
    </w:p>
    <w:p w14:paraId="1EDD9915" w14:textId="77777777" w:rsidR="00DA752D" w:rsidRPr="00262108" w:rsidRDefault="00DA752D" w:rsidP="00DA752D">
      <w:pPr>
        <w:jc w:val="both"/>
        <w:rPr>
          <w:rFonts w:ascii="Arial" w:hAnsi="Arial"/>
          <w:sz w:val="24"/>
        </w:rPr>
      </w:pPr>
      <w:r w:rsidRPr="00262108">
        <w:rPr>
          <w:rFonts w:ascii="Arial" w:hAnsi="Arial"/>
          <w:sz w:val="24"/>
        </w:rPr>
        <w:t>There is also a comprehensive programme of consultative/informative meetings and roadshows with both employers and employees primarily:</w:t>
      </w:r>
    </w:p>
    <w:p w14:paraId="36467CA4" w14:textId="77777777" w:rsidR="00DA752D" w:rsidRPr="00262108" w:rsidRDefault="00DA752D" w:rsidP="00DA752D">
      <w:pPr>
        <w:jc w:val="both"/>
        <w:rPr>
          <w:rFonts w:ascii="Arial" w:hAnsi="Arial"/>
          <w:sz w:val="24"/>
        </w:rPr>
      </w:pPr>
    </w:p>
    <w:p w14:paraId="49287A64" w14:textId="77777777" w:rsidR="00DA752D" w:rsidRPr="00262108" w:rsidRDefault="00DA752D" w:rsidP="000E5920">
      <w:pPr>
        <w:numPr>
          <w:ilvl w:val="0"/>
          <w:numId w:val="16"/>
        </w:numPr>
        <w:overflowPunct w:val="0"/>
        <w:autoSpaceDE w:val="0"/>
        <w:autoSpaceDN w:val="0"/>
        <w:adjustRightInd w:val="0"/>
        <w:jc w:val="both"/>
        <w:textAlignment w:val="baseline"/>
        <w:rPr>
          <w:rFonts w:ascii="Arial" w:hAnsi="Arial"/>
          <w:sz w:val="24"/>
        </w:rPr>
      </w:pPr>
      <w:r w:rsidRPr="00262108">
        <w:rPr>
          <w:rFonts w:ascii="Arial" w:hAnsi="Arial"/>
          <w:sz w:val="24"/>
        </w:rPr>
        <w:t>The Annual Consultative meeting</w:t>
      </w:r>
    </w:p>
    <w:p w14:paraId="30EC2DDD" w14:textId="77777777" w:rsidR="00DA752D" w:rsidRPr="00262108" w:rsidRDefault="00DA752D" w:rsidP="000E5920">
      <w:pPr>
        <w:numPr>
          <w:ilvl w:val="0"/>
          <w:numId w:val="16"/>
        </w:numPr>
        <w:overflowPunct w:val="0"/>
        <w:autoSpaceDE w:val="0"/>
        <w:autoSpaceDN w:val="0"/>
        <w:adjustRightInd w:val="0"/>
        <w:jc w:val="both"/>
        <w:textAlignment w:val="baseline"/>
        <w:rPr>
          <w:rFonts w:ascii="Arial" w:hAnsi="Arial"/>
          <w:sz w:val="24"/>
        </w:rPr>
      </w:pPr>
      <w:r w:rsidRPr="00262108">
        <w:rPr>
          <w:rFonts w:ascii="Arial" w:hAnsi="Arial"/>
          <w:sz w:val="24"/>
        </w:rPr>
        <w:t xml:space="preserve">The </w:t>
      </w:r>
      <w:r>
        <w:rPr>
          <w:rFonts w:ascii="Arial" w:hAnsi="Arial"/>
          <w:sz w:val="24"/>
        </w:rPr>
        <w:t>A</w:t>
      </w:r>
      <w:r w:rsidRPr="00262108">
        <w:rPr>
          <w:rFonts w:ascii="Arial" w:hAnsi="Arial"/>
          <w:sz w:val="24"/>
        </w:rPr>
        <w:t>ctuarial valuation consultative programme</w:t>
      </w:r>
    </w:p>
    <w:p w14:paraId="6FA84176" w14:textId="77777777" w:rsidR="00DA752D" w:rsidRPr="00262108" w:rsidRDefault="00DA752D" w:rsidP="000E5920">
      <w:pPr>
        <w:numPr>
          <w:ilvl w:val="0"/>
          <w:numId w:val="16"/>
        </w:numPr>
        <w:overflowPunct w:val="0"/>
        <w:autoSpaceDE w:val="0"/>
        <w:autoSpaceDN w:val="0"/>
        <w:adjustRightInd w:val="0"/>
        <w:jc w:val="both"/>
        <w:textAlignment w:val="baseline"/>
        <w:rPr>
          <w:rFonts w:ascii="Arial" w:hAnsi="Arial"/>
          <w:sz w:val="24"/>
        </w:rPr>
      </w:pPr>
      <w:r w:rsidRPr="00262108">
        <w:rPr>
          <w:rFonts w:ascii="Arial" w:hAnsi="Arial"/>
          <w:sz w:val="24"/>
        </w:rPr>
        <w:t>Employers roadshows</w:t>
      </w:r>
    </w:p>
    <w:p w14:paraId="24E44554" w14:textId="77777777" w:rsidR="00DA752D" w:rsidRPr="00262108" w:rsidRDefault="00DA752D" w:rsidP="000E5920">
      <w:pPr>
        <w:numPr>
          <w:ilvl w:val="0"/>
          <w:numId w:val="16"/>
        </w:numPr>
        <w:overflowPunct w:val="0"/>
        <w:autoSpaceDE w:val="0"/>
        <w:autoSpaceDN w:val="0"/>
        <w:adjustRightInd w:val="0"/>
        <w:jc w:val="both"/>
        <w:textAlignment w:val="baseline"/>
        <w:rPr>
          <w:rFonts w:ascii="Arial" w:hAnsi="Arial"/>
          <w:sz w:val="24"/>
        </w:rPr>
      </w:pPr>
      <w:r w:rsidRPr="00262108">
        <w:rPr>
          <w:rFonts w:ascii="Arial" w:hAnsi="Arial"/>
          <w:sz w:val="24"/>
        </w:rPr>
        <w:t>Employees roadshows</w:t>
      </w:r>
      <w:r>
        <w:rPr>
          <w:rFonts w:ascii="Arial" w:hAnsi="Arial"/>
          <w:sz w:val="24"/>
        </w:rPr>
        <w:t>.</w:t>
      </w:r>
    </w:p>
    <w:p w14:paraId="64446BEC" w14:textId="77777777" w:rsidR="00DA752D" w:rsidRDefault="00DA752D" w:rsidP="00DA752D">
      <w:pPr>
        <w:jc w:val="both"/>
        <w:rPr>
          <w:rFonts w:ascii="Arial" w:hAnsi="Arial"/>
          <w:b/>
          <w:color w:val="FF0000"/>
          <w:sz w:val="24"/>
        </w:rPr>
      </w:pPr>
    </w:p>
    <w:p w14:paraId="2FED36B8" w14:textId="77777777" w:rsidR="00DA752D" w:rsidRDefault="00DA752D" w:rsidP="00DA752D">
      <w:pPr>
        <w:jc w:val="both"/>
        <w:rPr>
          <w:rFonts w:ascii="Arial" w:hAnsi="Arial"/>
          <w:b/>
          <w:color w:val="FF0000"/>
          <w:sz w:val="24"/>
        </w:rPr>
      </w:pPr>
    </w:p>
    <w:p w14:paraId="3A58FF98" w14:textId="77777777" w:rsidR="00DA752D" w:rsidRPr="009411B8" w:rsidRDefault="00DA752D" w:rsidP="00DA752D">
      <w:pPr>
        <w:jc w:val="both"/>
        <w:rPr>
          <w:rFonts w:ascii="Arial" w:hAnsi="Arial"/>
          <w:sz w:val="24"/>
        </w:rPr>
      </w:pPr>
      <w:r w:rsidRPr="009411B8">
        <w:rPr>
          <w:rFonts w:ascii="Arial" w:hAnsi="Arial"/>
          <w:sz w:val="24"/>
        </w:rPr>
        <w:t>Therefore in light of the above, it is the recommendation to retain current corporate governance structures, noting updates for new personnel, with an intention to review the structure when proposed risk sharing mechanisms are introduced which are timetabled for consideration in 2009/10.</w:t>
      </w:r>
    </w:p>
    <w:p w14:paraId="03524064" w14:textId="77777777" w:rsidR="00DA752D" w:rsidRPr="0022637A" w:rsidRDefault="00DA752D" w:rsidP="00DA752D">
      <w:pPr>
        <w:jc w:val="both"/>
        <w:rPr>
          <w:rFonts w:ascii="Arial" w:hAnsi="Arial"/>
          <w:sz w:val="24"/>
          <w:highlight w:val="yellow"/>
        </w:rPr>
      </w:pPr>
    </w:p>
    <w:p w14:paraId="057CEB76" w14:textId="77777777" w:rsidR="00DA752D" w:rsidRPr="00C203AE" w:rsidRDefault="00DA752D" w:rsidP="00DA752D">
      <w:pPr>
        <w:jc w:val="both"/>
        <w:rPr>
          <w:rFonts w:ascii="Arial" w:hAnsi="Arial"/>
          <w:sz w:val="24"/>
        </w:rPr>
      </w:pPr>
    </w:p>
    <w:p w14:paraId="2461CB03" w14:textId="77777777" w:rsidR="00DA752D" w:rsidRPr="00C203AE" w:rsidRDefault="00DA752D" w:rsidP="00DA752D">
      <w:pPr>
        <w:jc w:val="both"/>
        <w:rPr>
          <w:rFonts w:ascii="Arial" w:hAnsi="Arial"/>
          <w:sz w:val="24"/>
        </w:rPr>
      </w:pPr>
    </w:p>
    <w:p w14:paraId="56B604F3" w14:textId="77777777" w:rsidR="00DA752D" w:rsidRDefault="00DA752D" w:rsidP="00DA752D">
      <w:pPr>
        <w:jc w:val="both"/>
        <w:rPr>
          <w:rFonts w:ascii="Arial" w:hAnsi="Arial"/>
          <w:color w:val="FF0000"/>
          <w:sz w:val="24"/>
        </w:rPr>
      </w:pPr>
    </w:p>
    <w:p w14:paraId="1FE8CB30" w14:textId="77777777" w:rsidR="00DA752D" w:rsidRDefault="00DA752D" w:rsidP="00DA752D">
      <w:pPr>
        <w:jc w:val="both"/>
        <w:rPr>
          <w:rFonts w:ascii="Arial" w:hAnsi="Arial"/>
          <w:color w:val="FF0000"/>
          <w:sz w:val="24"/>
        </w:rPr>
      </w:pPr>
    </w:p>
    <w:p w14:paraId="40C7B79F" w14:textId="77777777" w:rsidR="00DA752D" w:rsidRDefault="00DA752D" w:rsidP="00DA752D">
      <w:pPr>
        <w:jc w:val="both"/>
        <w:rPr>
          <w:rFonts w:ascii="Arial" w:hAnsi="Arial"/>
          <w:color w:val="FF0000"/>
          <w:sz w:val="24"/>
        </w:rPr>
      </w:pPr>
      <w:r>
        <w:rPr>
          <w:rFonts w:ascii="Arial" w:hAnsi="Arial"/>
          <w:color w:val="FF0000"/>
          <w:sz w:val="24"/>
        </w:rPr>
        <w:br w:type="page"/>
      </w:r>
    </w:p>
    <w:p w14:paraId="48DC17AB" w14:textId="3CF84E96" w:rsidR="00DA752D" w:rsidRDefault="00516E75" w:rsidP="00DA752D">
      <w:pPr>
        <w:jc w:val="both"/>
        <w:rPr>
          <w:rFonts w:ascii="Arial" w:hAnsi="Arial"/>
          <w:color w:val="FF0000"/>
          <w:sz w:val="24"/>
        </w:rPr>
      </w:pPr>
      <w:r>
        <w:rPr>
          <w:noProof/>
          <w:lang w:eastAsia="en-GB"/>
        </w:rPr>
        <mc:AlternateContent>
          <mc:Choice Requires="wps">
            <w:drawing>
              <wp:anchor distT="0" distB="0" distL="114300" distR="114300" simplePos="0" relativeHeight="251631616" behindDoc="0" locked="0" layoutInCell="1" allowOverlap="1" wp14:anchorId="0B7EA7A0" wp14:editId="53A0054D">
                <wp:simplePos x="0" y="0"/>
                <wp:positionH relativeFrom="column">
                  <wp:posOffset>4166235</wp:posOffset>
                </wp:positionH>
                <wp:positionV relativeFrom="paragraph">
                  <wp:posOffset>-76835</wp:posOffset>
                </wp:positionV>
                <wp:extent cx="1196340" cy="342900"/>
                <wp:effectExtent l="0" t="0" r="0" b="0"/>
                <wp:wrapNone/>
                <wp:docPr id="5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42900"/>
                        </a:xfrm>
                        <a:prstGeom prst="rect">
                          <a:avLst/>
                        </a:prstGeom>
                        <a:solidFill>
                          <a:srgbClr val="FFFFFF"/>
                        </a:solidFill>
                        <a:ln w="9525">
                          <a:solidFill>
                            <a:srgbClr val="000000"/>
                          </a:solidFill>
                          <a:miter lim="800000"/>
                          <a:headEnd/>
                          <a:tailEnd/>
                        </a:ln>
                      </wps:spPr>
                      <wps:txbx>
                        <w:txbxContent>
                          <w:p w14:paraId="0DE528BC" w14:textId="77777777" w:rsidR="00F3354E" w:rsidRPr="004C7CE4" w:rsidRDefault="00F3354E" w:rsidP="00DA752D">
                            <w:pPr>
                              <w:jc w:val="right"/>
                              <w:rPr>
                                <w:rFonts w:ascii="Arial" w:hAnsi="Arial" w:cs="Arial"/>
                                <w:b/>
                                <w:sz w:val="24"/>
                                <w:szCs w:val="24"/>
                              </w:rPr>
                            </w:pPr>
                            <w:r>
                              <w:rPr>
                                <w:rFonts w:ascii="Arial" w:hAnsi="Arial" w:cs="Arial"/>
                                <w:b/>
                                <w:sz w:val="24"/>
                                <w:szCs w:val="24"/>
                              </w:rPr>
                              <w:t>Appendix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A7A0" id="Text Box 402" o:spid="_x0000_s1083" type="#_x0000_t202" style="position:absolute;left:0;text-align:left;margin-left:328.05pt;margin-top:-6.05pt;width:94.2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">
                <v:textbox>
                  <w:txbxContent>
                    <w:p w14:paraId="0DE528BC" w14:textId="77777777" w:rsidR="00F3354E" w:rsidRPr="004C7CE4" w:rsidRDefault="00F3354E" w:rsidP="00DA752D">
                      <w:pPr>
                        <w:jc w:val="right"/>
                        <w:rPr>
                          <w:rFonts w:ascii="Arial" w:hAnsi="Arial" w:cs="Arial"/>
                          <w:b/>
                          <w:sz w:val="24"/>
                          <w:szCs w:val="24"/>
                        </w:rPr>
                      </w:pPr>
                      <w:r>
                        <w:rPr>
                          <w:rFonts w:ascii="Arial" w:hAnsi="Arial" w:cs="Arial"/>
                          <w:b/>
                          <w:sz w:val="24"/>
                          <w:szCs w:val="24"/>
                        </w:rPr>
                        <w:t>Appendix A</w:t>
                      </w:r>
                    </w:p>
                  </w:txbxContent>
                </v:textbox>
              </v:shape>
            </w:pict>
          </mc:Fallback>
        </mc:AlternateContent>
      </w:r>
    </w:p>
    <w:p w14:paraId="3E84CAD8" w14:textId="77777777" w:rsidR="00DA752D" w:rsidRDefault="00DA752D" w:rsidP="00DA752D">
      <w:pPr>
        <w:jc w:val="both"/>
        <w:rPr>
          <w:rFonts w:ascii="Arial" w:hAnsi="Arial"/>
          <w:color w:val="FF0000"/>
          <w:sz w:val="24"/>
        </w:rPr>
      </w:pPr>
    </w:p>
    <w:p w14:paraId="0766A480" w14:textId="77777777" w:rsidR="00DA752D" w:rsidRDefault="00DA752D" w:rsidP="00DA752D">
      <w:pPr>
        <w:pStyle w:val="Heading1"/>
        <w:jc w:val="center"/>
        <w:rPr>
          <w:sz w:val="28"/>
        </w:rPr>
      </w:pPr>
      <w:r>
        <w:rPr>
          <w:sz w:val="28"/>
        </w:rPr>
        <w:t>City &amp; County of Swansea Pension Fund</w:t>
      </w:r>
    </w:p>
    <w:p w14:paraId="07C188C9" w14:textId="77777777" w:rsidR="00DA752D" w:rsidRDefault="00DA752D" w:rsidP="00DA752D">
      <w:pPr>
        <w:pStyle w:val="Heading1"/>
        <w:jc w:val="center"/>
        <w:rPr>
          <w:sz w:val="28"/>
        </w:rPr>
      </w:pPr>
      <w:r>
        <w:rPr>
          <w:sz w:val="28"/>
        </w:rPr>
        <w:t>Governance Policy Statement</w:t>
      </w:r>
    </w:p>
    <w:p w14:paraId="26A94909" w14:textId="77777777" w:rsidR="00DA752D" w:rsidRDefault="00DA752D" w:rsidP="00DA752D">
      <w:pPr>
        <w:rPr>
          <w:rFonts w:ascii="Arial" w:hAnsi="Arial"/>
          <w:b/>
          <w:sz w:val="24"/>
        </w:rPr>
      </w:pPr>
    </w:p>
    <w:p w14:paraId="476392B8" w14:textId="77777777" w:rsidR="00DA752D" w:rsidRDefault="00DA752D" w:rsidP="00DA752D">
      <w:pPr>
        <w:rPr>
          <w:rFonts w:ascii="Arial" w:hAnsi="Arial"/>
          <w:b/>
          <w:sz w:val="24"/>
        </w:rPr>
      </w:pPr>
      <w:r>
        <w:rPr>
          <w:rFonts w:ascii="Arial" w:hAnsi="Arial"/>
          <w:b/>
          <w:sz w:val="24"/>
        </w:rPr>
        <w:t>Background</w:t>
      </w:r>
    </w:p>
    <w:p w14:paraId="52007C60" w14:textId="77777777" w:rsidR="00DA752D" w:rsidRDefault="00DA752D" w:rsidP="00DA752D">
      <w:pPr>
        <w:pStyle w:val="BodyText"/>
      </w:pPr>
      <w:r>
        <w:t>In November 2005, the Government published the Local Government Pension Scheme (Amendment) (No.2) Regulations 2005.</w:t>
      </w:r>
    </w:p>
    <w:p w14:paraId="77B05F6A" w14:textId="77777777" w:rsidR="00DA752D" w:rsidRDefault="00DA752D" w:rsidP="00DA752D">
      <w:pPr>
        <w:jc w:val="both"/>
        <w:rPr>
          <w:rFonts w:ascii="Arial" w:hAnsi="Arial"/>
          <w:sz w:val="24"/>
        </w:rPr>
      </w:pPr>
    </w:p>
    <w:p w14:paraId="44495EF7" w14:textId="77777777" w:rsidR="00DA752D" w:rsidRPr="004C7CE4" w:rsidRDefault="00DA752D" w:rsidP="00DA752D">
      <w:pPr>
        <w:pStyle w:val="BodyText2"/>
        <w:rPr>
          <w:b/>
          <w:i/>
        </w:rPr>
      </w:pPr>
      <w:r w:rsidRPr="004C7CE4">
        <w:rPr>
          <w:b/>
          <w:i/>
        </w:rPr>
        <w:t>The regulations require administering authorities to prepare and publish a governance policy statement. This statement must indicate its delegated functions of the pension fund and its operational policies.</w:t>
      </w:r>
    </w:p>
    <w:p w14:paraId="4DCD1481" w14:textId="77777777" w:rsidR="00DA752D" w:rsidRDefault="00DA752D" w:rsidP="00DA752D">
      <w:pPr>
        <w:pStyle w:val="BodyText2"/>
      </w:pPr>
    </w:p>
    <w:p w14:paraId="4F986C7C" w14:textId="77777777" w:rsidR="00DA752D" w:rsidRPr="004C7CE4" w:rsidRDefault="00DA752D" w:rsidP="00DA752D">
      <w:pPr>
        <w:pStyle w:val="BodyText2"/>
        <w:rPr>
          <w:i/>
        </w:rPr>
      </w:pPr>
      <w:r w:rsidRPr="004C7CE4">
        <w:rPr>
          <w:i/>
        </w:rPr>
        <w:t>Constitutional Framework</w:t>
      </w:r>
    </w:p>
    <w:p w14:paraId="25869FCC" w14:textId="77777777" w:rsidR="00DA752D" w:rsidRDefault="00DA752D" w:rsidP="00DA752D">
      <w:pPr>
        <w:pStyle w:val="BodyText2"/>
        <w:rPr>
          <w:b/>
        </w:rPr>
      </w:pPr>
    </w:p>
    <w:p w14:paraId="38AD2B47" w14:textId="77777777" w:rsidR="00DA752D" w:rsidRPr="004C7CE4" w:rsidRDefault="00DA752D" w:rsidP="00DA752D">
      <w:pPr>
        <w:pStyle w:val="BodyText2"/>
        <w:rPr>
          <w:b/>
          <w:i/>
        </w:rPr>
      </w:pPr>
      <w:r w:rsidRPr="004C7CE4">
        <w:rPr>
          <w:b/>
          <w:i/>
        </w:rPr>
        <w:t xml:space="preserve">Under the Council’s scheme of Council delegated functions, the functions relating to local government pensions etc. under the regulations section 7, 12, or 24 of the Superannuation Act 1972 have been delegated to the Pension Fund </w:t>
      </w:r>
      <w:r w:rsidR="00236F79">
        <w:rPr>
          <w:b/>
          <w:i/>
        </w:rPr>
        <w:t>Pension Panel</w:t>
      </w:r>
      <w:r w:rsidRPr="004C7CE4">
        <w:rPr>
          <w:b/>
          <w:i/>
        </w:rPr>
        <w:t xml:space="preserve"> as a full executive function.</w:t>
      </w:r>
    </w:p>
    <w:p w14:paraId="66621849" w14:textId="77777777" w:rsidR="00DA752D" w:rsidRDefault="00DA752D" w:rsidP="00DA752D">
      <w:pPr>
        <w:pStyle w:val="BodyText2"/>
      </w:pPr>
    </w:p>
    <w:p w14:paraId="5C4A8C06" w14:textId="77777777" w:rsidR="00DA752D" w:rsidRDefault="00DA752D" w:rsidP="00DA752D">
      <w:pPr>
        <w:pStyle w:val="Heading1"/>
      </w:pPr>
      <w:r>
        <w:t>Introduction to Pension Fund Governance</w:t>
      </w:r>
    </w:p>
    <w:p w14:paraId="32EAA469" w14:textId="77777777" w:rsidR="00DA752D" w:rsidRDefault="00DA752D" w:rsidP="00DA752D">
      <w:pPr>
        <w:jc w:val="both"/>
        <w:rPr>
          <w:rFonts w:ascii="Arial" w:hAnsi="Arial"/>
          <w:sz w:val="24"/>
        </w:rPr>
      </w:pPr>
      <w:r>
        <w:rPr>
          <w:rFonts w:ascii="Arial" w:hAnsi="Arial"/>
          <w:sz w:val="24"/>
        </w:rPr>
        <w:t>Pension Fund management is often seen as secondary to the Administering Authority’s main agenda. Yet the financial health of the Pension Fund can exercise an important influence over the health of the entirety of the Authority’s finances as well as that of the significant number of other scheduled bodies and admitted bodies within the Fund. Also, a successful pension fund may have some influence in attracting and retaining staff.</w:t>
      </w:r>
    </w:p>
    <w:p w14:paraId="6EB22F00" w14:textId="77777777" w:rsidR="00DA752D" w:rsidRDefault="00DA752D" w:rsidP="00DA752D">
      <w:pPr>
        <w:jc w:val="both"/>
        <w:rPr>
          <w:rFonts w:ascii="Arial" w:hAnsi="Arial"/>
          <w:sz w:val="24"/>
        </w:rPr>
      </w:pPr>
    </w:p>
    <w:p w14:paraId="44C2118E" w14:textId="77777777" w:rsidR="00DA752D" w:rsidRDefault="00DA752D" w:rsidP="00DA752D">
      <w:pPr>
        <w:jc w:val="both"/>
        <w:rPr>
          <w:rFonts w:ascii="Arial" w:hAnsi="Arial"/>
          <w:sz w:val="24"/>
        </w:rPr>
      </w:pPr>
      <w:r>
        <w:rPr>
          <w:rFonts w:ascii="Arial" w:hAnsi="Arial"/>
          <w:sz w:val="24"/>
        </w:rPr>
        <w:t xml:space="preserve">In 2000, the Government commissioned a </w:t>
      </w:r>
      <w:r>
        <w:rPr>
          <w:rFonts w:ascii="Arial" w:hAnsi="Arial"/>
          <w:i/>
          <w:sz w:val="24"/>
        </w:rPr>
        <w:t>Review of Institutional investment in the UK</w:t>
      </w:r>
      <w:r>
        <w:rPr>
          <w:rFonts w:ascii="Arial" w:hAnsi="Arial"/>
          <w:sz w:val="24"/>
        </w:rPr>
        <w:t xml:space="preserve"> from Paul Myners, Chairman of the Gartmore Fund Management Group. The resultant report (known as the Myners Report) sets out a number of principles codifying best practice in Pension Fund management. </w:t>
      </w:r>
    </w:p>
    <w:p w14:paraId="6428467B" w14:textId="77777777" w:rsidR="00DA752D" w:rsidRDefault="00DA752D" w:rsidP="00DA752D">
      <w:pPr>
        <w:jc w:val="both"/>
        <w:rPr>
          <w:rFonts w:ascii="Arial" w:hAnsi="Arial"/>
          <w:sz w:val="24"/>
        </w:rPr>
      </w:pPr>
    </w:p>
    <w:p w14:paraId="7824CAFA" w14:textId="77777777" w:rsidR="00697F3F" w:rsidRDefault="00DA752D" w:rsidP="00DA752D">
      <w:pPr>
        <w:jc w:val="both"/>
        <w:rPr>
          <w:rFonts w:ascii="Arial" w:hAnsi="Arial"/>
          <w:sz w:val="24"/>
        </w:rPr>
      </w:pPr>
      <w:r>
        <w:rPr>
          <w:rFonts w:ascii="Arial" w:hAnsi="Arial"/>
          <w:sz w:val="24"/>
        </w:rPr>
        <w:t xml:space="preserve">Local Authority pension schemes are usually administered by so-called ‘upper tier’ authorities, i.e. counties, mets, unitaries and London boroughs. The top level of control is exercised by a Pensions Panel or </w:t>
      </w:r>
      <w:r w:rsidR="00891EB3">
        <w:rPr>
          <w:rFonts w:ascii="Arial" w:hAnsi="Arial"/>
          <w:sz w:val="24"/>
        </w:rPr>
        <w:t>Pension Fund Panel</w:t>
      </w:r>
      <w:r>
        <w:rPr>
          <w:rFonts w:ascii="Arial" w:hAnsi="Arial"/>
          <w:sz w:val="24"/>
        </w:rPr>
        <w:t xml:space="preserve"> (the precise nomenclature may vary from authority to authority) comprising host authority members and representation of scheduled and admitted bodies where appropriate. In effect, </w:t>
      </w:r>
    </w:p>
    <w:p w14:paraId="368BC10C" w14:textId="77777777" w:rsidR="00697F3F" w:rsidRDefault="00697F3F" w:rsidP="00DA752D">
      <w:pPr>
        <w:jc w:val="both"/>
        <w:rPr>
          <w:rFonts w:ascii="Arial" w:hAnsi="Arial"/>
          <w:sz w:val="24"/>
        </w:rPr>
      </w:pPr>
    </w:p>
    <w:p w14:paraId="2A79B650" w14:textId="77777777" w:rsidR="00697F3F" w:rsidRDefault="00697F3F" w:rsidP="00DA752D">
      <w:pPr>
        <w:jc w:val="both"/>
        <w:rPr>
          <w:rFonts w:ascii="Arial" w:hAnsi="Arial"/>
          <w:sz w:val="24"/>
        </w:rPr>
      </w:pPr>
    </w:p>
    <w:p w14:paraId="1A53E372" w14:textId="77777777" w:rsidR="00697F3F" w:rsidRDefault="00697F3F" w:rsidP="00DA752D">
      <w:pPr>
        <w:jc w:val="both"/>
        <w:rPr>
          <w:rFonts w:ascii="Arial" w:hAnsi="Arial"/>
          <w:sz w:val="24"/>
        </w:rPr>
      </w:pPr>
    </w:p>
    <w:p w14:paraId="1F4951BA" w14:textId="77777777" w:rsidR="00DA752D" w:rsidRDefault="00DA752D" w:rsidP="00DA752D">
      <w:pPr>
        <w:jc w:val="both"/>
        <w:rPr>
          <w:rFonts w:ascii="Arial" w:hAnsi="Arial"/>
          <w:sz w:val="24"/>
        </w:rPr>
      </w:pPr>
      <w:r>
        <w:rPr>
          <w:rFonts w:ascii="Arial" w:hAnsi="Arial"/>
          <w:sz w:val="24"/>
        </w:rPr>
        <w:t xml:space="preserve">members of the panel fulfil a quasi trustee function, equivalent to the trustees of a private sector Pension Fund. </w:t>
      </w:r>
    </w:p>
    <w:p w14:paraId="5AD100B8" w14:textId="77777777" w:rsidR="00DA752D" w:rsidRDefault="00DA752D" w:rsidP="00DA752D">
      <w:pPr>
        <w:jc w:val="both"/>
        <w:rPr>
          <w:rFonts w:ascii="Arial" w:hAnsi="Arial"/>
          <w:sz w:val="24"/>
        </w:rPr>
      </w:pPr>
    </w:p>
    <w:p w14:paraId="1F157CDF" w14:textId="77777777" w:rsidR="00DA752D" w:rsidRDefault="00DA752D" w:rsidP="00DA752D">
      <w:pPr>
        <w:jc w:val="both"/>
        <w:rPr>
          <w:rFonts w:ascii="Arial" w:hAnsi="Arial"/>
          <w:sz w:val="24"/>
        </w:rPr>
      </w:pPr>
      <w:r>
        <w:rPr>
          <w:rFonts w:ascii="Arial" w:hAnsi="Arial"/>
          <w:sz w:val="24"/>
        </w:rPr>
        <w:t xml:space="preserve">Like many local government services, considerable elements of Pension Fund management are outsourced in order to harness the necessary expertise for what is a complex arena. The role of the Pensions Panel, and of officers, as agents of the Council is to determine a strategy, and to ensure that the strategy is properly and </w:t>
      </w:r>
      <w:r w:rsidRPr="00853770">
        <w:rPr>
          <w:rFonts w:ascii="Arial" w:hAnsi="Arial"/>
          <w:sz w:val="24"/>
        </w:rPr>
        <w:t>fully implemented. In effect, this is a procurement exercise, and as such requires skil</w:t>
      </w:r>
      <w:r>
        <w:rPr>
          <w:rFonts w:ascii="Arial" w:hAnsi="Arial"/>
          <w:sz w:val="24"/>
        </w:rPr>
        <w:t xml:space="preserve">ls that are needed in any procurement situation, for example: </w:t>
      </w:r>
    </w:p>
    <w:p w14:paraId="16642B51" w14:textId="77777777" w:rsidR="00DA752D" w:rsidRDefault="00DA752D" w:rsidP="00DA752D">
      <w:pPr>
        <w:jc w:val="both"/>
        <w:rPr>
          <w:rFonts w:ascii="Arial" w:hAnsi="Arial"/>
          <w:sz w:val="24"/>
        </w:rPr>
      </w:pPr>
    </w:p>
    <w:p w14:paraId="1BDE6DA9" w14:textId="77777777" w:rsidR="00DA752D" w:rsidRDefault="00DA752D" w:rsidP="000E5920">
      <w:pPr>
        <w:numPr>
          <w:ilvl w:val="0"/>
          <w:numId w:val="21"/>
        </w:numPr>
        <w:jc w:val="both"/>
        <w:rPr>
          <w:rFonts w:ascii="Arial" w:hAnsi="Arial"/>
          <w:sz w:val="24"/>
        </w:rPr>
      </w:pPr>
      <w:r>
        <w:rPr>
          <w:rFonts w:ascii="Arial" w:hAnsi="Arial"/>
          <w:sz w:val="24"/>
        </w:rPr>
        <w:t>A clear understanding of what the Fund is aiming to achieve and a strategy for achieving it.</w:t>
      </w:r>
    </w:p>
    <w:p w14:paraId="3F21BED1" w14:textId="77777777" w:rsidR="00DA752D" w:rsidRDefault="00DA752D" w:rsidP="000E5920">
      <w:pPr>
        <w:numPr>
          <w:ilvl w:val="0"/>
          <w:numId w:val="21"/>
        </w:numPr>
        <w:jc w:val="both"/>
        <w:rPr>
          <w:rFonts w:ascii="Arial" w:hAnsi="Arial"/>
          <w:sz w:val="24"/>
        </w:rPr>
      </w:pPr>
      <w:r>
        <w:rPr>
          <w:rFonts w:ascii="Arial" w:hAnsi="Arial"/>
          <w:sz w:val="24"/>
        </w:rPr>
        <w:t>Understanding the market and choices that can be made.</w:t>
      </w:r>
    </w:p>
    <w:p w14:paraId="0CA22A47" w14:textId="77777777" w:rsidR="00DA752D" w:rsidRDefault="00DA752D" w:rsidP="000E5920">
      <w:pPr>
        <w:numPr>
          <w:ilvl w:val="0"/>
          <w:numId w:val="21"/>
        </w:numPr>
        <w:jc w:val="both"/>
        <w:rPr>
          <w:rFonts w:ascii="Arial" w:hAnsi="Arial"/>
          <w:sz w:val="24"/>
        </w:rPr>
      </w:pPr>
      <w:r>
        <w:rPr>
          <w:rFonts w:ascii="Arial" w:hAnsi="Arial"/>
          <w:sz w:val="24"/>
        </w:rPr>
        <w:t>Deciding what needs to be provided in-house and what should be outsourced.</w:t>
      </w:r>
    </w:p>
    <w:p w14:paraId="443C8ACF" w14:textId="77777777" w:rsidR="00DA752D" w:rsidRDefault="00DA752D" w:rsidP="000E5920">
      <w:pPr>
        <w:numPr>
          <w:ilvl w:val="0"/>
          <w:numId w:val="21"/>
        </w:numPr>
        <w:jc w:val="both"/>
        <w:rPr>
          <w:rFonts w:ascii="Arial" w:hAnsi="Arial"/>
          <w:sz w:val="24"/>
        </w:rPr>
      </w:pPr>
      <w:r>
        <w:rPr>
          <w:rFonts w:ascii="Arial" w:hAnsi="Arial"/>
          <w:sz w:val="24"/>
        </w:rPr>
        <w:t>Defining and developing strong specifications for the services to be provided.</w:t>
      </w:r>
    </w:p>
    <w:p w14:paraId="61A5F6B2" w14:textId="77777777" w:rsidR="00DA752D" w:rsidRDefault="00DA752D" w:rsidP="000E5920">
      <w:pPr>
        <w:numPr>
          <w:ilvl w:val="0"/>
          <w:numId w:val="21"/>
        </w:numPr>
        <w:jc w:val="both"/>
        <w:rPr>
          <w:rFonts w:ascii="Arial" w:hAnsi="Arial"/>
          <w:sz w:val="24"/>
        </w:rPr>
      </w:pPr>
      <w:r>
        <w:rPr>
          <w:rFonts w:ascii="Arial" w:hAnsi="Arial"/>
          <w:sz w:val="24"/>
        </w:rPr>
        <w:t>Ensuring clear and open competition.</w:t>
      </w:r>
    </w:p>
    <w:p w14:paraId="36F60027" w14:textId="77777777" w:rsidR="00DA752D" w:rsidRDefault="00DA752D" w:rsidP="000E5920">
      <w:pPr>
        <w:numPr>
          <w:ilvl w:val="0"/>
          <w:numId w:val="21"/>
        </w:numPr>
        <w:jc w:val="both"/>
        <w:rPr>
          <w:rFonts w:ascii="Arial" w:hAnsi="Arial"/>
          <w:sz w:val="24"/>
        </w:rPr>
      </w:pPr>
      <w:r>
        <w:rPr>
          <w:rFonts w:ascii="Arial" w:hAnsi="Arial"/>
          <w:sz w:val="24"/>
        </w:rPr>
        <w:t>Managing relationships, both with in-house providers and contractors.</w:t>
      </w:r>
    </w:p>
    <w:p w14:paraId="1670AAD1" w14:textId="77777777" w:rsidR="00DA752D" w:rsidRDefault="00DA752D" w:rsidP="000E5920">
      <w:pPr>
        <w:numPr>
          <w:ilvl w:val="0"/>
          <w:numId w:val="21"/>
        </w:numPr>
        <w:jc w:val="both"/>
        <w:rPr>
          <w:rFonts w:ascii="Arial" w:hAnsi="Arial"/>
          <w:sz w:val="24"/>
        </w:rPr>
      </w:pPr>
      <w:r>
        <w:rPr>
          <w:rFonts w:ascii="Arial" w:hAnsi="Arial"/>
          <w:sz w:val="24"/>
        </w:rPr>
        <w:t>Setting rigorous performance measures, and implementing a feedback loop for reporting, evaluating and monitoring contractor performance (whether for services provided in-house or outsourced).</w:t>
      </w:r>
    </w:p>
    <w:p w14:paraId="7B55D4CF" w14:textId="77777777" w:rsidR="00DA752D" w:rsidRDefault="00DA752D" w:rsidP="00DA752D">
      <w:pPr>
        <w:jc w:val="both"/>
        <w:rPr>
          <w:rFonts w:ascii="Arial" w:hAnsi="Arial"/>
          <w:sz w:val="24"/>
        </w:rPr>
      </w:pPr>
    </w:p>
    <w:p w14:paraId="26D214F1" w14:textId="77777777" w:rsidR="00DA752D" w:rsidRDefault="00DA752D" w:rsidP="00DA752D">
      <w:pPr>
        <w:jc w:val="both"/>
        <w:rPr>
          <w:rFonts w:ascii="Arial" w:hAnsi="Arial"/>
          <w:sz w:val="24"/>
        </w:rPr>
      </w:pPr>
      <w:r>
        <w:rPr>
          <w:rFonts w:ascii="Arial" w:hAnsi="Arial"/>
          <w:sz w:val="24"/>
        </w:rPr>
        <w:t>Pension Fund Management can be divided into two main areas:</w:t>
      </w:r>
    </w:p>
    <w:p w14:paraId="647A323F" w14:textId="77777777" w:rsidR="00DA752D" w:rsidRDefault="00DA752D" w:rsidP="00DA752D">
      <w:pPr>
        <w:jc w:val="both"/>
        <w:rPr>
          <w:rFonts w:ascii="Arial" w:hAnsi="Arial"/>
          <w:sz w:val="24"/>
        </w:rPr>
      </w:pPr>
    </w:p>
    <w:p w14:paraId="3EE68CC7" w14:textId="77777777" w:rsidR="00DA752D" w:rsidRPr="0022637A" w:rsidRDefault="00DA752D" w:rsidP="000E5920">
      <w:pPr>
        <w:numPr>
          <w:ilvl w:val="0"/>
          <w:numId w:val="22"/>
        </w:numPr>
        <w:tabs>
          <w:tab w:val="num" w:pos="600"/>
        </w:tabs>
        <w:ind w:left="720"/>
        <w:jc w:val="both"/>
        <w:rPr>
          <w:rFonts w:ascii="Arial" w:hAnsi="Arial"/>
          <w:b/>
          <w:sz w:val="24"/>
        </w:rPr>
      </w:pPr>
      <w:r w:rsidRPr="0022637A">
        <w:rPr>
          <w:rFonts w:ascii="Arial" w:hAnsi="Arial"/>
          <w:b/>
          <w:sz w:val="24"/>
        </w:rPr>
        <w:t>Investment Management</w:t>
      </w:r>
    </w:p>
    <w:p w14:paraId="2DB38BBB" w14:textId="77777777" w:rsidR="00DA752D" w:rsidRDefault="00DA752D" w:rsidP="00DA752D">
      <w:pPr>
        <w:jc w:val="both"/>
        <w:rPr>
          <w:rFonts w:ascii="Arial" w:hAnsi="Arial"/>
          <w:sz w:val="24"/>
        </w:rPr>
      </w:pPr>
      <w:r>
        <w:rPr>
          <w:rFonts w:ascii="Arial" w:hAnsi="Arial"/>
          <w:sz w:val="24"/>
        </w:rPr>
        <w:t>As noted above, many aspects of investment management are carried out by a range of external specialist services, including:</w:t>
      </w:r>
    </w:p>
    <w:p w14:paraId="5C044BD0" w14:textId="77777777" w:rsidR="00DA752D" w:rsidRDefault="00DA752D" w:rsidP="00DA752D">
      <w:pPr>
        <w:jc w:val="both"/>
        <w:rPr>
          <w:rFonts w:ascii="Arial" w:hAnsi="Arial"/>
          <w:sz w:val="24"/>
        </w:rPr>
      </w:pPr>
    </w:p>
    <w:p w14:paraId="2BDD6453" w14:textId="77777777" w:rsidR="00DA752D" w:rsidRDefault="00DA752D" w:rsidP="000E5920">
      <w:pPr>
        <w:numPr>
          <w:ilvl w:val="0"/>
          <w:numId w:val="28"/>
        </w:numPr>
        <w:jc w:val="both"/>
        <w:rPr>
          <w:rFonts w:ascii="Arial" w:hAnsi="Arial"/>
          <w:sz w:val="24"/>
        </w:rPr>
      </w:pPr>
      <w:r>
        <w:rPr>
          <w:rFonts w:ascii="Arial" w:hAnsi="Arial"/>
          <w:b/>
          <w:sz w:val="24"/>
        </w:rPr>
        <w:t>Investment managers</w:t>
      </w:r>
      <w:r>
        <w:rPr>
          <w:rFonts w:ascii="Arial" w:hAnsi="Arial"/>
          <w:sz w:val="24"/>
        </w:rPr>
        <w:t xml:space="preserve"> who are responsible for managing the performance of the investment fund on a day-to-day basis. This will include making decisions on what to buy and sell and buying and selling itself, within the context of a broad investment policy laid down by the Administering Authority.</w:t>
      </w:r>
    </w:p>
    <w:p w14:paraId="675E7DFF" w14:textId="77777777" w:rsidR="00DA752D" w:rsidRDefault="00DA752D" w:rsidP="000E5920">
      <w:pPr>
        <w:numPr>
          <w:ilvl w:val="0"/>
          <w:numId w:val="28"/>
        </w:numPr>
        <w:jc w:val="both"/>
        <w:rPr>
          <w:rFonts w:ascii="Arial" w:hAnsi="Arial"/>
          <w:sz w:val="24"/>
        </w:rPr>
      </w:pPr>
      <w:r>
        <w:rPr>
          <w:rFonts w:ascii="Arial" w:hAnsi="Arial"/>
          <w:b/>
          <w:sz w:val="24"/>
        </w:rPr>
        <w:t xml:space="preserve">Investment advisers </w:t>
      </w:r>
      <w:r>
        <w:rPr>
          <w:rFonts w:ascii="Arial" w:hAnsi="Arial"/>
          <w:sz w:val="24"/>
        </w:rPr>
        <w:t>who may assist in setting the broader policy, evaluating fund manager performance and so on.</w:t>
      </w:r>
    </w:p>
    <w:p w14:paraId="2F14822B" w14:textId="77777777" w:rsidR="00DA752D" w:rsidRDefault="00DA752D" w:rsidP="000E5920">
      <w:pPr>
        <w:numPr>
          <w:ilvl w:val="0"/>
          <w:numId w:val="28"/>
        </w:numPr>
        <w:jc w:val="both"/>
        <w:rPr>
          <w:rFonts w:ascii="Arial" w:hAnsi="Arial"/>
          <w:sz w:val="24"/>
        </w:rPr>
      </w:pPr>
      <w:r>
        <w:rPr>
          <w:rFonts w:ascii="Arial" w:hAnsi="Arial"/>
          <w:b/>
          <w:sz w:val="24"/>
        </w:rPr>
        <w:t xml:space="preserve">Custodians </w:t>
      </w:r>
      <w:r>
        <w:rPr>
          <w:rFonts w:ascii="Arial" w:hAnsi="Arial"/>
          <w:sz w:val="24"/>
        </w:rPr>
        <w:t>whose role is to safeguard the existence of assets and to ensure the Fund has proper title to them.</w:t>
      </w:r>
    </w:p>
    <w:p w14:paraId="40D27FFE" w14:textId="77777777" w:rsidR="00DA752D" w:rsidRPr="00697F3F" w:rsidRDefault="00DA752D" w:rsidP="000E5920">
      <w:pPr>
        <w:numPr>
          <w:ilvl w:val="0"/>
          <w:numId w:val="28"/>
        </w:numPr>
        <w:jc w:val="both"/>
        <w:rPr>
          <w:rFonts w:ascii="Arial" w:hAnsi="Arial"/>
          <w:sz w:val="24"/>
        </w:rPr>
      </w:pPr>
      <w:r w:rsidRPr="00697F3F">
        <w:rPr>
          <w:rFonts w:ascii="Arial" w:hAnsi="Arial"/>
          <w:b/>
          <w:sz w:val="24"/>
        </w:rPr>
        <w:t xml:space="preserve">Actuaries </w:t>
      </w:r>
      <w:r w:rsidRPr="00697F3F">
        <w:rPr>
          <w:rFonts w:ascii="Arial" w:hAnsi="Arial"/>
          <w:sz w:val="24"/>
        </w:rPr>
        <w:t xml:space="preserve">who evaluate overall fund management strategy, including the extent to which the Fund is fully funded, fund performance, assess the likely impact of future trends (e.g. Investment outlook, death rates etc) and advise on appropriate rates of employers contributions to ensure continued financial health for the scheme. They may also be asked for advice on overall fund management strategy. The Myners review suggested that this should be viewed </w:t>
      </w:r>
      <w:r w:rsidR="00697F3F" w:rsidRPr="00697F3F">
        <w:rPr>
          <w:rFonts w:ascii="Arial" w:hAnsi="Arial"/>
          <w:sz w:val="24"/>
        </w:rPr>
        <w:t>a</w:t>
      </w:r>
      <w:r w:rsidRPr="00697F3F">
        <w:rPr>
          <w:rFonts w:ascii="Arial" w:hAnsi="Arial"/>
          <w:sz w:val="24"/>
        </w:rPr>
        <w:t>s separate service from the actuarial contract (in much the same way that auditors shouldn’t give advice that they may later be required to audit).</w:t>
      </w:r>
    </w:p>
    <w:p w14:paraId="6684FAFA" w14:textId="77777777" w:rsidR="00DA752D" w:rsidRDefault="00DA752D" w:rsidP="000E5920">
      <w:pPr>
        <w:numPr>
          <w:ilvl w:val="0"/>
          <w:numId w:val="28"/>
        </w:numPr>
        <w:jc w:val="both"/>
        <w:rPr>
          <w:rFonts w:ascii="Arial" w:hAnsi="Arial"/>
          <w:sz w:val="24"/>
        </w:rPr>
      </w:pPr>
      <w:r>
        <w:rPr>
          <w:rFonts w:ascii="Arial" w:hAnsi="Arial"/>
          <w:b/>
          <w:sz w:val="24"/>
        </w:rPr>
        <w:t xml:space="preserve">Performance measurers </w:t>
      </w:r>
      <w:r>
        <w:rPr>
          <w:rFonts w:ascii="Arial" w:hAnsi="Arial"/>
          <w:sz w:val="24"/>
        </w:rPr>
        <w:t>who analyse fund performance, provide detailed statistical analysis of overall pension fund performance and its components, and report the results to officers and the pensions Panel.</w:t>
      </w:r>
    </w:p>
    <w:p w14:paraId="169D4282" w14:textId="77777777" w:rsidR="00DA752D" w:rsidRDefault="00DA752D" w:rsidP="00DA752D">
      <w:pPr>
        <w:jc w:val="both"/>
        <w:rPr>
          <w:rFonts w:ascii="Arial" w:hAnsi="Arial"/>
          <w:sz w:val="24"/>
        </w:rPr>
      </w:pPr>
    </w:p>
    <w:p w14:paraId="2A0D281B" w14:textId="77777777" w:rsidR="00DA752D" w:rsidRDefault="00DA752D" w:rsidP="00DA752D">
      <w:pPr>
        <w:jc w:val="both"/>
        <w:rPr>
          <w:rFonts w:ascii="Arial" w:hAnsi="Arial"/>
          <w:sz w:val="24"/>
        </w:rPr>
      </w:pPr>
      <w:r>
        <w:rPr>
          <w:rFonts w:ascii="Arial" w:hAnsi="Arial"/>
          <w:sz w:val="24"/>
        </w:rPr>
        <w:lastRenderedPageBreak/>
        <w:t>Proper control needs to be exercised over the providers of these specialist services. The Panel should set a comprehensive policy for the Fund which should include asset allocation management, for example the Fund gearing, (proportion of higher risk investments, equities, property etc) to fixed interest stock (bonds) and broad sector divisions within the major asset classes, (in the case of equities for example, pharmaceuticals, construction, manufacturing, and geographical diversity, for example UK equities, Far East, United States). Any policy on asset allocation must be in accordance with the Local Government Pension Scheme Investment Regulations, which prescribe maximum limits for investments in any one vehicle. It should also put in place proper arrangements for setting targets for fund performance, monitoring compliance with policy and taking action when necessary if performance is not in line with the targets set. The strategy for managing the fund should also take into account the maturity of the fund; that is the proportion of pensioners to active contributors to the scheme.</w:t>
      </w:r>
    </w:p>
    <w:p w14:paraId="55C85419" w14:textId="77777777" w:rsidR="00DA752D" w:rsidRDefault="00DA752D" w:rsidP="00DA752D">
      <w:pPr>
        <w:jc w:val="both"/>
        <w:rPr>
          <w:rFonts w:ascii="Arial" w:hAnsi="Arial"/>
          <w:b/>
          <w:sz w:val="24"/>
        </w:rPr>
      </w:pPr>
    </w:p>
    <w:p w14:paraId="014F1715" w14:textId="77777777" w:rsidR="00DA752D" w:rsidRPr="00DC0EBF" w:rsidRDefault="00DA752D" w:rsidP="000E5920">
      <w:pPr>
        <w:numPr>
          <w:ilvl w:val="0"/>
          <w:numId w:val="22"/>
        </w:numPr>
        <w:tabs>
          <w:tab w:val="num" w:pos="600"/>
        </w:tabs>
        <w:ind w:left="600" w:hanging="600"/>
        <w:jc w:val="both"/>
        <w:rPr>
          <w:rFonts w:ascii="Arial" w:hAnsi="Arial"/>
          <w:b/>
          <w:sz w:val="24"/>
        </w:rPr>
      </w:pPr>
      <w:r w:rsidRPr="00DC0EBF">
        <w:rPr>
          <w:rFonts w:ascii="Arial" w:hAnsi="Arial"/>
          <w:b/>
          <w:sz w:val="24"/>
        </w:rPr>
        <w:t>Fund Administration</w:t>
      </w:r>
    </w:p>
    <w:p w14:paraId="5235257E" w14:textId="77777777" w:rsidR="00DA752D" w:rsidRDefault="00DA752D" w:rsidP="00DA752D">
      <w:pPr>
        <w:jc w:val="both"/>
        <w:rPr>
          <w:rFonts w:ascii="Arial" w:hAnsi="Arial"/>
          <w:b/>
          <w:sz w:val="24"/>
        </w:rPr>
      </w:pPr>
      <w:r>
        <w:rPr>
          <w:rFonts w:ascii="Arial" w:hAnsi="Arial"/>
          <w:sz w:val="24"/>
        </w:rPr>
        <w:t>Administering the Fund includes putting in place sound financial systems to ensure contributions are collected and credited to the Fund; correct levels of pensions are paid out, transfer values are correctly calculated and received/paid, queries/complaints dealt with, continued eligibility criteria are complied with etc. Considerable reliance can be put on core financial controls operated by the Authority through its main financial systems. The payroll system is closely tied in with Pension Fund administration and reliance should be placed on internal audit cover (if their cover is deemed to be adequate). (Note that this may not be applicable in respect of admitted bodies. The administering authority is likely to be heavily dependent on the quality of information submitted by them).</w:t>
      </w:r>
    </w:p>
    <w:p w14:paraId="5BEC3AB3" w14:textId="77777777" w:rsidR="00DA752D" w:rsidRDefault="00DA752D" w:rsidP="00DA752D">
      <w:pPr>
        <w:rPr>
          <w:rFonts w:ascii="Arial" w:hAnsi="Arial"/>
          <w:b/>
          <w:sz w:val="24"/>
        </w:rPr>
      </w:pPr>
    </w:p>
    <w:p w14:paraId="1094C7DC" w14:textId="77777777" w:rsidR="00DA752D" w:rsidRDefault="00DA752D" w:rsidP="00DA752D">
      <w:pPr>
        <w:jc w:val="both"/>
        <w:rPr>
          <w:rFonts w:ascii="Arial" w:hAnsi="Arial"/>
          <w:sz w:val="24"/>
        </w:rPr>
      </w:pPr>
      <w:r>
        <w:rPr>
          <w:rFonts w:ascii="Arial" w:hAnsi="Arial"/>
          <w:sz w:val="24"/>
        </w:rPr>
        <w:t xml:space="preserve">Monitoring by the Pensions Fund </w:t>
      </w:r>
      <w:r w:rsidR="00962528">
        <w:rPr>
          <w:rFonts w:ascii="Arial" w:hAnsi="Arial"/>
          <w:sz w:val="24"/>
        </w:rPr>
        <w:t xml:space="preserve">Pension </w:t>
      </w:r>
      <w:r w:rsidR="00A82870">
        <w:rPr>
          <w:rFonts w:ascii="Arial" w:hAnsi="Arial"/>
          <w:sz w:val="24"/>
        </w:rPr>
        <w:t>panel</w:t>
      </w:r>
      <w:r>
        <w:rPr>
          <w:rFonts w:ascii="Arial" w:hAnsi="Arial"/>
          <w:sz w:val="24"/>
        </w:rPr>
        <w:t xml:space="preserve"> (The Panel) is key, and appropriate performance indicators should be in place and reported to The Panel on a regular basis (for example administration costs, compliance with statutory time targets for queries and complaints). In line with any local government activity, pension funds should be exposed to rigorous review.</w:t>
      </w:r>
    </w:p>
    <w:p w14:paraId="36C40CCD" w14:textId="77777777" w:rsidR="00DA752D" w:rsidRDefault="00DA752D" w:rsidP="00DA752D">
      <w:pPr>
        <w:pStyle w:val="BodyText2"/>
      </w:pPr>
    </w:p>
    <w:p w14:paraId="1A2BF210" w14:textId="77777777" w:rsidR="00DA752D" w:rsidRDefault="00DA752D" w:rsidP="00DA752D">
      <w:pPr>
        <w:pStyle w:val="BodyText2"/>
      </w:pPr>
    </w:p>
    <w:p w14:paraId="22F1FE45" w14:textId="77777777" w:rsidR="00DA752D" w:rsidRDefault="00DA752D" w:rsidP="00DA752D">
      <w:pPr>
        <w:pStyle w:val="BodyText2"/>
      </w:pPr>
    </w:p>
    <w:p w14:paraId="38B46838" w14:textId="77777777" w:rsidR="00DA752D" w:rsidRDefault="00DA752D" w:rsidP="00DA752D">
      <w:pPr>
        <w:pStyle w:val="BodyText2"/>
      </w:pPr>
    </w:p>
    <w:p w14:paraId="7C0F0D4C" w14:textId="77777777" w:rsidR="00DA752D" w:rsidRDefault="00DA752D" w:rsidP="00DA752D">
      <w:pPr>
        <w:pStyle w:val="BodyText2"/>
      </w:pPr>
    </w:p>
    <w:p w14:paraId="687E1E75" w14:textId="77777777" w:rsidR="00DA752D" w:rsidRDefault="00DA752D" w:rsidP="00DA752D">
      <w:pPr>
        <w:pStyle w:val="BodyText2"/>
      </w:pPr>
    </w:p>
    <w:p w14:paraId="49636677" w14:textId="77777777" w:rsidR="00DA752D" w:rsidRDefault="00DA752D" w:rsidP="00DA752D">
      <w:pPr>
        <w:pStyle w:val="BodyText2"/>
      </w:pPr>
    </w:p>
    <w:p w14:paraId="055EB5A8" w14:textId="77777777" w:rsidR="00D2772D" w:rsidRDefault="00D2772D" w:rsidP="00DA752D">
      <w:pPr>
        <w:pStyle w:val="BodyText2"/>
      </w:pPr>
    </w:p>
    <w:p w14:paraId="1D6B9A04" w14:textId="77777777" w:rsidR="00D2772D" w:rsidRDefault="00D2772D" w:rsidP="00DA752D">
      <w:pPr>
        <w:pStyle w:val="BodyText2"/>
      </w:pPr>
    </w:p>
    <w:p w14:paraId="440056D5" w14:textId="77777777" w:rsidR="00D2772D" w:rsidRDefault="00D2772D" w:rsidP="00DA752D">
      <w:pPr>
        <w:pStyle w:val="BodyText2"/>
      </w:pPr>
    </w:p>
    <w:p w14:paraId="5C0FF8E0" w14:textId="77777777" w:rsidR="00D2772D" w:rsidRDefault="00D2772D" w:rsidP="00DA752D">
      <w:pPr>
        <w:pStyle w:val="BodyText2"/>
      </w:pPr>
    </w:p>
    <w:p w14:paraId="6BCB9EDC" w14:textId="77777777" w:rsidR="00DA752D" w:rsidRDefault="00DA752D" w:rsidP="00DA752D">
      <w:pPr>
        <w:pStyle w:val="Heading1"/>
      </w:pPr>
      <w:r>
        <w:t>Pension Fund Governance: Structure Overview</w:t>
      </w:r>
    </w:p>
    <w:p w14:paraId="7D9A56ED" w14:textId="77777777" w:rsidR="00DA752D" w:rsidRDefault="00DA752D" w:rsidP="00DA752D"/>
    <w:p w14:paraId="2505CFCA" w14:textId="77777777" w:rsidR="00DA752D" w:rsidRPr="004C7CE4" w:rsidRDefault="00DA752D" w:rsidP="00DA752D">
      <w:pPr>
        <w:pStyle w:val="Heading6"/>
        <w:jc w:val="center"/>
        <w:rPr>
          <w:szCs w:val="24"/>
        </w:rPr>
      </w:pPr>
      <w:r w:rsidRPr="004C7CE4">
        <w:rPr>
          <w:szCs w:val="24"/>
        </w:rPr>
        <w:lastRenderedPageBreak/>
        <w:t>Council</w:t>
      </w:r>
    </w:p>
    <w:p w14:paraId="6B013E70" w14:textId="399E9ADD" w:rsidR="00DA752D" w:rsidRDefault="00516E75" w:rsidP="00DA752D">
      <w:r>
        <w:rPr>
          <w:b/>
          <w:noProof/>
        </w:rPr>
        <mc:AlternateContent>
          <mc:Choice Requires="wps">
            <w:drawing>
              <wp:anchor distT="0" distB="0" distL="114300" distR="114300" simplePos="0" relativeHeight="251622400" behindDoc="0" locked="0" layoutInCell="0" allowOverlap="1" wp14:anchorId="14F167AA" wp14:editId="1B0C156C">
                <wp:simplePos x="0" y="0"/>
                <wp:positionH relativeFrom="column">
                  <wp:posOffset>4594860</wp:posOffset>
                </wp:positionH>
                <wp:positionV relativeFrom="paragraph">
                  <wp:posOffset>97790</wp:posOffset>
                </wp:positionV>
                <wp:extent cx="1581150" cy="643890"/>
                <wp:effectExtent l="0" t="0" r="0" b="0"/>
                <wp:wrapNone/>
                <wp:docPr id="5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A8836" w14:textId="77777777" w:rsidR="00F3354E" w:rsidRPr="00F358D2" w:rsidRDefault="00F3354E" w:rsidP="00DA752D">
                            <w:pPr>
                              <w:rPr>
                                <w:rFonts w:ascii="Arial" w:hAnsi="Arial"/>
                                <w:b/>
                                <w:sz w:val="22"/>
                              </w:rPr>
                            </w:pPr>
                            <w:r w:rsidRPr="00F358D2">
                              <w:rPr>
                                <w:rFonts w:ascii="Arial" w:hAnsi="Arial"/>
                                <w:b/>
                                <w:sz w:val="22"/>
                              </w:rPr>
                              <w:t xml:space="preserve">Delegated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167AA" id="Text Box 393" o:spid="_x0000_s1084" type="#_x0000_t202" style="position:absolute;margin-left:361.8pt;margin-top:7.7pt;width:124.5pt;height:50.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" o:allowincell="f" stroked="f">
                <v:textbox>
                  <w:txbxContent>
                    <w:p w14:paraId="799A8836" w14:textId="77777777" w:rsidR="00F3354E" w:rsidRPr="00F358D2" w:rsidRDefault="00F3354E" w:rsidP="00DA752D">
                      <w:pPr>
                        <w:rPr>
                          <w:rFonts w:ascii="Arial" w:hAnsi="Arial"/>
                          <w:b/>
                          <w:sz w:val="22"/>
                        </w:rPr>
                      </w:pPr>
                      <w:r w:rsidRPr="00F358D2">
                        <w:rPr>
                          <w:rFonts w:ascii="Arial" w:hAnsi="Arial"/>
                          <w:b/>
                          <w:sz w:val="22"/>
                        </w:rPr>
                        <w:t xml:space="preserve">Delegated function </w:t>
                      </w:r>
                    </w:p>
                  </w:txbxContent>
                </v:textbox>
              </v:shape>
            </w:pict>
          </mc:Fallback>
        </mc:AlternateContent>
      </w:r>
      <w:r>
        <w:rPr>
          <w:b/>
          <w:noProof/>
        </w:rPr>
        <mc:AlternateContent>
          <mc:Choice Requires="wps">
            <w:drawing>
              <wp:anchor distT="0" distB="0" distL="114300" distR="114300" simplePos="0" relativeHeight="251628544" behindDoc="0" locked="0" layoutInCell="0" allowOverlap="1" wp14:anchorId="0C22A3A0" wp14:editId="55C8B0B2">
                <wp:simplePos x="0" y="0"/>
                <wp:positionH relativeFrom="column">
                  <wp:posOffset>4389120</wp:posOffset>
                </wp:positionH>
                <wp:positionV relativeFrom="paragraph">
                  <wp:posOffset>38100</wp:posOffset>
                </wp:positionV>
                <wp:extent cx="0" cy="361950"/>
                <wp:effectExtent l="0" t="0" r="0" b="0"/>
                <wp:wrapNone/>
                <wp:docPr id="49"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FEB21" id="Line 399"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3pt" to="345.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" o:allowincell="f">
                <v:stroke endarrow="block"/>
              </v:line>
            </w:pict>
          </mc:Fallback>
        </mc:AlternateContent>
      </w:r>
    </w:p>
    <w:p w14:paraId="29C54886" w14:textId="77777777" w:rsidR="00DA752D" w:rsidRDefault="00DA752D" w:rsidP="00DA752D"/>
    <w:p w14:paraId="107BFDA5" w14:textId="77777777" w:rsidR="00DA752D" w:rsidRDefault="00DA752D" w:rsidP="00DA752D"/>
    <w:p w14:paraId="7FBE68EC" w14:textId="77777777" w:rsidR="00DA752D" w:rsidRDefault="00DA752D" w:rsidP="00DA752D"/>
    <w:p w14:paraId="46CC1899" w14:textId="2CA755FB" w:rsidR="00DA752D" w:rsidRDefault="00516E75" w:rsidP="00DA752D">
      <w:r>
        <w:rPr>
          <w:noProof/>
        </w:rPr>
        <mc:AlternateContent>
          <mc:Choice Requires="wps">
            <w:drawing>
              <wp:anchor distT="0" distB="0" distL="114300" distR="114300" simplePos="0" relativeHeight="251619328" behindDoc="0" locked="0" layoutInCell="0" allowOverlap="1" wp14:anchorId="27EBF3D0" wp14:editId="593A4CF6">
                <wp:simplePos x="0" y="0"/>
                <wp:positionH relativeFrom="column">
                  <wp:posOffset>3124200</wp:posOffset>
                </wp:positionH>
                <wp:positionV relativeFrom="paragraph">
                  <wp:posOffset>161290</wp:posOffset>
                </wp:positionV>
                <wp:extent cx="1659255" cy="614680"/>
                <wp:effectExtent l="0" t="0" r="0" b="0"/>
                <wp:wrapNone/>
                <wp:docPr id="48"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614680"/>
                        </a:xfrm>
                        <a:prstGeom prst="flowChartAlternateProcess">
                          <a:avLst/>
                        </a:prstGeom>
                        <a:solidFill>
                          <a:srgbClr val="FFFFFF"/>
                        </a:solidFill>
                        <a:ln w="9525">
                          <a:solidFill>
                            <a:srgbClr val="000000"/>
                          </a:solidFill>
                          <a:miter lim="800000"/>
                          <a:headEnd/>
                          <a:tailEnd/>
                        </a:ln>
                      </wps:spPr>
                      <wps:txbx>
                        <w:txbxContent>
                          <w:p w14:paraId="1A10E314" w14:textId="77777777" w:rsidR="00F3354E" w:rsidRDefault="00F3354E" w:rsidP="00DA752D">
                            <w:pPr>
                              <w:jc w:val="center"/>
                            </w:pPr>
                          </w:p>
                          <w:p w14:paraId="14E43775" w14:textId="77777777" w:rsidR="00F3354E" w:rsidRDefault="00F3354E" w:rsidP="00DA752D">
                            <w:pPr>
                              <w:pStyle w:val="BodyText"/>
                              <w:tabs>
                                <w:tab w:val="clear" w:pos="5184"/>
                                <w:tab w:val="clear" w:pos="6624"/>
                                <w:tab w:val="clear" w:pos="8640"/>
                                <w:tab w:val="clear" w:pos="10080"/>
                                <w:tab w:val="right" w:pos="3369"/>
                                <w:tab w:val="right" w:pos="4305"/>
                                <w:tab w:val="right" w:pos="5616"/>
                                <w:tab w:val="right" w:pos="6552"/>
                              </w:tabs>
                              <w:jc w:val="center"/>
                            </w:pPr>
                            <w:r>
                              <w:t>Pension Fund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BF3D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0" o:spid="_x0000_s1085" type="#_x0000_t176" style="position:absolute;margin-left:246pt;margin-top:12.7pt;width:130.65pt;height:48.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" o:allowincell="f">
                <v:textbox>
                  <w:txbxContent>
                    <w:p w14:paraId="1A10E314" w14:textId="77777777" w:rsidR="00F3354E" w:rsidRDefault="00F3354E" w:rsidP="00DA752D">
                      <w:pPr>
                        <w:jc w:val="center"/>
                      </w:pPr>
                    </w:p>
                    <w:p w14:paraId="14E43775" w14:textId="77777777" w:rsidR="00F3354E" w:rsidRDefault="00F3354E" w:rsidP="00DA752D">
                      <w:pPr>
                        <w:pStyle w:val="BodyText"/>
                        <w:tabs>
                          <w:tab w:val="clear" w:pos="5184"/>
                          <w:tab w:val="clear" w:pos="6624"/>
                          <w:tab w:val="clear" w:pos="8640"/>
                          <w:tab w:val="clear" w:pos="10080"/>
                          <w:tab w:val="right" w:pos="3369"/>
                          <w:tab w:val="right" w:pos="4305"/>
                          <w:tab w:val="right" w:pos="5616"/>
                          <w:tab w:val="right" w:pos="6552"/>
                        </w:tabs>
                        <w:jc w:val="center"/>
                      </w:pPr>
                      <w:r>
                        <w:t>Pension Fund Panel</w:t>
                      </w:r>
                    </w:p>
                  </w:txbxContent>
                </v:textbox>
              </v:shape>
            </w:pict>
          </mc:Fallback>
        </mc:AlternateContent>
      </w:r>
    </w:p>
    <w:p w14:paraId="1ED890F5" w14:textId="7EB24E06" w:rsidR="00DA752D" w:rsidRDefault="00516E75" w:rsidP="00DA752D">
      <w:r>
        <w:rPr>
          <w:noProof/>
        </w:rPr>
        <mc:AlternateContent>
          <mc:Choice Requires="wps">
            <w:drawing>
              <wp:anchor distT="0" distB="0" distL="114300" distR="114300" simplePos="0" relativeHeight="251623424" behindDoc="0" locked="0" layoutInCell="0" allowOverlap="1" wp14:anchorId="21F53F5E" wp14:editId="2F7A3790">
                <wp:simplePos x="0" y="0"/>
                <wp:positionH relativeFrom="column">
                  <wp:posOffset>41910</wp:posOffset>
                </wp:positionH>
                <wp:positionV relativeFrom="paragraph">
                  <wp:posOffset>15240</wp:posOffset>
                </wp:positionV>
                <wp:extent cx="1722755" cy="1560195"/>
                <wp:effectExtent l="0" t="0" r="0" b="0"/>
                <wp:wrapNone/>
                <wp:docPr id="4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156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24B0B" w14:textId="77777777" w:rsidR="00F3354E" w:rsidRDefault="00F3354E" w:rsidP="00DA752D">
                            <w:pPr>
                              <w:pStyle w:val="BodyText"/>
                              <w:tabs>
                                <w:tab w:val="clear" w:pos="5184"/>
                                <w:tab w:val="clear" w:pos="6624"/>
                                <w:tab w:val="clear" w:pos="8640"/>
                                <w:tab w:val="clear" w:pos="10080"/>
                                <w:tab w:val="right" w:pos="3369"/>
                                <w:tab w:val="right" w:pos="4305"/>
                                <w:tab w:val="right" w:pos="5616"/>
                                <w:tab w:val="right" w:pos="6552"/>
                              </w:tabs>
                            </w:pPr>
                            <w:r>
                              <w:t>Decision Making by panel with advice from Section 151 Officer and  external financial advisors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53F5E" id="Text Box 394" o:spid="_x0000_s1086" type="#_x0000_t202" style="position:absolute;margin-left:3.3pt;margin-top:1.2pt;width:135.65pt;height:122.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" o:allowincell="f" stroked="f">
                <v:textbox>
                  <w:txbxContent>
                    <w:p w14:paraId="5EE24B0B" w14:textId="77777777" w:rsidR="00F3354E" w:rsidRDefault="00F3354E" w:rsidP="00DA752D">
                      <w:pPr>
                        <w:pStyle w:val="BodyText"/>
                        <w:tabs>
                          <w:tab w:val="clear" w:pos="5184"/>
                          <w:tab w:val="clear" w:pos="6624"/>
                          <w:tab w:val="clear" w:pos="8640"/>
                          <w:tab w:val="clear" w:pos="10080"/>
                          <w:tab w:val="right" w:pos="3369"/>
                          <w:tab w:val="right" w:pos="4305"/>
                          <w:tab w:val="right" w:pos="5616"/>
                          <w:tab w:val="right" w:pos="6552"/>
                        </w:tabs>
                      </w:pPr>
                      <w:r>
                        <w:t>Decision Making by panel with advice from Section 151 Officer and  external financial advisors</w:t>
                      </w:r>
                    </w:p>
                  </w:txbxContent>
                </v:textbox>
              </v:shape>
            </w:pict>
          </mc:Fallback>
        </mc:AlternateContent>
      </w:r>
    </w:p>
    <w:p w14:paraId="753DC5A4" w14:textId="46E5BECF" w:rsidR="00DA752D" w:rsidRDefault="00516E75" w:rsidP="00DA752D">
      <w:r>
        <w:rPr>
          <w:noProof/>
        </w:rPr>
        <mc:AlternateContent>
          <mc:Choice Requires="wps">
            <w:drawing>
              <wp:anchor distT="0" distB="0" distL="114300" distR="114300" simplePos="0" relativeHeight="251624448" behindDoc="0" locked="0" layoutInCell="0" allowOverlap="1" wp14:anchorId="588CB397" wp14:editId="0894935B">
                <wp:simplePos x="0" y="0"/>
                <wp:positionH relativeFrom="column">
                  <wp:posOffset>2438400</wp:posOffset>
                </wp:positionH>
                <wp:positionV relativeFrom="paragraph">
                  <wp:posOffset>150495</wp:posOffset>
                </wp:positionV>
                <wp:extent cx="351790" cy="0"/>
                <wp:effectExtent l="0" t="0" r="0" b="0"/>
                <wp:wrapNone/>
                <wp:docPr id="46"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F3147" id="Line 39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1.85pt" to="219.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" o:allowincell="f">
                <v:stroke endarrow="block"/>
              </v:line>
            </w:pict>
          </mc:Fallback>
        </mc:AlternateContent>
      </w:r>
    </w:p>
    <w:p w14:paraId="5DD41F16" w14:textId="77777777" w:rsidR="00DA752D" w:rsidRDefault="00DA752D" w:rsidP="00DA752D"/>
    <w:p w14:paraId="2DB9683C" w14:textId="77777777" w:rsidR="00DA752D" w:rsidRDefault="00DA752D" w:rsidP="00DA752D">
      <w:pPr>
        <w:pStyle w:val="Header"/>
        <w:tabs>
          <w:tab w:val="clear" w:pos="4153"/>
          <w:tab w:val="clear" w:pos="8306"/>
        </w:tabs>
      </w:pPr>
    </w:p>
    <w:p w14:paraId="3CE08616" w14:textId="77777777" w:rsidR="00DA752D" w:rsidRDefault="00DA752D" w:rsidP="00DA752D"/>
    <w:p w14:paraId="0C84CDFE" w14:textId="77777777" w:rsidR="00DA752D" w:rsidRDefault="00DA752D" w:rsidP="00DA752D"/>
    <w:p w14:paraId="5DDF2E23" w14:textId="77777777" w:rsidR="00DA752D" w:rsidRDefault="00DA752D" w:rsidP="00DA752D">
      <w:pPr>
        <w:pStyle w:val="Header"/>
        <w:tabs>
          <w:tab w:val="clear" w:pos="4153"/>
          <w:tab w:val="clear" w:pos="8306"/>
        </w:tabs>
      </w:pPr>
    </w:p>
    <w:p w14:paraId="55F9DCA4" w14:textId="5C6149FF" w:rsidR="00DA752D" w:rsidRDefault="00516E75" w:rsidP="00DA752D">
      <w:pPr>
        <w:pStyle w:val="Header"/>
        <w:tabs>
          <w:tab w:val="clear" w:pos="4153"/>
          <w:tab w:val="clear" w:pos="8306"/>
        </w:tabs>
      </w:pPr>
      <w:r>
        <w:rPr>
          <w:noProof/>
        </w:rPr>
        <mc:AlternateContent>
          <mc:Choice Requires="wps">
            <w:drawing>
              <wp:anchor distT="0" distB="0" distL="114300" distR="114300" simplePos="0" relativeHeight="251630592" behindDoc="0" locked="0" layoutInCell="0" allowOverlap="1" wp14:anchorId="28D29BC5" wp14:editId="4FA3DCFA">
                <wp:simplePos x="0" y="0"/>
                <wp:positionH relativeFrom="column">
                  <wp:posOffset>4495800</wp:posOffset>
                </wp:positionH>
                <wp:positionV relativeFrom="paragraph">
                  <wp:posOffset>114300</wp:posOffset>
                </wp:positionV>
                <wp:extent cx="1489710" cy="541655"/>
                <wp:effectExtent l="0" t="0" r="0" b="0"/>
                <wp:wrapNone/>
                <wp:docPr id="4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FC958" w14:textId="77777777" w:rsidR="00F3354E" w:rsidRDefault="00F3354E" w:rsidP="00DA752D">
                            <w:pPr>
                              <w:pStyle w:val="Heading3"/>
                              <w:rPr>
                                <w:sz w:val="22"/>
                              </w:rPr>
                            </w:pPr>
                            <w:r>
                              <w:rPr>
                                <w:sz w:val="22"/>
                              </w:rPr>
                              <w:t>Delegated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29BC5" id="Text Box 401" o:spid="_x0000_s1087" type="#_x0000_t202" style="position:absolute;margin-left:354pt;margin-top:9pt;width:117.3pt;height:4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" o:allowincell="f" stroked="f">
                <v:textbox>
                  <w:txbxContent>
                    <w:p w14:paraId="1F1FC958" w14:textId="77777777" w:rsidR="00F3354E" w:rsidRDefault="00F3354E" w:rsidP="00DA752D">
                      <w:pPr>
                        <w:pStyle w:val="Heading3"/>
                        <w:rPr>
                          <w:sz w:val="22"/>
                        </w:rPr>
                      </w:pPr>
                      <w:r>
                        <w:rPr>
                          <w:sz w:val="22"/>
                        </w:rPr>
                        <w:t>Delegated function</w:t>
                      </w:r>
                    </w:p>
                  </w:txbxContent>
                </v:textbox>
              </v:shape>
            </w:pict>
          </mc:Fallback>
        </mc:AlternateContent>
      </w:r>
      <w:r>
        <w:rPr>
          <w:noProof/>
        </w:rPr>
        <mc:AlternateContent>
          <mc:Choice Requires="wps">
            <w:drawing>
              <wp:anchor distT="0" distB="0" distL="114300" distR="114300" simplePos="0" relativeHeight="251629568" behindDoc="0" locked="0" layoutInCell="0" allowOverlap="1" wp14:anchorId="32AEAE55" wp14:editId="415573E2">
                <wp:simplePos x="0" y="0"/>
                <wp:positionH relativeFrom="column">
                  <wp:posOffset>4389120</wp:posOffset>
                </wp:positionH>
                <wp:positionV relativeFrom="paragraph">
                  <wp:posOffset>114300</wp:posOffset>
                </wp:positionV>
                <wp:extent cx="0" cy="241300"/>
                <wp:effectExtent l="0" t="0" r="0" b="0"/>
                <wp:wrapNone/>
                <wp:docPr id="44"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10CE5" id="Line 40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9pt" to="345.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" o:allowincell="f"/>
            </w:pict>
          </mc:Fallback>
        </mc:AlternateContent>
      </w:r>
    </w:p>
    <w:p w14:paraId="6D9256F1" w14:textId="77777777" w:rsidR="00DA752D" w:rsidRDefault="00DA752D" w:rsidP="00DA752D">
      <w:pPr>
        <w:pStyle w:val="Header"/>
        <w:tabs>
          <w:tab w:val="clear" w:pos="4153"/>
          <w:tab w:val="clear" w:pos="8306"/>
        </w:tabs>
      </w:pPr>
    </w:p>
    <w:p w14:paraId="221E53D0" w14:textId="77777777" w:rsidR="00DA752D" w:rsidRDefault="00DA752D" w:rsidP="00DA752D">
      <w:pPr>
        <w:pStyle w:val="Header"/>
        <w:tabs>
          <w:tab w:val="clear" w:pos="4153"/>
          <w:tab w:val="clear" w:pos="8306"/>
        </w:tabs>
      </w:pPr>
    </w:p>
    <w:p w14:paraId="00821A93" w14:textId="77777777" w:rsidR="00DA752D" w:rsidRDefault="00DA752D" w:rsidP="00DA752D">
      <w:pPr>
        <w:pStyle w:val="Header"/>
        <w:tabs>
          <w:tab w:val="clear" w:pos="4153"/>
          <w:tab w:val="clear" w:pos="8306"/>
        </w:tabs>
      </w:pPr>
    </w:p>
    <w:p w14:paraId="1A421BDF" w14:textId="45435F5A" w:rsidR="00DA752D" w:rsidRDefault="00516E75" w:rsidP="00DA752D">
      <w:r>
        <w:rPr>
          <w:noProof/>
        </w:rPr>
        <mc:AlternateContent>
          <mc:Choice Requires="wps">
            <w:drawing>
              <wp:anchor distT="0" distB="0" distL="114300" distR="114300" simplePos="0" relativeHeight="251625472" behindDoc="0" locked="0" layoutInCell="0" allowOverlap="1" wp14:anchorId="7262BD94" wp14:editId="2AEC45ED">
                <wp:simplePos x="0" y="0"/>
                <wp:positionH relativeFrom="column">
                  <wp:posOffset>-43815</wp:posOffset>
                </wp:positionH>
                <wp:positionV relativeFrom="paragraph">
                  <wp:posOffset>133985</wp:posOffset>
                </wp:positionV>
                <wp:extent cx="1654175" cy="1629410"/>
                <wp:effectExtent l="0" t="0" r="0" b="0"/>
                <wp:wrapNone/>
                <wp:docPr id="4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62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0D811" w14:textId="77777777" w:rsidR="00F3354E" w:rsidRDefault="00F3354E" w:rsidP="00DA752D">
                            <w:pPr>
                              <w:ind w:left="360"/>
                              <w:rPr>
                                <w:rFonts w:ascii="Arial" w:hAnsi="Arial"/>
                                <w:sz w:val="22"/>
                              </w:rPr>
                            </w:pPr>
                          </w:p>
                          <w:p w14:paraId="6EBDD8EB" w14:textId="77777777" w:rsidR="00F3354E" w:rsidRDefault="00F3354E" w:rsidP="00DA752D">
                            <w:pPr>
                              <w:ind w:left="360"/>
                              <w:rPr>
                                <w:rFonts w:ascii="Arial" w:hAnsi="Arial"/>
                                <w:sz w:val="22"/>
                              </w:rPr>
                            </w:pPr>
                            <w:r>
                              <w:rPr>
                                <w:rFonts w:ascii="Arial" w:hAnsi="Arial"/>
                                <w:sz w:val="22"/>
                              </w:rPr>
                              <w:t>Recommendations by Sub Group approved by Section 151 Officer and Chairman or full panel</w:t>
                            </w:r>
                          </w:p>
                          <w:p w14:paraId="043799EC" w14:textId="77777777" w:rsidR="00F3354E" w:rsidRDefault="00F3354E" w:rsidP="00DA7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2BD94" id="Text Box 396" o:spid="_x0000_s1088" type="#_x0000_t202" style="position:absolute;margin-left:-3.45pt;margin-top:10.55pt;width:130.25pt;height:128.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" o:allowincell="f" stroked="f">
                <v:textbox>
                  <w:txbxContent>
                    <w:p w14:paraId="2B90D811" w14:textId="77777777" w:rsidR="00F3354E" w:rsidRDefault="00F3354E" w:rsidP="00DA752D">
                      <w:pPr>
                        <w:ind w:left="360"/>
                        <w:rPr>
                          <w:rFonts w:ascii="Arial" w:hAnsi="Arial"/>
                          <w:sz w:val="22"/>
                        </w:rPr>
                      </w:pPr>
                    </w:p>
                    <w:p w14:paraId="6EBDD8EB" w14:textId="77777777" w:rsidR="00F3354E" w:rsidRDefault="00F3354E" w:rsidP="00DA752D">
                      <w:pPr>
                        <w:ind w:left="360"/>
                        <w:rPr>
                          <w:rFonts w:ascii="Arial" w:hAnsi="Arial"/>
                          <w:sz w:val="22"/>
                        </w:rPr>
                      </w:pPr>
                      <w:r>
                        <w:rPr>
                          <w:rFonts w:ascii="Arial" w:hAnsi="Arial"/>
                          <w:sz w:val="22"/>
                        </w:rPr>
                        <w:t>Recommendations by Sub Group approved by Section 151 Officer and Chairman or full panel</w:t>
                      </w:r>
                    </w:p>
                    <w:p w14:paraId="043799EC" w14:textId="77777777" w:rsidR="00F3354E" w:rsidRDefault="00F3354E" w:rsidP="00DA752D"/>
                  </w:txbxContent>
                </v:textbox>
              </v:shape>
            </w:pict>
          </mc:Fallback>
        </mc:AlternateContent>
      </w:r>
      <w:r>
        <w:rPr>
          <w:noProof/>
        </w:rPr>
        <mc:AlternateContent>
          <mc:Choice Requires="wps">
            <w:drawing>
              <wp:anchor distT="0" distB="0" distL="114300" distR="114300" simplePos="0" relativeHeight="251620352" behindDoc="0" locked="0" layoutInCell="0" allowOverlap="1" wp14:anchorId="510FDAA4" wp14:editId="24EC1515">
                <wp:simplePos x="0" y="0"/>
                <wp:positionH relativeFrom="column">
                  <wp:posOffset>3124200</wp:posOffset>
                </wp:positionH>
                <wp:positionV relativeFrom="paragraph">
                  <wp:posOffset>30480</wp:posOffset>
                </wp:positionV>
                <wp:extent cx="1659255" cy="1037590"/>
                <wp:effectExtent l="0" t="0" r="0" b="0"/>
                <wp:wrapNone/>
                <wp:docPr id="42"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1037590"/>
                        </a:xfrm>
                        <a:prstGeom prst="flowChartAlternateProcess">
                          <a:avLst/>
                        </a:prstGeom>
                        <a:solidFill>
                          <a:srgbClr val="FFFFFF"/>
                        </a:solidFill>
                        <a:ln w="9525">
                          <a:solidFill>
                            <a:srgbClr val="000000"/>
                          </a:solidFill>
                          <a:miter lim="800000"/>
                          <a:headEnd/>
                          <a:tailEnd/>
                        </a:ln>
                      </wps:spPr>
                      <wps:txbx>
                        <w:txbxContent>
                          <w:p w14:paraId="226223A2" w14:textId="77777777" w:rsidR="00F3354E" w:rsidRDefault="00F3354E" w:rsidP="00DA752D">
                            <w:pPr>
                              <w:jc w:val="center"/>
                            </w:pPr>
                          </w:p>
                          <w:p w14:paraId="29FDCAA8" w14:textId="77777777" w:rsidR="00F3354E" w:rsidRDefault="00F3354E" w:rsidP="00DA752D">
                            <w:pPr>
                              <w:pStyle w:val="BodyText"/>
                              <w:tabs>
                                <w:tab w:val="clear" w:pos="5184"/>
                                <w:tab w:val="clear" w:pos="6624"/>
                                <w:tab w:val="clear" w:pos="8640"/>
                                <w:tab w:val="clear" w:pos="10080"/>
                                <w:tab w:val="right" w:pos="3369"/>
                                <w:tab w:val="right" w:pos="4305"/>
                                <w:tab w:val="right" w:pos="5616"/>
                                <w:tab w:val="right" w:pos="6552"/>
                              </w:tabs>
                              <w:jc w:val="center"/>
                            </w:pPr>
                            <w:r>
                              <w:t xml:space="preserve">Pension Fund Investment </w:t>
                            </w:r>
                          </w:p>
                          <w:p w14:paraId="0854497B" w14:textId="77777777" w:rsidR="00F3354E" w:rsidRDefault="00F3354E" w:rsidP="00DA752D">
                            <w:pPr>
                              <w:pStyle w:val="BodyText"/>
                              <w:tabs>
                                <w:tab w:val="clear" w:pos="5184"/>
                                <w:tab w:val="clear" w:pos="6624"/>
                                <w:tab w:val="clear" w:pos="8640"/>
                                <w:tab w:val="clear" w:pos="10080"/>
                                <w:tab w:val="right" w:pos="3369"/>
                                <w:tab w:val="right" w:pos="4305"/>
                                <w:tab w:val="right" w:pos="5616"/>
                                <w:tab w:val="right" w:pos="6552"/>
                              </w:tabs>
                              <w:jc w:val="center"/>
                            </w:pPr>
                            <w:r>
                              <w:t xml:space="preserve">Sub Group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FDAA4" id="AutoShape 391" o:spid="_x0000_s1089" type="#_x0000_t176" style="position:absolute;margin-left:246pt;margin-top:2.4pt;width:130.65pt;height:81.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" o:allowincell="f">
                <v:textbox>
                  <w:txbxContent>
                    <w:p w14:paraId="226223A2" w14:textId="77777777" w:rsidR="00F3354E" w:rsidRDefault="00F3354E" w:rsidP="00DA752D">
                      <w:pPr>
                        <w:jc w:val="center"/>
                      </w:pPr>
                    </w:p>
                    <w:p w14:paraId="29FDCAA8" w14:textId="77777777" w:rsidR="00F3354E" w:rsidRDefault="00F3354E" w:rsidP="00DA752D">
                      <w:pPr>
                        <w:pStyle w:val="BodyText"/>
                        <w:tabs>
                          <w:tab w:val="clear" w:pos="5184"/>
                          <w:tab w:val="clear" w:pos="6624"/>
                          <w:tab w:val="clear" w:pos="8640"/>
                          <w:tab w:val="clear" w:pos="10080"/>
                          <w:tab w:val="right" w:pos="3369"/>
                          <w:tab w:val="right" w:pos="4305"/>
                          <w:tab w:val="right" w:pos="5616"/>
                          <w:tab w:val="right" w:pos="6552"/>
                        </w:tabs>
                        <w:jc w:val="center"/>
                      </w:pPr>
                      <w:r>
                        <w:t xml:space="preserve">Pension Fund Investment </w:t>
                      </w:r>
                    </w:p>
                    <w:p w14:paraId="0854497B" w14:textId="77777777" w:rsidR="00F3354E" w:rsidRDefault="00F3354E" w:rsidP="00DA752D">
                      <w:pPr>
                        <w:pStyle w:val="BodyText"/>
                        <w:tabs>
                          <w:tab w:val="clear" w:pos="5184"/>
                          <w:tab w:val="clear" w:pos="6624"/>
                          <w:tab w:val="clear" w:pos="8640"/>
                          <w:tab w:val="clear" w:pos="10080"/>
                          <w:tab w:val="right" w:pos="3369"/>
                          <w:tab w:val="right" w:pos="4305"/>
                          <w:tab w:val="right" w:pos="5616"/>
                          <w:tab w:val="right" w:pos="6552"/>
                        </w:tabs>
                        <w:jc w:val="center"/>
                      </w:pPr>
                      <w:r>
                        <w:t xml:space="preserve">Sub Group </w:t>
                      </w:r>
                    </w:p>
                  </w:txbxContent>
                </v:textbox>
              </v:shape>
            </w:pict>
          </mc:Fallback>
        </mc:AlternateContent>
      </w:r>
    </w:p>
    <w:p w14:paraId="753402C4" w14:textId="77777777" w:rsidR="00DA752D" w:rsidRDefault="00DA752D" w:rsidP="00DA752D"/>
    <w:p w14:paraId="675B0CDA" w14:textId="6C89BF92" w:rsidR="00DA752D" w:rsidRDefault="00516E75" w:rsidP="00DA752D">
      <w:pPr>
        <w:pStyle w:val="Header"/>
        <w:tabs>
          <w:tab w:val="clear" w:pos="4153"/>
          <w:tab w:val="clear" w:pos="8306"/>
        </w:tabs>
      </w:pPr>
      <w:r>
        <w:rPr>
          <w:noProof/>
        </w:rPr>
        <mc:AlternateContent>
          <mc:Choice Requires="wps">
            <w:drawing>
              <wp:anchor distT="0" distB="0" distL="114300" distR="114300" simplePos="0" relativeHeight="251627520" behindDoc="0" locked="0" layoutInCell="0" allowOverlap="1" wp14:anchorId="6843936D" wp14:editId="1694FBBA">
                <wp:simplePos x="0" y="0"/>
                <wp:positionH relativeFrom="column">
                  <wp:posOffset>6642735</wp:posOffset>
                </wp:positionH>
                <wp:positionV relativeFrom="paragraph">
                  <wp:posOffset>35560</wp:posOffset>
                </wp:positionV>
                <wp:extent cx="1609090" cy="1465580"/>
                <wp:effectExtent l="0" t="0" r="0" b="0"/>
                <wp:wrapNone/>
                <wp:docPr id="4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09090" cy="146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936C6" w14:textId="77777777" w:rsidR="00F3354E" w:rsidRDefault="00F3354E" w:rsidP="00DA752D">
                            <w:pPr>
                              <w:ind w:left="360"/>
                            </w:pPr>
                          </w:p>
                          <w:p w14:paraId="6FA73AFE" w14:textId="77777777" w:rsidR="00F3354E" w:rsidRDefault="00F3354E" w:rsidP="00DA752D">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3936D" id="Text Box 398" o:spid="_x0000_s1090" type="#_x0000_t202" style="position:absolute;margin-left:523.05pt;margin-top:2.8pt;width:126.7pt;height:115.4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" o:allowincell="f" stroked="f">
                <v:textbox>
                  <w:txbxContent>
                    <w:p w14:paraId="4DA936C6" w14:textId="77777777" w:rsidR="00F3354E" w:rsidRDefault="00F3354E" w:rsidP="00DA752D">
                      <w:pPr>
                        <w:ind w:left="360"/>
                      </w:pPr>
                    </w:p>
                    <w:p w14:paraId="6FA73AFE" w14:textId="77777777" w:rsidR="00F3354E" w:rsidRDefault="00F3354E" w:rsidP="00DA752D">
                      <w:pPr>
                        <w:ind w:left="360"/>
                      </w:pPr>
                    </w:p>
                  </w:txbxContent>
                </v:textbox>
              </v:shape>
            </w:pict>
          </mc:Fallback>
        </mc:AlternateContent>
      </w:r>
      <w:r>
        <w:rPr>
          <w:noProof/>
        </w:rPr>
        <mc:AlternateContent>
          <mc:Choice Requires="wps">
            <w:drawing>
              <wp:anchor distT="0" distB="0" distL="114300" distR="114300" simplePos="0" relativeHeight="251626496" behindDoc="0" locked="0" layoutInCell="0" allowOverlap="1" wp14:anchorId="037BB23D" wp14:editId="320F6B37">
                <wp:simplePos x="0" y="0"/>
                <wp:positionH relativeFrom="column">
                  <wp:posOffset>2438400</wp:posOffset>
                </wp:positionH>
                <wp:positionV relativeFrom="paragraph">
                  <wp:posOffset>93980</wp:posOffset>
                </wp:positionV>
                <wp:extent cx="351790" cy="0"/>
                <wp:effectExtent l="0" t="0" r="0" b="0"/>
                <wp:wrapNone/>
                <wp:docPr id="40"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B6402" id="Line 39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7.4pt" to="219.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" o:allowincell="f">
                <v:stroke endarrow="block"/>
              </v:line>
            </w:pict>
          </mc:Fallback>
        </mc:AlternateContent>
      </w:r>
    </w:p>
    <w:p w14:paraId="2B090227" w14:textId="77777777" w:rsidR="00DA752D" w:rsidRDefault="00DA752D" w:rsidP="00DA752D"/>
    <w:p w14:paraId="13A46EC8" w14:textId="77777777" w:rsidR="00DA752D" w:rsidRDefault="00DA752D" w:rsidP="00DA752D"/>
    <w:p w14:paraId="263AB59E" w14:textId="77777777" w:rsidR="00DA752D" w:rsidRDefault="00DA752D" w:rsidP="00DA752D"/>
    <w:p w14:paraId="35562266" w14:textId="322164F8" w:rsidR="00DA752D" w:rsidRDefault="00DA752D" w:rsidP="00DA752D">
      <w:r>
        <w:br w:type="page"/>
      </w:r>
      <w:r w:rsidR="00516E75">
        <w:rPr>
          <w:noProof/>
        </w:rPr>
        <w:lastRenderedPageBreak/>
        <mc:AlternateContent>
          <mc:Choice Requires="wps">
            <w:drawing>
              <wp:anchor distT="0" distB="0" distL="114300" distR="114300" simplePos="0" relativeHeight="251621376" behindDoc="0" locked="0" layoutInCell="0" allowOverlap="1" wp14:anchorId="3B718861" wp14:editId="38CD2C18">
                <wp:simplePos x="0" y="0"/>
                <wp:positionH relativeFrom="column">
                  <wp:posOffset>6934200</wp:posOffset>
                </wp:positionH>
                <wp:positionV relativeFrom="paragraph">
                  <wp:posOffset>120015</wp:posOffset>
                </wp:positionV>
                <wp:extent cx="0" cy="340995"/>
                <wp:effectExtent l="0" t="0" r="0" b="0"/>
                <wp:wrapNone/>
                <wp:docPr id="3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42A69" id="Line 392"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9.45pt" to="546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" o:allowincell="f">
                <v:stroke endarrow="block"/>
              </v:line>
            </w:pict>
          </mc:Fallback>
        </mc:AlternateContent>
      </w:r>
    </w:p>
    <w:p w14:paraId="44727F24" w14:textId="77777777" w:rsidR="00DA752D" w:rsidRPr="00BE44E7" w:rsidRDefault="00DA752D" w:rsidP="00DA752D">
      <w:pPr>
        <w:pStyle w:val="BodyText2"/>
        <w:rPr>
          <w:b/>
        </w:rPr>
      </w:pPr>
      <w:r w:rsidRPr="00BE44E7">
        <w:rPr>
          <w:b/>
        </w:rPr>
        <w:t xml:space="preserve">Membership of the </w:t>
      </w:r>
      <w:r w:rsidR="0000722F">
        <w:rPr>
          <w:b/>
        </w:rPr>
        <w:t>Pension Fund Committee</w:t>
      </w:r>
    </w:p>
    <w:p w14:paraId="77846AFB" w14:textId="77777777" w:rsidR="00DA752D" w:rsidRPr="00BE44E7" w:rsidRDefault="00DA752D" w:rsidP="00DA752D">
      <w:pPr>
        <w:pStyle w:val="BodyText2"/>
      </w:pPr>
      <w:r w:rsidRPr="00BE44E7">
        <w:t xml:space="preserve">Full voting membership of the Pension Fund </w:t>
      </w:r>
      <w:r w:rsidR="00891EB3">
        <w:t>Pension Fund Panel</w:t>
      </w:r>
      <w:r w:rsidRPr="00BE44E7">
        <w:t xml:space="preserve"> is drawn from</w:t>
      </w:r>
      <w:r>
        <w:t xml:space="preserve"> :</w:t>
      </w:r>
      <w:r w:rsidRPr="00BE44E7">
        <w:t xml:space="preserve"> </w:t>
      </w:r>
    </w:p>
    <w:p w14:paraId="2E091665" w14:textId="77777777" w:rsidR="00DA752D" w:rsidRPr="00BE44E7" w:rsidRDefault="00DA752D" w:rsidP="00DA752D">
      <w:pPr>
        <w:pStyle w:val="BodyText2"/>
      </w:pPr>
    </w:p>
    <w:p w14:paraId="2DACFA3B" w14:textId="77777777" w:rsidR="00DA752D" w:rsidRPr="00BE44E7" w:rsidRDefault="00DA752D" w:rsidP="000E5920">
      <w:pPr>
        <w:pStyle w:val="BodyText2"/>
        <w:numPr>
          <w:ilvl w:val="0"/>
          <w:numId w:val="18"/>
        </w:numPr>
        <w:jc w:val="both"/>
      </w:pPr>
      <w:r w:rsidRPr="00BE44E7">
        <w:t>Council Members of the Administering Authority and Representative Employers within the scheme.</w:t>
      </w:r>
    </w:p>
    <w:p w14:paraId="60088598" w14:textId="77777777" w:rsidR="00DA752D" w:rsidRPr="00BE44E7" w:rsidRDefault="00DA752D" w:rsidP="000E5920">
      <w:pPr>
        <w:pStyle w:val="BodyText2"/>
        <w:numPr>
          <w:ilvl w:val="0"/>
          <w:numId w:val="18"/>
        </w:numPr>
        <w:jc w:val="both"/>
      </w:pPr>
      <w:r w:rsidRPr="00BE44E7">
        <w:t>Council Officers of the Administering Authority</w:t>
      </w:r>
      <w:r>
        <w:t>.</w:t>
      </w:r>
    </w:p>
    <w:p w14:paraId="41FA0218" w14:textId="77777777" w:rsidR="00DA752D" w:rsidRPr="00BE44E7" w:rsidRDefault="00DA752D" w:rsidP="000E5920">
      <w:pPr>
        <w:pStyle w:val="BodyText2"/>
        <w:numPr>
          <w:ilvl w:val="0"/>
          <w:numId w:val="18"/>
        </w:numPr>
        <w:jc w:val="both"/>
      </w:pPr>
      <w:r w:rsidRPr="00BE44E7">
        <w:t xml:space="preserve">Appointed Independent Advisers to the Pension Fund </w:t>
      </w:r>
      <w:r w:rsidR="00962528">
        <w:t xml:space="preserve">Pension </w:t>
      </w:r>
      <w:r w:rsidR="00A82870">
        <w:t>panel</w:t>
      </w:r>
      <w:r>
        <w:t>.</w:t>
      </w:r>
    </w:p>
    <w:p w14:paraId="2F2F1F72" w14:textId="77777777" w:rsidR="00DA752D" w:rsidRDefault="00DA752D" w:rsidP="00DA752D">
      <w:pPr>
        <w:pStyle w:val="BodyText2"/>
      </w:pPr>
    </w:p>
    <w:p w14:paraId="3DD63241" w14:textId="77777777" w:rsidR="00DA752D" w:rsidRDefault="00DA752D" w:rsidP="00DA752D">
      <w:pPr>
        <w:pStyle w:val="BodyTex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3162"/>
        <w:gridCol w:w="2840"/>
      </w:tblGrid>
      <w:tr w:rsidR="00DA752D" w14:paraId="12BE372F" w14:textId="77777777" w:rsidTr="00B0151D">
        <w:tc>
          <w:tcPr>
            <w:tcW w:w="2518" w:type="dxa"/>
          </w:tcPr>
          <w:p w14:paraId="5D52B949" w14:textId="77777777" w:rsidR="00DA752D" w:rsidRPr="00C74B26" w:rsidRDefault="00DA752D" w:rsidP="00B0151D">
            <w:pPr>
              <w:pStyle w:val="BodyText2"/>
              <w:rPr>
                <w:i/>
              </w:rPr>
            </w:pPr>
            <w:r w:rsidRPr="00C74B26">
              <w:rPr>
                <w:i/>
              </w:rPr>
              <w:t xml:space="preserve">Position </w:t>
            </w:r>
          </w:p>
        </w:tc>
        <w:tc>
          <w:tcPr>
            <w:tcW w:w="3162" w:type="dxa"/>
          </w:tcPr>
          <w:p w14:paraId="499AFEE9" w14:textId="77777777" w:rsidR="00DA752D" w:rsidRPr="00C74B26" w:rsidRDefault="00DA752D" w:rsidP="00B0151D">
            <w:pPr>
              <w:pStyle w:val="BodyText2"/>
              <w:rPr>
                <w:i/>
              </w:rPr>
            </w:pPr>
            <w:r w:rsidRPr="00C74B26">
              <w:rPr>
                <w:i/>
              </w:rPr>
              <w:t xml:space="preserve">Nominated by/ filled by </w:t>
            </w:r>
          </w:p>
        </w:tc>
        <w:tc>
          <w:tcPr>
            <w:tcW w:w="2840" w:type="dxa"/>
          </w:tcPr>
          <w:p w14:paraId="5A31FEDE" w14:textId="77777777" w:rsidR="00DA752D" w:rsidRPr="00C74B26" w:rsidRDefault="00DA752D" w:rsidP="00B0151D">
            <w:pPr>
              <w:pStyle w:val="BodyText2"/>
              <w:rPr>
                <w:i/>
              </w:rPr>
            </w:pPr>
            <w:r w:rsidRPr="00C74B26">
              <w:rPr>
                <w:i/>
              </w:rPr>
              <w:t>Currently in post</w:t>
            </w:r>
          </w:p>
          <w:p w14:paraId="4B0B7CC4" w14:textId="77777777" w:rsidR="00DA752D" w:rsidRPr="00C74B26" w:rsidRDefault="00DA752D" w:rsidP="00B0151D">
            <w:pPr>
              <w:pStyle w:val="BodyText2"/>
              <w:rPr>
                <w:i/>
              </w:rPr>
            </w:pPr>
          </w:p>
        </w:tc>
      </w:tr>
      <w:tr w:rsidR="00DA752D" w14:paraId="58C99A7F" w14:textId="77777777" w:rsidTr="00B0151D">
        <w:tc>
          <w:tcPr>
            <w:tcW w:w="2518" w:type="dxa"/>
          </w:tcPr>
          <w:p w14:paraId="2657C098" w14:textId="77777777" w:rsidR="00DA752D" w:rsidRPr="00C74B26" w:rsidRDefault="00DA752D" w:rsidP="00B0151D">
            <w:pPr>
              <w:pStyle w:val="BodyText2"/>
              <w:rPr>
                <w:b/>
                <w:i/>
              </w:rPr>
            </w:pPr>
            <w:r w:rsidRPr="00C74B26">
              <w:rPr>
                <w:b/>
                <w:i/>
              </w:rPr>
              <w:t>Chairman</w:t>
            </w:r>
          </w:p>
          <w:p w14:paraId="0F845BBE" w14:textId="77777777" w:rsidR="00DA752D" w:rsidRPr="00C74B26" w:rsidRDefault="00DA752D" w:rsidP="00B0151D">
            <w:pPr>
              <w:pStyle w:val="BodyText2"/>
              <w:rPr>
                <w:b/>
                <w:i/>
              </w:rPr>
            </w:pPr>
          </w:p>
        </w:tc>
        <w:tc>
          <w:tcPr>
            <w:tcW w:w="3162" w:type="dxa"/>
          </w:tcPr>
          <w:p w14:paraId="63C0374D" w14:textId="77777777" w:rsidR="00DA752D" w:rsidRPr="00C74B26" w:rsidRDefault="00DA752D" w:rsidP="00B0151D">
            <w:pPr>
              <w:pStyle w:val="BodyText2"/>
              <w:rPr>
                <w:b/>
                <w:i/>
              </w:rPr>
            </w:pPr>
            <w:r w:rsidRPr="00C74B26">
              <w:rPr>
                <w:b/>
                <w:i/>
              </w:rPr>
              <w:t>Lead Political Group</w:t>
            </w:r>
          </w:p>
        </w:tc>
        <w:tc>
          <w:tcPr>
            <w:tcW w:w="2840" w:type="dxa"/>
          </w:tcPr>
          <w:p w14:paraId="6016766A" w14:textId="77777777" w:rsidR="00DA752D" w:rsidRPr="00A92E32" w:rsidRDefault="00DA752D" w:rsidP="0000722F">
            <w:pPr>
              <w:pStyle w:val="BodyText2"/>
              <w:rPr>
                <w:b/>
                <w:i/>
              </w:rPr>
            </w:pPr>
            <w:r w:rsidRPr="00A92E32">
              <w:rPr>
                <w:b/>
                <w:i/>
              </w:rPr>
              <w:t xml:space="preserve">Cllr </w:t>
            </w:r>
            <w:r w:rsidR="0000722F">
              <w:rPr>
                <w:b/>
                <w:i/>
              </w:rPr>
              <w:t>C Lloyd</w:t>
            </w:r>
          </w:p>
        </w:tc>
      </w:tr>
      <w:tr w:rsidR="00DA752D" w14:paraId="2FA3BB4A" w14:textId="77777777" w:rsidTr="00B0151D">
        <w:tc>
          <w:tcPr>
            <w:tcW w:w="2518" w:type="dxa"/>
          </w:tcPr>
          <w:p w14:paraId="4938D9BF" w14:textId="77777777" w:rsidR="00DA752D" w:rsidRPr="00C74B26" w:rsidRDefault="00DA752D" w:rsidP="00B0151D">
            <w:pPr>
              <w:pStyle w:val="BodyText2"/>
              <w:rPr>
                <w:b/>
                <w:i/>
              </w:rPr>
            </w:pPr>
            <w:r w:rsidRPr="00C74B26">
              <w:rPr>
                <w:b/>
                <w:i/>
              </w:rPr>
              <w:t>Vice Chairman</w:t>
            </w:r>
          </w:p>
          <w:p w14:paraId="25064589" w14:textId="77777777" w:rsidR="00DA752D" w:rsidRPr="00C74B26" w:rsidRDefault="00DA752D" w:rsidP="00B0151D">
            <w:pPr>
              <w:pStyle w:val="BodyText2"/>
              <w:rPr>
                <w:b/>
                <w:i/>
              </w:rPr>
            </w:pPr>
          </w:p>
        </w:tc>
        <w:tc>
          <w:tcPr>
            <w:tcW w:w="3162" w:type="dxa"/>
          </w:tcPr>
          <w:p w14:paraId="7CA667BE" w14:textId="77777777" w:rsidR="00DA752D" w:rsidRPr="00C74B26" w:rsidRDefault="00DA752D" w:rsidP="00B0151D">
            <w:pPr>
              <w:pStyle w:val="BodyText2"/>
              <w:rPr>
                <w:b/>
                <w:i/>
              </w:rPr>
            </w:pPr>
            <w:r w:rsidRPr="00C74B26">
              <w:rPr>
                <w:b/>
                <w:i/>
              </w:rPr>
              <w:t>Lead Political Group</w:t>
            </w:r>
          </w:p>
        </w:tc>
        <w:tc>
          <w:tcPr>
            <w:tcW w:w="2840" w:type="dxa"/>
          </w:tcPr>
          <w:p w14:paraId="16E6CF19" w14:textId="77777777" w:rsidR="00DA752D" w:rsidRPr="00A92E32" w:rsidRDefault="00DA752D" w:rsidP="00B0151D">
            <w:pPr>
              <w:pStyle w:val="BodyText2"/>
              <w:rPr>
                <w:b/>
                <w:i/>
              </w:rPr>
            </w:pPr>
            <w:r w:rsidRPr="00A92E32">
              <w:rPr>
                <w:b/>
                <w:i/>
              </w:rPr>
              <w:t xml:space="preserve">Cllr </w:t>
            </w:r>
            <w:r w:rsidR="00AE1B30">
              <w:rPr>
                <w:b/>
                <w:i/>
              </w:rPr>
              <w:t>P Downing</w:t>
            </w:r>
          </w:p>
        </w:tc>
      </w:tr>
      <w:tr w:rsidR="00DA752D" w14:paraId="7F7B0942" w14:textId="77777777" w:rsidTr="00B0151D">
        <w:tc>
          <w:tcPr>
            <w:tcW w:w="2518" w:type="dxa"/>
          </w:tcPr>
          <w:p w14:paraId="3754CB1E" w14:textId="77777777" w:rsidR="00DA752D" w:rsidRPr="00C74B26" w:rsidRDefault="009D3B52" w:rsidP="00B0151D">
            <w:pPr>
              <w:pStyle w:val="BodyText2"/>
              <w:rPr>
                <w:b/>
                <w:i/>
              </w:rPr>
            </w:pPr>
            <w:r>
              <w:rPr>
                <w:b/>
                <w:i/>
              </w:rPr>
              <w:t>Committee</w:t>
            </w:r>
            <w:r w:rsidR="00DA752D" w:rsidRPr="00C74B26">
              <w:rPr>
                <w:b/>
                <w:i/>
              </w:rPr>
              <w:t xml:space="preserve"> Member</w:t>
            </w:r>
          </w:p>
          <w:p w14:paraId="4B011171" w14:textId="77777777" w:rsidR="00DA752D" w:rsidRPr="00C74B26" w:rsidRDefault="00DA752D" w:rsidP="00B0151D">
            <w:pPr>
              <w:pStyle w:val="BodyText2"/>
              <w:rPr>
                <w:b/>
                <w:i/>
              </w:rPr>
            </w:pPr>
          </w:p>
        </w:tc>
        <w:tc>
          <w:tcPr>
            <w:tcW w:w="3162" w:type="dxa"/>
          </w:tcPr>
          <w:p w14:paraId="03070A33" w14:textId="77777777" w:rsidR="00DA752D" w:rsidRPr="00C74B26" w:rsidRDefault="00DA752D" w:rsidP="00B0151D">
            <w:pPr>
              <w:pStyle w:val="BodyText2"/>
              <w:rPr>
                <w:b/>
                <w:i/>
              </w:rPr>
            </w:pPr>
            <w:r w:rsidRPr="00C74B26">
              <w:rPr>
                <w:b/>
                <w:i/>
              </w:rPr>
              <w:t>Lead Political Group</w:t>
            </w:r>
          </w:p>
        </w:tc>
        <w:tc>
          <w:tcPr>
            <w:tcW w:w="2840" w:type="dxa"/>
          </w:tcPr>
          <w:p w14:paraId="401EFA74" w14:textId="77777777" w:rsidR="00DA752D" w:rsidRDefault="00DA752D" w:rsidP="0000722F">
            <w:pPr>
              <w:pStyle w:val="BodyText2"/>
              <w:rPr>
                <w:b/>
                <w:i/>
              </w:rPr>
            </w:pPr>
            <w:r>
              <w:rPr>
                <w:b/>
                <w:i/>
              </w:rPr>
              <w:t xml:space="preserve">Cllr </w:t>
            </w:r>
            <w:r w:rsidR="0000722F">
              <w:rPr>
                <w:b/>
                <w:i/>
              </w:rPr>
              <w:t>M Lewis</w:t>
            </w:r>
          </w:p>
        </w:tc>
      </w:tr>
      <w:tr w:rsidR="00AE1B30" w14:paraId="247C69B3" w14:textId="77777777" w:rsidTr="00B0151D">
        <w:tc>
          <w:tcPr>
            <w:tcW w:w="2518" w:type="dxa"/>
          </w:tcPr>
          <w:p w14:paraId="2E1F2702" w14:textId="77777777" w:rsidR="00AE1B30" w:rsidRPr="00C74B26" w:rsidRDefault="009D3B52" w:rsidP="00E84C64">
            <w:pPr>
              <w:pStyle w:val="BodyText2"/>
              <w:rPr>
                <w:b/>
                <w:i/>
              </w:rPr>
            </w:pPr>
            <w:r>
              <w:rPr>
                <w:b/>
                <w:i/>
              </w:rPr>
              <w:t>Committee</w:t>
            </w:r>
            <w:r w:rsidR="00AE1B30" w:rsidRPr="00C74B26">
              <w:rPr>
                <w:b/>
                <w:i/>
              </w:rPr>
              <w:t xml:space="preserve"> Member</w:t>
            </w:r>
          </w:p>
          <w:p w14:paraId="7C283F48" w14:textId="77777777" w:rsidR="00AE1B30" w:rsidRPr="00C74B26" w:rsidRDefault="00AE1B30" w:rsidP="00E84C64">
            <w:pPr>
              <w:pStyle w:val="BodyText2"/>
              <w:rPr>
                <w:b/>
                <w:i/>
              </w:rPr>
            </w:pPr>
          </w:p>
        </w:tc>
        <w:tc>
          <w:tcPr>
            <w:tcW w:w="3162" w:type="dxa"/>
          </w:tcPr>
          <w:p w14:paraId="2F1098E8" w14:textId="77777777" w:rsidR="00AE1B30" w:rsidRPr="00C74B26" w:rsidRDefault="00AE1B30" w:rsidP="00E84C64">
            <w:pPr>
              <w:pStyle w:val="BodyText2"/>
              <w:rPr>
                <w:b/>
                <w:i/>
              </w:rPr>
            </w:pPr>
            <w:r w:rsidRPr="00C74B26">
              <w:rPr>
                <w:b/>
                <w:i/>
              </w:rPr>
              <w:t>Lead Political Group</w:t>
            </w:r>
          </w:p>
        </w:tc>
        <w:tc>
          <w:tcPr>
            <w:tcW w:w="2840" w:type="dxa"/>
          </w:tcPr>
          <w:p w14:paraId="2AC6B78D" w14:textId="77777777" w:rsidR="00AE1B30" w:rsidRDefault="00AE1B30" w:rsidP="0000722F">
            <w:pPr>
              <w:pStyle w:val="BodyText2"/>
              <w:rPr>
                <w:b/>
                <w:i/>
              </w:rPr>
            </w:pPr>
            <w:r>
              <w:rPr>
                <w:b/>
                <w:i/>
              </w:rPr>
              <w:t xml:space="preserve">Cllr </w:t>
            </w:r>
            <w:r w:rsidR="0000722F">
              <w:rPr>
                <w:b/>
                <w:i/>
              </w:rPr>
              <w:t>J Curtice</w:t>
            </w:r>
          </w:p>
        </w:tc>
      </w:tr>
      <w:tr w:rsidR="00AE1B30" w14:paraId="303FE241" w14:textId="77777777" w:rsidTr="00B0151D">
        <w:tc>
          <w:tcPr>
            <w:tcW w:w="2518" w:type="dxa"/>
          </w:tcPr>
          <w:p w14:paraId="53EFCAD2" w14:textId="77777777" w:rsidR="00AE1B30" w:rsidRPr="00C74B26" w:rsidRDefault="009D3B52" w:rsidP="00B0151D">
            <w:pPr>
              <w:pStyle w:val="BodyText2"/>
              <w:rPr>
                <w:b/>
                <w:i/>
              </w:rPr>
            </w:pPr>
            <w:r>
              <w:rPr>
                <w:b/>
                <w:i/>
              </w:rPr>
              <w:t>Committee</w:t>
            </w:r>
            <w:r w:rsidR="00AE1B30" w:rsidRPr="00C74B26">
              <w:rPr>
                <w:b/>
                <w:i/>
              </w:rPr>
              <w:t xml:space="preserve"> Member</w:t>
            </w:r>
          </w:p>
          <w:p w14:paraId="3144CF7A" w14:textId="77777777" w:rsidR="00AE1B30" w:rsidRPr="00C74B26" w:rsidRDefault="00AE1B30" w:rsidP="00B0151D">
            <w:pPr>
              <w:pStyle w:val="BodyText2"/>
              <w:rPr>
                <w:b/>
                <w:i/>
              </w:rPr>
            </w:pPr>
          </w:p>
        </w:tc>
        <w:tc>
          <w:tcPr>
            <w:tcW w:w="3162" w:type="dxa"/>
          </w:tcPr>
          <w:p w14:paraId="37D85875" w14:textId="77777777" w:rsidR="00AE1B30" w:rsidRPr="00C74B26" w:rsidRDefault="00AE1B30" w:rsidP="00B0151D">
            <w:pPr>
              <w:pStyle w:val="BodyText2"/>
              <w:rPr>
                <w:b/>
                <w:i/>
              </w:rPr>
            </w:pPr>
            <w:r w:rsidRPr="00C74B26">
              <w:rPr>
                <w:b/>
                <w:i/>
              </w:rPr>
              <w:t>Opposition Political Group</w:t>
            </w:r>
          </w:p>
        </w:tc>
        <w:tc>
          <w:tcPr>
            <w:tcW w:w="2840" w:type="dxa"/>
          </w:tcPr>
          <w:p w14:paraId="01C651E1" w14:textId="77777777" w:rsidR="00AE1B30" w:rsidRPr="00A92E32" w:rsidRDefault="00AE1B30" w:rsidP="0000722F">
            <w:pPr>
              <w:pStyle w:val="BodyText2"/>
              <w:rPr>
                <w:b/>
                <w:i/>
              </w:rPr>
            </w:pPr>
            <w:r>
              <w:rPr>
                <w:b/>
                <w:i/>
              </w:rPr>
              <w:t xml:space="preserve">Cllr </w:t>
            </w:r>
            <w:r w:rsidR="0000722F">
              <w:rPr>
                <w:b/>
                <w:i/>
              </w:rPr>
              <w:t xml:space="preserve">W Thomas </w:t>
            </w:r>
          </w:p>
        </w:tc>
      </w:tr>
      <w:tr w:rsidR="00AE1B30" w14:paraId="31AF9782" w14:textId="77777777" w:rsidTr="00B0151D">
        <w:tc>
          <w:tcPr>
            <w:tcW w:w="2518" w:type="dxa"/>
          </w:tcPr>
          <w:p w14:paraId="1DD7B654" w14:textId="77777777" w:rsidR="00AE1B30" w:rsidRPr="00C74B26" w:rsidRDefault="009D3B52" w:rsidP="00B0151D">
            <w:pPr>
              <w:pStyle w:val="BodyText2"/>
              <w:rPr>
                <w:b/>
                <w:i/>
              </w:rPr>
            </w:pPr>
            <w:r>
              <w:rPr>
                <w:b/>
                <w:i/>
              </w:rPr>
              <w:t>Committee</w:t>
            </w:r>
            <w:r w:rsidR="00AE1B30" w:rsidRPr="00C74B26">
              <w:rPr>
                <w:b/>
                <w:i/>
              </w:rPr>
              <w:t xml:space="preserve"> Member</w:t>
            </w:r>
          </w:p>
          <w:p w14:paraId="777A6F68" w14:textId="77777777" w:rsidR="00AE1B30" w:rsidRPr="00C74B26" w:rsidRDefault="00AE1B30" w:rsidP="00B0151D">
            <w:pPr>
              <w:pStyle w:val="BodyText2"/>
              <w:rPr>
                <w:b/>
                <w:i/>
              </w:rPr>
            </w:pPr>
          </w:p>
        </w:tc>
        <w:tc>
          <w:tcPr>
            <w:tcW w:w="3162" w:type="dxa"/>
          </w:tcPr>
          <w:p w14:paraId="2F10E025" w14:textId="77777777" w:rsidR="00AE1B30" w:rsidRPr="00C74B26" w:rsidRDefault="00AE1B30" w:rsidP="00B0151D">
            <w:pPr>
              <w:pStyle w:val="BodyText2"/>
              <w:rPr>
                <w:b/>
                <w:i/>
              </w:rPr>
            </w:pPr>
            <w:r w:rsidRPr="00C74B26">
              <w:rPr>
                <w:b/>
                <w:i/>
              </w:rPr>
              <w:t>Opposition Political Group</w:t>
            </w:r>
          </w:p>
        </w:tc>
        <w:tc>
          <w:tcPr>
            <w:tcW w:w="2840" w:type="dxa"/>
          </w:tcPr>
          <w:p w14:paraId="3573AC8E" w14:textId="77777777" w:rsidR="00AE1B30" w:rsidRPr="00A92E32" w:rsidRDefault="00AE1B30" w:rsidP="00B0151D">
            <w:pPr>
              <w:pStyle w:val="BodyText2"/>
              <w:rPr>
                <w:b/>
                <w:i/>
              </w:rPr>
            </w:pPr>
            <w:r>
              <w:rPr>
                <w:b/>
                <w:i/>
              </w:rPr>
              <w:t>Cllr G Sullivan</w:t>
            </w:r>
          </w:p>
        </w:tc>
      </w:tr>
      <w:tr w:rsidR="00AE1B30" w14:paraId="2A14194F" w14:textId="77777777" w:rsidTr="00B0151D">
        <w:tc>
          <w:tcPr>
            <w:tcW w:w="2518" w:type="dxa"/>
          </w:tcPr>
          <w:p w14:paraId="38541A7D" w14:textId="77777777" w:rsidR="00AE1B30" w:rsidRPr="00C74B26" w:rsidRDefault="009D3B52" w:rsidP="00B0151D">
            <w:pPr>
              <w:pStyle w:val="BodyText2"/>
              <w:rPr>
                <w:b/>
                <w:i/>
              </w:rPr>
            </w:pPr>
            <w:r>
              <w:rPr>
                <w:b/>
                <w:i/>
              </w:rPr>
              <w:t>Committee</w:t>
            </w:r>
            <w:r w:rsidR="00AE1B30">
              <w:rPr>
                <w:b/>
                <w:i/>
              </w:rPr>
              <w:t xml:space="preserve"> Member </w:t>
            </w:r>
          </w:p>
        </w:tc>
        <w:tc>
          <w:tcPr>
            <w:tcW w:w="3162" w:type="dxa"/>
          </w:tcPr>
          <w:p w14:paraId="0D88F319" w14:textId="77777777" w:rsidR="00AE1B30" w:rsidRDefault="00AE1B30" w:rsidP="00B0151D">
            <w:pPr>
              <w:pStyle w:val="BodyText2"/>
              <w:rPr>
                <w:b/>
                <w:i/>
              </w:rPr>
            </w:pPr>
            <w:r>
              <w:rPr>
                <w:b/>
                <w:i/>
              </w:rPr>
              <w:t>Neath Port Talbot CBC</w:t>
            </w:r>
          </w:p>
          <w:p w14:paraId="59E2B6B6" w14:textId="77777777" w:rsidR="00AE1B30" w:rsidRPr="00C74B26" w:rsidRDefault="00AE1B30" w:rsidP="00B0151D">
            <w:pPr>
              <w:pStyle w:val="BodyText2"/>
              <w:rPr>
                <w:b/>
                <w:i/>
              </w:rPr>
            </w:pPr>
          </w:p>
        </w:tc>
        <w:tc>
          <w:tcPr>
            <w:tcW w:w="2840" w:type="dxa"/>
          </w:tcPr>
          <w:p w14:paraId="69883989" w14:textId="77777777" w:rsidR="00AE1B30" w:rsidRDefault="00AE1B30" w:rsidP="00B0151D">
            <w:pPr>
              <w:pStyle w:val="BodyText2"/>
              <w:rPr>
                <w:b/>
                <w:i/>
              </w:rPr>
            </w:pPr>
            <w:r>
              <w:rPr>
                <w:b/>
                <w:i/>
              </w:rPr>
              <w:t>Cllr Peter Rees</w:t>
            </w:r>
          </w:p>
        </w:tc>
      </w:tr>
      <w:tr w:rsidR="00AE1B30" w14:paraId="3AF8DC0F" w14:textId="77777777" w:rsidTr="00B0151D">
        <w:tc>
          <w:tcPr>
            <w:tcW w:w="2518" w:type="dxa"/>
          </w:tcPr>
          <w:p w14:paraId="601BABB0" w14:textId="77777777" w:rsidR="00AE1B30" w:rsidRPr="00C74B26" w:rsidRDefault="00AE1B30" w:rsidP="00B0151D">
            <w:pPr>
              <w:pStyle w:val="BodyText2"/>
              <w:rPr>
                <w:b/>
                <w:i/>
              </w:rPr>
            </w:pPr>
            <w:r w:rsidRPr="00C74B26">
              <w:rPr>
                <w:b/>
                <w:i/>
              </w:rPr>
              <w:t>Lead Officer Member</w:t>
            </w:r>
          </w:p>
          <w:p w14:paraId="20965D6D" w14:textId="77777777" w:rsidR="00AE1B30" w:rsidRPr="00C74B26" w:rsidRDefault="00AE1B30" w:rsidP="00B0151D">
            <w:pPr>
              <w:pStyle w:val="BodyText2"/>
              <w:rPr>
                <w:b/>
                <w:i/>
              </w:rPr>
            </w:pPr>
          </w:p>
        </w:tc>
        <w:tc>
          <w:tcPr>
            <w:tcW w:w="3162" w:type="dxa"/>
          </w:tcPr>
          <w:p w14:paraId="438AD3F2" w14:textId="77777777" w:rsidR="00AE1B30" w:rsidRPr="00C74B26" w:rsidRDefault="0000722F" w:rsidP="00B0151D">
            <w:pPr>
              <w:pStyle w:val="BodyText2"/>
              <w:rPr>
                <w:b/>
                <w:i/>
              </w:rPr>
            </w:pPr>
            <w:r>
              <w:rPr>
                <w:b/>
                <w:i/>
              </w:rPr>
              <w:t xml:space="preserve">Deputy </w:t>
            </w:r>
            <w:r w:rsidR="00AE1B30" w:rsidRPr="00C74B26">
              <w:rPr>
                <w:b/>
                <w:i/>
              </w:rPr>
              <w:t>Section 151 Officer</w:t>
            </w:r>
          </w:p>
        </w:tc>
        <w:tc>
          <w:tcPr>
            <w:tcW w:w="2840" w:type="dxa"/>
          </w:tcPr>
          <w:p w14:paraId="3FF1D157" w14:textId="77777777" w:rsidR="00AE1B30" w:rsidRPr="00A92E32" w:rsidRDefault="0000722F" w:rsidP="00B0151D">
            <w:pPr>
              <w:pStyle w:val="BodyText2"/>
              <w:rPr>
                <w:b/>
                <w:i/>
              </w:rPr>
            </w:pPr>
            <w:r>
              <w:rPr>
                <w:b/>
                <w:i/>
              </w:rPr>
              <w:t>J Dong</w:t>
            </w:r>
          </w:p>
        </w:tc>
      </w:tr>
      <w:tr w:rsidR="00AE1B30" w14:paraId="40465B52" w14:textId="77777777" w:rsidTr="00B0151D">
        <w:tc>
          <w:tcPr>
            <w:tcW w:w="2518" w:type="dxa"/>
          </w:tcPr>
          <w:p w14:paraId="781F030A" w14:textId="77777777" w:rsidR="00AE1B30" w:rsidRPr="00C74B26" w:rsidRDefault="00AE1B30" w:rsidP="00B0151D">
            <w:pPr>
              <w:pStyle w:val="BodyText2"/>
              <w:rPr>
                <w:b/>
                <w:i/>
              </w:rPr>
            </w:pPr>
            <w:r w:rsidRPr="00C74B26">
              <w:rPr>
                <w:b/>
                <w:i/>
              </w:rPr>
              <w:t>Independent Adviser(s)</w:t>
            </w:r>
            <w:r w:rsidR="0079329A">
              <w:rPr>
                <w:b/>
                <w:i/>
              </w:rPr>
              <w:t xml:space="preserve">/ Investment Consultants </w:t>
            </w:r>
          </w:p>
          <w:p w14:paraId="58C47D6F" w14:textId="77777777" w:rsidR="00AE1B30" w:rsidRPr="00C74B26" w:rsidRDefault="00AE1B30" w:rsidP="00B0151D">
            <w:pPr>
              <w:pStyle w:val="BodyText2"/>
              <w:rPr>
                <w:b/>
                <w:i/>
              </w:rPr>
            </w:pPr>
          </w:p>
        </w:tc>
        <w:tc>
          <w:tcPr>
            <w:tcW w:w="3162" w:type="dxa"/>
          </w:tcPr>
          <w:p w14:paraId="050CED42" w14:textId="77777777" w:rsidR="00AE1B30" w:rsidRPr="00C74B26" w:rsidRDefault="00AE1B30" w:rsidP="00B0151D">
            <w:pPr>
              <w:pStyle w:val="BodyText2"/>
              <w:rPr>
                <w:b/>
                <w:i/>
              </w:rPr>
            </w:pPr>
            <w:r w:rsidRPr="00C74B26">
              <w:rPr>
                <w:b/>
                <w:i/>
              </w:rPr>
              <w:t>Suitably qualified professionals</w:t>
            </w:r>
          </w:p>
        </w:tc>
        <w:tc>
          <w:tcPr>
            <w:tcW w:w="2840" w:type="dxa"/>
          </w:tcPr>
          <w:p w14:paraId="5BF6BFF6" w14:textId="77777777" w:rsidR="00AE1B30" w:rsidRDefault="00AE1B30" w:rsidP="00B0151D">
            <w:pPr>
              <w:pStyle w:val="BodyText2"/>
              <w:rPr>
                <w:b/>
                <w:i/>
              </w:rPr>
            </w:pPr>
            <w:r w:rsidRPr="00A92E32">
              <w:rPr>
                <w:b/>
                <w:i/>
              </w:rPr>
              <w:t>Noel Mills</w:t>
            </w:r>
          </w:p>
          <w:p w14:paraId="242F290B" w14:textId="77777777" w:rsidR="0079329A" w:rsidRPr="00A92E32" w:rsidRDefault="0079329A" w:rsidP="00B0151D">
            <w:pPr>
              <w:pStyle w:val="BodyText2"/>
              <w:rPr>
                <w:b/>
                <w:i/>
              </w:rPr>
            </w:pPr>
            <w:r>
              <w:rPr>
                <w:b/>
                <w:i/>
              </w:rPr>
              <w:t>Hymans Robertson</w:t>
            </w:r>
          </w:p>
        </w:tc>
      </w:tr>
    </w:tbl>
    <w:p w14:paraId="662A27D6" w14:textId="77777777" w:rsidR="00DA752D" w:rsidRDefault="00DA752D" w:rsidP="00DA752D">
      <w:pPr>
        <w:pStyle w:val="BodyText2"/>
      </w:pPr>
    </w:p>
    <w:p w14:paraId="7A472EC8" w14:textId="77777777" w:rsidR="00DA752D" w:rsidRDefault="00DA752D" w:rsidP="00DA752D">
      <w:pPr>
        <w:pStyle w:val="BodyText2"/>
        <w:rPr>
          <w:b/>
        </w:rPr>
      </w:pPr>
    </w:p>
    <w:p w14:paraId="17DA9A08" w14:textId="77777777" w:rsidR="00DA752D" w:rsidRPr="00E23B67" w:rsidRDefault="0079329A" w:rsidP="00DA752D">
      <w:pPr>
        <w:pStyle w:val="BodyText2"/>
        <w:rPr>
          <w:b/>
          <w:i/>
        </w:rPr>
      </w:pPr>
      <w:r>
        <w:rPr>
          <w:b/>
          <w:i/>
        </w:rPr>
        <w:t>The Pension Fund Committee</w:t>
      </w:r>
      <w:r w:rsidR="00DA752D" w:rsidRPr="00E23B67">
        <w:rPr>
          <w:b/>
          <w:i/>
        </w:rPr>
        <w:t xml:space="preserve"> has responsibility for:</w:t>
      </w:r>
    </w:p>
    <w:p w14:paraId="3853E39F" w14:textId="77777777" w:rsidR="00DA752D" w:rsidRDefault="00DA752D" w:rsidP="00DA752D">
      <w:pPr>
        <w:pStyle w:val="BodyText2"/>
      </w:pPr>
    </w:p>
    <w:p w14:paraId="055025E1"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 xml:space="preserve">approving the </w:t>
      </w:r>
      <w:r w:rsidR="0079329A">
        <w:rPr>
          <w:rFonts w:ascii="Arial" w:hAnsi="Arial"/>
          <w:sz w:val="24"/>
        </w:rPr>
        <w:t>Investment Strategy Statement</w:t>
      </w:r>
      <w:r>
        <w:rPr>
          <w:rFonts w:ascii="Arial" w:hAnsi="Arial"/>
          <w:sz w:val="24"/>
        </w:rPr>
        <w:t>,</w:t>
      </w:r>
    </w:p>
    <w:p w14:paraId="6EC9D76B"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monitoring compliance with the Statement and reviewing its contents from time to time,</w:t>
      </w:r>
    </w:p>
    <w:p w14:paraId="505A03EE"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approving the funding strategy statement,</w:t>
      </w:r>
    </w:p>
    <w:p w14:paraId="28559635" w14:textId="77777777" w:rsidR="0079329A" w:rsidRDefault="0079329A" w:rsidP="00DD5C2B">
      <w:pPr>
        <w:numPr>
          <w:ilvl w:val="0"/>
          <w:numId w:val="14"/>
        </w:numPr>
        <w:spacing w:line="240" w:lineRule="atLeast"/>
        <w:jc w:val="both"/>
        <w:rPr>
          <w:rFonts w:ascii="Arial" w:hAnsi="Arial"/>
          <w:sz w:val="24"/>
        </w:rPr>
      </w:pPr>
      <w:r>
        <w:rPr>
          <w:rFonts w:ascii="Arial" w:hAnsi="Arial"/>
          <w:sz w:val="24"/>
        </w:rPr>
        <w:t>approve the ESG Policy</w:t>
      </w:r>
    </w:p>
    <w:p w14:paraId="76703370"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approving the corporate governance arrangements of  the Fund,</w:t>
      </w:r>
    </w:p>
    <w:p w14:paraId="497234C4" w14:textId="77777777" w:rsidR="00DA752D" w:rsidRDefault="00DA752D" w:rsidP="00DD5C2B">
      <w:pPr>
        <w:numPr>
          <w:ilvl w:val="0"/>
          <w:numId w:val="14"/>
        </w:numPr>
        <w:spacing w:line="240" w:lineRule="atLeast"/>
        <w:jc w:val="both"/>
        <w:rPr>
          <w:rFonts w:ascii="Arial" w:hAnsi="Arial"/>
          <w:sz w:val="24"/>
        </w:rPr>
      </w:pPr>
      <w:r>
        <w:rPr>
          <w:rFonts w:ascii="Arial" w:hAnsi="Arial"/>
          <w:sz w:val="24"/>
        </w:rPr>
        <w:lastRenderedPageBreak/>
        <w:t>to establish and keep under review policies to be applied by the Council in exercising its discretion as an administering Authority under the Local Government Pension Scheme (LGPS) Regulations 1997,</w:t>
      </w:r>
    </w:p>
    <w:p w14:paraId="3D5F1E64"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to make recommendations to the Council from time to time on the financial implications for the Pension Fund of discretion’s available to the Council as an employing authority under the LGPS Regulations 1997,</w:t>
      </w:r>
    </w:p>
    <w:p w14:paraId="051DBE58"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to monitor factors likely to affect the solvency of the Pension Fund between the triennial valuations of the Fund by its independent actuary including specifically, the impact of early retirements approved by all employing bodies within the Fund,</w:t>
      </w:r>
    </w:p>
    <w:p w14:paraId="611BEB8A"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to determine the strategic aims for investment of the Fund and the benchmarks by which performance will be measured,</w:t>
      </w:r>
    </w:p>
    <w:p w14:paraId="07280878"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to arrange for independent investment advice to be available to the Panel at any time,</w:t>
      </w:r>
    </w:p>
    <w:p w14:paraId="25D99652"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to determine, keep under review and, where appropriate, secure changes in the management arrangements for investment of the Pension Fund,</w:t>
      </w:r>
    </w:p>
    <w:p w14:paraId="2768A082"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to monitor on a regular basis against its objectives and benchmarks the Fund's investment performance,</w:t>
      </w:r>
    </w:p>
    <w:p w14:paraId="73E25119"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 xml:space="preserve">to approve attendance of the Panel or any of its Members or Officers at Regional or National meetings arranged to assist Members of </w:t>
      </w:r>
      <w:r w:rsidR="00962528">
        <w:rPr>
          <w:rFonts w:ascii="Arial" w:hAnsi="Arial"/>
          <w:sz w:val="24"/>
        </w:rPr>
        <w:t xml:space="preserve">Pension </w:t>
      </w:r>
      <w:r w:rsidR="00A82870">
        <w:rPr>
          <w:rFonts w:ascii="Arial" w:hAnsi="Arial"/>
          <w:sz w:val="24"/>
        </w:rPr>
        <w:t>panel</w:t>
      </w:r>
      <w:r>
        <w:rPr>
          <w:rFonts w:ascii="Arial" w:hAnsi="Arial"/>
          <w:sz w:val="24"/>
        </w:rPr>
        <w:t>s to fulfil their trustee responsibilities,</w:t>
      </w:r>
    </w:p>
    <w:p w14:paraId="4C4E1CEC"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to ensure effective communication and liaison with other employing bodies within the City &amp; County of Swansea Pension Fund,</w:t>
      </w:r>
    </w:p>
    <w:p w14:paraId="6BB878DA"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to respond to consultative documents affecting the Local Government Pension Scheme.</w:t>
      </w:r>
    </w:p>
    <w:p w14:paraId="1F012B59" w14:textId="77777777" w:rsidR="00DA752D" w:rsidRDefault="00DA752D" w:rsidP="00DD5C2B">
      <w:pPr>
        <w:numPr>
          <w:ilvl w:val="0"/>
          <w:numId w:val="14"/>
        </w:numPr>
        <w:spacing w:line="240" w:lineRule="atLeast"/>
        <w:jc w:val="both"/>
        <w:rPr>
          <w:rFonts w:ascii="Arial" w:hAnsi="Arial"/>
          <w:sz w:val="24"/>
        </w:rPr>
      </w:pPr>
      <w:r>
        <w:rPr>
          <w:rFonts w:ascii="Arial" w:hAnsi="Arial"/>
          <w:sz w:val="24"/>
        </w:rPr>
        <w:t>to consider and approve all policy in relation to Administering Authority Discretions.</w:t>
      </w:r>
    </w:p>
    <w:p w14:paraId="0AE8BB65" w14:textId="77777777" w:rsidR="00DA752D" w:rsidRDefault="00DA752D" w:rsidP="00DA752D">
      <w:pPr>
        <w:spacing w:line="240" w:lineRule="atLeast"/>
        <w:jc w:val="both"/>
        <w:rPr>
          <w:rFonts w:ascii="Arial" w:hAnsi="Arial"/>
          <w:sz w:val="24"/>
        </w:rPr>
      </w:pPr>
    </w:p>
    <w:p w14:paraId="1D69BECD" w14:textId="77777777" w:rsidR="00DA752D" w:rsidRDefault="00DA752D" w:rsidP="00DA752D">
      <w:pPr>
        <w:spacing w:line="240" w:lineRule="atLeast"/>
        <w:jc w:val="both"/>
        <w:rPr>
          <w:rFonts w:ascii="Arial" w:hAnsi="Arial"/>
          <w:sz w:val="24"/>
        </w:rPr>
      </w:pPr>
    </w:p>
    <w:p w14:paraId="7CC97F48" w14:textId="77777777" w:rsidR="00DA752D" w:rsidRPr="00DC0EBF" w:rsidRDefault="00DA752D" w:rsidP="00DA752D">
      <w:pPr>
        <w:pStyle w:val="Heading2"/>
      </w:pPr>
      <w:r w:rsidRPr="00DC0EBF">
        <w:t xml:space="preserve">Frequency of </w:t>
      </w:r>
      <w:r w:rsidR="00962528">
        <w:t xml:space="preserve">Pension </w:t>
      </w:r>
      <w:r w:rsidR="00A82870">
        <w:t>panel</w:t>
      </w:r>
      <w:r w:rsidRPr="00DC0EBF">
        <w:t xml:space="preserve"> Meetings</w:t>
      </w:r>
    </w:p>
    <w:p w14:paraId="5924F1EE" w14:textId="77777777" w:rsidR="00DA752D" w:rsidRPr="00DC0EBF" w:rsidRDefault="00DA752D" w:rsidP="00DA752D">
      <w:pPr>
        <w:pStyle w:val="Heading3"/>
        <w:jc w:val="left"/>
        <w:rPr>
          <w:b w:val="0"/>
        </w:rPr>
      </w:pPr>
      <w:r w:rsidRPr="00DC0EBF">
        <w:rPr>
          <w:b w:val="0"/>
        </w:rPr>
        <w:t xml:space="preserve">The Pension Fund </w:t>
      </w:r>
      <w:r w:rsidR="00891EB3">
        <w:rPr>
          <w:b w:val="0"/>
        </w:rPr>
        <w:t>Pension Fund Panel</w:t>
      </w:r>
      <w:r w:rsidRPr="00DC0EBF">
        <w:rPr>
          <w:b w:val="0"/>
        </w:rPr>
        <w:t xml:space="preserve"> shall meet quarterly throughout the year. In addition to the above the Pension Fund hosts:</w:t>
      </w:r>
    </w:p>
    <w:p w14:paraId="79620C34" w14:textId="77777777" w:rsidR="00DA752D" w:rsidRDefault="00DA752D" w:rsidP="00DA752D">
      <w:pPr>
        <w:rPr>
          <w:rFonts w:ascii="Arial" w:hAnsi="Arial"/>
          <w:sz w:val="24"/>
        </w:rPr>
      </w:pPr>
    </w:p>
    <w:p w14:paraId="417B1170" w14:textId="77777777" w:rsidR="00DA752D" w:rsidRDefault="00DA752D" w:rsidP="000E5920">
      <w:pPr>
        <w:numPr>
          <w:ilvl w:val="0"/>
          <w:numId w:val="23"/>
        </w:numPr>
        <w:rPr>
          <w:rFonts w:ascii="Arial" w:hAnsi="Arial"/>
          <w:sz w:val="24"/>
        </w:rPr>
      </w:pPr>
      <w:r>
        <w:rPr>
          <w:rFonts w:ascii="Arial" w:hAnsi="Arial"/>
          <w:sz w:val="24"/>
        </w:rPr>
        <w:t xml:space="preserve">An Annual General Meeting </w:t>
      </w:r>
    </w:p>
    <w:p w14:paraId="2958DAEB" w14:textId="77777777" w:rsidR="00DA752D" w:rsidRDefault="00DA752D" w:rsidP="000E5920">
      <w:pPr>
        <w:numPr>
          <w:ilvl w:val="0"/>
          <w:numId w:val="23"/>
        </w:numPr>
        <w:rPr>
          <w:rFonts w:ascii="Arial" w:hAnsi="Arial"/>
          <w:sz w:val="24"/>
        </w:rPr>
      </w:pPr>
      <w:r>
        <w:rPr>
          <w:rFonts w:ascii="Arial" w:hAnsi="Arial"/>
          <w:sz w:val="24"/>
        </w:rPr>
        <w:t>Actuarial valuation consultative meetings</w:t>
      </w:r>
    </w:p>
    <w:p w14:paraId="50D32C0E" w14:textId="77777777" w:rsidR="00DA752D" w:rsidRDefault="00DA752D" w:rsidP="000E5920">
      <w:pPr>
        <w:numPr>
          <w:ilvl w:val="0"/>
          <w:numId w:val="23"/>
        </w:numPr>
        <w:rPr>
          <w:rFonts w:ascii="Arial" w:hAnsi="Arial"/>
          <w:sz w:val="24"/>
        </w:rPr>
      </w:pPr>
      <w:r>
        <w:rPr>
          <w:rFonts w:ascii="Arial" w:hAnsi="Arial"/>
          <w:sz w:val="24"/>
        </w:rPr>
        <w:t>Member Roadshows</w:t>
      </w:r>
    </w:p>
    <w:p w14:paraId="504E0840" w14:textId="77777777" w:rsidR="00DA752D" w:rsidRDefault="00DA752D" w:rsidP="000E5920">
      <w:pPr>
        <w:numPr>
          <w:ilvl w:val="0"/>
          <w:numId w:val="23"/>
        </w:numPr>
        <w:rPr>
          <w:rFonts w:ascii="Arial" w:hAnsi="Arial"/>
          <w:sz w:val="24"/>
        </w:rPr>
      </w:pPr>
      <w:r>
        <w:rPr>
          <w:rFonts w:ascii="Arial" w:hAnsi="Arial"/>
          <w:sz w:val="24"/>
        </w:rPr>
        <w:t>Employer Roadshows.</w:t>
      </w:r>
    </w:p>
    <w:p w14:paraId="5C9F600E" w14:textId="77777777" w:rsidR="00DA752D" w:rsidRDefault="00DA752D" w:rsidP="00DA752D">
      <w:pPr>
        <w:ind w:left="709" w:hanging="709"/>
        <w:rPr>
          <w:rFonts w:ascii="Arial" w:hAnsi="Arial"/>
          <w:sz w:val="24"/>
        </w:rPr>
      </w:pPr>
    </w:p>
    <w:p w14:paraId="6934ECFF" w14:textId="77777777" w:rsidR="00DA752D" w:rsidRPr="00DC0EBF" w:rsidRDefault="00DA752D" w:rsidP="00DA752D">
      <w:pPr>
        <w:ind w:left="709" w:hanging="709"/>
        <w:rPr>
          <w:rFonts w:ascii="Arial" w:hAnsi="Arial"/>
          <w:b/>
          <w:sz w:val="24"/>
        </w:rPr>
      </w:pPr>
    </w:p>
    <w:p w14:paraId="2E74F2C4" w14:textId="77777777" w:rsidR="00DA752D" w:rsidRPr="00DC0EBF" w:rsidRDefault="00DA752D" w:rsidP="00DA752D">
      <w:pPr>
        <w:pStyle w:val="Heading4"/>
        <w:rPr>
          <w:sz w:val="24"/>
          <w:szCs w:val="24"/>
        </w:rPr>
      </w:pPr>
      <w:r w:rsidRPr="00DC0EBF">
        <w:rPr>
          <w:sz w:val="24"/>
          <w:szCs w:val="24"/>
        </w:rPr>
        <w:t xml:space="preserve">Operational Procedure of Meetings </w:t>
      </w:r>
    </w:p>
    <w:p w14:paraId="579213E8" w14:textId="77777777" w:rsidR="00DA752D" w:rsidRPr="00DC0EBF" w:rsidRDefault="00DA752D" w:rsidP="00DA752D">
      <w:pPr>
        <w:pStyle w:val="BodyText3"/>
        <w:jc w:val="both"/>
        <w:rPr>
          <w:b w:val="0"/>
          <w:sz w:val="24"/>
          <w:szCs w:val="24"/>
        </w:rPr>
      </w:pPr>
      <w:r w:rsidRPr="00DC0EBF">
        <w:rPr>
          <w:b w:val="0"/>
          <w:sz w:val="24"/>
          <w:szCs w:val="24"/>
        </w:rPr>
        <w:t xml:space="preserve">The agenda for the quarterly meetings is determined by the Lead Officer Member of the </w:t>
      </w:r>
      <w:r w:rsidR="00962528">
        <w:rPr>
          <w:b w:val="0"/>
          <w:sz w:val="24"/>
          <w:szCs w:val="24"/>
        </w:rPr>
        <w:t xml:space="preserve">Pension </w:t>
      </w:r>
      <w:r w:rsidR="00A82870">
        <w:rPr>
          <w:b w:val="0"/>
          <w:sz w:val="24"/>
          <w:szCs w:val="24"/>
        </w:rPr>
        <w:t>panel</w:t>
      </w:r>
      <w:r w:rsidRPr="00DC0EBF">
        <w:rPr>
          <w:b w:val="0"/>
          <w:sz w:val="24"/>
          <w:szCs w:val="24"/>
        </w:rPr>
        <w:t xml:space="preserve"> to incorporate timely, relevant issues/matters in relation to the Investments and Administration of the </w:t>
      </w:r>
      <w:r>
        <w:rPr>
          <w:b w:val="0"/>
          <w:sz w:val="24"/>
          <w:szCs w:val="24"/>
        </w:rPr>
        <w:t>F</w:t>
      </w:r>
      <w:r w:rsidRPr="00DC0EBF">
        <w:rPr>
          <w:b w:val="0"/>
          <w:sz w:val="24"/>
          <w:szCs w:val="24"/>
        </w:rPr>
        <w:t xml:space="preserve">und. </w:t>
      </w:r>
    </w:p>
    <w:p w14:paraId="1A1288CB" w14:textId="77777777" w:rsidR="00DA752D" w:rsidRPr="00DC0EBF" w:rsidRDefault="00DA752D" w:rsidP="00DA752D">
      <w:pPr>
        <w:pStyle w:val="BodyText3"/>
        <w:jc w:val="both"/>
        <w:rPr>
          <w:b w:val="0"/>
          <w:sz w:val="24"/>
          <w:szCs w:val="24"/>
        </w:rPr>
      </w:pPr>
    </w:p>
    <w:p w14:paraId="5416A198" w14:textId="77777777" w:rsidR="00DA752D" w:rsidRPr="00DC0EBF" w:rsidRDefault="00DA752D" w:rsidP="00DA752D">
      <w:pPr>
        <w:pStyle w:val="BodyText3"/>
        <w:jc w:val="both"/>
        <w:rPr>
          <w:b w:val="0"/>
          <w:sz w:val="24"/>
          <w:szCs w:val="24"/>
        </w:rPr>
      </w:pPr>
      <w:r w:rsidRPr="00DC0EBF">
        <w:rPr>
          <w:b w:val="0"/>
          <w:sz w:val="24"/>
          <w:szCs w:val="24"/>
        </w:rPr>
        <w:t>Meeting papers for each panel meeting shall be circulated in a timely manner for consideration prior to each meeting.</w:t>
      </w:r>
    </w:p>
    <w:p w14:paraId="034239DC" w14:textId="77777777" w:rsidR="00DA752D" w:rsidRPr="00DC0EBF" w:rsidRDefault="00DA752D" w:rsidP="00DA752D">
      <w:pPr>
        <w:pStyle w:val="BodyText3"/>
        <w:jc w:val="both"/>
        <w:rPr>
          <w:b w:val="0"/>
          <w:sz w:val="24"/>
          <w:szCs w:val="24"/>
        </w:rPr>
      </w:pPr>
    </w:p>
    <w:p w14:paraId="1EB26725" w14:textId="77777777" w:rsidR="00DA752D" w:rsidRPr="00DC0EBF" w:rsidRDefault="00DA752D" w:rsidP="00DA752D">
      <w:pPr>
        <w:pStyle w:val="BodyText3"/>
        <w:jc w:val="both"/>
        <w:rPr>
          <w:b w:val="0"/>
          <w:sz w:val="24"/>
          <w:szCs w:val="24"/>
        </w:rPr>
      </w:pPr>
      <w:r w:rsidRPr="00DC0EBF">
        <w:rPr>
          <w:b w:val="0"/>
          <w:sz w:val="24"/>
          <w:szCs w:val="24"/>
        </w:rPr>
        <w:lastRenderedPageBreak/>
        <w:t>Agenda items are to include:</w:t>
      </w:r>
    </w:p>
    <w:p w14:paraId="3D2BAF17" w14:textId="77777777" w:rsidR="00DA752D" w:rsidRPr="00DC0EBF" w:rsidRDefault="00DA752D" w:rsidP="00DA752D">
      <w:pPr>
        <w:pStyle w:val="BodyText3"/>
        <w:jc w:val="both"/>
        <w:rPr>
          <w:b w:val="0"/>
          <w:sz w:val="24"/>
          <w:szCs w:val="24"/>
        </w:rPr>
      </w:pPr>
    </w:p>
    <w:p w14:paraId="4FE8DC1F" w14:textId="77777777" w:rsidR="00DA752D" w:rsidRPr="00DC0EBF" w:rsidRDefault="00DA752D" w:rsidP="000E5920">
      <w:pPr>
        <w:pStyle w:val="BodyText3"/>
        <w:widowControl w:val="0"/>
        <w:numPr>
          <w:ilvl w:val="0"/>
          <w:numId w:val="24"/>
        </w:numPr>
        <w:tabs>
          <w:tab w:val="clear" w:pos="1134"/>
        </w:tabs>
        <w:overflowPunct w:val="0"/>
        <w:autoSpaceDE w:val="0"/>
        <w:autoSpaceDN w:val="0"/>
        <w:adjustRightInd w:val="0"/>
        <w:jc w:val="both"/>
        <w:textAlignment w:val="baseline"/>
        <w:outlineLvl w:val="9"/>
        <w:rPr>
          <w:b w:val="0"/>
          <w:sz w:val="24"/>
          <w:szCs w:val="24"/>
        </w:rPr>
      </w:pPr>
      <w:r w:rsidRPr="00DC0EBF">
        <w:rPr>
          <w:b w:val="0"/>
          <w:sz w:val="24"/>
          <w:szCs w:val="24"/>
        </w:rPr>
        <w:t>Regulations/Admin Update</w:t>
      </w:r>
    </w:p>
    <w:p w14:paraId="33517824" w14:textId="77777777" w:rsidR="00DA752D" w:rsidRPr="00DC0EBF" w:rsidRDefault="00DA752D" w:rsidP="000E5920">
      <w:pPr>
        <w:pStyle w:val="BodyText3"/>
        <w:numPr>
          <w:ilvl w:val="0"/>
          <w:numId w:val="19"/>
        </w:numPr>
        <w:tabs>
          <w:tab w:val="clear" w:pos="1134"/>
        </w:tabs>
        <w:jc w:val="both"/>
        <w:outlineLvl w:val="9"/>
        <w:rPr>
          <w:b w:val="0"/>
          <w:sz w:val="24"/>
          <w:szCs w:val="24"/>
        </w:rPr>
      </w:pPr>
      <w:r w:rsidRPr="00DC0EBF">
        <w:rPr>
          <w:b w:val="0"/>
          <w:sz w:val="24"/>
          <w:szCs w:val="24"/>
        </w:rPr>
        <w:t xml:space="preserve">investment performance review </w:t>
      </w:r>
    </w:p>
    <w:p w14:paraId="577ABF9D" w14:textId="77777777" w:rsidR="00DA752D" w:rsidRPr="00DC0EBF" w:rsidRDefault="00DA752D" w:rsidP="000E5920">
      <w:pPr>
        <w:pStyle w:val="BodyText3"/>
        <w:numPr>
          <w:ilvl w:val="0"/>
          <w:numId w:val="20"/>
        </w:numPr>
        <w:tabs>
          <w:tab w:val="clear" w:pos="360"/>
          <w:tab w:val="clear" w:pos="1134"/>
          <w:tab w:val="num" w:pos="720"/>
        </w:tabs>
        <w:ind w:left="720"/>
        <w:jc w:val="both"/>
        <w:outlineLvl w:val="9"/>
        <w:rPr>
          <w:b w:val="0"/>
          <w:sz w:val="24"/>
          <w:szCs w:val="24"/>
        </w:rPr>
      </w:pPr>
      <w:r w:rsidRPr="00DC0EBF">
        <w:rPr>
          <w:b w:val="0"/>
          <w:sz w:val="24"/>
          <w:szCs w:val="24"/>
        </w:rPr>
        <w:t>fund manager review</w:t>
      </w:r>
    </w:p>
    <w:p w14:paraId="1B15CF44" w14:textId="77777777" w:rsidR="00DA752D" w:rsidRPr="00DC0EBF" w:rsidRDefault="00DA752D" w:rsidP="000E5920">
      <w:pPr>
        <w:pStyle w:val="BodyText3"/>
        <w:numPr>
          <w:ilvl w:val="0"/>
          <w:numId w:val="20"/>
        </w:numPr>
        <w:tabs>
          <w:tab w:val="clear" w:pos="360"/>
          <w:tab w:val="clear" w:pos="1134"/>
          <w:tab w:val="num" w:pos="720"/>
        </w:tabs>
        <w:ind w:left="720"/>
        <w:jc w:val="both"/>
        <w:outlineLvl w:val="9"/>
        <w:rPr>
          <w:b w:val="0"/>
          <w:sz w:val="24"/>
          <w:szCs w:val="24"/>
        </w:rPr>
      </w:pPr>
      <w:r w:rsidRPr="00DC0EBF">
        <w:rPr>
          <w:b w:val="0"/>
          <w:sz w:val="24"/>
          <w:szCs w:val="24"/>
        </w:rPr>
        <w:t>fund manager face to face</w:t>
      </w:r>
    </w:p>
    <w:p w14:paraId="2EBD2664" w14:textId="77777777" w:rsidR="00DA752D" w:rsidRDefault="00DA752D" w:rsidP="000E5920">
      <w:pPr>
        <w:pStyle w:val="BodyText3"/>
        <w:numPr>
          <w:ilvl w:val="0"/>
          <w:numId w:val="19"/>
        </w:numPr>
        <w:tabs>
          <w:tab w:val="clear" w:pos="1134"/>
        </w:tabs>
        <w:jc w:val="both"/>
        <w:outlineLvl w:val="9"/>
        <w:rPr>
          <w:b w:val="0"/>
          <w:sz w:val="24"/>
          <w:szCs w:val="24"/>
        </w:rPr>
      </w:pPr>
      <w:r w:rsidRPr="00DC0EBF">
        <w:rPr>
          <w:b w:val="0"/>
          <w:sz w:val="24"/>
          <w:szCs w:val="24"/>
        </w:rPr>
        <w:t xml:space="preserve">report of the independent advisors to the </w:t>
      </w:r>
      <w:r>
        <w:rPr>
          <w:b w:val="0"/>
          <w:sz w:val="24"/>
          <w:szCs w:val="24"/>
        </w:rPr>
        <w:t>F</w:t>
      </w:r>
      <w:r w:rsidRPr="00DC0EBF">
        <w:rPr>
          <w:b w:val="0"/>
          <w:sz w:val="24"/>
          <w:szCs w:val="24"/>
        </w:rPr>
        <w:t>und</w:t>
      </w:r>
      <w:r>
        <w:rPr>
          <w:b w:val="0"/>
          <w:sz w:val="24"/>
          <w:szCs w:val="24"/>
        </w:rPr>
        <w:t>.</w:t>
      </w:r>
    </w:p>
    <w:p w14:paraId="29769722" w14:textId="77777777" w:rsidR="00DA752D" w:rsidRPr="00DC0EBF" w:rsidRDefault="00DA752D" w:rsidP="00DA752D">
      <w:pPr>
        <w:pStyle w:val="BodyText3"/>
        <w:jc w:val="both"/>
        <w:rPr>
          <w:i/>
          <w:sz w:val="24"/>
          <w:szCs w:val="24"/>
        </w:rPr>
      </w:pPr>
    </w:p>
    <w:tbl>
      <w:tblPr>
        <w:tblW w:w="0" w:type="auto"/>
        <w:tblLook w:val="01E0" w:firstRow="1" w:lastRow="1" w:firstColumn="1" w:lastColumn="1" w:noHBand="0" w:noVBand="0"/>
      </w:tblPr>
      <w:tblGrid>
        <w:gridCol w:w="8181"/>
      </w:tblGrid>
      <w:tr w:rsidR="00DA752D" w:rsidRPr="00DC0EBF" w14:paraId="5A6838A9" w14:textId="77777777" w:rsidTr="00B0151D">
        <w:tc>
          <w:tcPr>
            <w:tcW w:w="8181" w:type="dxa"/>
          </w:tcPr>
          <w:p w14:paraId="4590ADCC" w14:textId="77777777" w:rsidR="00DA752D" w:rsidRPr="00DC0EBF" w:rsidRDefault="00DA752D"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sidRPr="00DC0EBF">
              <w:rPr>
                <w:b/>
                <w:szCs w:val="24"/>
              </w:rPr>
              <w:t xml:space="preserve">Pension Fund Investment Sub Group </w:t>
            </w:r>
          </w:p>
        </w:tc>
      </w:tr>
      <w:tr w:rsidR="00DA752D" w:rsidRPr="00107AF7" w14:paraId="46DAE252" w14:textId="77777777" w:rsidTr="00B0151D">
        <w:tc>
          <w:tcPr>
            <w:tcW w:w="8181" w:type="dxa"/>
          </w:tcPr>
          <w:p w14:paraId="6B528528" w14:textId="77777777" w:rsidR="00DA752D"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r w:rsidRPr="00107AF7">
              <w:rPr>
                <w:szCs w:val="24"/>
              </w:rPr>
              <w:t>It is proposed that a Pension Fund Investment Sub Group be convened consisting of :</w:t>
            </w:r>
          </w:p>
          <w:p w14:paraId="57CB4099" w14:textId="77777777" w:rsidR="00A76AC3" w:rsidRPr="00107AF7" w:rsidRDefault="00A76AC3" w:rsidP="00B0151D">
            <w:pPr>
              <w:pStyle w:val="BodyText"/>
              <w:tabs>
                <w:tab w:val="clear" w:pos="5184"/>
                <w:tab w:val="clear" w:pos="6624"/>
                <w:tab w:val="clear" w:pos="8640"/>
                <w:tab w:val="clear" w:pos="10080"/>
                <w:tab w:val="right" w:pos="3628"/>
                <w:tab w:val="right" w:pos="4636"/>
                <w:tab w:val="right" w:pos="6048"/>
                <w:tab w:val="right" w:pos="7056"/>
              </w:tabs>
              <w:rPr>
                <w:szCs w:val="24"/>
              </w:rPr>
            </w:pPr>
          </w:p>
          <w:p w14:paraId="2B7A0B2B" w14:textId="77777777" w:rsidR="00DA752D" w:rsidRDefault="00DA752D" w:rsidP="000E5920">
            <w:pPr>
              <w:pStyle w:val="BodyText"/>
              <w:numPr>
                <w:ilvl w:val="0"/>
                <w:numId w:val="25"/>
              </w:numPr>
              <w:tabs>
                <w:tab w:val="clear" w:pos="720"/>
                <w:tab w:val="clear" w:pos="5184"/>
                <w:tab w:val="clear" w:pos="6624"/>
                <w:tab w:val="clear" w:pos="8640"/>
                <w:tab w:val="clear" w:pos="10080"/>
                <w:tab w:val="num" w:pos="504"/>
              </w:tabs>
              <w:ind w:left="504" w:hanging="252"/>
              <w:jc w:val="left"/>
              <w:rPr>
                <w:szCs w:val="24"/>
              </w:rPr>
            </w:pPr>
            <w:r w:rsidRPr="00107AF7">
              <w:rPr>
                <w:szCs w:val="24"/>
              </w:rPr>
              <w:t xml:space="preserve">The </w:t>
            </w:r>
            <w:r>
              <w:rPr>
                <w:szCs w:val="24"/>
              </w:rPr>
              <w:t>two</w:t>
            </w:r>
            <w:r w:rsidRPr="00107AF7">
              <w:rPr>
                <w:szCs w:val="24"/>
              </w:rPr>
              <w:t xml:space="preserve"> independent advisors </w:t>
            </w:r>
          </w:p>
          <w:p w14:paraId="040B4572" w14:textId="77777777" w:rsidR="00A76AC3" w:rsidRPr="00107AF7" w:rsidRDefault="00A76AC3" w:rsidP="000E5920">
            <w:pPr>
              <w:pStyle w:val="BodyText"/>
              <w:numPr>
                <w:ilvl w:val="0"/>
                <w:numId w:val="25"/>
              </w:numPr>
              <w:tabs>
                <w:tab w:val="clear" w:pos="720"/>
                <w:tab w:val="clear" w:pos="5184"/>
                <w:tab w:val="clear" w:pos="6624"/>
                <w:tab w:val="clear" w:pos="8640"/>
                <w:tab w:val="clear" w:pos="10080"/>
                <w:tab w:val="num" w:pos="504"/>
              </w:tabs>
              <w:ind w:left="504" w:hanging="252"/>
              <w:jc w:val="left"/>
              <w:rPr>
                <w:szCs w:val="24"/>
              </w:rPr>
            </w:pPr>
            <w:r>
              <w:rPr>
                <w:szCs w:val="24"/>
              </w:rPr>
              <w:t xml:space="preserve">One or other of the Chairman of Vice Chairman of the Pension Fund </w:t>
            </w:r>
            <w:r w:rsidR="00A82870">
              <w:rPr>
                <w:szCs w:val="24"/>
              </w:rPr>
              <w:t>Panel</w:t>
            </w:r>
          </w:p>
          <w:p w14:paraId="3F73CB34" w14:textId="77777777" w:rsidR="00DA752D" w:rsidRPr="00107AF7" w:rsidRDefault="00DA752D" w:rsidP="000E5920">
            <w:pPr>
              <w:pStyle w:val="BodyText"/>
              <w:numPr>
                <w:ilvl w:val="0"/>
                <w:numId w:val="25"/>
              </w:numPr>
              <w:tabs>
                <w:tab w:val="clear" w:pos="720"/>
                <w:tab w:val="clear" w:pos="5184"/>
                <w:tab w:val="clear" w:pos="6624"/>
                <w:tab w:val="clear" w:pos="8640"/>
                <w:tab w:val="clear" w:pos="10080"/>
                <w:tab w:val="num" w:pos="504"/>
              </w:tabs>
              <w:ind w:left="504" w:hanging="252"/>
              <w:jc w:val="left"/>
              <w:rPr>
                <w:szCs w:val="24"/>
              </w:rPr>
            </w:pPr>
            <w:r w:rsidRPr="00107AF7">
              <w:rPr>
                <w:szCs w:val="24"/>
              </w:rPr>
              <w:t>Chief Treasury  &amp; Technical Officer</w:t>
            </w:r>
          </w:p>
          <w:p w14:paraId="58476AD9"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ind w:left="252"/>
              <w:rPr>
                <w:szCs w:val="24"/>
              </w:rPr>
            </w:pPr>
          </w:p>
        </w:tc>
      </w:tr>
      <w:tr w:rsidR="00DA752D" w:rsidRPr="00107AF7" w14:paraId="05EF0985" w14:textId="77777777" w:rsidTr="00B0151D">
        <w:tc>
          <w:tcPr>
            <w:tcW w:w="8181" w:type="dxa"/>
          </w:tcPr>
          <w:p w14:paraId="5629354F"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r w:rsidRPr="00107AF7">
              <w:rPr>
                <w:szCs w:val="24"/>
              </w:rPr>
              <w:t>to undertake :</w:t>
            </w:r>
          </w:p>
        </w:tc>
      </w:tr>
      <w:tr w:rsidR="00DA752D" w:rsidRPr="00107AF7" w14:paraId="4CAE042E" w14:textId="77777777" w:rsidTr="00B0151D">
        <w:tc>
          <w:tcPr>
            <w:tcW w:w="8181" w:type="dxa"/>
          </w:tcPr>
          <w:p w14:paraId="3E4CE36C"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u w:val="single"/>
              </w:rPr>
            </w:pPr>
          </w:p>
          <w:p w14:paraId="26BD713D" w14:textId="77777777" w:rsidR="00DA752D" w:rsidRPr="00DC0EBF" w:rsidRDefault="00DA752D"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sidRPr="00DC0EBF">
              <w:rPr>
                <w:b/>
                <w:szCs w:val="24"/>
              </w:rPr>
              <w:t>Investment Management Selection/Monitoring</w:t>
            </w:r>
          </w:p>
        </w:tc>
      </w:tr>
      <w:tr w:rsidR="00DA752D" w:rsidRPr="00107AF7" w14:paraId="0A928BD4" w14:textId="77777777" w:rsidTr="00B0151D">
        <w:tc>
          <w:tcPr>
            <w:tcW w:w="8181" w:type="dxa"/>
          </w:tcPr>
          <w:p w14:paraId="4AE33C71"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r w:rsidRPr="00107AF7">
              <w:rPr>
                <w:szCs w:val="24"/>
              </w:rPr>
              <w:t xml:space="preserve">To undertake investment </w:t>
            </w:r>
            <w:r>
              <w:rPr>
                <w:szCs w:val="24"/>
              </w:rPr>
              <w:t xml:space="preserve">manager selection and recommendation and to identify investment opportunities where appropriate and to undertake </w:t>
            </w:r>
            <w:r w:rsidRPr="00107AF7">
              <w:rPr>
                <w:szCs w:val="24"/>
              </w:rPr>
              <w:t xml:space="preserve">monitoring of the </w:t>
            </w:r>
            <w:r>
              <w:rPr>
                <w:szCs w:val="24"/>
              </w:rPr>
              <w:t>F</w:t>
            </w:r>
            <w:r w:rsidRPr="00107AF7">
              <w:rPr>
                <w:szCs w:val="24"/>
              </w:rPr>
              <w:t xml:space="preserve">und </w:t>
            </w:r>
            <w:r>
              <w:rPr>
                <w:szCs w:val="24"/>
              </w:rPr>
              <w:t>M</w:t>
            </w:r>
            <w:r w:rsidRPr="00107AF7">
              <w:rPr>
                <w:szCs w:val="24"/>
              </w:rPr>
              <w:t>anagers</w:t>
            </w:r>
            <w:r>
              <w:rPr>
                <w:szCs w:val="24"/>
              </w:rPr>
              <w:t xml:space="preserve"> periodically who</w:t>
            </w:r>
            <w:r w:rsidRPr="00107AF7">
              <w:rPr>
                <w:szCs w:val="24"/>
              </w:rPr>
              <w:t xml:space="preserve"> </w:t>
            </w:r>
            <w:r>
              <w:rPr>
                <w:szCs w:val="24"/>
              </w:rPr>
              <w:t xml:space="preserve">are </w:t>
            </w:r>
            <w:r w:rsidRPr="00107AF7">
              <w:rPr>
                <w:szCs w:val="24"/>
              </w:rPr>
              <w:t xml:space="preserve">not seen by the full Pension  Panel and to make and submit an investment report of the same for full consideration by the </w:t>
            </w:r>
            <w:r w:rsidR="00891EB3">
              <w:rPr>
                <w:szCs w:val="24"/>
              </w:rPr>
              <w:t>Pension Fund Panel</w:t>
            </w:r>
            <w:r w:rsidRPr="00107AF7">
              <w:rPr>
                <w:szCs w:val="24"/>
              </w:rPr>
              <w:t xml:space="preserve"> at the quarterly meetings</w:t>
            </w:r>
            <w:r>
              <w:rPr>
                <w:szCs w:val="24"/>
              </w:rPr>
              <w:t>.</w:t>
            </w:r>
            <w:r w:rsidRPr="00107AF7">
              <w:rPr>
                <w:szCs w:val="24"/>
              </w:rPr>
              <w:t xml:space="preserve"> </w:t>
            </w:r>
          </w:p>
        </w:tc>
      </w:tr>
      <w:tr w:rsidR="00DA752D" w:rsidRPr="00107AF7" w14:paraId="45ABBB1F" w14:textId="77777777" w:rsidTr="00B0151D">
        <w:tc>
          <w:tcPr>
            <w:tcW w:w="8181" w:type="dxa"/>
          </w:tcPr>
          <w:p w14:paraId="330AF026"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u w:val="single"/>
              </w:rPr>
            </w:pPr>
          </w:p>
        </w:tc>
      </w:tr>
      <w:tr w:rsidR="00DA752D" w:rsidRPr="00107AF7" w14:paraId="0861CD32" w14:textId="77777777" w:rsidTr="00B0151D">
        <w:tc>
          <w:tcPr>
            <w:tcW w:w="8181" w:type="dxa"/>
          </w:tcPr>
          <w:p w14:paraId="68365B84" w14:textId="77777777" w:rsidR="00DA752D" w:rsidRPr="00DC0EBF" w:rsidRDefault="00DA752D"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sidRPr="00DC0EBF">
              <w:rPr>
                <w:b/>
                <w:szCs w:val="24"/>
              </w:rPr>
              <w:t>Asset Allocation</w:t>
            </w:r>
          </w:p>
        </w:tc>
      </w:tr>
      <w:tr w:rsidR="00DA752D" w:rsidRPr="00107AF7" w14:paraId="2AC1FFD3" w14:textId="77777777" w:rsidTr="00B0151D">
        <w:tc>
          <w:tcPr>
            <w:tcW w:w="8181" w:type="dxa"/>
          </w:tcPr>
          <w:p w14:paraId="2B099C68"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r w:rsidRPr="00107AF7">
              <w:rPr>
                <w:szCs w:val="24"/>
              </w:rPr>
              <w:t xml:space="preserve">To determine at quarterly intervals the asset allocation of cashflow surpluses and in consultation and with the approval of  the Section 151 Officer and the Chairman of the </w:t>
            </w:r>
            <w:r w:rsidR="00962528">
              <w:rPr>
                <w:szCs w:val="24"/>
              </w:rPr>
              <w:t xml:space="preserve">Pension </w:t>
            </w:r>
            <w:r w:rsidR="00A82870">
              <w:rPr>
                <w:szCs w:val="24"/>
              </w:rPr>
              <w:t>panel</w:t>
            </w:r>
            <w:r w:rsidRPr="00107AF7">
              <w:rPr>
                <w:szCs w:val="24"/>
              </w:rPr>
              <w:t xml:space="preserve"> implement the same (either through physical investment of the cash or by overlay see item 7.3 and report the allocations to full </w:t>
            </w:r>
            <w:r w:rsidR="00962528">
              <w:rPr>
                <w:szCs w:val="24"/>
              </w:rPr>
              <w:t xml:space="preserve">Pension </w:t>
            </w:r>
            <w:r w:rsidR="00A82870">
              <w:rPr>
                <w:szCs w:val="24"/>
              </w:rPr>
              <w:t>panel</w:t>
            </w:r>
            <w:r w:rsidRPr="00107AF7">
              <w:rPr>
                <w:szCs w:val="24"/>
              </w:rPr>
              <w:t xml:space="preserve"> at the next quarterly meeting)</w:t>
            </w:r>
            <w:r>
              <w:rPr>
                <w:szCs w:val="24"/>
              </w:rPr>
              <w:t>.</w:t>
            </w:r>
          </w:p>
        </w:tc>
      </w:tr>
    </w:tbl>
    <w:p w14:paraId="6F800469" w14:textId="77777777" w:rsidR="00DA752D" w:rsidRPr="00A92E32" w:rsidRDefault="00DA752D" w:rsidP="00DA752D">
      <w:pPr>
        <w:pStyle w:val="BodyText3"/>
        <w:jc w:val="both"/>
        <w:rPr>
          <w:b w:val="0"/>
          <w:i/>
          <w:sz w:val="24"/>
          <w:szCs w:val="24"/>
        </w:rPr>
      </w:pPr>
    </w:p>
    <w:p w14:paraId="1D362A48" w14:textId="77777777" w:rsidR="00626E87" w:rsidRDefault="00626E87" w:rsidP="00DA752D">
      <w:pPr>
        <w:pStyle w:val="BodyText3"/>
        <w:jc w:val="both"/>
        <w:rPr>
          <w:sz w:val="24"/>
          <w:szCs w:val="24"/>
        </w:rPr>
      </w:pPr>
    </w:p>
    <w:p w14:paraId="4200C2A1" w14:textId="77777777" w:rsidR="00626E87" w:rsidRDefault="00626E87" w:rsidP="00DA752D">
      <w:pPr>
        <w:pStyle w:val="BodyText3"/>
        <w:jc w:val="both"/>
        <w:rPr>
          <w:sz w:val="24"/>
          <w:szCs w:val="24"/>
        </w:rPr>
      </w:pPr>
    </w:p>
    <w:p w14:paraId="3237765A" w14:textId="77777777" w:rsidR="00626E87" w:rsidRDefault="00626E87" w:rsidP="00DA752D">
      <w:pPr>
        <w:pStyle w:val="BodyText3"/>
        <w:jc w:val="both"/>
        <w:rPr>
          <w:sz w:val="24"/>
          <w:szCs w:val="24"/>
        </w:rPr>
      </w:pPr>
    </w:p>
    <w:p w14:paraId="14C428B3" w14:textId="77777777" w:rsidR="00626E87" w:rsidRDefault="00626E87" w:rsidP="00DA752D">
      <w:pPr>
        <w:pStyle w:val="BodyText3"/>
        <w:jc w:val="both"/>
        <w:rPr>
          <w:sz w:val="24"/>
          <w:szCs w:val="24"/>
        </w:rPr>
      </w:pPr>
    </w:p>
    <w:p w14:paraId="445A11E0" w14:textId="77777777" w:rsidR="00990944" w:rsidRDefault="00990944" w:rsidP="00DA752D">
      <w:pPr>
        <w:pStyle w:val="BodyText3"/>
        <w:jc w:val="both"/>
        <w:rPr>
          <w:sz w:val="24"/>
          <w:szCs w:val="24"/>
        </w:rPr>
      </w:pPr>
    </w:p>
    <w:p w14:paraId="4E6C96B7" w14:textId="77777777" w:rsidR="00990944" w:rsidRDefault="00990944" w:rsidP="00DA752D">
      <w:pPr>
        <w:pStyle w:val="BodyText3"/>
        <w:jc w:val="both"/>
        <w:rPr>
          <w:sz w:val="24"/>
          <w:szCs w:val="24"/>
        </w:rPr>
      </w:pPr>
    </w:p>
    <w:p w14:paraId="36DECA3D" w14:textId="77777777" w:rsidR="00990944" w:rsidRDefault="00990944" w:rsidP="00DA752D">
      <w:pPr>
        <w:pStyle w:val="BodyText3"/>
        <w:jc w:val="both"/>
        <w:rPr>
          <w:sz w:val="24"/>
          <w:szCs w:val="24"/>
        </w:rPr>
      </w:pPr>
    </w:p>
    <w:p w14:paraId="1C01653F" w14:textId="77777777" w:rsidR="00990944" w:rsidRDefault="00990944" w:rsidP="00DA752D">
      <w:pPr>
        <w:pStyle w:val="BodyText3"/>
        <w:jc w:val="both"/>
        <w:rPr>
          <w:sz w:val="24"/>
          <w:szCs w:val="24"/>
        </w:rPr>
      </w:pPr>
    </w:p>
    <w:p w14:paraId="7C95E89E" w14:textId="77777777" w:rsidR="00990944" w:rsidRDefault="00990944" w:rsidP="00DA752D">
      <w:pPr>
        <w:pStyle w:val="BodyText3"/>
        <w:jc w:val="both"/>
        <w:rPr>
          <w:sz w:val="24"/>
          <w:szCs w:val="24"/>
        </w:rPr>
      </w:pPr>
    </w:p>
    <w:p w14:paraId="1E09E139" w14:textId="77777777" w:rsidR="00990944" w:rsidRDefault="00990944" w:rsidP="00DA752D">
      <w:pPr>
        <w:pStyle w:val="BodyText3"/>
        <w:jc w:val="both"/>
        <w:rPr>
          <w:sz w:val="24"/>
          <w:szCs w:val="24"/>
        </w:rPr>
      </w:pPr>
    </w:p>
    <w:p w14:paraId="7C1209DE" w14:textId="77777777" w:rsidR="00990944" w:rsidRDefault="00990944" w:rsidP="00DA752D">
      <w:pPr>
        <w:pStyle w:val="BodyText3"/>
        <w:jc w:val="both"/>
        <w:rPr>
          <w:sz w:val="24"/>
          <w:szCs w:val="24"/>
        </w:rPr>
      </w:pPr>
    </w:p>
    <w:p w14:paraId="5B117266" w14:textId="77777777" w:rsidR="00990944" w:rsidRDefault="00990944" w:rsidP="00DA752D">
      <w:pPr>
        <w:pStyle w:val="BodyText3"/>
        <w:jc w:val="both"/>
        <w:rPr>
          <w:sz w:val="24"/>
          <w:szCs w:val="24"/>
        </w:rPr>
      </w:pPr>
    </w:p>
    <w:p w14:paraId="475E8A7F" w14:textId="77777777" w:rsidR="00DA752D" w:rsidRPr="00DC0EBF" w:rsidRDefault="00DA752D" w:rsidP="00DA752D">
      <w:pPr>
        <w:pStyle w:val="BodyText3"/>
        <w:jc w:val="both"/>
        <w:rPr>
          <w:sz w:val="24"/>
          <w:szCs w:val="24"/>
        </w:rPr>
      </w:pPr>
      <w:r w:rsidRPr="00DC0EBF">
        <w:rPr>
          <w:sz w:val="24"/>
          <w:szCs w:val="24"/>
        </w:rPr>
        <w:t>Pension Fund Investment Sub Group Terms of Reference</w:t>
      </w:r>
    </w:p>
    <w:p w14:paraId="10F40301" w14:textId="77777777" w:rsidR="00DA752D" w:rsidRDefault="00DA752D" w:rsidP="00DA752D">
      <w:pPr>
        <w:pStyle w:val="BodyText3"/>
        <w:jc w:val="both"/>
        <w:rPr>
          <w:i/>
          <w:sz w:val="24"/>
          <w:szCs w:val="24"/>
        </w:rPr>
      </w:pPr>
    </w:p>
    <w:tbl>
      <w:tblPr>
        <w:tblW w:w="0" w:type="auto"/>
        <w:tblLook w:val="01E0" w:firstRow="1" w:lastRow="1" w:firstColumn="1" w:lastColumn="1" w:noHBand="0" w:noVBand="0"/>
      </w:tblPr>
      <w:tblGrid>
        <w:gridCol w:w="8039"/>
      </w:tblGrid>
      <w:tr w:rsidR="00DA752D" w:rsidRPr="00107AF7" w14:paraId="0C4DDD96" w14:textId="77777777" w:rsidTr="00B0151D">
        <w:tc>
          <w:tcPr>
            <w:tcW w:w="8039" w:type="dxa"/>
          </w:tcPr>
          <w:p w14:paraId="7C24012C"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sidRPr="00107AF7">
              <w:rPr>
                <w:b/>
                <w:szCs w:val="24"/>
              </w:rPr>
              <w:t>Membership</w:t>
            </w:r>
          </w:p>
        </w:tc>
      </w:tr>
      <w:tr w:rsidR="00DA752D" w:rsidRPr="00107AF7" w14:paraId="660E8947" w14:textId="77777777" w:rsidTr="00B0151D">
        <w:tc>
          <w:tcPr>
            <w:tcW w:w="8039" w:type="dxa"/>
          </w:tcPr>
          <w:p w14:paraId="223A8CD9"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r w:rsidRPr="00107AF7">
              <w:rPr>
                <w:szCs w:val="24"/>
              </w:rPr>
              <w:t>The membership of the Pension Fund Investment Sub Group shall comprise :</w:t>
            </w:r>
          </w:p>
          <w:p w14:paraId="3B3A3401"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p>
          <w:p w14:paraId="42E9D5AB" w14:textId="77777777" w:rsidR="00DA752D" w:rsidRPr="00107AF7" w:rsidRDefault="00DA752D" w:rsidP="000E5920">
            <w:pPr>
              <w:pStyle w:val="BodyText"/>
              <w:numPr>
                <w:ilvl w:val="0"/>
                <w:numId w:val="27"/>
              </w:numPr>
              <w:tabs>
                <w:tab w:val="clear" w:pos="5184"/>
                <w:tab w:val="clear" w:pos="6624"/>
                <w:tab w:val="clear" w:pos="8640"/>
                <w:tab w:val="clear" w:pos="10080"/>
                <w:tab w:val="num" w:pos="504"/>
              </w:tabs>
              <w:ind w:left="504" w:hanging="252"/>
              <w:rPr>
                <w:szCs w:val="24"/>
              </w:rPr>
            </w:pPr>
            <w:r>
              <w:rPr>
                <w:szCs w:val="24"/>
              </w:rPr>
              <w:t>Two</w:t>
            </w:r>
            <w:r w:rsidRPr="00107AF7">
              <w:rPr>
                <w:szCs w:val="24"/>
              </w:rPr>
              <w:t xml:space="preserve"> independent advisors</w:t>
            </w:r>
          </w:p>
          <w:p w14:paraId="1FB6C9A7" w14:textId="77777777" w:rsidR="00DA752D" w:rsidRDefault="00DA752D" w:rsidP="000E5920">
            <w:pPr>
              <w:pStyle w:val="BodyText"/>
              <w:numPr>
                <w:ilvl w:val="0"/>
                <w:numId w:val="27"/>
              </w:numPr>
              <w:tabs>
                <w:tab w:val="clear" w:pos="5184"/>
                <w:tab w:val="clear" w:pos="6624"/>
                <w:tab w:val="clear" w:pos="8640"/>
                <w:tab w:val="clear" w:pos="10080"/>
                <w:tab w:val="num" w:pos="504"/>
              </w:tabs>
              <w:ind w:left="504" w:hanging="252"/>
              <w:rPr>
                <w:szCs w:val="24"/>
              </w:rPr>
            </w:pPr>
            <w:r>
              <w:rPr>
                <w:szCs w:val="24"/>
              </w:rPr>
              <w:t xml:space="preserve">One </w:t>
            </w:r>
            <w:r w:rsidRPr="00107AF7">
              <w:rPr>
                <w:szCs w:val="24"/>
              </w:rPr>
              <w:t xml:space="preserve">Finance Officer ( Chief Treasury &amp; Technical Officer) </w:t>
            </w:r>
          </w:p>
          <w:p w14:paraId="4262DEEA" w14:textId="77777777" w:rsidR="00A76AC3" w:rsidRPr="00107AF7" w:rsidRDefault="00A76AC3" w:rsidP="000E5920">
            <w:pPr>
              <w:pStyle w:val="BodyText"/>
              <w:numPr>
                <w:ilvl w:val="0"/>
                <w:numId w:val="27"/>
              </w:numPr>
              <w:tabs>
                <w:tab w:val="clear" w:pos="5184"/>
                <w:tab w:val="clear" w:pos="6624"/>
                <w:tab w:val="clear" w:pos="8640"/>
                <w:tab w:val="clear" w:pos="10080"/>
                <w:tab w:val="num" w:pos="504"/>
              </w:tabs>
              <w:ind w:left="504" w:hanging="252"/>
              <w:rPr>
                <w:szCs w:val="24"/>
              </w:rPr>
            </w:pPr>
            <w:r>
              <w:rPr>
                <w:szCs w:val="24"/>
              </w:rPr>
              <w:t xml:space="preserve">One or other of the Chairman or Vice Chairman of the Pension Fund </w:t>
            </w:r>
            <w:r w:rsidR="00A82870">
              <w:rPr>
                <w:szCs w:val="24"/>
              </w:rPr>
              <w:t>Panel</w:t>
            </w:r>
          </w:p>
        </w:tc>
      </w:tr>
      <w:tr w:rsidR="00DA752D" w:rsidRPr="00107AF7" w14:paraId="0553B54D" w14:textId="77777777" w:rsidTr="00B0151D">
        <w:tc>
          <w:tcPr>
            <w:tcW w:w="8039" w:type="dxa"/>
          </w:tcPr>
          <w:p w14:paraId="56B55391"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p>
        </w:tc>
      </w:tr>
      <w:tr w:rsidR="00DA752D" w:rsidRPr="00107AF7" w14:paraId="10AAE698" w14:textId="77777777" w:rsidTr="00B0151D">
        <w:tc>
          <w:tcPr>
            <w:tcW w:w="8039" w:type="dxa"/>
          </w:tcPr>
          <w:p w14:paraId="775EF35B"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sidRPr="00107AF7">
              <w:rPr>
                <w:b/>
                <w:szCs w:val="24"/>
              </w:rPr>
              <w:t xml:space="preserve">Responsibility </w:t>
            </w:r>
          </w:p>
        </w:tc>
      </w:tr>
      <w:tr w:rsidR="00DA752D" w:rsidRPr="00107AF7" w14:paraId="16826D95" w14:textId="77777777" w:rsidTr="00B0151D">
        <w:tc>
          <w:tcPr>
            <w:tcW w:w="8039" w:type="dxa"/>
          </w:tcPr>
          <w:p w14:paraId="075D0481"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r w:rsidRPr="00107AF7">
              <w:rPr>
                <w:szCs w:val="24"/>
              </w:rPr>
              <w:t xml:space="preserve">The Pension Fund Investment Sub Group is a sub group of the </w:t>
            </w:r>
            <w:r w:rsidR="00962528">
              <w:rPr>
                <w:szCs w:val="24"/>
              </w:rPr>
              <w:t xml:space="preserve">Pension </w:t>
            </w:r>
            <w:r w:rsidR="00A82870">
              <w:rPr>
                <w:szCs w:val="24"/>
              </w:rPr>
              <w:t>panel</w:t>
            </w:r>
            <w:r w:rsidRPr="00107AF7">
              <w:rPr>
                <w:szCs w:val="24"/>
              </w:rPr>
              <w:t xml:space="preserve"> and shall report to them on a quarterly basis with responsibility for :</w:t>
            </w:r>
          </w:p>
        </w:tc>
      </w:tr>
      <w:tr w:rsidR="00DA752D" w:rsidRPr="00107AF7" w14:paraId="73CDEBB8" w14:textId="77777777" w:rsidTr="00B0151D">
        <w:tc>
          <w:tcPr>
            <w:tcW w:w="8039" w:type="dxa"/>
          </w:tcPr>
          <w:p w14:paraId="24B2A0C2"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p>
        </w:tc>
      </w:tr>
      <w:tr w:rsidR="00DA752D" w:rsidRPr="00107AF7" w14:paraId="08196835" w14:textId="77777777" w:rsidTr="00B0151D">
        <w:tc>
          <w:tcPr>
            <w:tcW w:w="8039" w:type="dxa"/>
          </w:tcPr>
          <w:p w14:paraId="3DD8E95B" w14:textId="77777777" w:rsidR="00DA752D" w:rsidRPr="004B2FB4" w:rsidRDefault="00DA752D"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sidRPr="004B2FB4">
              <w:rPr>
                <w:b/>
                <w:szCs w:val="24"/>
              </w:rPr>
              <w:t>Investment manager selection and  performance monitoring :</w:t>
            </w:r>
          </w:p>
          <w:p w14:paraId="457D171C" w14:textId="77777777" w:rsidR="00DA752D" w:rsidRDefault="00DA752D" w:rsidP="000E5920">
            <w:pPr>
              <w:pStyle w:val="BodyText"/>
              <w:numPr>
                <w:ilvl w:val="0"/>
                <w:numId w:val="26"/>
              </w:numPr>
              <w:tabs>
                <w:tab w:val="clear" w:pos="720"/>
                <w:tab w:val="clear" w:pos="5184"/>
                <w:tab w:val="clear" w:pos="6624"/>
                <w:tab w:val="clear" w:pos="8640"/>
                <w:tab w:val="clear" w:pos="10080"/>
                <w:tab w:val="num" w:pos="504"/>
              </w:tabs>
              <w:ind w:left="504" w:hanging="252"/>
              <w:rPr>
                <w:szCs w:val="24"/>
              </w:rPr>
            </w:pPr>
            <w:r w:rsidRPr="00107AF7">
              <w:rPr>
                <w:szCs w:val="24"/>
              </w:rPr>
              <w:t>To</w:t>
            </w:r>
            <w:r>
              <w:rPr>
                <w:szCs w:val="24"/>
              </w:rPr>
              <w:t xml:space="preserve"> select and </w:t>
            </w:r>
            <w:r w:rsidRPr="00107AF7">
              <w:rPr>
                <w:szCs w:val="24"/>
              </w:rPr>
              <w:t>engage with</w:t>
            </w:r>
            <w:r>
              <w:rPr>
                <w:szCs w:val="24"/>
              </w:rPr>
              <w:t xml:space="preserve"> fund managers and make formal recommendations to the panel</w:t>
            </w:r>
            <w:r w:rsidRPr="00107AF7">
              <w:rPr>
                <w:szCs w:val="24"/>
              </w:rPr>
              <w:t xml:space="preserve"> and monitor performance of the fund managers.</w:t>
            </w:r>
            <w:r>
              <w:rPr>
                <w:szCs w:val="24"/>
              </w:rPr>
              <w:t xml:space="preserve"> </w:t>
            </w:r>
          </w:p>
          <w:p w14:paraId="6AEC58D9" w14:textId="77777777" w:rsidR="00DA752D" w:rsidRPr="00107AF7" w:rsidRDefault="00DA752D" w:rsidP="000E5920">
            <w:pPr>
              <w:pStyle w:val="BodyText"/>
              <w:numPr>
                <w:ilvl w:val="0"/>
                <w:numId w:val="26"/>
              </w:numPr>
              <w:tabs>
                <w:tab w:val="clear" w:pos="720"/>
                <w:tab w:val="clear" w:pos="5184"/>
                <w:tab w:val="clear" w:pos="6624"/>
                <w:tab w:val="clear" w:pos="8640"/>
                <w:tab w:val="clear" w:pos="10080"/>
                <w:tab w:val="num" w:pos="504"/>
              </w:tabs>
              <w:ind w:left="504" w:hanging="252"/>
              <w:rPr>
                <w:szCs w:val="24"/>
              </w:rPr>
            </w:pPr>
            <w:r>
              <w:rPr>
                <w:szCs w:val="24"/>
              </w:rPr>
              <w:t>To identify suitable investment opportunities for the Pension Fund and make formal recommendations to the panel.</w:t>
            </w:r>
          </w:p>
        </w:tc>
      </w:tr>
      <w:tr w:rsidR="00DA752D" w:rsidRPr="00107AF7" w14:paraId="396A4035" w14:textId="77777777" w:rsidTr="00B0151D">
        <w:tc>
          <w:tcPr>
            <w:tcW w:w="8039" w:type="dxa"/>
          </w:tcPr>
          <w:p w14:paraId="51BF77F8" w14:textId="77777777" w:rsidR="00DA752D" w:rsidRPr="004B2FB4" w:rsidRDefault="00DA752D" w:rsidP="00B0151D">
            <w:pPr>
              <w:pStyle w:val="BodyText"/>
              <w:tabs>
                <w:tab w:val="clear" w:pos="5184"/>
                <w:tab w:val="clear" w:pos="6624"/>
                <w:tab w:val="clear" w:pos="8640"/>
                <w:tab w:val="clear" w:pos="10080"/>
                <w:tab w:val="right" w:pos="3628"/>
                <w:tab w:val="right" w:pos="4636"/>
                <w:tab w:val="right" w:pos="6048"/>
                <w:tab w:val="right" w:pos="7056"/>
              </w:tabs>
              <w:rPr>
                <w:b/>
                <w:szCs w:val="24"/>
              </w:rPr>
            </w:pPr>
          </w:p>
        </w:tc>
      </w:tr>
      <w:tr w:rsidR="00DA752D" w:rsidRPr="00107AF7" w14:paraId="417981B7" w14:textId="77777777" w:rsidTr="00B0151D">
        <w:tc>
          <w:tcPr>
            <w:tcW w:w="8039" w:type="dxa"/>
          </w:tcPr>
          <w:p w14:paraId="3C2E064C" w14:textId="77777777" w:rsidR="00DA752D" w:rsidRPr="004B2FB4" w:rsidRDefault="00DA752D"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sidRPr="004B2FB4">
              <w:rPr>
                <w:b/>
                <w:szCs w:val="24"/>
              </w:rPr>
              <w:t>Cashflow Allocation</w:t>
            </w:r>
          </w:p>
          <w:p w14:paraId="4CB471AB" w14:textId="77777777" w:rsidR="00DA752D" w:rsidRPr="004B2FB4" w:rsidRDefault="00DA752D" w:rsidP="000E5920">
            <w:pPr>
              <w:pStyle w:val="BodyText"/>
              <w:numPr>
                <w:ilvl w:val="0"/>
                <w:numId w:val="26"/>
              </w:numPr>
              <w:tabs>
                <w:tab w:val="clear" w:pos="720"/>
                <w:tab w:val="clear" w:pos="5184"/>
                <w:tab w:val="clear" w:pos="6624"/>
                <w:tab w:val="clear" w:pos="8640"/>
                <w:tab w:val="clear" w:pos="10080"/>
                <w:tab w:val="num" w:pos="504"/>
              </w:tabs>
              <w:ind w:left="504" w:hanging="252"/>
              <w:rPr>
                <w:szCs w:val="24"/>
              </w:rPr>
            </w:pPr>
            <w:r w:rsidRPr="004B2FB4">
              <w:rPr>
                <w:szCs w:val="24"/>
              </w:rPr>
              <w:t>To determine and implement the allocation of the cashflow generated by the Pension Fund with approval from the Section 151 Officer and Chairman of the Panel.</w:t>
            </w:r>
          </w:p>
        </w:tc>
      </w:tr>
      <w:tr w:rsidR="00DA752D" w:rsidRPr="00107AF7" w14:paraId="4F2C2DAD" w14:textId="77777777" w:rsidTr="00B0151D">
        <w:tc>
          <w:tcPr>
            <w:tcW w:w="8039" w:type="dxa"/>
          </w:tcPr>
          <w:p w14:paraId="6D722617"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p>
        </w:tc>
      </w:tr>
      <w:tr w:rsidR="00DA752D" w:rsidRPr="00107AF7" w14:paraId="0D7EAD57" w14:textId="77777777" w:rsidTr="00B0151D">
        <w:tc>
          <w:tcPr>
            <w:tcW w:w="8039" w:type="dxa"/>
          </w:tcPr>
          <w:p w14:paraId="6CE12049" w14:textId="77777777" w:rsidR="00DA752D" w:rsidRPr="004B2FB4" w:rsidRDefault="00DA752D"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sidRPr="004B2FB4">
              <w:rPr>
                <w:b/>
                <w:szCs w:val="24"/>
              </w:rPr>
              <w:t>Tactical Asset Allocation</w:t>
            </w:r>
          </w:p>
          <w:p w14:paraId="13A07394" w14:textId="77777777" w:rsidR="00DA752D" w:rsidRPr="00107AF7" w:rsidRDefault="00DA752D" w:rsidP="000E5920">
            <w:pPr>
              <w:pStyle w:val="BodyText"/>
              <w:numPr>
                <w:ilvl w:val="0"/>
                <w:numId w:val="26"/>
              </w:numPr>
              <w:tabs>
                <w:tab w:val="clear" w:pos="720"/>
                <w:tab w:val="clear" w:pos="5184"/>
                <w:tab w:val="clear" w:pos="6624"/>
                <w:tab w:val="clear" w:pos="8640"/>
                <w:tab w:val="clear" w:pos="10080"/>
                <w:tab w:val="num" w:pos="504"/>
              </w:tabs>
              <w:ind w:left="504" w:hanging="252"/>
              <w:rPr>
                <w:szCs w:val="24"/>
              </w:rPr>
            </w:pPr>
            <w:r w:rsidRPr="00107AF7">
              <w:rPr>
                <w:szCs w:val="24"/>
              </w:rPr>
              <w:t xml:space="preserve">To determine and implement when appropriate the tactical asset allocation of the </w:t>
            </w:r>
            <w:r>
              <w:rPr>
                <w:szCs w:val="24"/>
              </w:rPr>
              <w:t>F</w:t>
            </w:r>
            <w:r w:rsidRPr="00107AF7">
              <w:rPr>
                <w:szCs w:val="24"/>
              </w:rPr>
              <w:t xml:space="preserve">und (within the overall strategy approved by the </w:t>
            </w:r>
            <w:r w:rsidR="00962528">
              <w:rPr>
                <w:szCs w:val="24"/>
              </w:rPr>
              <w:t xml:space="preserve">Pension </w:t>
            </w:r>
            <w:r w:rsidR="00A82870">
              <w:rPr>
                <w:szCs w:val="24"/>
              </w:rPr>
              <w:t>panel</w:t>
            </w:r>
            <w:r w:rsidRPr="00107AF7">
              <w:rPr>
                <w:szCs w:val="24"/>
              </w:rPr>
              <w:t>) using the asset allocation overlay with approval from the Section 151 Officer and Chairman of the Panel.</w:t>
            </w:r>
          </w:p>
        </w:tc>
      </w:tr>
    </w:tbl>
    <w:p w14:paraId="4FCC9B67" w14:textId="77777777" w:rsidR="00DA752D" w:rsidRDefault="00DA752D" w:rsidP="00DA752D">
      <w:pPr>
        <w:pStyle w:val="BodyText3"/>
        <w:jc w:val="both"/>
        <w:rPr>
          <w:i/>
          <w:sz w:val="24"/>
          <w:szCs w:val="24"/>
        </w:rPr>
      </w:pPr>
    </w:p>
    <w:p w14:paraId="77728C1E" w14:textId="77777777" w:rsidR="00DA752D" w:rsidRDefault="00DA752D" w:rsidP="00DA752D">
      <w:pPr>
        <w:pStyle w:val="BodyText3"/>
        <w:jc w:val="both"/>
        <w:rPr>
          <w:color w:val="FF0000"/>
          <w:sz w:val="24"/>
        </w:rPr>
      </w:pPr>
      <w:r>
        <w:br w:type="page"/>
      </w:r>
    </w:p>
    <w:p w14:paraId="0076429A" w14:textId="39FA308E" w:rsidR="00DA752D" w:rsidRDefault="00516E75" w:rsidP="00DA752D">
      <w:pPr>
        <w:jc w:val="both"/>
        <w:rPr>
          <w:rFonts w:ascii="Arial" w:hAnsi="Arial"/>
          <w:color w:val="FF0000"/>
          <w:sz w:val="24"/>
        </w:rPr>
      </w:pPr>
      <w:r>
        <w:rPr>
          <w:b/>
          <w:noProof/>
          <w:sz w:val="22"/>
          <w:szCs w:val="22"/>
          <w:lang w:eastAsia="en-GB"/>
        </w:rPr>
        <mc:AlternateContent>
          <mc:Choice Requires="wps">
            <w:drawing>
              <wp:anchor distT="0" distB="0" distL="114300" distR="114300" simplePos="0" relativeHeight="251632640" behindDoc="0" locked="0" layoutInCell="1" allowOverlap="1" wp14:anchorId="0D89D040" wp14:editId="6A04172E">
                <wp:simplePos x="0" y="0"/>
                <wp:positionH relativeFrom="column">
                  <wp:posOffset>4356735</wp:posOffset>
                </wp:positionH>
                <wp:positionV relativeFrom="paragraph">
                  <wp:posOffset>-177165</wp:posOffset>
                </wp:positionV>
                <wp:extent cx="1120140" cy="400685"/>
                <wp:effectExtent l="0" t="0" r="0" b="0"/>
                <wp:wrapNone/>
                <wp:docPr id="38"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00685"/>
                        </a:xfrm>
                        <a:prstGeom prst="rect">
                          <a:avLst/>
                        </a:prstGeom>
                        <a:solidFill>
                          <a:srgbClr val="FFFFFF"/>
                        </a:solidFill>
                        <a:ln w="9525">
                          <a:solidFill>
                            <a:srgbClr val="000000"/>
                          </a:solidFill>
                          <a:miter lim="800000"/>
                          <a:headEnd/>
                          <a:tailEnd/>
                        </a:ln>
                      </wps:spPr>
                      <wps:txbx>
                        <w:txbxContent>
                          <w:p w14:paraId="77B74DA7" w14:textId="77777777" w:rsidR="00F3354E" w:rsidRPr="004C7CE4" w:rsidRDefault="00F3354E" w:rsidP="00B47EAC">
                            <w:pPr>
                              <w:rPr>
                                <w:rFonts w:ascii="Arial" w:hAnsi="Arial" w:cs="Arial"/>
                                <w:b/>
                                <w:sz w:val="24"/>
                                <w:szCs w:val="24"/>
                              </w:rPr>
                            </w:pPr>
                            <w:r w:rsidRPr="004C7CE4">
                              <w:rPr>
                                <w:rFonts w:ascii="Arial" w:hAnsi="Arial" w:cs="Arial"/>
                                <w:b/>
                                <w:sz w:val="24"/>
                                <w:szCs w:val="24"/>
                              </w:rPr>
                              <w:t xml:space="preserve">Appendix </w:t>
                            </w:r>
                            <w:r>
                              <w:rPr>
                                <w:rFonts w:ascii="Arial" w:hAnsi="Arial" w:cs="Arial"/>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9D040" id="Text Box 403" o:spid="_x0000_s1091" type="#_x0000_t202" style="position:absolute;left:0;text-align:left;margin-left:343.05pt;margin-top:-13.95pt;width:88.2pt;height:31.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">
                <v:textbox>
                  <w:txbxContent>
                    <w:p w14:paraId="77B74DA7" w14:textId="77777777" w:rsidR="00F3354E" w:rsidRPr="004C7CE4" w:rsidRDefault="00F3354E" w:rsidP="00B47EAC">
                      <w:pPr>
                        <w:rPr>
                          <w:rFonts w:ascii="Arial" w:hAnsi="Arial" w:cs="Arial"/>
                          <w:b/>
                          <w:sz w:val="24"/>
                          <w:szCs w:val="24"/>
                        </w:rPr>
                      </w:pPr>
                      <w:r w:rsidRPr="004C7CE4">
                        <w:rPr>
                          <w:rFonts w:ascii="Arial" w:hAnsi="Arial" w:cs="Arial"/>
                          <w:b/>
                          <w:sz w:val="24"/>
                          <w:szCs w:val="24"/>
                        </w:rPr>
                        <w:t xml:space="preserve">Appendix </w:t>
                      </w:r>
                      <w:r>
                        <w:rPr>
                          <w:rFonts w:ascii="Arial" w:hAnsi="Arial" w:cs="Arial"/>
                          <w:b/>
                          <w:sz w:val="24"/>
                          <w:szCs w:val="24"/>
                        </w:rPr>
                        <w:t>B</w:t>
                      </w:r>
                    </w:p>
                  </w:txbxContent>
                </v:textbox>
              </v:shape>
            </w:pict>
          </mc:Fallback>
        </mc:AlternateContent>
      </w:r>
    </w:p>
    <w:p w14:paraId="53E5D068" w14:textId="77777777" w:rsidR="00DA752D" w:rsidRPr="005503FB" w:rsidRDefault="00DA752D" w:rsidP="00DA752D">
      <w:pPr>
        <w:jc w:val="both"/>
        <w:rPr>
          <w:rFonts w:ascii="Arial" w:hAnsi="Arial"/>
          <w:sz w:val="22"/>
          <w:szCs w:val="22"/>
        </w:rPr>
      </w:pPr>
    </w:p>
    <w:p w14:paraId="3279040B" w14:textId="77777777" w:rsidR="00DA752D" w:rsidRPr="00B47EAC" w:rsidRDefault="00DA752D" w:rsidP="00DA752D">
      <w:pPr>
        <w:jc w:val="both"/>
        <w:rPr>
          <w:rFonts w:ascii="Arial" w:hAnsi="Arial" w:cs="Arial"/>
          <w:b/>
          <w:sz w:val="22"/>
          <w:szCs w:val="22"/>
        </w:rPr>
      </w:pPr>
      <w:r w:rsidRPr="00B47EAC">
        <w:rPr>
          <w:rFonts w:ascii="Arial" w:hAnsi="Arial" w:cs="Arial"/>
          <w:b/>
          <w:sz w:val="22"/>
          <w:szCs w:val="22"/>
        </w:rPr>
        <w:t>GOVERNANCE COMPLIANCE STATUTORY GUIDANCE</w:t>
      </w:r>
    </w:p>
    <w:p w14:paraId="679CEC44" w14:textId="77777777" w:rsidR="00DA752D" w:rsidRPr="00B47EAC" w:rsidRDefault="00DA752D" w:rsidP="00DA752D">
      <w:pPr>
        <w:rPr>
          <w:rFonts w:ascii="Arial" w:hAnsi="Arial" w:cs="Arial"/>
          <w:b/>
          <w:sz w:val="22"/>
          <w:szCs w:val="22"/>
        </w:rPr>
      </w:pPr>
    </w:p>
    <w:p w14:paraId="0A20D77B" w14:textId="77777777" w:rsidR="00DA752D" w:rsidRPr="00B47EAC" w:rsidRDefault="00DA752D" w:rsidP="00DA752D">
      <w:pPr>
        <w:rPr>
          <w:rFonts w:ascii="Arial" w:hAnsi="Arial" w:cs="Arial"/>
          <w:b/>
          <w:sz w:val="22"/>
          <w:szCs w:val="22"/>
        </w:rPr>
      </w:pPr>
      <w:r w:rsidRPr="00B47EAC">
        <w:rPr>
          <w:rFonts w:ascii="Arial" w:hAnsi="Arial" w:cs="Arial"/>
          <w:b/>
          <w:sz w:val="22"/>
          <w:szCs w:val="22"/>
        </w:rPr>
        <w:t>PART I</w:t>
      </w:r>
    </w:p>
    <w:p w14:paraId="28F736F1" w14:textId="77777777" w:rsidR="00DA752D" w:rsidRPr="00B47EAC" w:rsidRDefault="00DA752D" w:rsidP="00DA752D">
      <w:pPr>
        <w:rPr>
          <w:rFonts w:ascii="Arial" w:hAnsi="Arial" w:cs="Arial"/>
          <w:b/>
          <w:sz w:val="22"/>
          <w:szCs w:val="22"/>
        </w:rPr>
      </w:pPr>
    </w:p>
    <w:p w14:paraId="2F038A4D" w14:textId="77777777" w:rsidR="00DA752D" w:rsidRPr="00B47EAC" w:rsidRDefault="00DA752D" w:rsidP="00DA752D">
      <w:pPr>
        <w:rPr>
          <w:rFonts w:ascii="Arial" w:hAnsi="Arial" w:cs="Arial"/>
          <w:b/>
          <w:sz w:val="22"/>
          <w:szCs w:val="22"/>
        </w:rPr>
      </w:pPr>
      <w:r w:rsidRPr="00B47EAC">
        <w:rPr>
          <w:rFonts w:ascii="Arial" w:hAnsi="Arial" w:cs="Arial"/>
          <w:b/>
          <w:sz w:val="22"/>
          <w:szCs w:val="22"/>
        </w:rPr>
        <w:t>INTRODUCTION</w:t>
      </w:r>
    </w:p>
    <w:p w14:paraId="35DD8224" w14:textId="77777777" w:rsidR="00DA752D" w:rsidRPr="00B47EAC" w:rsidRDefault="00DA752D" w:rsidP="00DA752D">
      <w:pPr>
        <w:rPr>
          <w:rFonts w:ascii="Arial" w:hAnsi="Arial" w:cs="Arial"/>
          <w:sz w:val="22"/>
          <w:szCs w:val="22"/>
        </w:rPr>
      </w:pPr>
      <w:r w:rsidRPr="00B47EAC">
        <w:rPr>
          <w:rFonts w:ascii="Arial" w:hAnsi="Arial" w:cs="Arial"/>
          <w:sz w:val="22"/>
          <w:szCs w:val="22"/>
        </w:rPr>
        <w:t xml:space="preserve">1. This guidance is issued to all administering authorities in England and Wales with statutory responsibilities under the Local Government Pension Scheme Regulations 1997 (as amended) and other interested parties listed at Annex B and deals with the compliance standards against which Local Government Pension Scheme (“LGPS”) </w:t>
      </w:r>
      <w:r w:rsidR="00A82870">
        <w:rPr>
          <w:rFonts w:ascii="Arial" w:hAnsi="Arial" w:cs="Arial"/>
          <w:sz w:val="22"/>
          <w:szCs w:val="22"/>
        </w:rPr>
        <w:t>panel</w:t>
      </w:r>
      <w:r w:rsidRPr="00B47EAC">
        <w:rPr>
          <w:rFonts w:ascii="Arial" w:hAnsi="Arial" w:cs="Arial"/>
          <w:sz w:val="22"/>
          <w:szCs w:val="22"/>
        </w:rPr>
        <w:t xml:space="preserve">s are to measure themselves. </w:t>
      </w:r>
    </w:p>
    <w:p w14:paraId="0DD67493" w14:textId="77777777" w:rsidR="00DA752D" w:rsidRPr="00B47EAC" w:rsidRDefault="00DA752D" w:rsidP="00DA752D">
      <w:pPr>
        <w:jc w:val="both"/>
        <w:rPr>
          <w:rFonts w:ascii="Arial" w:hAnsi="Arial" w:cs="Arial"/>
          <w:sz w:val="22"/>
          <w:szCs w:val="22"/>
        </w:rPr>
      </w:pPr>
    </w:p>
    <w:p w14:paraId="7742E88A"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2. The guidance includes a combination of descriptive text explaining the rationale of each compliance principle and a description of the relevant statutory provision of the 1997 Regulations (Regulation 73A(1)(c) refers) that requires LGPS administering authorities to measure their governance arrangements against the standards set out in this statutory guidance.  Where compliance does not meet the published standard, there is a requirement under Regulation 73A(1)(c) to give, in their governance compliance statement,  the reasons for not complying.</w:t>
      </w:r>
    </w:p>
    <w:p w14:paraId="5CDFFEBA" w14:textId="77777777" w:rsidR="00DA752D" w:rsidRPr="00B47EAC" w:rsidRDefault="00DA752D" w:rsidP="00DA752D">
      <w:pPr>
        <w:jc w:val="both"/>
        <w:rPr>
          <w:rFonts w:ascii="Arial" w:hAnsi="Arial" w:cs="Arial"/>
          <w:sz w:val="22"/>
          <w:szCs w:val="22"/>
        </w:rPr>
      </w:pPr>
    </w:p>
    <w:p w14:paraId="183C0482"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3. The Secretary of State will keep the content of the guidance under review in the light of administering authorities and other interested parties’ experience of applying the best practice standards. The guidance will be updated as necessary to reflect this and subsequent legislative changes.  </w:t>
      </w:r>
    </w:p>
    <w:p w14:paraId="5185A805" w14:textId="77777777" w:rsidR="00DA752D" w:rsidRPr="00B47EAC" w:rsidRDefault="00DA752D" w:rsidP="00DA752D">
      <w:pPr>
        <w:rPr>
          <w:rFonts w:ascii="Arial" w:hAnsi="Arial" w:cs="Arial"/>
          <w:sz w:val="22"/>
          <w:szCs w:val="22"/>
        </w:rPr>
      </w:pPr>
    </w:p>
    <w:p w14:paraId="0F8BBBE2" w14:textId="77777777" w:rsidR="00DA752D" w:rsidRPr="00B47EAC" w:rsidRDefault="00DA752D" w:rsidP="00DA752D">
      <w:pPr>
        <w:rPr>
          <w:rFonts w:ascii="Arial" w:hAnsi="Arial" w:cs="Arial"/>
          <w:b/>
          <w:sz w:val="22"/>
          <w:szCs w:val="22"/>
        </w:rPr>
      </w:pPr>
    </w:p>
    <w:p w14:paraId="7EB38E6F" w14:textId="77777777" w:rsidR="00DA752D" w:rsidRPr="00B47EAC" w:rsidRDefault="00DA752D" w:rsidP="00DA752D">
      <w:pPr>
        <w:jc w:val="both"/>
        <w:rPr>
          <w:rFonts w:ascii="Arial" w:hAnsi="Arial" w:cs="Arial"/>
          <w:sz w:val="22"/>
          <w:szCs w:val="22"/>
        </w:rPr>
      </w:pPr>
      <w:r w:rsidRPr="00B47EAC">
        <w:rPr>
          <w:rFonts w:ascii="Arial" w:hAnsi="Arial" w:cs="Arial"/>
          <w:b/>
          <w:sz w:val="22"/>
          <w:szCs w:val="22"/>
        </w:rPr>
        <w:t>BACKGROUND</w:t>
      </w:r>
      <w:r w:rsidRPr="00B47EAC">
        <w:rPr>
          <w:rFonts w:ascii="Arial" w:hAnsi="Arial" w:cs="Arial"/>
          <w:sz w:val="22"/>
          <w:szCs w:val="22"/>
        </w:rPr>
        <w:t xml:space="preserve"> </w:t>
      </w:r>
    </w:p>
    <w:p w14:paraId="496C4783"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4. The LGPS is a common scheme throughout England and Wales, administered by 89 individual pension funds, which includes the Environment Agency. In the context of the UK public pensions sector, it is atypical in being funded with assets in excess of £100bn. Viewed in aggregate, the LGPS is the largest funded occupational pension scheme in the UK.</w:t>
      </w:r>
    </w:p>
    <w:p w14:paraId="5A004AEC" w14:textId="77777777" w:rsidR="00DA752D" w:rsidRPr="00B47EAC" w:rsidRDefault="00DA752D" w:rsidP="00DA752D">
      <w:pPr>
        <w:rPr>
          <w:rFonts w:ascii="Arial" w:hAnsi="Arial" w:cs="Arial"/>
          <w:sz w:val="22"/>
          <w:szCs w:val="22"/>
        </w:rPr>
      </w:pPr>
    </w:p>
    <w:p w14:paraId="584733DF"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5. As a statutory public service scheme, the LGPS has a different legal status compared with trust based schemes in the private sector. Matters of governance in the LGPS therefore need to be considered on their own merits and with a proper regard to the legal status of the scheme. This includes how and where it fits in with the local democratic process through local government law and locally elected councillors who have the final responsibility for its stewardship and management. The LGPS is also different in the respect that unlike most private sector schemes where scheme members bear some, if not all, of the investment risk, the accrued benefits paid by local authorities are guaranteed by statute and, perhaps more importantly, are ultimately to be paid by the local authority revenue and not from the pension funds themselves. The pension funds exist to defray the costs. On this basis, it is the local authority itself, and local council tax payers, who are the final guarantors of the scheme. </w:t>
      </w:r>
    </w:p>
    <w:p w14:paraId="3E9DE0AE" w14:textId="77777777" w:rsidR="00DA752D" w:rsidRPr="00B47EAC" w:rsidRDefault="00DA752D" w:rsidP="00DA752D">
      <w:pPr>
        <w:jc w:val="both"/>
        <w:rPr>
          <w:rFonts w:ascii="Arial" w:hAnsi="Arial" w:cs="Arial"/>
          <w:sz w:val="22"/>
          <w:szCs w:val="22"/>
        </w:rPr>
      </w:pPr>
    </w:p>
    <w:p w14:paraId="49C157EA"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6. The word “trustee” is often used in a very general sense to mean somebody who acts on behalf of other people but in pensions law it has a more specific meaning. Certain occupational pension schemes, primarily in the private sector, are established under trust law. Under a trust, named people (“trustees”) hold property on behalf of other people (called beneficiaries). Trustees owe a duty of care to their beneficiaries and are required to act in their best interests, particularly in terms of their investment decisions. Although those entrusted to make statutory </w:t>
      </w:r>
      <w:r w:rsidRPr="00B47EAC">
        <w:rPr>
          <w:rFonts w:ascii="Arial" w:hAnsi="Arial" w:cs="Arial"/>
          <w:sz w:val="22"/>
          <w:szCs w:val="22"/>
        </w:rPr>
        <w:lastRenderedPageBreak/>
        <w:t>decisions under the LGPS are, in many ways, required to act in the same way as trustees in terms of their duty of care, they are subject to a different legal framework and to all the normal duties and responsibilities of local authority councillors. But they are not trustees in the strict legal sense of that word.</w:t>
      </w:r>
    </w:p>
    <w:p w14:paraId="19568AA5" w14:textId="77777777" w:rsidR="00DA752D" w:rsidRPr="00B47EAC" w:rsidRDefault="00DA752D" w:rsidP="00DA752D">
      <w:pPr>
        <w:jc w:val="both"/>
        <w:rPr>
          <w:rFonts w:ascii="Arial" w:hAnsi="Arial" w:cs="Arial"/>
          <w:sz w:val="22"/>
          <w:szCs w:val="22"/>
        </w:rPr>
      </w:pPr>
    </w:p>
    <w:p w14:paraId="28119F3B"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7. Trustees are needed in the private sector to ensure better scheme security, prevent employer-led actions which could undermine a scheme’s solvency and to ensure that investment decisions are not in any way imprudent. But in a statutory scheme like the LGPS, benefits are guaranteed by statute, independent of investment performance. As such, scheme members in the LGPS bear none of the investment risk. The entitlements and benefits payable to scheme members in trust based schemes are, potentially at least, more volatile and dependent ultimately on the effectiveness and stewardship of their trustees. It is because of this greater risk to security that the Pensions Act 1995 first introduced the concept of member nominated trustees to ensure that scheme beneficiaries are part of the decision making process. But even member nominated trustees must act in the interest of the fund/scheme and must not take decisions out of self-interest. The Pensions Act 2004 simply extends that status.</w:t>
      </w:r>
    </w:p>
    <w:p w14:paraId="47165241" w14:textId="77777777" w:rsidR="00DA752D" w:rsidRPr="00B47EAC" w:rsidRDefault="00DA752D" w:rsidP="00DA752D">
      <w:pPr>
        <w:jc w:val="both"/>
        <w:rPr>
          <w:rFonts w:ascii="Arial" w:hAnsi="Arial" w:cs="Arial"/>
          <w:sz w:val="22"/>
          <w:szCs w:val="22"/>
        </w:rPr>
      </w:pPr>
    </w:p>
    <w:p w14:paraId="3E5E6DD1"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8. Elected councillors have legal responsibilities for the prudent and effective stewardship of LGPS funds and in more general terms, have a clear fiduciary duty in the performance of their functions. Although there is no one single model in operation throughout the 89 LGPS fund authorities in England and Wales, most funds are managed by a formal</w:t>
      </w:r>
      <w:r w:rsidR="007C5420">
        <w:rPr>
          <w:rFonts w:ascii="Arial" w:hAnsi="Arial" w:cs="Arial"/>
          <w:sz w:val="22"/>
          <w:szCs w:val="22"/>
        </w:rPr>
        <w:t xml:space="preserve"> committee</w:t>
      </w:r>
      <w:r w:rsidRPr="00B47EAC">
        <w:rPr>
          <w:rFonts w:ascii="Arial" w:hAnsi="Arial" w:cs="Arial"/>
          <w:sz w:val="22"/>
          <w:szCs w:val="22"/>
        </w:rPr>
        <w:t xml:space="preserve"> representing the political balance of that particular authority. Under section 101 of the Local Government Act 1972, a local authority can delegate their pension investment functions to the Council, </w:t>
      </w:r>
      <w:r w:rsidR="007C5420">
        <w:rPr>
          <w:rFonts w:ascii="Arial" w:hAnsi="Arial" w:cs="Arial"/>
          <w:sz w:val="22"/>
          <w:szCs w:val="22"/>
        </w:rPr>
        <w:t>committee</w:t>
      </w:r>
      <w:r w:rsidRPr="00B47EAC">
        <w:rPr>
          <w:rFonts w:ascii="Arial" w:hAnsi="Arial" w:cs="Arial"/>
          <w:sz w:val="22"/>
          <w:szCs w:val="22"/>
        </w:rPr>
        <w:t>s, sub-</w:t>
      </w:r>
      <w:r w:rsidR="007C5420">
        <w:rPr>
          <w:rFonts w:ascii="Arial" w:hAnsi="Arial" w:cs="Arial"/>
          <w:sz w:val="22"/>
          <w:szCs w:val="22"/>
        </w:rPr>
        <w:t>committees</w:t>
      </w:r>
      <w:r w:rsidRPr="00B47EAC">
        <w:rPr>
          <w:rFonts w:ascii="Arial" w:hAnsi="Arial" w:cs="Arial"/>
          <w:sz w:val="22"/>
          <w:szCs w:val="22"/>
        </w:rPr>
        <w:t xml:space="preserve"> or officers, but there are a small number of LGPS fund authorities which are not local authorities and therefore have their own, distinct arrangements. </w:t>
      </w:r>
    </w:p>
    <w:p w14:paraId="47A7BB79" w14:textId="77777777" w:rsidR="00DA752D" w:rsidRPr="00B47EAC" w:rsidRDefault="00DA752D" w:rsidP="00DA752D">
      <w:pPr>
        <w:jc w:val="both"/>
        <w:rPr>
          <w:rFonts w:ascii="Arial" w:hAnsi="Arial" w:cs="Arial"/>
          <w:sz w:val="22"/>
          <w:szCs w:val="22"/>
        </w:rPr>
      </w:pPr>
    </w:p>
    <w:p w14:paraId="08CFF4EA"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9. It is also relevant to note that under The Local Authorities (Functions and Responsibilities) (England) Regulations 2000 (SI 2000 No 2853) and The Local Authorities Executive Arrangements (Functions and Responsibilities) (Wales) Regulations 2001 (Welsh SI 2001 No 2291), statutory decisions taken under schemes made under sections 7, 12 or 24 of the Superannuation Act 1972, are not the responsibility of the Executive arrangements introduced by the Local Government Act 2000. This means, for example, that the executive cannot make decisions in relation to discretions to be exercised under the LGPS, or make decisions relating to the investment of the Pension Fund and related matters. These functions have continued to be subject to the same legislative framework as they were before the passing of the Local Government Act 2000, including delegations under section 101 of the Local Government Act 1972. Such delegations vary from local authority to local authority depending on local circumstances. However, the Secretary of State has advised that where such decisions were delegated to </w:t>
      </w:r>
      <w:r w:rsidR="007C5420">
        <w:rPr>
          <w:rFonts w:ascii="Arial" w:hAnsi="Arial" w:cs="Arial"/>
          <w:sz w:val="22"/>
          <w:szCs w:val="22"/>
        </w:rPr>
        <w:t>committees</w:t>
      </w:r>
      <w:r w:rsidRPr="00B47EAC">
        <w:rPr>
          <w:rFonts w:ascii="Arial" w:hAnsi="Arial" w:cs="Arial"/>
          <w:sz w:val="22"/>
          <w:szCs w:val="22"/>
        </w:rPr>
        <w:t xml:space="preserve"> or to officers, then those delegations should continue. (see paragraphs 5.10 and 5.11 of the Statutory Guidance to English Local Authorities – New Council Consitutions : Guidance Pack Volume 1). </w:t>
      </w:r>
    </w:p>
    <w:p w14:paraId="2CF37453" w14:textId="77777777" w:rsidR="00DA752D" w:rsidRPr="00B47EAC" w:rsidRDefault="00DA752D" w:rsidP="00DA752D">
      <w:pPr>
        <w:jc w:val="both"/>
        <w:rPr>
          <w:rFonts w:ascii="Arial" w:hAnsi="Arial" w:cs="Arial"/>
          <w:sz w:val="22"/>
          <w:szCs w:val="22"/>
        </w:rPr>
      </w:pPr>
    </w:p>
    <w:p w14:paraId="12C25A4A"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10. Under section 102 of the Local Government Act 1972, it is for the appointing council to decide upon the number of members of a </w:t>
      </w:r>
      <w:r w:rsidR="007C5420">
        <w:rPr>
          <w:rFonts w:ascii="Arial" w:hAnsi="Arial" w:cs="Arial"/>
          <w:sz w:val="22"/>
          <w:szCs w:val="22"/>
        </w:rPr>
        <w:t>committee</w:t>
      </w:r>
      <w:r w:rsidRPr="00B47EAC">
        <w:rPr>
          <w:rFonts w:ascii="Arial" w:hAnsi="Arial" w:cs="Arial"/>
          <w:sz w:val="22"/>
          <w:szCs w:val="22"/>
        </w:rPr>
        <w:t xml:space="preserve"> and their terms of office. They may include </w:t>
      </w:r>
      <w:r w:rsidR="007C5420">
        <w:rPr>
          <w:rFonts w:ascii="Arial" w:hAnsi="Arial" w:cs="Arial"/>
          <w:sz w:val="22"/>
          <w:szCs w:val="22"/>
        </w:rPr>
        <w:t>committee</w:t>
      </w:r>
      <w:r w:rsidRPr="00B47EAC">
        <w:rPr>
          <w:rFonts w:ascii="Arial" w:hAnsi="Arial" w:cs="Arial"/>
          <w:sz w:val="22"/>
          <w:szCs w:val="22"/>
        </w:rPr>
        <w:t xml:space="preserve"> members who are not members of the appointing council and such members may be given voting rights by virtue of section 13 of the Local Government and Housing Act 1989. On this basis, it is open to pension </w:t>
      </w:r>
      <w:r w:rsidR="007C5420">
        <w:rPr>
          <w:rFonts w:ascii="Arial" w:hAnsi="Arial" w:cs="Arial"/>
          <w:sz w:val="22"/>
          <w:szCs w:val="22"/>
        </w:rPr>
        <w:t>committees</w:t>
      </w:r>
      <w:r w:rsidRPr="00B47EAC">
        <w:rPr>
          <w:rFonts w:ascii="Arial" w:hAnsi="Arial" w:cs="Arial"/>
          <w:sz w:val="22"/>
          <w:szCs w:val="22"/>
        </w:rPr>
        <w:t xml:space="preserve"> to include representatives from district councils, scheme members and other lay member representatives, with or without voting rights, provided that they are eligible to be </w:t>
      </w:r>
      <w:r w:rsidR="007C5420">
        <w:rPr>
          <w:rFonts w:ascii="Arial" w:hAnsi="Arial" w:cs="Arial"/>
          <w:sz w:val="22"/>
          <w:szCs w:val="22"/>
        </w:rPr>
        <w:t>committee</w:t>
      </w:r>
      <w:r w:rsidRPr="00B47EAC">
        <w:rPr>
          <w:rFonts w:ascii="Arial" w:hAnsi="Arial" w:cs="Arial"/>
          <w:sz w:val="22"/>
          <w:szCs w:val="22"/>
        </w:rPr>
        <w:t xml:space="preserve"> members (eligibility rules are set out in section 15 of the Local Government and Housing Act 1989).</w:t>
      </w:r>
    </w:p>
    <w:p w14:paraId="450E7CF5" w14:textId="77777777" w:rsidR="00DA752D" w:rsidRPr="00B47EAC" w:rsidRDefault="00DA752D" w:rsidP="00DA752D">
      <w:pPr>
        <w:jc w:val="both"/>
        <w:rPr>
          <w:rFonts w:ascii="Arial" w:hAnsi="Arial" w:cs="Arial"/>
          <w:sz w:val="22"/>
          <w:szCs w:val="22"/>
        </w:rPr>
      </w:pPr>
    </w:p>
    <w:p w14:paraId="57DCA60F" w14:textId="77777777" w:rsidR="00DA752D" w:rsidRPr="00B47EAC" w:rsidRDefault="00DA752D" w:rsidP="00DA752D">
      <w:pPr>
        <w:jc w:val="both"/>
        <w:rPr>
          <w:rFonts w:ascii="Arial" w:hAnsi="Arial" w:cs="Arial"/>
          <w:sz w:val="22"/>
          <w:szCs w:val="22"/>
        </w:rPr>
      </w:pPr>
    </w:p>
    <w:p w14:paraId="46DB6C3C" w14:textId="77777777" w:rsidR="00DA752D" w:rsidRPr="00B47EAC" w:rsidRDefault="00DA752D" w:rsidP="00DA752D">
      <w:pPr>
        <w:jc w:val="both"/>
        <w:rPr>
          <w:rFonts w:ascii="Arial" w:hAnsi="Arial" w:cs="Arial"/>
          <w:b/>
          <w:sz w:val="22"/>
          <w:szCs w:val="22"/>
        </w:rPr>
      </w:pPr>
      <w:r w:rsidRPr="00B47EAC">
        <w:rPr>
          <w:rFonts w:ascii="Arial" w:hAnsi="Arial" w:cs="Arial"/>
          <w:b/>
          <w:sz w:val="22"/>
          <w:szCs w:val="22"/>
        </w:rPr>
        <w:t>STATUTORY BACKGROUND</w:t>
      </w:r>
    </w:p>
    <w:p w14:paraId="6AD40B04"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11. In response to proposals issued by the former Office of the Deputy Prime Minister, the Local Government Pension Scheme Regulations 1997 were amended to require LGPS administering authorities to publish details of their governance and stewardship arrangements by 1 April 2006.  The purpose of this first step was to gauge progress made in the democratisation of LGPS </w:t>
      </w:r>
      <w:r w:rsidR="007C5420">
        <w:rPr>
          <w:rFonts w:ascii="Arial" w:hAnsi="Arial" w:cs="Arial"/>
          <w:sz w:val="22"/>
          <w:szCs w:val="22"/>
        </w:rPr>
        <w:t>committees</w:t>
      </w:r>
      <w:r w:rsidRPr="00B47EAC">
        <w:rPr>
          <w:rFonts w:ascii="Arial" w:hAnsi="Arial" w:cs="Arial"/>
          <w:sz w:val="22"/>
          <w:szCs w:val="22"/>
        </w:rPr>
        <w:t xml:space="preserve"> and governance arrangements in general and to assess what action, if any, should be taken to ensure that all </w:t>
      </w:r>
      <w:r w:rsidR="007C5420">
        <w:rPr>
          <w:rFonts w:ascii="Arial" w:hAnsi="Arial" w:cs="Arial"/>
          <w:sz w:val="22"/>
          <w:szCs w:val="22"/>
        </w:rPr>
        <w:t>committees</w:t>
      </w:r>
      <w:r w:rsidRPr="00B47EAC">
        <w:rPr>
          <w:rFonts w:ascii="Arial" w:hAnsi="Arial" w:cs="Arial"/>
          <w:sz w:val="22"/>
          <w:szCs w:val="22"/>
        </w:rPr>
        <w:t xml:space="preserve"> operate consistently at best practice standards.  On 30 June 2007, the 1997 regulations were further amended to require administering authorities to report the extent of compliance against a set of best practice principles to be published by CLG, and where an authority has chosen not to comply, to state the reasons why. The first such statement must be published by 1</w:t>
      </w:r>
      <w:r w:rsidRPr="00B47EAC">
        <w:rPr>
          <w:rFonts w:ascii="Arial" w:hAnsi="Arial" w:cs="Arial"/>
          <w:sz w:val="22"/>
          <w:szCs w:val="22"/>
          <w:vertAlign w:val="superscript"/>
        </w:rPr>
        <w:t>st</w:t>
      </w:r>
      <w:r w:rsidRPr="00B47EAC">
        <w:rPr>
          <w:rFonts w:ascii="Arial" w:hAnsi="Arial" w:cs="Arial"/>
          <w:sz w:val="22"/>
          <w:szCs w:val="22"/>
        </w:rPr>
        <w:t xml:space="preserve"> March 2008.</w:t>
      </w:r>
    </w:p>
    <w:p w14:paraId="63B794C2" w14:textId="77777777" w:rsidR="00DA752D" w:rsidRPr="00B47EAC" w:rsidRDefault="00DA752D" w:rsidP="00DA752D">
      <w:pPr>
        <w:jc w:val="both"/>
        <w:rPr>
          <w:rFonts w:ascii="Arial" w:hAnsi="Arial" w:cs="Arial"/>
          <w:sz w:val="22"/>
          <w:szCs w:val="22"/>
        </w:rPr>
      </w:pPr>
    </w:p>
    <w:p w14:paraId="14D2BD82"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12. The relevant provision, shown below, is regulation 73A of the Local Government Pension Scheme Regulations 1997 :</w:t>
      </w:r>
    </w:p>
    <w:p w14:paraId="73BCCE55" w14:textId="77777777" w:rsidR="00DA752D" w:rsidRPr="00B47EAC" w:rsidRDefault="00DA752D" w:rsidP="00DA752D">
      <w:pPr>
        <w:jc w:val="both"/>
        <w:rPr>
          <w:rFonts w:ascii="Arial" w:hAnsi="Arial" w:cs="Arial"/>
          <w:sz w:val="22"/>
          <w:szCs w:val="22"/>
        </w:rPr>
      </w:pPr>
    </w:p>
    <w:p w14:paraId="2D44963B" w14:textId="77777777" w:rsidR="00DA752D" w:rsidRPr="00B47EAC" w:rsidRDefault="00DA752D" w:rsidP="00DA752D">
      <w:pPr>
        <w:pStyle w:val="H1"/>
        <w:rPr>
          <w:rFonts w:ascii="Arial" w:hAnsi="Arial" w:cs="Arial"/>
          <w:b w:val="0"/>
          <w:sz w:val="22"/>
          <w:szCs w:val="22"/>
        </w:rPr>
      </w:pPr>
      <w:r w:rsidRPr="00B47EAC">
        <w:rPr>
          <w:rFonts w:ascii="Arial" w:hAnsi="Arial" w:cs="Arial"/>
          <w:b w:val="0"/>
          <w:sz w:val="22"/>
          <w:szCs w:val="22"/>
        </w:rPr>
        <w:t>“Governance compliance statement</w:t>
      </w:r>
    </w:p>
    <w:p w14:paraId="3B4418F2" w14:textId="77777777" w:rsidR="00DA752D" w:rsidRPr="00B47EAC" w:rsidRDefault="00DA752D" w:rsidP="00DA752D">
      <w:pPr>
        <w:pStyle w:val="LQN1"/>
        <w:rPr>
          <w:rFonts w:ascii="Arial" w:hAnsi="Arial" w:cs="Arial"/>
          <w:sz w:val="22"/>
          <w:szCs w:val="22"/>
        </w:rPr>
      </w:pPr>
      <w:r w:rsidRPr="00B47EAC">
        <w:rPr>
          <w:rFonts w:ascii="Arial" w:hAnsi="Arial" w:cs="Arial"/>
          <w:sz w:val="22"/>
          <w:szCs w:val="22"/>
        </w:rPr>
        <w:t>73A.—(1) An administering authority must prepare a written statement setting out—</w:t>
      </w:r>
    </w:p>
    <w:p w14:paraId="3E7DC8A4" w14:textId="77777777" w:rsidR="00DA752D" w:rsidRPr="00B47EAC" w:rsidRDefault="00DA752D" w:rsidP="00DA752D">
      <w:pPr>
        <w:pStyle w:val="LQN3"/>
        <w:rPr>
          <w:rFonts w:ascii="Arial" w:hAnsi="Arial" w:cs="Arial"/>
          <w:sz w:val="22"/>
          <w:szCs w:val="22"/>
        </w:rPr>
      </w:pPr>
      <w:r w:rsidRPr="00B47EAC">
        <w:rPr>
          <w:rFonts w:ascii="Arial" w:hAnsi="Arial" w:cs="Arial"/>
          <w:sz w:val="22"/>
          <w:szCs w:val="22"/>
        </w:rPr>
        <w:t>(a)</w:t>
      </w:r>
      <w:r w:rsidRPr="00B47EAC">
        <w:rPr>
          <w:rFonts w:ascii="Arial" w:hAnsi="Arial" w:cs="Arial"/>
          <w:sz w:val="22"/>
          <w:szCs w:val="22"/>
        </w:rPr>
        <w:tab/>
        <w:t xml:space="preserve">whether they delegate their function, or part of their function, in relation to maintaining a pension fund to a </w:t>
      </w:r>
      <w:r w:rsidR="007C5420">
        <w:rPr>
          <w:rFonts w:ascii="Arial" w:hAnsi="Arial" w:cs="Arial"/>
          <w:sz w:val="22"/>
          <w:szCs w:val="22"/>
        </w:rPr>
        <w:t>committee</w:t>
      </w:r>
      <w:r w:rsidRPr="00B47EAC">
        <w:rPr>
          <w:rFonts w:ascii="Arial" w:hAnsi="Arial" w:cs="Arial"/>
          <w:sz w:val="22"/>
          <w:szCs w:val="22"/>
        </w:rPr>
        <w:t>, a sub-</w:t>
      </w:r>
      <w:r w:rsidR="007C5420">
        <w:rPr>
          <w:rFonts w:ascii="Arial" w:hAnsi="Arial" w:cs="Arial"/>
          <w:sz w:val="22"/>
          <w:szCs w:val="22"/>
        </w:rPr>
        <w:t>committee</w:t>
      </w:r>
      <w:r w:rsidRPr="00B47EAC">
        <w:rPr>
          <w:rFonts w:ascii="Arial" w:hAnsi="Arial" w:cs="Arial"/>
          <w:sz w:val="22"/>
          <w:szCs w:val="22"/>
        </w:rPr>
        <w:t xml:space="preserve"> or an officer of the authority;</w:t>
      </w:r>
    </w:p>
    <w:p w14:paraId="7A87156A" w14:textId="77777777" w:rsidR="00DA752D" w:rsidRPr="00B47EAC" w:rsidRDefault="00DA752D" w:rsidP="00DA752D">
      <w:pPr>
        <w:pStyle w:val="LQN3"/>
        <w:rPr>
          <w:rFonts w:ascii="Arial" w:hAnsi="Arial" w:cs="Arial"/>
          <w:sz w:val="22"/>
          <w:szCs w:val="22"/>
        </w:rPr>
      </w:pPr>
      <w:r w:rsidRPr="00B47EAC">
        <w:rPr>
          <w:rFonts w:ascii="Arial" w:hAnsi="Arial" w:cs="Arial"/>
          <w:sz w:val="22"/>
          <w:szCs w:val="22"/>
        </w:rPr>
        <w:t>(b)</w:t>
      </w:r>
      <w:r w:rsidRPr="00B47EAC">
        <w:rPr>
          <w:rFonts w:ascii="Arial" w:hAnsi="Arial" w:cs="Arial"/>
          <w:sz w:val="22"/>
          <w:szCs w:val="22"/>
        </w:rPr>
        <w:tab/>
        <w:t>if they do so—</w:t>
      </w:r>
    </w:p>
    <w:p w14:paraId="2B4D7B8B" w14:textId="77777777" w:rsidR="00DA752D" w:rsidRPr="00B47EAC" w:rsidRDefault="00DA752D" w:rsidP="00DA752D">
      <w:pPr>
        <w:pStyle w:val="LQN4"/>
        <w:rPr>
          <w:rFonts w:ascii="Arial" w:hAnsi="Arial" w:cs="Arial"/>
          <w:sz w:val="22"/>
          <w:szCs w:val="22"/>
        </w:rPr>
      </w:pPr>
      <w:r w:rsidRPr="00B47EAC">
        <w:rPr>
          <w:rFonts w:ascii="Arial" w:hAnsi="Arial" w:cs="Arial"/>
          <w:sz w:val="22"/>
          <w:szCs w:val="22"/>
        </w:rPr>
        <w:tab/>
        <w:t>(i)</w:t>
      </w:r>
      <w:r w:rsidRPr="00B47EAC">
        <w:rPr>
          <w:rFonts w:ascii="Arial" w:hAnsi="Arial" w:cs="Arial"/>
          <w:sz w:val="22"/>
          <w:szCs w:val="22"/>
        </w:rPr>
        <w:tab/>
        <w:t>the terms, structure and operational procedures of the delegation;</w:t>
      </w:r>
    </w:p>
    <w:p w14:paraId="56895D09" w14:textId="77777777" w:rsidR="00DA752D" w:rsidRPr="00B47EAC" w:rsidRDefault="00DA752D" w:rsidP="00DA752D">
      <w:pPr>
        <w:pStyle w:val="LQN4"/>
        <w:rPr>
          <w:rFonts w:ascii="Arial" w:hAnsi="Arial" w:cs="Arial"/>
          <w:sz w:val="22"/>
          <w:szCs w:val="22"/>
        </w:rPr>
      </w:pPr>
      <w:r w:rsidRPr="00B47EAC">
        <w:rPr>
          <w:rFonts w:ascii="Arial" w:hAnsi="Arial" w:cs="Arial"/>
          <w:sz w:val="22"/>
          <w:szCs w:val="22"/>
        </w:rPr>
        <w:tab/>
        <w:t>(ii)</w:t>
      </w:r>
      <w:r w:rsidRPr="00B47EAC">
        <w:rPr>
          <w:rFonts w:ascii="Arial" w:hAnsi="Arial" w:cs="Arial"/>
          <w:sz w:val="22"/>
          <w:szCs w:val="22"/>
        </w:rPr>
        <w:tab/>
        <w:t xml:space="preserve">the frequency of any </w:t>
      </w:r>
      <w:r w:rsidR="007C5420">
        <w:rPr>
          <w:rFonts w:ascii="Arial" w:hAnsi="Arial" w:cs="Arial"/>
          <w:sz w:val="22"/>
          <w:szCs w:val="22"/>
        </w:rPr>
        <w:t xml:space="preserve">committee </w:t>
      </w:r>
      <w:r w:rsidRPr="00B47EAC">
        <w:rPr>
          <w:rFonts w:ascii="Arial" w:hAnsi="Arial" w:cs="Arial"/>
          <w:sz w:val="22"/>
          <w:szCs w:val="22"/>
        </w:rPr>
        <w:t>or sub-</w:t>
      </w:r>
      <w:r w:rsidR="007C5420">
        <w:rPr>
          <w:rFonts w:ascii="Arial" w:hAnsi="Arial" w:cs="Arial"/>
          <w:sz w:val="22"/>
          <w:szCs w:val="22"/>
        </w:rPr>
        <w:t>committee</w:t>
      </w:r>
      <w:r w:rsidRPr="00B47EAC">
        <w:rPr>
          <w:rFonts w:ascii="Arial" w:hAnsi="Arial" w:cs="Arial"/>
          <w:sz w:val="22"/>
          <w:szCs w:val="22"/>
        </w:rPr>
        <w:t xml:space="preserve"> meetings;</w:t>
      </w:r>
    </w:p>
    <w:p w14:paraId="6EC2FE6E" w14:textId="77777777" w:rsidR="00DA752D" w:rsidRPr="00B47EAC" w:rsidRDefault="00DA752D" w:rsidP="00DA752D">
      <w:pPr>
        <w:pStyle w:val="LQN4"/>
        <w:rPr>
          <w:rFonts w:ascii="Arial" w:hAnsi="Arial" w:cs="Arial"/>
          <w:sz w:val="22"/>
          <w:szCs w:val="22"/>
        </w:rPr>
      </w:pPr>
      <w:r w:rsidRPr="00B47EAC">
        <w:rPr>
          <w:rFonts w:ascii="Arial" w:hAnsi="Arial" w:cs="Arial"/>
          <w:sz w:val="22"/>
          <w:szCs w:val="22"/>
        </w:rPr>
        <w:tab/>
        <w:t>(iii)</w:t>
      </w:r>
      <w:r w:rsidRPr="00B47EAC">
        <w:rPr>
          <w:rFonts w:ascii="Arial" w:hAnsi="Arial" w:cs="Arial"/>
          <w:sz w:val="22"/>
          <w:szCs w:val="22"/>
        </w:rPr>
        <w:tab/>
        <w:t xml:space="preserve">whether such a </w:t>
      </w:r>
      <w:r w:rsidR="00A82870">
        <w:rPr>
          <w:rFonts w:ascii="Arial" w:hAnsi="Arial" w:cs="Arial"/>
          <w:sz w:val="22"/>
          <w:szCs w:val="22"/>
        </w:rPr>
        <w:t>panel</w:t>
      </w:r>
      <w:r w:rsidRPr="00B47EAC">
        <w:rPr>
          <w:rFonts w:ascii="Arial" w:hAnsi="Arial" w:cs="Arial"/>
          <w:sz w:val="22"/>
          <w:szCs w:val="22"/>
        </w:rPr>
        <w:t xml:space="preserve"> or sub-</w:t>
      </w:r>
      <w:r w:rsidR="007C5420">
        <w:rPr>
          <w:rFonts w:ascii="Arial" w:hAnsi="Arial" w:cs="Arial"/>
          <w:sz w:val="22"/>
          <w:szCs w:val="22"/>
        </w:rPr>
        <w:t>committee</w:t>
      </w:r>
      <w:r w:rsidRPr="00B47EAC">
        <w:rPr>
          <w:rFonts w:ascii="Arial" w:hAnsi="Arial" w:cs="Arial"/>
          <w:sz w:val="22"/>
          <w:szCs w:val="22"/>
        </w:rPr>
        <w:t xml:space="preserve"> includes representatives of employing authorities (including authorities which are not Scheme employers) or members, and, if so, whether those representatives have voting rights;</w:t>
      </w:r>
    </w:p>
    <w:p w14:paraId="49A7ABD6" w14:textId="77777777" w:rsidR="00DA752D" w:rsidRPr="00B47EAC" w:rsidRDefault="00DA752D" w:rsidP="00DA752D">
      <w:pPr>
        <w:pStyle w:val="LQN3"/>
        <w:rPr>
          <w:rFonts w:ascii="Arial" w:hAnsi="Arial" w:cs="Arial"/>
          <w:sz w:val="22"/>
          <w:szCs w:val="22"/>
        </w:rPr>
      </w:pPr>
      <w:r w:rsidRPr="00B47EAC">
        <w:rPr>
          <w:rFonts w:ascii="Arial" w:hAnsi="Arial" w:cs="Arial"/>
          <w:sz w:val="22"/>
          <w:szCs w:val="22"/>
        </w:rPr>
        <w:t>(c)</w:t>
      </w:r>
      <w:r w:rsidRPr="00B47EAC">
        <w:rPr>
          <w:rFonts w:ascii="Arial" w:hAnsi="Arial" w:cs="Arial"/>
          <w:sz w:val="22"/>
          <w:szCs w:val="22"/>
        </w:rPr>
        <w:tab/>
        <w:t>the extent to which a delegation, or the absence of a delegation, complies with guidance given by the Secretary of State and, to the extent that it does not so comply, the reasons for not complying.</w:t>
      </w:r>
    </w:p>
    <w:p w14:paraId="4077FD8B" w14:textId="77777777" w:rsidR="00DA752D" w:rsidRPr="00B47EAC" w:rsidRDefault="00DA752D" w:rsidP="00DA752D">
      <w:pPr>
        <w:pStyle w:val="LQN2"/>
        <w:rPr>
          <w:rFonts w:ascii="Arial" w:hAnsi="Arial" w:cs="Arial"/>
          <w:sz w:val="22"/>
          <w:szCs w:val="22"/>
        </w:rPr>
      </w:pPr>
      <w:r w:rsidRPr="00B47EAC">
        <w:rPr>
          <w:rFonts w:ascii="Arial" w:hAnsi="Arial" w:cs="Arial"/>
          <w:sz w:val="22"/>
          <w:szCs w:val="22"/>
        </w:rPr>
        <w:t>(2) An administering authority must publish the first such statement on or before 1st March 2008.</w:t>
      </w:r>
    </w:p>
    <w:p w14:paraId="56469E4D" w14:textId="77777777" w:rsidR="0064418C" w:rsidRPr="00B47EAC" w:rsidRDefault="0064418C" w:rsidP="00DA752D">
      <w:pPr>
        <w:pStyle w:val="LQN2"/>
        <w:rPr>
          <w:rFonts w:ascii="Arial" w:hAnsi="Arial" w:cs="Arial"/>
          <w:sz w:val="22"/>
          <w:szCs w:val="22"/>
        </w:rPr>
      </w:pPr>
    </w:p>
    <w:p w14:paraId="6E33E3E2" w14:textId="77777777" w:rsidR="00DA752D" w:rsidRPr="00B47EAC" w:rsidRDefault="00DA752D" w:rsidP="00DA752D">
      <w:pPr>
        <w:pStyle w:val="LQN2"/>
        <w:rPr>
          <w:rFonts w:ascii="Arial" w:hAnsi="Arial" w:cs="Arial"/>
          <w:sz w:val="22"/>
          <w:szCs w:val="22"/>
        </w:rPr>
      </w:pPr>
      <w:r w:rsidRPr="00B47EAC">
        <w:rPr>
          <w:rFonts w:ascii="Arial" w:hAnsi="Arial" w:cs="Arial"/>
          <w:sz w:val="22"/>
          <w:szCs w:val="22"/>
        </w:rPr>
        <w:t>(3) An administering authority must—</w:t>
      </w:r>
    </w:p>
    <w:p w14:paraId="57BA553A" w14:textId="77777777" w:rsidR="00DA752D" w:rsidRPr="00B47EAC" w:rsidRDefault="00DA752D" w:rsidP="00DA752D">
      <w:pPr>
        <w:pStyle w:val="LQN3"/>
        <w:rPr>
          <w:rFonts w:ascii="Arial" w:hAnsi="Arial" w:cs="Arial"/>
          <w:sz w:val="22"/>
          <w:szCs w:val="22"/>
        </w:rPr>
      </w:pPr>
      <w:r w:rsidRPr="00B47EAC">
        <w:rPr>
          <w:rFonts w:ascii="Arial" w:hAnsi="Arial" w:cs="Arial"/>
          <w:sz w:val="22"/>
          <w:szCs w:val="22"/>
        </w:rPr>
        <w:t>(a)</w:t>
      </w:r>
      <w:r w:rsidRPr="00B47EAC">
        <w:rPr>
          <w:rFonts w:ascii="Arial" w:hAnsi="Arial" w:cs="Arial"/>
          <w:sz w:val="22"/>
          <w:szCs w:val="22"/>
        </w:rPr>
        <w:tab/>
        <w:t>revise their statement following a material change in respect of any of the matters mentioned in paragraph (1); and</w:t>
      </w:r>
    </w:p>
    <w:p w14:paraId="2264834A" w14:textId="77777777" w:rsidR="00DA752D" w:rsidRPr="00B47EAC" w:rsidRDefault="00DA752D" w:rsidP="00DA752D">
      <w:pPr>
        <w:pStyle w:val="LQN3"/>
        <w:rPr>
          <w:rFonts w:ascii="Arial" w:hAnsi="Arial" w:cs="Arial"/>
          <w:sz w:val="22"/>
          <w:szCs w:val="22"/>
        </w:rPr>
      </w:pPr>
      <w:r w:rsidRPr="00B47EAC">
        <w:rPr>
          <w:rFonts w:ascii="Arial" w:hAnsi="Arial" w:cs="Arial"/>
          <w:sz w:val="22"/>
          <w:szCs w:val="22"/>
        </w:rPr>
        <w:t>(b)</w:t>
      </w:r>
      <w:r w:rsidRPr="00B47EAC">
        <w:rPr>
          <w:rFonts w:ascii="Arial" w:hAnsi="Arial" w:cs="Arial"/>
          <w:sz w:val="22"/>
          <w:szCs w:val="22"/>
        </w:rPr>
        <w:tab/>
        <w:t>publish the statement as revised.</w:t>
      </w:r>
    </w:p>
    <w:p w14:paraId="050D72F8" w14:textId="77777777" w:rsidR="00DA752D" w:rsidRPr="00B47EAC" w:rsidRDefault="00DA752D" w:rsidP="00DA752D">
      <w:pPr>
        <w:pStyle w:val="LQN2"/>
        <w:rPr>
          <w:rFonts w:ascii="Arial" w:hAnsi="Arial" w:cs="Arial"/>
          <w:sz w:val="22"/>
          <w:szCs w:val="22"/>
        </w:rPr>
      </w:pPr>
      <w:r w:rsidRPr="00B47EAC">
        <w:rPr>
          <w:rFonts w:ascii="Arial" w:hAnsi="Arial" w:cs="Arial"/>
          <w:sz w:val="22"/>
          <w:szCs w:val="22"/>
        </w:rPr>
        <w:t>(4) In preparing or revising their statement an administering authority must consult such persons as they consider appropriate.</w:t>
      </w:r>
    </w:p>
    <w:p w14:paraId="700059B3" w14:textId="77777777" w:rsidR="00DA752D" w:rsidRPr="00B47EAC" w:rsidRDefault="00DA752D" w:rsidP="00DA752D">
      <w:pPr>
        <w:pStyle w:val="LQN2"/>
        <w:rPr>
          <w:rFonts w:ascii="Arial" w:hAnsi="Arial" w:cs="Arial"/>
          <w:sz w:val="22"/>
          <w:szCs w:val="22"/>
        </w:rPr>
      </w:pPr>
      <w:r w:rsidRPr="00B47EAC">
        <w:rPr>
          <w:rFonts w:ascii="Arial" w:hAnsi="Arial" w:cs="Arial"/>
          <w:sz w:val="22"/>
          <w:szCs w:val="22"/>
        </w:rPr>
        <w:t>(5) When they publish their statement, or the statement as revised, an administering authority must send a copy of it to the Secretary of State.</w:t>
      </w:r>
      <w:r w:rsidRPr="00B47EAC">
        <w:rPr>
          <w:rFonts w:ascii="Arial" w:hAnsi="Arial" w:cs="Arial"/>
          <w:sz w:val="22"/>
          <w:szCs w:val="22"/>
        </w:rPr>
        <w:fldChar w:fldCharType="begin"/>
      </w:r>
      <w:r w:rsidRPr="00B47EAC">
        <w:rPr>
          <w:rFonts w:ascii="Arial" w:hAnsi="Arial" w:cs="Arial"/>
          <w:sz w:val="22"/>
          <w:szCs w:val="22"/>
        </w:rPr>
        <w:instrText xml:space="preserve"> SYMBOL 148 \* MERGEFORMAT </w:instrText>
      </w:r>
      <w:r w:rsidRPr="00B47EAC">
        <w:rPr>
          <w:rFonts w:ascii="Arial" w:hAnsi="Arial" w:cs="Arial"/>
          <w:sz w:val="22"/>
          <w:szCs w:val="22"/>
        </w:rPr>
        <w:fldChar w:fldCharType="end"/>
      </w:r>
      <w:r w:rsidRPr="00B47EAC">
        <w:rPr>
          <w:rFonts w:ascii="Arial" w:hAnsi="Arial" w:cs="Arial"/>
          <w:sz w:val="22"/>
          <w:szCs w:val="22"/>
        </w:rPr>
        <w:t>.</w:t>
      </w:r>
    </w:p>
    <w:p w14:paraId="587E1E6A" w14:textId="77777777" w:rsidR="00DA752D" w:rsidRPr="00B47EAC" w:rsidRDefault="00DA752D" w:rsidP="00DA752D">
      <w:pPr>
        <w:pStyle w:val="LQN2"/>
        <w:rPr>
          <w:rFonts w:ascii="Arial" w:hAnsi="Arial" w:cs="Arial"/>
          <w:sz w:val="22"/>
          <w:szCs w:val="22"/>
        </w:rPr>
      </w:pPr>
    </w:p>
    <w:p w14:paraId="7961A20B" w14:textId="77777777" w:rsidR="00DA752D" w:rsidRPr="00B47EAC" w:rsidRDefault="00DA752D" w:rsidP="00DA752D">
      <w:pPr>
        <w:pStyle w:val="LQN2"/>
        <w:ind w:left="0" w:firstLine="0"/>
        <w:rPr>
          <w:rFonts w:ascii="Arial" w:hAnsi="Arial" w:cs="Arial"/>
          <w:sz w:val="22"/>
          <w:szCs w:val="22"/>
        </w:rPr>
      </w:pPr>
      <w:r w:rsidRPr="00B47EAC">
        <w:rPr>
          <w:rFonts w:ascii="Arial" w:hAnsi="Arial" w:cs="Arial"/>
          <w:sz w:val="22"/>
          <w:szCs w:val="22"/>
        </w:rPr>
        <w:lastRenderedPageBreak/>
        <w:t>This regulation will cease to have effect from 1 April 2008 when the 1997 regulations are revoked. After that date, the relevant provision will be</w:t>
      </w:r>
      <w:r w:rsidR="003E2AA3" w:rsidRPr="00B47EAC">
        <w:rPr>
          <w:rFonts w:ascii="Arial" w:hAnsi="Arial" w:cs="Arial"/>
          <w:sz w:val="22"/>
          <w:szCs w:val="22"/>
        </w:rPr>
        <w:t xml:space="preserve"> under</w:t>
      </w:r>
      <w:r w:rsidRPr="00B47EAC">
        <w:rPr>
          <w:rFonts w:ascii="Arial" w:hAnsi="Arial" w:cs="Arial"/>
          <w:sz w:val="22"/>
          <w:szCs w:val="22"/>
        </w:rPr>
        <w:t xml:space="preserve"> </w:t>
      </w:r>
      <w:r w:rsidR="003E2AA3" w:rsidRPr="00B47EAC">
        <w:rPr>
          <w:rFonts w:ascii="Arial" w:hAnsi="Arial" w:cs="Arial"/>
          <w:sz w:val="22"/>
          <w:szCs w:val="22"/>
        </w:rPr>
        <w:t xml:space="preserve">the </w:t>
      </w:r>
      <w:r w:rsidRPr="00B47EAC">
        <w:rPr>
          <w:rFonts w:ascii="Arial" w:hAnsi="Arial" w:cs="Arial"/>
          <w:sz w:val="22"/>
          <w:szCs w:val="22"/>
        </w:rPr>
        <w:t>regulation</w:t>
      </w:r>
      <w:r w:rsidR="003E2AA3" w:rsidRPr="00B47EAC">
        <w:rPr>
          <w:rFonts w:ascii="Arial" w:hAnsi="Arial" w:cs="Arial"/>
          <w:sz w:val="22"/>
          <w:szCs w:val="22"/>
        </w:rPr>
        <w:t>s</w:t>
      </w:r>
      <w:r w:rsidRPr="00B47EAC">
        <w:rPr>
          <w:rFonts w:ascii="Arial" w:hAnsi="Arial" w:cs="Arial"/>
          <w:sz w:val="22"/>
          <w:szCs w:val="22"/>
        </w:rPr>
        <w:t xml:space="preserve"> of the Local Government Pension Scheme (Administration) Regulations 2007. </w:t>
      </w:r>
    </w:p>
    <w:p w14:paraId="31928286" w14:textId="77777777" w:rsidR="00DA752D" w:rsidRPr="00B47EAC" w:rsidRDefault="00DA752D" w:rsidP="00DA752D">
      <w:pPr>
        <w:jc w:val="both"/>
        <w:rPr>
          <w:rFonts w:ascii="Arial" w:hAnsi="Arial" w:cs="Arial"/>
          <w:sz w:val="22"/>
          <w:szCs w:val="22"/>
        </w:rPr>
      </w:pPr>
    </w:p>
    <w:p w14:paraId="5CA61257" w14:textId="77777777" w:rsidR="00DA752D" w:rsidRPr="00B47EAC" w:rsidRDefault="00DA752D" w:rsidP="00DA752D">
      <w:pPr>
        <w:jc w:val="both"/>
        <w:rPr>
          <w:rFonts w:ascii="Arial" w:hAnsi="Arial" w:cs="Arial"/>
          <w:sz w:val="22"/>
          <w:szCs w:val="22"/>
        </w:rPr>
      </w:pPr>
    </w:p>
    <w:p w14:paraId="6A1A6E44" w14:textId="77777777" w:rsidR="00DA752D" w:rsidRPr="00B47EAC" w:rsidRDefault="00DA752D" w:rsidP="00DA752D">
      <w:pPr>
        <w:jc w:val="both"/>
        <w:rPr>
          <w:rFonts w:ascii="Arial" w:hAnsi="Arial" w:cs="Arial"/>
          <w:b/>
          <w:sz w:val="22"/>
          <w:szCs w:val="22"/>
        </w:rPr>
      </w:pPr>
      <w:r w:rsidRPr="00B47EAC">
        <w:rPr>
          <w:rFonts w:ascii="Arial" w:hAnsi="Arial" w:cs="Arial"/>
          <w:b/>
          <w:sz w:val="22"/>
          <w:szCs w:val="22"/>
        </w:rPr>
        <w:t>PURPOSE</w:t>
      </w:r>
    </w:p>
    <w:p w14:paraId="13051EAB"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13. The purpose of this guidance is two fold. Firstly, Part II of the guidance provides a detailed description of each of the best practice principles against which compliance is to be measured (with each of the principles being set out in bold type) and secondly, it includes guidance on how the compliance statement in Part II should be completed.</w:t>
      </w:r>
    </w:p>
    <w:p w14:paraId="4676322E" w14:textId="77777777" w:rsidR="00DA752D" w:rsidRPr="00B47EAC" w:rsidRDefault="00DA752D" w:rsidP="00DA752D">
      <w:pPr>
        <w:jc w:val="both"/>
        <w:rPr>
          <w:rFonts w:ascii="Arial" w:hAnsi="Arial" w:cs="Arial"/>
          <w:sz w:val="22"/>
          <w:szCs w:val="22"/>
        </w:rPr>
      </w:pPr>
    </w:p>
    <w:p w14:paraId="3F6FE10F" w14:textId="77777777" w:rsidR="00DA752D" w:rsidRPr="00B47EAC" w:rsidRDefault="00DA752D" w:rsidP="00DA752D">
      <w:pPr>
        <w:jc w:val="both"/>
        <w:rPr>
          <w:rFonts w:ascii="Arial" w:hAnsi="Arial" w:cs="Arial"/>
          <w:b/>
          <w:sz w:val="22"/>
          <w:szCs w:val="22"/>
        </w:rPr>
      </w:pPr>
      <w:r w:rsidRPr="00B47EAC">
        <w:rPr>
          <w:rFonts w:ascii="Arial" w:hAnsi="Arial" w:cs="Arial"/>
          <w:b/>
          <w:sz w:val="22"/>
          <w:szCs w:val="22"/>
        </w:rPr>
        <w:t>TERMINOLOGY</w:t>
      </w:r>
    </w:p>
    <w:p w14:paraId="4219C7D4"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14. Throughout this paper, the distinction is made between those </w:t>
      </w:r>
      <w:r w:rsidR="007C5420">
        <w:rPr>
          <w:rFonts w:ascii="Arial" w:hAnsi="Arial" w:cs="Arial"/>
          <w:sz w:val="22"/>
          <w:szCs w:val="22"/>
        </w:rPr>
        <w:t>committees</w:t>
      </w:r>
      <w:r w:rsidRPr="00B47EAC">
        <w:rPr>
          <w:rFonts w:ascii="Arial" w:hAnsi="Arial" w:cs="Arial"/>
          <w:sz w:val="22"/>
          <w:szCs w:val="22"/>
        </w:rPr>
        <w:t xml:space="preserve"> or sub-</w:t>
      </w:r>
      <w:r w:rsidR="00DE4F96">
        <w:rPr>
          <w:rFonts w:ascii="Arial" w:hAnsi="Arial" w:cs="Arial"/>
          <w:sz w:val="22"/>
          <w:szCs w:val="22"/>
        </w:rPr>
        <w:t>committees</w:t>
      </w:r>
      <w:r w:rsidRPr="00B47EAC">
        <w:rPr>
          <w:rFonts w:ascii="Arial" w:hAnsi="Arial" w:cs="Arial"/>
          <w:sz w:val="22"/>
          <w:szCs w:val="22"/>
        </w:rPr>
        <w:t xml:space="preserve"> that have been formally constituted under 101 of the Local Government Act 1972 (“main </w:t>
      </w:r>
      <w:r w:rsidR="00DE4F96">
        <w:rPr>
          <w:rFonts w:ascii="Arial" w:hAnsi="Arial" w:cs="Arial"/>
          <w:sz w:val="22"/>
          <w:szCs w:val="22"/>
        </w:rPr>
        <w:t>committees</w:t>
      </w:r>
      <w:r w:rsidRPr="00B47EAC">
        <w:rPr>
          <w:rFonts w:ascii="Arial" w:hAnsi="Arial" w:cs="Arial"/>
          <w:sz w:val="22"/>
          <w:szCs w:val="22"/>
        </w:rPr>
        <w:t xml:space="preserve">”) and other </w:t>
      </w:r>
      <w:r w:rsidR="00DE4F96">
        <w:rPr>
          <w:rFonts w:ascii="Arial" w:hAnsi="Arial" w:cs="Arial"/>
          <w:sz w:val="22"/>
          <w:szCs w:val="22"/>
        </w:rPr>
        <w:t>committees</w:t>
      </w:r>
      <w:r w:rsidRPr="00B47EAC">
        <w:rPr>
          <w:rFonts w:ascii="Arial" w:hAnsi="Arial" w:cs="Arial"/>
          <w:sz w:val="22"/>
          <w:szCs w:val="22"/>
        </w:rPr>
        <w:t xml:space="preserve"> or panels that have been established outside of that provision (“secondary </w:t>
      </w:r>
      <w:r w:rsidR="00DE4F96">
        <w:rPr>
          <w:rFonts w:ascii="Arial" w:hAnsi="Arial" w:cs="Arial"/>
          <w:sz w:val="22"/>
          <w:szCs w:val="22"/>
        </w:rPr>
        <w:t>committees</w:t>
      </w:r>
      <w:r w:rsidRPr="00B47EAC">
        <w:rPr>
          <w:rFonts w:ascii="Arial" w:hAnsi="Arial" w:cs="Arial"/>
          <w:sz w:val="22"/>
          <w:szCs w:val="22"/>
        </w:rPr>
        <w:t xml:space="preserve">”). Unless reference is made to “elected members”, the word “member” where it appears in the text is used to denote any member of a main or secondary </w:t>
      </w:r>
      <w:r w:rsidR="00DE4F96">
        <w:rPr>
          <w:rFonts w:ascii="Arial" w:hAnsi="Arial" w:cs="Arial"/>
          <w:sz w:val="22"/>
          <w:szCs w:val="22"/>
        </w:rPr>
        <w:t>committee</w:t>
      </w:r>
      <w:r w:rsidRPr="00B47EAC">
        <w:rPr>
          <w:rFonts w:ascii="Arial" w:hAnsi="Arial" w:cs="Arial"/>
          <w:sz w:val="22"/>
          <w:szCs w:val="22"/>
        </w:rPr>
        <w:t>, whether elected or not.</w:t>
      </w:r>
    </w:p>
    <w:p w14:paraId="7213DF83" w14:textId="77777777" w:rsidR="00DA752D" w:rsidRPr="00B47EAC" w:rsidRDefault="00DA752D" w:rsidP="00DA752D">
      <w:pPr>
        <w:jc w:val="both"/>
        <w:rPr>
          <w:rFonts w:ascii="Arial" w:hAnsi="Arial" w:cs="Arial"/>
          <w:b/>
          <w:sz w:val="22"/>
          <w:szCs w:val="22"/>
        </w:rPr>
      </w:pPr>
    </w:p>
    <w:p w14:paraId="7F729A13" w14:textId="77777777" w:rsidR="00DA752D" w:rsidRPr="00B47EAC" w:rsidRDefault="00DA752D" w:rsidP="00DA752D">
      <w:pPr>
        <w:jc w:val="both"/>
        <w:rPr>
          <w:rFonts w:ascii="Arial" w:hAnsi="Arial" w:cs="Arial"/>
          <w:b/>
          <w:sz w:val="22"/>
          <w:szCs w:val="22"/>
        </w:rPr>
      </w:pPr>
      <w:r w:rsidRPr="00B47EAC">
        <w:rPr>
          <w:rFonts w:ascii="Arial" w:hAnsi="Arial" w:cs="Arial"/>
          <w:b/>
          <w:sz w:val="22"/>
          <w:szCs w:val="22"/>
        </w:rPr>
        <w:t>POSITION OF NON-LOCAL AUTHORITY ADMINISTERING AUTHORITIES</w:t>
      </w:r>
    </w:p>
    <w:p w14:paraId="6A8DC3E9" w14:textId="77777777" w:rsidR="00DA752D" w:rsidRPr="00B47EAC" w:rsidRDefault="00DA752D" w:rsidP="00DA752D">
      <w:pPr>
        <w:jc w:val="both"/>
        <w:rPr>
          <w:rFonts w:ascii="Arial" w:hAnsi="Arial" w:cs="Arial"/>
          <w:sz w:val="22"/>
          <w:szCs w:val="22"/>
        </w:rPr>
      </w:pPr>
    </w:p>
    <w:p w14:paraId="5BA1A8F8"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15. Regulation 73A of the Local Government Pension Scheme Regulations 1997 and this guidance made under powers granted by Regulation 73A(1)(c) of those regulations apply equally to all LGPS administering authorities in England and Wales. It is recognised, however, that a small number of administering authorities are not constituted as local authorities and are not therefore subject to the legal framework imposed on local authorities and their </w:t>
      </w:r>
      <w:r w:rsidR="00DE4F96">
        <w:rPr>
          <w:rFonts w:ascii="Arial" w:hAnsi="Arial" w:cs="Arial"/>
          <w:sz w:val="22"/>
          <w:szCs w:val="22"/>
        </w:rPr>
        <w:t>committees</w:t>
      </w:r>
      <w:r w:rsidRPr="00B47EAC">
        <w:rPr>
          <w:rFonts w:ascii="Arial" w:hAnsi="Arial" w:cs="Arial"/>
          <w:sz w:val="22"/>
          <w:szCs w:val="22"/>
        </w:rPr>
        <w:t xml:space="preserve"> by local government legislation. In these cases, the authorities concerned are still required to measure the extent to which they comply with the principles set out in Part II of this guidance and where they are unable to comply, for example, because of their special position, to explain this when giving reasons for being unable to comply.</w:t>
      </w:r>
    </w:p>
    <w:p w14:paraId="63DC1E70" w14:textId="77777777" w:rsidR="00DA752D" w:rsidRPr="00B47EAC" w:rsidRDefault="00DA752D" w:rsidP="00DA752D">
      <w:pPr>
        <w:jc w:val="both"/>
        <w:rPr>
          <w:rFonts w:ascii="Arial" w:hAnsi="Arial" w:cs="Arial"/>
          <w:sz w:val="22"/>
          <w:szCs w:val="22"/>
        </w:rPr>
      </w:pPr>
    </w:p>
    <w:p w14:paraId="0E88A18E" w14:textId="77777777" w:rsidR="00DA752D" w:rsidRPr="00B47EAC" w:rsidRDefault="00DA752D" w:rsidP="00DA752D">
      <w:pPr>
        <w:jc w:val="both"/>
        <w:rPr>
          <w:rFonts w:ascii="Arial" w:hAnsi="Arial" w:cs="Arial"/>
          <w:b/>
          <w:sz w:val="22"/>
          <w:szCs w:val="22"/>
        </w:rPr>
      </w:pPr>
      <w:r w:rsidRPr="00B47EAC">
        <w:rPr>
          <w:rFonts w:ascii="Arial" w:hAnsi="Arial" w:cs="Arial"/>
          <w:b/>
          <w:sz w:val="22"/>
          <w:szCs w:val="22"/>
        </w:rPr>
        <w:t>SUGGESTED READING</w:t>
      </w:r>
    </w:p>
    <w:p w14:paraId="2AAA8986"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16. Although not a formal part of this guidance, it is recommended that administering authorities and other stakeholders should be aware of the contents of the following documents:</w:t>
      </w:r>
    </w:p>
    <w:p w14:paraId="6B6A9159" w14:textId="77777777" w:rsidR="00DA752D" w:rsidRPr="00B47EAC" w:rsidRDefault="00DA752D" w:rsidP="00DA752D">
      <w:pPr>
        <w:jc w:val="both"/>
        <w:rPr>
          <w:rFonts w:ascii="Arial" w:hAnsi="Arial" w:cs="Arial"/>
          <w:sz w:val="22"/>
          <w:szCs w:val="22"/>
        </w:rPr>
      </w:pPr>
    </w:p>
    <w:p w14:paraId="725701F5"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a) Good Governance Standards for Public Services (Office for Public Management, Alan Langlands – January 2005)</w:t>
      </w:r>
    </w:p>
    <w:p w14:paraId="0EF3134F" w14:textId="77777777" w:rsidR="00DA752D" w:rsidRPr="00B47EAC" w:rsidRDefault="00DA752D" w:rsidP="00DA752D">
      <w:pPr>
        <w:jc w:val="both"/>
        <w:rPr>
          <w:rFonts w:ascii="Arial" w:hAnsi="Arial" w:cs="Arial"/>
          <w:sz w:val="22"/>
          <w:szCs w:val="22"/>
        </w:rPr>
      </w:pPr>
    </w:p>
    <w:p w14:paraId="1E38888E"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b) Code of Corporate Governance in Local Government (CIPFA/SOLACE – 2007)</w:t>
      </w:r>
    </w:p>
    <w:p w14:paraId="79DB74AB" w14:textId="77777777" w:rsidR="00DA752D" w:rsidRPr="00B47EAC" w:rsidRDefault="00DA752D" w:rsidP="00DA752D">
      <w:pPr>
        <w:jc w:val="both"/>
        <w:rPr>
          <w:rFonts w:ascii="Arial" w:hAnsi="Arial" w:cs="Arial"/>
          <w:sz w:val="22"/>
          <w:szCs w:val="22"/>
        </w:rPr>
      </w:pPr>
    </w:p>
    <w:p w14:paraId="7317B017"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c) Institutional Investment in the UK – A Review  (HM Treasury – March 2001)</w:t>
      </w:r>
    </w:p>
    <w:p w14:paraId="6ECB58D1" w14:textId="77777777" w:rsidR="00DA752D" w:rsidRPr="00B47EAC" w:rsidRDefault="00DA752D" w:rsidP="00DA752D">
      <w:pPr>
        <w:jc w:val="both"/>
        <w:rPr>
          <w:rFonts w:ascii="Arial" w:hAnsi="Arial" w:cs="Arial"/>
          <w:sz w:val="22"/>
          <w:szCs w:val="22"/>
        </w:rPr>
      </w:pPr>
    </w:p>
    <w:p w14:paraId="0A1B2A83"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d) Local Government Pension Scheme : Pension Fund Decision Making – Guidance Note (CIPFA Pensions Panel – 2006)</w:t>
      </w:r>
    </w:p>
    <w:p w14:paraId="4F3A9C4F" w14:textId="77777777" w:rsidR="00DA752D" w:rsidRPr="00B47EAC" w:rsidRDefault="00DA752D" w:rsidP="00DA752D">
      <w:pPr>
        <w:jc w:val="both"/>
        <w:rPr>
          <w:rFonts w:ascii="Arial" w:hAnsi="Arial" w:cs="Arial"/>
          <w:sz w:val="22"/>
          <w:szCs w:val="22"/>
        </w:rPr>
      </w:pPr>
    </w:p>
    <w:p w14:paraId="168B6FCC"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e) Guidance for Chief Finance Officers : Principles for Investment Decision Making in the Local Government Pension Scheme in the UK (CIPFA Pensions Panel – 2001)</w:t>
      </w:r>
    </w:p>
    <w:p w14:paraId="7E4CAA90" w14:textId="77777777" w:rsidR="00DA752D" w:rsidRPr="00B47EAC" w:rsidRDefault="00DA752D" w:rsidP="00DA752D">
      <w:pPr>
        <w:jc w:val="both"/>
        <w:rPr>
          <w:rFonts w:ascii="Arial" w:hAnsi="Arial" w:cs="Arial"/>
          <w:sz w:val="22"/>
          <w:szCs w:val="22"/>
        </w:rPr>
      </w:pPr>
    </w:p>
    <w:p w14:paraId="5E386520" w14:textId="77777777" w:rsidR="00DA752D" w:rsidRPr="00B47EAC" w:rsidRDefault="00DA752D" w:rsidP="00DA752D">
      <w:pPr>
        <w:jc w:val="both"/>
        <w:rPr>
          <w:rFonts w:ascii="Arial" w:hAnsi="Arial" w:cs="Arial"/>
          <w:b/>
          <w:sz w:val="22"/>
          <w:szCs w:val="22"/>
        </w:rPr>
      </w:pPr>
      <w:r w:rsidRPr="00B47EAC">
        <w:rPr>
          <w:rFonts w:ascii="Arial" w:hAnsi="Arial" w:cs="Arial"/>
          <w:b/>
          <w:sz w:val="22"/>
          <w:szCs w:val="22"/>
        </w:rPr>
        <w:t>PART II -  THE PRINCIPLES</w:t>
      </w:r>
    </w:p>
    <w:p w14:paraId="348C5E8F" w14:textId="77777777" w:rsidR="00DA752D" w:rsidRPr="00B47EAC" w:rsidRDefault="00DA752D" w:rsidP="00DA752D">
      <w:pPr>
        <w:jc w:val="both"/>
        <w:rPr>
          <w:rFonts w:ascii="Arial" w:hAnsi="Arial" w:cs="Arial"/>
          <w:b/>
          <w:sz w:val="22"/>
          <w:szCs w:val="22"/>
        </w:rPr>
      </w:pPr>
      <w:r w:rsidRPr="00B47EAC">
        <w:rPr>
          <w:rFonts w:ascii="Arial" w:hAnsi="Arial" w:cs="Arial"/>
          <w:b/>
          <w:sz w:val="22"/>
          <w:szCs w:val="22"/>
        </w:rPr>
        <w:t>Part II/A - Structure</w:t>
      </w:r>
    </w:p>
    <w:p w14:paraId="081456F0" w14:textId="77777777" w:rsidR="00DA752D" w:rsidRPr="00B47EAC" w:rsidRDefault="00DA752D" w:rsidP="00DA752D">
      <w:pPr>
        <w:jc w:val="both"/>
        <w:rPr>
          <w:rFonts w:ascii="Arial" w:hAnsi="Arial" w:cs="Arial"/>
          <w:sz w:val="22"/>
          <w:szCs w:val="22"/>
        </w:rPr>
      </w:pPr>
    </w:p>
    <w:p w14:paraId="0F57F781"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lastRenderedPageBreak/>
        <w:t xml:space="preserve">17. Elected members have legal responsibilities for the prudent and effective stewardship of LGPS pension funds and, in more general terms, have a clear fiduciary duty in the performance of their functions. Although there is no one single model in operation throughout the 89 fund authorities in England and Wales, most funds are managed by a formal </w:t>
      </w:r>
      <w:r w:rsidR="00A82870">
        <w:rPr>
          <w:rFonts w:ascii="Arial" w:hAnsi="Arial" w:cs="Arial"/>
          <w:sz w:val="22"/>
          <w:szCs w:val="22"/>
        </w:rPr>
        <w:t>panel</w:t>
      </w:r>
      <w:r w:rsidRPr="00B47EAC">
        <w:rPr>
          <w:rFonts w:ascii="Arial" w:hAnsi="Arial" w:cs="Arial"/>
          <w:sz w:val="22"/>
          <w:szCs w:val="22"/>
        </w:rPr>
        <w:t xml:space="preserve"> representing the political balance of that particular authority. Under section 101 of the Local Government Act 1972, a local authority can delegate their statutory functions to the Council, </w:t>
      </w:r>
      <w:r w:rsidR="00A82870">
        <w:rPr>
          <w:rFonts w:ascii="Arial" w:hAnsi="Arial" w:cs="Arial"/>
          <w:sz w:val="22"/>
          <w:szCs w:val="22"/>
        </w:rPr>
        <w:t>panel</w:t>
      </w:r>
      <w:r w:rsidRPr="00B47EAC">
        <w:rPr>
          <w:rFonts w:ascii="Arial" w:hAnsi="Arial" w:cs="Arial"/>
          <w:sz w:val="22"/>
          <w:szCs w:val="22"/>
        </w:rPr>
        <w:t>s, sub-</w:t>
      </w:r>
      <w:r w:rsidR="00A82870">
        <w:rPr>
          <w:rFonts w:ascii="Arial" w:hAnsi="Arial" w:cs="Arial"/>
          <w:sz w:val="22"/>
          <w:szCs w:val="22"/>
        </w:rPr>
        <w:t>panel</w:t>
      </w:r>
      <w:r w:rsidRPr="00B47EAC">
        <w:rPr>
          <w:rFonts w:ascii="Arial" w:hAnsi="Arial" w:cs="Arial"/>
          <w:sz w:val="22"/>
          <w:szCs w:val="22"/>
        </w:rPr>
        <w:t>s or officers, but there are a small number of fund authorities which are not local authorities and therefore have their own, distinct arrangements</w:t>
      </w:r>
      <w:r w:rsidR="00FB524C" w:rsidRPr="00B47EAC">
        <w:rPr>
          <w:rFonts w:ascii="Arial" w:hAnsi="Arial" w:cs="Arial"/>
          <w:sz w:val="22"/>
          <w:szCs w:val="22"/>
        </w:rPr>
        <w:t>.</w:t>
      </w:r>
    </w:p>
    <w:p w14:paraId="3CBEB9D3" w14:textId="77777777" w:rsidR="00DA752D" w:rsidRPr="00B47EAC" w:rsidRDefault="00DA752D" w:rsidP="00DA752D">
      <w:pPr>
        <w:jc w:val="both"/>
        <w:rPr>
          <w:rFonts w:ascii="Arial" w:hAnsi="Arial" w:cs="Arial"/>
          <w:sz w:val="22"/>
          <w:szCs w:val="22"/>
        </w:rPr>
      </w:pPr>
    </w:p>
    <w:p w14:paraId="7BEBA2B3"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18. The formal </w:t>
      </w:r>
      <w:r w:rsidR="00A82870">
        <w:rPr>
          <w:rFonts w:ascii="Arial" w:hAnsi="Arial" w:cs="Arial"/>
          <w:sz w:val="22"/>
          <w:szCs w:val="22"/>
        </w:rPr>
        <w:t>panel</w:t>
      </w:r>
      <w:r w:rsidRPr="00B47EAC">
        <w:rPr>
          <w:rFonts w:ascii="Arial" w:hAnsi="Arial" w:cs="Arial"/>
          <w:sz w:val="22"/>
          <w:szCs w:val="22"/>
        </w:rPr>
        <w:t xml:space="preserve"> structures operated by individual pension fund authorities reflect local circumstances and priorities and it is not the remit of this guidance to prescribe a “one size fits all” approach. The evidence collected by Communities and Local Government in 2006 indicated that the overwhelming majority of these </w:t>
      </w:r>
      <w:r w:rsidR="00A82870">
        <w:rPr>
          <w:rFonts w:ascii="Arial" w:hAnsi="Arial" w:cs="Arial"/>
          <w:sz w:val="22"/>
          <w:szCs w:val="22"/>
        </w:rPr>
        <w:t>panel</w:t>
      </w:r>
      <w:r w:rsidRPr="00B47EAC">
        <w:rPr>
          <w:rFonts w:ascii="Arial" w:hAnsi="Arial" w:cs="Arial"/>
          <w:sz w:val="22"/>
          <w:szCs w:val="22"/>
        </w:rPr>
        <w:t xml:space="preserve">s operate efficiently and effectively despite the variations in their constitution, composition and working practices. The intention is not therefore to level out these differences but instead to ensure that these different structures reflect the best practice principles described below : </w:t>
      </w:r>
    </w:p>
    <w:p w14:paraId="19CD9F12" w14:textId="77777777" w:rsidR="00DA752D" w:rsidRPr="00B47EAC" w:rsidRDefault="00DA752D" w:rsidP="00DA752D">
      <w:pPr>
        <w:jc w:val="both"/>
        <w:rPr>
          <w:rFonts w:ascii="Arial" w:hAnsi="Arial" w:cs="Arial"/>
          <w:sz w:val="22"/>
          <w:szCs w:val="22"/>
        </w:rPr>
      </w:pPr>
    </w:p>
    <w:p w14:paraId="005C3AB4"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a) The management of the administration of benefits and strategic management of fund assets clearly rests with the main </w:t>
      </w:r>
      <w:r w:rsidR="00A82870">
        <w:rPr>
          <w:rFonts w:ascii="Arial" w:hAnsi="Arial" w:cs="Arial"/>
          <w:sz w:val="22"/>
          <w:szCs w:val="22"/>
        </w:rPr>
        <w:t>panel</w:t>
      </w:r>
      <w:r w:rsidRPr="00B47EAC">
        <w:rPr>
          <w:rFonts w:ascii="Arial" w:hAnsi="Arial" w:cs="Arial"/>
          <w:sz w:val="22"/>
          <w:szCs w:val="22"/>
        </w:rPr>
        <w:t xml:space="preserve"> established by the appointing council.</w:t>
      </w:r>
    </w:p>
    <w:p w14:paraId="6D44B19A" w14:textId="77777777" w:rsidR="00DA752D" w:rsidRPr="00B47EAC" w:rsidRDefault="00DA752D" w:rsidP="00DA752D">
      <w:pPr>
        <w:jc w:val="both"/>
        <w:rPr>
          <w:rFonts w:ascii="Arial" w:hAnsi="Arial" w:cs="Arial"/>
          <w:sz w:val="22"/>
          <w:szCs w:val="22"/>
        </w:rPr>
      </w:pPr>
    </w:p>
    <w:p w14:paraId="7F5E5335"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b) That representatives of participating LGPS employers, admitted bodies and scheme members (including pensioner and deferred members) are members of either the main or secondary </w:t>
      </w:r>
      <w:r w:rsidR="00A82870">
        <w:rPr>
          <w:rFonts w:ascii="Arial" w:hAnsi="Arial" w:cs="Arial"/>
          <w:sz w:val="22"/>
          <w:szCs w:val="22"/>
        </w:rPr>
        <w:t>panel</w:t>
      </w:r>
      <w:r w:rsidRPr="00B47EAC">
        <w:rPr>
          <w:rFonts w:ascii="Arial" w:hAnsi="Arial" w:cs="Arial"/>
          <w:sz w:val="22"/>
          <w:szCs w:val="22"/>
        </w:rPr>
        <w:t xml:space="preserve"> established to underpin the work of the main </w:t>
      </w:r>
      <w:r w:rsidR="00A82870">
        <w:rPr>
          <w:rFonts w:ascii="Arial" w:hAnsi="Arial" w:cs="Arial"/>
          <w:sz w:val="22"/>
          <w:szCs w:val="22"/>
        </w:rPr>
        <w:t>panel</w:t>
      </w:r>
      <w:r w:rsidRPr="00B47EAC">
        <w:rPr>
          <w:rFonts w:ascii="Arial" w:hAnsi="Arial" w:cs="Arial"/>
          <w:sz w:val="22"/>
          <w:szCs w:val="22"/>
        </w:rPr>
        <w:t xml:space="preserve">.  </w:t>
      </w:r>
    </w:p>
    <w:p w14:paraId="60AB26FE" w14:textId="77777777" w:rsidR="00DA752D" w:rsidRPr="00B47EAC" w:rsidRDefault="00DA752D" w:rsidP="00DA752D">
      <w:pPr>
        <w:jc w:val="both"/>
        <w:rPr>
          <w:rFonts w:ascii="Arial" w:hAnsi="Arial" w:cs="Arial"/>
          <w:sz w:val="22"/>
          <w:szCs w:val="22"/>
        </w:rPr>
      </w:pPr>
    </w:p>
    <w:p w14:paraId="2103B92A"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c) That where a secondary </w:t>
      </w:r>
      <w:r w:rsidR="00A82870">
        <w:rPr>
          <w:rFonts w:ascii="Arial" w:hAnsi="Arial" w:cs="Arial"/>
          <w:sz w:val="22"/>
          <w:szCs w:val="22"/>
        </w:rPr>
        <w:t>panel</w:t>
      </w:r>
      <w:r w:rsidRPr="00B47EAC">
        <w:rPr>
          <w:rFonts w:ascii="Arial" w:hAnsi="Arial" w:cs="Arial"/>
          <w:sz w:val="22"/>
          <w:szCs w:val="22"/>
        </w:rPr>
        <w:t xml:space="preserve"> or panel has been established, the structure ensures effective communication across both levels.</w:t>
      </w:r>
    </w:p>
    <w:p w14:paraId="26E34066" w14:textId="77777777" w:rsidR="00DA752D" w:rsidRPr="00B47EAC" w:rsidRDefault="00DA752D" w:rsidP="00DA752D">
      <w:pPr>
        <w:jc w:val="both"/>
        <w:rPr>
          <w:rFonts w:ascii="Arial" w:hAnsi="Arial" w:cs="Arial"/>
          <w:sz w:val="22"/>
          <w:szCs w:val="22"/>
        </w:rPr>
      </w:pPr>
    </w:p>
    <w:p w14:paraId="772A4F1C"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d) That where a secondary </w:t>
      </w:r>
      <w:r w:rsidR="00A82870">
        <w:rPr>
          <w:rFonts w:ascii="Arial" w:hAnsi="Arial" w:cs="Arial"/>
          <w:sz w:val="22"/>
          <w:szCs w:val="22"/>
        </w:rPr>
        <w:t>panel</w:t>
      </w:r>
      <w:r w:rsidRPr="00B47EAC">
        <w:rPr>
          <w:rFonts w:ascii="Arial" w:hAnsi="Arial" w:cs="Arial"/>
          <w:sz w:val="22"/>
          <w:szCs w:val="22"/>
        </w:rPr>
        <w:t xml:space="preserve"> or panel has been established, at least one seat on the main </w:t>
      </w:r>
      <w:r w:rsidR="00A82870">
        <w:rPr>
          <w:rFonts w:ascii="Arial" w:hAnsi="Arial" w:cs="Arial"/>
          <w:sz w:val="22"/>
          <w:szCs w:val="22"/>
        </w:rPr>
        <w:t>panel</w:t>
      </w:r>
      <w:r w:rsidRPr="00B47EAC">
        <w:rPr>
          <w:rFonts w:ascii="Arial" w:hAnsi="Arial" w:cs="Arial"/>
          <w:sz w:val="22"/>
          <w:szCs w:val="22"/>
        </w:rPr>
        <w:t xml:space="preserve"> is allocated for a member from the secondary </w:t>
      </w:r>
      <w:r w:rsidR="00A82870">
        <w:rPr>
          <w:rFonts w:ascii="Arial" w:hAnsi="Arial" w:cs="Arial"/>
          <w:sz w:val="22"/>
          <w:szCs w:val="22"/>
        </w:rPr>
        <w:t>panel</w:t>
      </w:r>
      <w:r w:rsidRPr="00B47EAC">
        <w:rPr>
          <w:rFonts w:ascii="Arial" w:hAnsi="Arial" w:cs="Arial"/>
          <w:sz w:val="22"/>
          <w:szCs w:val="22"/>
        </w:rPr>
        <w:t xml:space="preserve"> or panel.</w:t>
      </w:r>
    </w:p>
    <w:p w14:paraId="2D29DF02" w14:textId="77777777" w:rsidR="00DA752D" w:rsidRPr="00B47EAC" w:rsidRDefault="00DA752D" w:rsidP="00DA752D">
      <w:pPr>
        <w:jc w:val="both"/>
        <w:rPr>
          <w:rFonts w:ascii="Arial" w:hAnsi="Arial" w:cs="Arial"/>
          <w:sz w:val="22"/>
          <w:szCs w:val="22"/>
        </w:rPr>
      </w:pPr>
    </w:p>
    <w:p w14:paraId="3A5D10B1" w14:textId="77777777" w:rsidR="00FB524C" w:rsidRPr="00B47EAC" w:rsidRDefault="00FB524C" w:rsidP="00DA752D">
      <w:pPr>
        <w:jc w:val="both"/>
        <w:rPr>
          <w:rFonts w:ascii="Arial" w:hAnsi="Arial" w:cs="Arial"/>
          <w:sz w:val="22"/>
          <w:szCs w:val="22"/>
        </w:rPr>
      </w:pPr>
    </w:p>
    <w:p w14:paraId="1F561C49" w14:textId="77777777" w:rsidR="00DA752D" w:rsidRPr="00B47EAC" w:rsidRDefault="00DA752D" w:rsidP="00DA752D">
      <w:pPr>
        <w:jc w:val="both"/>
        <w:rPr>
          <w:rFonts w:ascii="Arial" w:hAnsi="Arial" w:cs="Arial"/>
          <w:b/>
          <w:sz w:val="22"/>
          <w:szCs w:val="22"/>
        </w:rPr>
      </w:pPr>
      <w:r w:rsidRPr="00B47EAC">
        <w:rPr>
          <w:rFonts w:ascii="Arial" w:hAnsi="Arial" w:cs="Arial"/>
          <w:b/>
          <w:sz w:val="22"/>
          <w:szCs w:val="22"/>
        </w:rPr>
        <w:t>Part II/B - Representation</w:t>
      </w:r>
    </w:p>
    <w:p w14:paraId="4587E905"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19. Under section 102 of the Local Government Act 1972, it is for the appointing council to decide upon the number of members of a </w:t>
      </w:r>
      <w:r w:rsidR="00A82870">
        <w:rPr>
          <w:rFonts w:ascii="Arial" w:hAnsi="Arial" w:cs="Arial"/>
          <w:sz w:val="22"/>
          <w:szCs w:val="22"/>
        </w:rPr>
        <w:t>panel</w:t>
      </w:r>
      <w:r w:rsidRPr="00B47EAC">
        <w:rPr>
          <w:rFonts w:ascii="Arial" w:hAnsi="Arial" w:cs="Arial"/>
          <w:sz w:val="22"/>
          <w:szCs w:val="22"/>
        </w:rPr>
        <w:t xml:space="preserve"> and their terms of office. They may include </w:t>
      </w:r>
      <w:r w:rsidR="00A82870">
        <w:rPr>
          <w:rFonts w:ascii="Arial" w:hAnsi="Arial" w:cs="Arial"/>
          <w:sz w:val="22"/>
          <w:szCs w:val="22"/>
        </w:rPr>
        <w:t>panel</w:t>
      </w:r>
      <w:r w:rsidRPr="00B47EAC">
        <w:rPr>
          <w:rFonts w:ascii="Arial" w:hAnsi="Arial" w:cs="Arial"/>
          <w:sz w:val="22"/>
          <w:szCs w:val="22"/>
        </w:rPr>
        <w:t xml:space="preserve"> members who are not members of the appointing council and such members may be given voting rights (see Part II/C) by virtue of section 13 of the Local Government and Housing Act 1989. On this basis, it is open to pension </w:t>
      </w:r>
      <w:r w:rsidR="00A82870">
        <w:rPr>
          <w:rFonts w:ascii="Arial" w:hAnsi="Arial" w:cs="Arial"/>
          <w:sz w:val="22"/>
          <w:szCs w:val="22"/>
        </w:rPr>
        <w:t>panel</w:t>
      </w:r>
      <w:r w:rsidRPr="00B47EAC">
        <w:rPr>
          <w:rFonts w:ascii="Arial" w:hAnsi="Arial" w:cs="Arial"/>
          <w:sz w:val="22"/>
          <w:szCs w:val="22"/>
        </w:rPr>
        <w:t xml:space="preserve">s to include representatives from district councils, scheme member and other lay member representatives, with or without voting rights, provided that they are eligible to be </w:t>
      </w:r>
      <w:r w:rsidR="00A82870">
        <w:rPr>
          <w:rFonts w:ascii="Arial" w:hAnsi="Arial" w:cs="Arial"/>
          <w:sz w:val="22"/>
          <w:szCs w:val="22"/>
        </w:rPr>
        <w:t>panel</w:t>
      </w:r>
      <w:r w:rsidRPr="00B47EAC">
        <w:rPr>
          <w:rFonts w:ascii="Arial" w:hAnsi="Arial" w:cs="Arial"/>
          <w:sz w:val="22"/>
          <w:szCs w:val="22"/>
        </w:rPr>
        <w:t xml:space="preserve"> members (eligibility rules are set out in section 15 of the Local Government and Housing Act 1989).</w:t>
      </w:r>
    </w:p>
    <w:p w14:paraId="0A03501E" w14:textId="77777777" w:rsidR="00DA752D" w:rsidRPr="00B47EAC" w:rsidRDefault="00DA752D" w:rsidP="00DA752D">
      <w:pPr>
        <w:jc w:val="both"/>
        <w:rPr>
          <w:rFonts w:ascii="Arial" w:hAnsi="Arial" w:cs="Arial"/>
          <w:sz w:val="22"/>
          <w:szCs w:val="22"/>
        </w:rPr>
      </w:pPr>
    </w:p>
    <w:p w14:paraId="3C254692"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20. The number of stakeholders affected by the local management of the pension scheme and governance of pension funds is vast and it is accepted that it would be impractical to expect individual </w:t>
      </w:r>
      <w:r w:rsidR="00A82870">
        <w:rPr>
          <w:rFonts w:ascii="Arial" w:hAnsi="Arial" w:cs="Arial"/>
          <w:sz w:val="22"/>
          <w:szCs w:val="22"/>
        </w:rPr>
        <w:t>panel</w:t>
      </w:r>
      <w:r w:rsidRPr="00B47EAC">
        <w:rPr>
          <w:rFonts w:ascii="Arial" w:hAnsi="Arial" w:cs="Arial"/>
          <w:sz w:val="22"/>
          <w:szCs w:val="22"/>
        </w:rPr>
        <w:t xml:space="preserve"> structures to encompass every group or sector that has an interest in the decisions that fall to be made under the scheme’s regulations. The following principles are therefore intended to ensure that the composition of </w:t>
      </w:r>
      <w:r w:rsidR="00A82870">
        <w:rPr>
          <w:rFonts w:ascii="Arial" w:hAnsi="Arial" w:cs="Arial"/>
          <w:sz w:val="22"/>
          <w:szCs w:val="22"/>
        </w:rPr>
        <w:t>panel</w:t>
      </w:r>
      <w:r w:rsidRPr="00B47EAC">
        <w:rPr>
          <w:rFonts w:ascii="Arial" w:hAnsi="Arial" w:cs="Arial"/>
          <w:sz w:val="22"/>
          <w:szCs w:val="22"/>
        </w:rPr>
        <w:t xml:space="preserve">s, both formal and secondary, offers all key stakeholders the opportunity to be represented. For example, deferred and pensioner scheme members clearly have an interest in the performance of pension </w:t>
      </w:r>
      <w:r w:rsidR="00A82870">
        <w:rPr>
          <w:rFonts w:ascii="Arial" w:hAnsi="Arial" w:cs="Arial"/>
          <w:sz w:val="22"/>
          <w:szCs w:val="22"/>
        </w:rPr>
        <w:t>panel</w:t>
      </w:r>
      <w:r w:rsidRPr="00B47EAC">
        <w:rPr>
          <w:rFonts w:ascii="Arial" w:hAnsi="Arial" w:cs="Arial"/>
          <w:sz w:val="22"/>
          <w:szCs w:val="22"/>
        </w:rPr>
        <w:t xml:space="preserve">s but it would be impractical in many cases to expect them to have direct representation on a </w:t>
      </w:r>
      <w:r w:rsidR="00A82870">
        <w:rPr>
          <w:rFonts w:ascii="Arial" w:hAnsi="Arial" w:cs="Arial"/>
          <w:sz w:val="22"/>
          <w:szCs w:val="22"/>
        </w:rPr>
        <w:t>panel</w:t>
      </w:r>
      <w:r w:rsidRPr="00B47EAC">
        <w:rPr>
          <w:rFonts w:ascii="Arial" w:hAnsi="Arial" w:cs="Arial"/>
          <w:sz w:val="22"/>
          <w:szCs w:val="22"/>
        </w:rPr>
        <w:t xml:space="preserve">. Instead, there is no reason why a representative of active scheme members couldn’t also act on behalf of deferred and pensioner scheme members. Similarly, a single seat in the </w:t>
      </w:r>
      <w:r w:rsidR="00A82870">
        <w:rPr>
          <w:rFonts w:ascii="Arial" w:hAnsi="Arial" w:cs="Arial"/>
          <w:sz w:val="22"/>
          <w:szCs w:val="22"/>
        </w:rPr>
        <w:t>panel</w:t>
      </w:r>
      <w:r w:rsidRPr="00B47EAC">
        <w:rPr>
          <w:rFonts w:ascii="Arial" w:hAnsi="Arial" w:cs="Arial"/>
          <w:sz w:val="22"/>
          <w:szCs w:val="22"/>
        </w:rPr>
        <w:t xml:space="preserve"> structure </w:t>
      </w:r>
      <w:r w:rsidRPr="00B47EAC">
        <w:rPr>
          <w:rFonts w:ascii="Arial" w:hAnsi="Arial" w:cs="Arial"/>
          <w:sz w:val="22"/>
          <w:szCs w:val="22"/>
        </w:rPr>
        <w:lastRenderedPageBreak/>
        <w:t xml:space="preserve">could be offered to somebody to represent the education sector as a whole, rather than having individual representatives for FE Colleges, Universities, academies, etc.  </w:t>
      </w:r>
    </w:p>
    <w:p w14:paraId="7D11274D" w14:textId="77777777" w:rsidR="00DA752D" w:rsidRPr="00B47EAC" w:rsidRDefault="00DA752D" w:rsidP="00DA752D">
      <w:pPr>
        <w:jc w:val="both"/>
        <w:rPr>
          <w:rFonts w:ascii="Arial" w:hAnsi="Arial" w:cs="Arial"/>
          <w:sz w:val="22"/>
          <w:szCs w:val="22"/>
        </w:rPr>
      </w:pPr>
    </w:p>
    <w:p w14:paraId="161DB421"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21. An independent professional observer could also be invited to participate in the governance arrangement to enhance the experience, continuity, knowledge, impartiality and performance of </w:t>
      </w:r>
      <w:r w:rsidR="00A82870">
        <w:rPr>
          <w:rFonts w:ascii="Arial" w:hAnsi="Arial" w:cs="Arial"/>
          <w:sz w:val="22"/>
          <w:szCs w:val="22"/>
        </w:rPr>
        <w:t>panel</w:t>
      </w:r>
      <w:r w:rsidRPr="00B47EAC">
        <w:rPr>
          <w:rFonts w:ascii="Arial" w:hAnsi="Arial" w:cs="Arial"/>
          <w:sz w:val="22"/>
          <w:szCs w:val="22"/>
        </w:rPr>
        <w:t>s or panels. Such an appointment could improve the public perception that high standards of governance are a  reality and not just an aspiration. Moreover, the independent observer would be ideally placed to carry out independent assessments of compliance against the Myners’ principles, both in terms of the 2004 follow up report and the latest NAPF consultation on next steps, together with other benchmarks that the Fund authority’s performance is measured against. The management of risk is a cornerstone of good governance and a further role for the independent observer would be to offer a practical approach to address and control risk, their potential effects and what should be done to mitigate them and whether the costs of doing so are proportionate.</w:t>
      </w:r>
    </w:p>
    <w:p w14:paraId="0C9412E9" w14:textId="77777777" w:rsidR="00DA752D" w:rsidRPr="00B47EAC" w:rsidRDefault="00DA752D" w:rsidP="00DA752D">
      <w:pPr>
        <w:jc w:val="both"/>
        <w:rPr>
          <w:rFonts w:ascii="Arial" w:hAnsi="Arial" w:cs="Arial"/>
          <w:sz w:val="22"/>
          <w:szCs w:val="22"/>
        </w:rPr>
      </w:pPr>
    </w:p>
    <w:p w14:paraId="27A61B9C" w14:textId="77777777" w:rsidR="00DA752D" w:rsidRPr="00B47EAC" w:rsidRDefault="00DA752D" w:rsidP="00DA752D">
      <w:pPr>
        <w:jc w:val="both"/>
        <w:rPr>
          <w:rFonts w:ascii="Arial" w:hAnsi="Arial" w:cs="Arial"/>
          <w:sz w:val="22"/>
          <w:szCs w:val="22"/>
        </w:rPr>
      </w:pPr>
    </w:p>
    <w:p w14:paraId="2A7DF488"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a)  That all key stakeholders are afforded the opportunity to be represented. within the main or secondary </w:t>
      </w:r>
      <w:r w:rsidR="00A82870">
        <w:rPr>
          <w:rFonts w:ascii="Arial" w:hAnsi="Arial" w:cs="Arial"/>
          <w:sz w:val="22"/>
          <w:szCs w:val="22"/>
        </w:rPr>
        <w:t>panel</w:t>
      </w:r>
      <w:r w:rsidRPr="00B47EAC">
        <w:rPr>
          <w:rFonts w:ascii="Arial" w:hAnsi="Arial" w:cs="Arial"/>
          <w:sz w:val="22"/>
          <w:szCs w:val="22"/>
        </w:rPr>
        <w:t xml:space="preserve"> structure. These include :</w:t>
      </w:r>
    </w:p>
    <w:p w14:paraId="3D1ADC79" w14:textId="77777777" w:rsidR="00DA752D" w:rsidRPr="00B47EAC" w:rsidRDefault="00DA752D" w:rsidP="00DA752D">
      <w:pPr>
        <w:jc w:val="both"/>
        <w:rPr>
          <w:rFonts w:ascii="Arial" w:hAnsi="Arial" w:cs="Arial"/>
          <w:sz w:val="22"/>
          <w:szCs w:val="22"/>
        </w:rPr>
      </w:pPr>
    </w:p>
    <w:p w14:paraId="4A88EA58" w14:textId="77777777" w:rsidR="00DA752D" w:rsidRPr="00B47EAC" w:rsidRDefault="00DA752D" w:rsidP="00DA752D">
      <w:pPr>
        <w:ind w:left="720"/>
        <w:jc w:val="both"/>
        <w:rPr>
          <w:rFonts w:ascii="Arial" w:hAnsi="Arial" w:cs="Arial"/>
          <w:sz w:val="22"/>
          <w:szCs w:val="22"/>
        </w:rPr>
      </w:pPr>
      <w:r w:rsidRPr="00B47EAC">
        <w:rPr>
          <w:rFonts w:ascii="Arial" w:hAnsi="Arial" w:cs="Arial"/>
          <w:sz w:val="22"/>
          <w:szCs w:val="22"/>
        </w:rPr>
        <w:t>i)  employing authorities (including non-scheme employers, eg, admitted bodies)</w:t>
      </w:r>
    </w:p>
    <w:p w14:paraId="01930A63" w14:textId="77777777" w:rsidR="00DA752D" w:rsidRPr="00B47EAC" w:rsidRDefault="00DA752D" w:rsidP="00DA752D">
      <w:pPr>
        <w:ind w:left="720"/>
        <w:jc w:val="both"/>
        <w:rPr>
          <w:rFonts w:ascii="Arial" w:hAnsi="Arial" w:cs="Arial"/>
          <w:sz w:val="22"/>
          <w:szCs w:val="22"/>
        </w:rPr>
      </w:pPr>
      <w:r w:rsidRPr="00B47EAC">
        <w:rPr>
          <w:rFonts w:ascii="Arial" w:hAnsi="Arial" w:cs="Arial"/>
          <w:sz w:val="22"/>
          <w:szCs w:val="22"/>
        </w:rPr>
        <w:t xml:space="preserve">ii)  scheme members (including deferred and pensioner scheme members), </w:t>
      </w:r>
    </w:p>
    <w:p w14:paraId="01023855" w14:textId="77777777" w:rsidR="00DA752D" w:rsidRPr="00B47EAC" w:rsidRDefault="00DA752D" w:rsidP="00DA752D">
      <w:pPr>
        <w:ind w:left="720"/>
        <w:jc w:val="both"/>
        <w:rPr>
          <w:rFonts w:ascii="Arial" w:hAnsi="Arial" w:cs="Arial"/>
          <w:sz w:val="22"/>
          <w:szCs w:val="22"/>
        </w:rPr>
      </w:pPr>
      <w:r w:rsidRPr="00B47EAC">
        <w:rPr>
          <w:rFonts w:ascii="Arial" w:hAnsi="Arial" w:cs="Arial"/>
          <w:sz w:val="22"/>
          <w:szCs w:val="22"/>
        </w:rPr>
        <w:t>iii) independent professional observers, and</w:t>
      </w:r>
    </w:p>
    <w:p w14:paraId="4D37C97B"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ab/>
        <w:t>iv) expert advisors (on an ad-hoc basis).</w:t>
      </w:r>
    </w:p>
    <w:p w14:paraId="70394649" w14:textId="77777777" w:rsidR="00DA752D" w:rsidRPr="00B47EAC" w:rsidRDefault="00DA752D" w:rsidP="00DA752D">
      <w:pPr>
        <w:jc w:val="both"/>
        <w:rPr>
          <w:rFonts w:ascii="Arial" w:hAnsi="Arial" w:cs="Arial"/>
          <w:sz w:val="22"/>
          <w:szCs w:val="22"/>
        </w:rPr>
      </w:pPr>
    </w:p>
    <w:p w14:paraId="604A64DD"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b) That where lay members sit on a main or secondary </w:t>
      </w:r>
      <w:r w:rsidR="00A82870">
        <w:rPr>
          <w:rFonts w:ascii="Arial" w:hAnsi="Arial" w:cs="Arial"/>
          <w:sz w:val="22"/>
          <w:szCs w:val="22"/>
        </w:rPr>
        <w:t>panel</w:t>
      </w:r>
      <w:r w:rsidRPr="00B47EAC">
        <w:rPr>
          <w:rFonts w:ascii="Arial" w:hAnsi="Arial" w:cs="Arial"/>
          <w:sz w:val="22"/>
          <w:szCs w:val="22"/>
        </w:rPr>
        <w:t>, they are treated equally in terms of access to papers and meetings, training and are given full opportunity to contribute to the decision making process, with or without voting rights.</w:t>
      </w:r>
    </w:p>
    <w:p w14:paraId="210C665A" w14:textId="77777777" w:rsidR="00DA752D" w:rsidRPr="00B47EAC" w:rsidRDefault="00DA752D" w:rsidP="00DA752D">
      <w:pPr>
        <w:jc w:val="both"/>
        <w:rPr>
          <w:rFonts w:ascii="Arial" w:hAnsi="Arial" w:cs="Arial"/>
          <w:sz w:val="22"/>
          <w:szCs w:val="22"/>
        </w:rPr>
      </w:pPr>
    </w:p>
    <w:p w14:paraId="73BF4C08" w14:textId="77777777" w:rsidR="00DA752D" w:rsidRPr="00B47EAC" w:rsidRDefault="00DA752D" w:rsidP="00DA752D">
      <w:pPr>
        <w:rPr>
          <w:rFonts w:ascii="Arial" w:hAnsi="Arial" w:cs="Arial"/>
          <w:b/>
          <w:sz w:val="22"/>
          <w:szCs w:val="22"/>
        </w:rPr>
      </w:pPr>
      <w:r w:rsidRPr="00B47EAC">
        <w:rPr>
          <w:rFonts w:ascii="Arial" w:hAnsi="Arial" w:cs="Arial"/>
          <w:b/>
          <w:sz w:val="22"/>
          <w:szCs w:val="22"/>
        </w:rPr>
        <w:t>Part II/C - Selection and role of lay members</w:t>
      </w:r>
    </w:p>
    <w:p w14:paraId="0CD4B7BC"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22. It is important to emphasise that it is no part of the Fund authority’s remit to administer the selection process for lay members sitting on main or secondary </w:t>
      </w:r>
      <w:r w:rsidR="00A82870">
        <w:rPr>
          <w:rFonts w:ascii="Arial" w:hAnsi="Arial" w:cs="Arial"/>
          <w:sz w:val="22"/>
          <w:szCs w:val="22"/>
        </w:rPr>
        <w:t>panel</w:t>
      </w:r>
      <w:r w:rsidRPr="00B47EAC">
        <w:rPr>
          <w:rFonts w:ascii="Arial" w:hAnsi="Arial" w:cs="Arial"/>
          <w:sz w:val="22"/>
          <w:szCs w:val="22"/>
        </w:rPr>
        <w:t xml:space="preserve">s or to ensure their attendance at meetings, unless they wish to do so. Their role is to determine what sectors or groups are to be invited to sit on LGPS </w:t>
      </w:r>
      <w:r w:rsidR="00A82870">
        <w:rPr>
          <w:rFonts w:ascii="Arial" w:hAnsi="Arial" w:cs="Arial"/>
          <w:sz w:val="22"/>
          <w:szCs w:val="22"/>
        </w:rPr>
        <w:t>panel</w:t>
      </w:r>
      <w:r w:rsidRPr="00B47EAC">
        <w:rPr>
          <w:rFonts w:ascii="Arial" w:hAnsi="Arial" w:cs="Arial"/>
          <w:sz w:val="22"/>
          <w:szCs w:val="22"/>
        </w:rPr>
        <w:t xml:space="preserve">s or panels and to make places available. Effective representation is a two way process involving the Fund authorities providing the opportunity and the representative bodies initiating and taking forward the selection process under the general oversight of the Fund authority.  </w:t>
      </w:r>
    </w:p>
    <w:p w14:paraId="57995F44" w14:textId="77777777" w:rsidR="00DA752D" w:rsidRPr="00B47EAC" w:rsidRDefault="00DA752D" w:rsidP="00DA752D">
      <w:pPr>
        <w:jc w:val="both"/>
        <w:rPr>
          <w:rFonts w:ascii="Arial" w:hAnsi="Arial" w:cs="Arial"/>
          <w:sz w:val="22"/>
          <w:szCs w:val="22"/>
        </w:rPr>
      </w:pPr>
    </w:p>
    <w:p w14:paraId="31E8A7D8"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23. Members of a main decision-making LGPS </w:t>
      </w:r>
      <w:r w:rsidR="00A82870">
        <w:rPr>
          <w:rFonts w:ascii="Arial" w:hAnsi="Arial" w:cs="Arial"/>
          <w:sz w:val="22"/>
          <w:szCs w:val="22"/>
        </w:rPr>
        <w:t>panel</w:t>
      </w:r>
      <w:r w:rsidRPr="00B47EAC">
        <w:rPr>
          <w:rFonts w:ascii="Arial" w:hAnsi="Arial" w:cs="Arial"/>
          <w:sz w:val="22"/>
          <w:szCs w:val="22"/>
        </w:rPr>
        <w:t xml:space="preserve"> are in the same position as  trustees in the private sector. Trustees owe a duty of care to their beneficiaries and are required to act in their best interests at all times, particularly in terms of their investment decisions. They are not there to represent their own local, political or private interest. On a main </w:t>
      </w:r>
      <w:r w:rsidR="00A82870">
        <w:rPr>
          <w:rFonts w:ascii="Arial" w:hAnsi="Arial" w:cs="Arial"/>
          <w:sz w:val="22"/>
          <w:szCs w:val="22"/>
        </w:rPr>
        <w:t>panel</w:t>
      </w:r>
      <w:r w:rsidRPr="00B47EAC">
        <w:rPr>
          <w:rFonts w:ascii="Arial" w:hAnsi="Arial" w:cs="Arial"/>
          <w:sz w:val="22"/>
          <w:szCs w:val="22"/>
        </w:rPr>
        <w:t xml:space="preserve">, the interests of the scheme and its beneficiaries must always be put before the interests of individual groups or sectors represented on the </w:t>
      </w:r>
      <w:r w:rsidR="00A82870">
        <w:rPr>
          <w:rFonts w:ascii="Arial" w:hAnsi="Arial" w:cs="Arial"/>
          <w:sz w:val="22"/>
          <w:szCs w:val="22"/>
        </w:rPr>
        <w:t>panel</w:t>
      </w:r>
      <w:r w:rsidRPr="00B47EAC">
        <w:rPr>
          <w:rFonts w:ascii="Arial" w:hAnsi="Arial" w:cs="Arial"/>
          <w:sz w:val="22"/>
          <w:szCs w:val="22"/>
        </w:rPr>
        <w:t xml:space="preserve"> whereas on secondary </w:t>
      </w:r>
      <w:r w:rsidR="00A82870">
        <w:rPr>
          <w:rFonts w:ascii="Arial" w:hAnsi="Arial" w:cs="Arial"/>
          <w:sz w:val="22"/>
          <w:szCs w:val="22"/>
        </w:rPr>
        <w:t>panel</w:t>
      </w:r>
      <w:r w:rsidRPr="00B47EAC">
        <w:rPr>
          <w:rFonts w:ascii="Arial" w:hAnsi="Arial" w:cs="Arial"/>
          <w:sz w:val="22"/>
          <w:szCs w:val="22"/>
        </w:rPr>
        <w:t xml:space="preserve">s or panels that are not subject to the requirements of the Local Government Act 1972, private interests can be reflected in proceedings.  </w:t>
      </w:r>
    </w:p>
    <w:p w14:paraId="457BD1C6" w14:textId="77777777" w:rsidR="00DA752D" w:rsidRPr="00B47EAC" w:rsidRDefault="00DA752D" w:rsidP="00DA752D">
      <w:pPr>
        <w:jc w:val="both"/>
        <w:rPr>
          <w:rFonts w:ascii="Arial" w:hAnsi="Arial" w:cs="Arial"/>
          <w:sz w:val="22"/>
          <w:szCs w:val="22"/>
        </w:rPr>
      </w:pPr>
    </w:p>
    <w:p w14:paraId="3A2B7DA2"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a) That </w:t>
      </w:r>
      <w:r w:rsidR="00A82870">
        <w:rPr>
          <w:rFonts w:ascii="Arial" w:hAnsi="Arial" w:cs="Arial"/>
          <w:sz w:val="22"/>
          <w:szCs w:val="22"/>
        </w:rPr>
        <w:t>panel</w:t>
      </w:r>
      <w:r w:rsidRPr="00B47EAC">
        <w:rPr>
          <w:rFonts w:ascii="Arial" w:hAnsi="Arial" w:cs="Arial"/>
          <w:sz w:val="22"/>
          <w:szCs w:val="22"/>
        </w:rPr>
        <w:t xml:space="preserve"> or panel members are made fully aware of the status, role and function they are required to perform on either a main or secondary </w:t>
      </w:r>
      <w:r w:rsidR="00A82870">
        <w:rPr>
          <w:rFonts w:ascii="Arial" w:hAnsi="Arial" w:cs="Arial"/>
          <w:sz w:val="22"/>
          <w:szCs w:val="22"/>
        </w:rPr>
        <w:t>panel</w:t>
      </w:r>
      <w:r w:rsidRPr="00B47EAC">
        <w:rPr>
          <w:rFonts w:ascii="Arial" w:hAnsi="Arial" w:cs="Arial"/>
          <w:sz w:val="22"/>
          <w:szCs w:val="22"/>
        </w:rPr>
        <w:t xml:space="preserve">. </w:t>
      </w:r>
    </w:p>
    <w:p w14:paraId="317F8E7D" w14:textId="77777777" w:rsidR="00DA752D" w:rsidRPr="00B47EAC" w:rsidRDefault="00DA752D" w:rsidP="00DA752D">
      <w:pPr>
        <w:rPr>
          <w:rFonts w:ascii="Arial" w:hAnsi="Arial" w:cs="Arial"/>
          <w:sz w:val="22"/>
          <w:szCs w:val="22"/>
        </w:rPr>
      </w:pPr>
    </w:p>
    <w:p w14:paraId="058A14B3" w14:textId="77777777" w:rsidR="00DA752D" w:rsidRPr="00B47EAC" w:rsidRDefault="00DA752D" w:rsidP="00DA752D">
      <w:pPr>
        <w:rPr>
          <w:rFonts w:ascii="Arial" w:hAnsi="Arial" w:cs="Arial"/>
          <w:sz w:val="22"/>
          <w:szCs w:val="22"/>
        </w:rPr>
      </w:pPr>
    </w:p>
    <w:p w14:paraId="1D48CEDA" w14:textId="77777777" w:rsidR="00DA752D" w:rsidRPr="00B47EAC" w:rsidRDefault="00DA752D" w:rsidP="00DA752D">
      <w:pPr>
        <w:jc w:val="both"/>
        <w:rPr>
          <w:rFonts w:ascii="Arial" w:hAnsi="Arial" w:cs="Arial"/>
          <w:b/>
          <w:sz w:val="22"/>
          <w:szCs w:val="22"/>
        </w:rPr>
      </w:pPr>
      <w:r w:rsidRPr="00B47EAC">
        <w:rPr>
          <w:rFonts w:ascii="Arial" w:hAnsi="Arial" w:cs="Arial"/>
          <w:b/>
          <w:sz w:val="22"/>
          <w:szCs w:val="22"/>
        </w:rPr>
        <w:t>Part II/D – Voting</w:t>
      </w:r>
    </w:p>
    <w:p w14:paraId="0D34410A"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lastRenderedPageBreak/>
        <w:t xml:space="preserve">24. Although the 2006 survey conducted by Communities and Local Government revealed that formal votes taken by LGPS </w:t>
      </w:r>
      <w:r w:rsidR="00A82870">
        <w:rPr>
          <w:rFonts w:ascii="Arial" w:hAnsi="Arial" w:cs="Arial"/>
          <w:sz w:val="22"/>
          <w:szCs w:val="22"/>
        </w:rPr>
        <w:t>panel</w:t>
      </w:r>
      <w:r w:rsidRPr="00B47EAC">
        <w:rPr>
          <w:rFonts w:ascii="Arial" w:hAnsi="Arial" w:cs="Arial"/>
          <w:sz w:val="22"/>
          <w:szCs w:val="22"/>
        </w:rPr>
        <w:t>s were rare, it is important to set out the legal basis on which voting rights are, or may be prescribed to elected and lay members.</w:t>
      </w:r>
    </w:p>
    <w:p w14:paraId="28AFC6D2" w14:textId="77777777" w:rsidR="00DA752D" w:rsidRPr="00B47EAC" w:rsidRDefault="00DA752D" w:rsidP="00DA752D">
      <w:pPr>
        <w:jc w:val="both"/>
        <w:rPr>
          <w:rFonts w:ascii="Arial" w:hAnsi="Arial" w:cs="Arial"/>
          <w:sz w:val="22"/>
          <w:szCs w:val="22"/>
        </w:rPr>
      </w:pPr>
    </w:p>
    <w:p w14:paraId="7A6B23E0"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ab/>
        <w:t>Elected members of the administering authority</w:t>
      </w:r>
    </w:p>
    <w:p w14:paraId="7B4C546A" w14:textId="77777777" w:rsidR="00DA752D" w:rsidRPr="00B47EAC" w:rsidRDefault="00DA752D" w:rsidP="00DA752D">
      <w:pPr>
        <w:jc w:val="both"/>
        <w:rPr>
          <w:rFonts w:ascii="Arial" w:hAnsi="Arial" w:cs="Arial"/>
          <w:sz w:val="22"/>
          <w:szCs w:val="22"/>
        </w:rPr>
      </w:pPr>
    </w:p>
    <w:p w14:paraId="3A4F5314" w14:textId="77777777" w:rsidR="00DA752D" w:rsidRPr="00B47EAC" w:rsidRDefault="00DA752D" w:rsidP="00DA752D">
      <w:pPr>
        <w:ind w:left="720"/>
        <w:jc w:val="both"/>
        <w:rPr>
          <w:rFonts w:ascii="Arial" w:hAnsi="Arial" w:cs="Arial"/>
          <w:sz w:val="22"/>
          <w:szCs w:val="22"/>
        </w:rPr>
      </w:pPr>
      <w:r w:rsidRPr="00B47EAC">
        <w:rPr>
          <w:rFonts w:ascii="Arial" w:hAnsi="Arial" w:cs="Arial"/>
          <w:sz w:val="22"/>
          <w:szCs w:val="22"/>
        </w:rPr>
        <w:t xml:space="preserve">a) All elected members sitting on LGPS </w:t>
      </w:r>
      <w:r w:rsidR="00A82870">
        <w:rPr>
          <w:rFonts w:ascii="Arial" w:hAnsi="Arial" w:cs="Arial"/>
          <w:sz w:val="22"/>
          <w:szCs w:val="22"/>
        </w:rPr>
        <w:t>panel</w:t>
      </w:r>
      <w:r w:rsidRPr="00B47EAC">
        <w:rPr>
          <w:rFonts w:ascii="Arial" w:hAnsi="Arial" w:cs="Arial"/>
          <w:sz w:val="22"/>
          <w:szCs w:val="22"/>
        </w:rPr>
        <w:t>s have voting rights as a matter of course. Regulation 5(1)(d) of the Local Government (</w:t>
      </w:r>
      <w:r w:rsidR="00A82870">
        <w:rPr>
          <w:rFonts w:ascii="Arial" w:hAnsi="Arial" w:cs="Arial"/>
          <w:sz w:val="22"/>
          <w:szCs w:val="22"/>
        </w:rPr>
        <w:t>Panel</w:t>
      </w:r>
      <w:r w:rsidRPr="00B47EAC">
        <w:rPr>
          <w:rFonts w:ascii="Arial" w:hAnsi="Arial" w:cs="Arial"/>
          <w:sz w:val="22"/>
          <w:szCs w:val="22"/>
        </w:rPr>
        <w:t xml:space="preserve"> and Political Groups) Regulations 1990 (SI No 1553/1990) provides that voting rights will be given to a person appointed to a sub </w:t>
      </w:r>
      <w:r w:rsidR="00A82870">
        <w:rPr>
          <w:rFonts w:ascii="Arial" w:hAnsi="Arial" w:cs="Arial"/>
          <w:sz w:val="22"/>
          <w:szCs w:val="22"/>
        </w:rPr>
        <w:t>panel</w:t>
      </w:r>
      <w:r w:rsidRPr="00B47EAC">
        <w:rPr>
          <w:rFonts w:ascii="Arial" w:hAnsi="Arial" w:cs="Arial"/>
          <w:sz w:val="22"/>
          <w:szCs w:val="22"/>
        </w:rPr>
        <w:t xml:space="preserve"> of a </w:t>
      </w:r>
      <w:r w:rsidR="00A82870">
        <w:rPr>
          <w:rFonts w:ascii="Arial" w:hAnsi="Arial" w:cs="Arial"/>
          <w:sz w:val="22"/>
          <w:szCs w:val="22"/>
        </w:rPr>
        <w:t>panel</w:t>
      </w:r>
      <w:r w:rsidRPr="00B47EAC">
        <w:rPr>
          <w:rFonts w:ascii="Arial" w:hAnsi="Arial" w:cs="Arial"/>
          <w:sz w:val="22"/>
          <w:szCs w:val="22"/>
        </w:rPr>
        <w:t xml:space="preserve"> established under the Superannuation Act 1972 who is a member of the authority which appointed the </w:t>
      </w:r>
      <w:r w:rsidR="00A82870">
        <w:rPr>
          <w:rFonts w:ascii="Arial" w:hAnsi="Arial" w:cs="Arial"/>
          <w:sz w:val="22"/>
          <w:szCs w:val="22"/>
        </w:rPr>
        <w:t>panel</w:t>
      </w:r>
      <w:r w:rsidRPr="00B47EAC">
        <w:rPr>
          <w:rFonts w:ascii="Arial" w:hAnsi="Arial" w:cs="Arial"/>
          <w:sz w:val="22"/>
          <w:szCs w:val="22"/>
        </w:rPr>
        <w:t>.</w:t>
      </w:r>
    </w:p>
    <w:p w14:paraId="103307C0" w14:textId="77777777" w:rsidR="00DA752D" w:rsidRPr="00B47EAC" w:rsidRDefault="00DA752D" w:rsidP="00DA752D">
      <w:pPr>
        <w:jc w:val="both"/>
        <w:rPr>
          <w:rFonts w:ascii="Arial" w:hAnsi="Arial" w:cs="Arial"/>
          <w:sz w:val="22"/>
          <w:szCs w:val="22"/>
        </w:rPr>
      </w:pPr>
    </w:p>
    <w:p w14:paraId="10BD104B" w14:textId="77777777" w:rsidR="00DA752D" w:rsidRPr="00B47EAC" w:rsidRDefault="00DA752D" w:rsidP="00DA752D">
      <w:pPr>
        <w:ind w:left="720"/>
        <w:jc w:val="both"/>
        <w:rPr>
          <w:rFonts w:ascii="Arial" w:hAnsi="Arial" w:cs="Arial"/>
          <w:sz w:val="22"/>
          <w:szCs w:val="22"/>
        </w:rPr>
      </w:pPr>
      <w:r w:rsidRPr="00B47EAC">
        <w:rPr>
          <w:rFonts w:ascii="Arial" w:hAnsi="Arial" w:cs="Arial"/>
          <w:sz w:val="22"/>
          <w:szCs w:val="22"/>
        </w:rPr>
        <w:t>Elected members of authorities other than the administering authority and lay members.</w:t>
      </w:r>
    </w:p>
    <w:p w14:paraId="4026C1EC" w14:textId="77777777" w:rsidR="00DA752D" w:rsidRPr="00B47EAC" w:rsidRDefault="00DA752D" w:rsidP="00DA752D">
      <w:pPr>
        <w:ind w:left="720"/>
        <w:jc w:val="both"/>
        <w:rPr>
          <w:rFonts w:ascii="Arial" w:hAnsi="Arial" w:cs="Arial"/>
          <w:sz w:val="22"/>
          <w:szCs w:val="22"/>
        </w:rPr>
      </w:pPr>
    </w:p>
    <w:p w14:paraId="29EA48D0" w14:textId="77777777" w:rsidR="00DA752D" w:rsidRPr="00B47EAC" w:rsidRDefault="00DA752D" w:rsidP="00DA752D">
      <w:pPr>
        <w:ind w:left="720"/>
        <w:jc w:val="both"/>
        <w:rPr>
          <w:rFonts w:ascii="Arial" w:hAnsi="Arial" w:cs="Arial"/>
          <w:sz w:val="22"/>
          <w:szCs w:val="22"/>
        </w:rPr>
      </w:pPr>
      <w:r w:rsidRPr="00B47EAC">
        <w:rPr>
          <w:rFonts w:ascii="Arial" w:hAnsi="Arial" w:cs="Arial"/>
          <w:sz w:val="22"/>
          <w:szCs w:val="22"/>
        </w:rPr>
        <w:t xml:space="preserve">b) Under sections (13)(1)(a) and (2)(a) of the Local Government and Housing Act 1989, a person who is a member of a </w:t>
      </w:r>
      <w:r w:rsidR="00A82870">
        <w:rPr>
          <w:rFonts w:ascii="Arial" w:hAnsi="Arial" w:cs="Arial"/>
          <w:sz w:val="22"/>
          <w:szCs w:val="22"/>
        </w:rPr>
        <w:t>panel</w:t>
      </w:r>
      <w:r w:rsidRPr="00B47EAC">
        <w:rPr>
          <w:rFonts w:ascii="Arial" w:hAnsi="Arial" w:cs="Arial"/>
          <w:sz w:val="22"/>
          <w:szCs w:val="22"/>
        </w:rPr>
        <w:t xml:space="preserve"> appointed by an authority under the Superannuation Act 1972 but who is not a member of that authority, shall be treated as a non-voting member of that </w:t>
      </w:r>
      <w:r w:rsidR="00A82870">
        <w:rPr>
          <w:rFonts w:ascii="Arial" w:hAnsi="Arial" w:cs="Arial"/>
          <w:sz w:val="22"/>
          <w:szCs w:val="22"/>
        </w:rPr>
        <w:t>panel</w:t>
      </w:r>
      <w:r w:rsidRPr="00B47EAC">
        <w:rPr>
          <w:rFonts w:ascii="Arial" w:hAnsi="Arial" w:cs="Arial"/>
          <w:sz w:val="22"/>
          <w:szCs w:val="22"/>
        </w:rPr>
        <w:t xml:space="preserve">. However, the provisions of section 13(3) and (4) of the 1989 Act allow an administering authority discretion as to whether or not a member of a </w:t>
      </w:r>
      <w:r w:rsidR="00A82870">
        <w:rPr>
          <w:rFonts w:ascii="Arial" w:hAnsi="Arial" w:cs="Arial"/>
          <w:sz w:val="22"/>
          <w:szCs w:val="22"/>
        </w:rPr>
        <w:t>panel</w:t>
      </w:r>
      <w:r w:rsidRPr="00B47EAC">
        <w:rPr>
          <w:rFonts w:ascii="Arial" w:hAnsi="Arial" w:cs="Arial"/>
          <w:sz w:val="22"/>
          <w:szCs w:val="22"/>
        </w:rPr>
        <w:t xml:space="preserve"> is treated as a voting or non-voting member.</w:t>
      </w:r>
    </w:p>
    <w:p w14:paraId="1BF81162" w14:textId="77777777" w:rsidR="00DA752D" w:rsidRPr="00B47EAC" w:rsidRDefault="00DA752D" w:rsidP="00DA752D">
      <w:pPr>
        <w:ind w:left="720"/>
        <w:jc w:val="both"/>
        <w:rPr>
          <w:rFonts w:ascii="Arial" w:hAnsi="Arial" w:cs="Arial"/>
          <w:sz w:val="22"/>
          <w:szCs w:val="22"/>
        </w:rPr>
      </w:pPr>
    </w:p>
    <w:p w14:paraId="16BF8A76"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ab/>
        <w:t>Lay members of advisory panels, etc</w:t>
      </w:r>
    </w:p>
    <w:p w14:paraId="4D2F8AA3" w14:textId="77777777" w:rsidR="00DA752D" w:rsidRPr="00B47EAC" w:rsidRDefault="00DA752D" w:rsidP="00DA752D">
      <w:pPr>
        <w:jc w:val="both"/>
        <w:rPr>
          <w:rFonts w:ascii="Arial" w:hAnsi="Arial" w:cs="Arial"/>
          <w:sz w:val="22"/>
          <w:szCs w:val="22"/>
        </w:rPr>
      </w:pPr>
    </w:p>
    <w:p w14:paraId="33E66AC7" w14:textId="77777777" w:rsidR="00DA752D" w:rsidRPr="00B47EAC" w:rsidRDefault="00DA752D" w:rsidP="00DA752D">
      <w:pPr>
        <w:ind w:left="720"/>
        <w:jc w:val="both"/>
        <w:rPr>
          <w:rFonts w:ascii="Arial" w:hAnsi="Arial" w:cs="Arial"/>
          <w:sz w:val="22"/>
          <w:szCs w:val="22"/>
        </w:rPr>
      </w:pPr>
      <w:r w:rsidRPr="00B47EAC">
        <w:rPr>
          <w:rFonts w:ascii="Arial" w:hAnsi="Arial" w:cs="Arial"/>
          <w:sz w:val="22"/>
          <w:szCs w:val="22"/>
        </w:rPr>
        <w:t xml:space="preserve">c) Because they are not formally constituted </w:t>
      </w:r>
      <w:r w:rsidR="00A82870">
        <w:rPr>
          <w:rFonts w:ascii="Arial" w:hAnsi="Arial" w:cs="Arial"/>
          <w:sz w:val="22"/>
          <w:szCs w:val="22"/>
        </w:rPr>
        <w:t>panel</w:t>
      </w:r>
      <w:r w:rsidRPr="00B47EAC">
        <w:rPr>
          <w:rFonts w:ascii="Arial" w:hAnsi="Arial" w:cs="Arial"/>
          <w:sz w:val="22"/>
          <w:szCs w:val="22"/>
        </w:rPr>
        <w:t xml:space="preserve">s, secondary </w:t>
      </w:r>
      <w:r w:rsidR="00A82870">
        <w:rPr>
          <w:rFonts w:ascii="Arial" w:hAnsi="Arial" w:cs="Arial"/>
          <w:sz w:val="22"/>
          <w:szCs w:val="22"/>
        </w:rPr>
        <w:t>panel</w:t>
      </w:r>
      <w:r w:rsidRPr="00B47EAC">
        <w:rPr>
          <w:rFonts w:ascii="Arial" w:hAnsi="Arial" w:cs="Arial"/>
          <w:sz w:val="22"/>
          <w:szCs w:val="22"/>
        </w:rPr>
        <w:t xml:space="preserve">s  or panels on which lay members sit are not subject to the restrictions imposed by the Local Government Act 1972 on voting rights. In these circumstances, there is nothing to prevent voting rights being conferred by the administering authority on all lay members sitting on panels or informal </w:t>
      </w:r>
      <w:r w:rsidR="00A82870">
        <w:rPr>
          <w:rFonts w:ascii="Arial" w:hAnsi="Arial" w:cs="Arial"/>
          <w:sz w:val="22"/>
          <w:szCs w:val="22"/>
        </w:rPr>
        <w:t>panel</w:t>
      </w:r>
      <w:r w:rsidRPr="00B47EAC">
        <w:rPr>
          <w:rFonts w:ascii="Arial" w:hAnsi="Arial" w:cs="Arial"/>
          <w:sz w:val="22"/>
          <w:szCs w:val="22"/>
        </w:rPr>
        <w:t xml:space="preserve">s outside the main decision making </w:t>
      </w:r>
      <w:r w:rsidR="00A82870">
        <w:rPr>
          <w:rFonts w:ascii="Arial" w:hAnsi="Arial" w:cs="Arial"/>
          <w:sz w:val="22"/>
          <w:szCs w:val="22"/>
        </w:rPr>
        <w:t>panel</w:t>
      </w:r>
      <w:r w:rsidRPr="00B47EAC">
        <w:rPr>
          <w:rFonts w:ascii="Arial" w:hAnsi="Arial" w:cs="Arial"/>
          <w:sz w:val="22"/>
          <w:szCs w:val="22"/>
        </w:rPr>
        <w:t>.</w:t>
      </w:r>
    </w:p>
    <w:p w14:paraId="299B2CC9" w14:textId="77777777" w:rsidR="00DA752D" w:rsidRPr="00B47EAC" w:rsidRDefault="00DA752D" w:rsidP="00DA752D">
      <w:pPr>
        <w:jc w:val="both"/>
        <w:rPr>
          <w:rFonts w:ascii="Arial" w:hAnsi="Arial" w:cs="Arial"/>
          <w:sz w:val="22"/>
          <w:szCs w:val="22"/>
        </w:rPr>
      </w:pPr>
    </w:p>
    <w:p w14:paraId="4111E25A"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25. The way in which an administering authority decides to exercise its discretion and confer voting rights on lay members is not a matter for which the Secretary of State, under his regulations making powers under the Superannuation Act 1972, has any remit. The issue of whether voting rights should be conferred on district council or scheme member representatives, for example, is a matter for individual administering authorities to consider and determine in the light of the appointing council’s constitution. Regulation 73A(1)(b)(iii) of the 1997 Regulations already requires an administering authority to include in their statement details of the extent to which voting rights have been conferred on certain representatives, but does not extend to the need to give reasons where this is not the case.</w:t>
      </w:r>
    </w:p>
    <w:p w14:paraId="66256D89" w14:textId="77777777" w:rsidR="00DA752D" w:rsidRPr="00B47EAC" w:rsidRDefault="00DA752D" w:rsidP="00DA752D">
      <w:pPr>
        <w:jc w:val="both"/>
        <w:rPr>
          <w:rFonts w:ascii="Arial" w:hAnsi="Arial" w:cs="Arial"/>
          <w:sz w:val="22"/>
          <w:szCs w:val="22"/>
        </w:rPr>
      </w:pPr>
    </w:p>
    <w:p w14:paraId="44E80E9D"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a) The policy of individual administering authorities on voting rights is clear and transparent, including the justification for not extending voting rights to each body or group represented on main LGPS </w:t>
      </w:r>
      <w:r w:rsidR="00A82870">
        <w:rPr>
          <w:rFonts w:ascii="Arial" w:hAnsi="Arial" w:cs="Arial"/>
          <w:sz w:val="22"/>
          <w:szCs w:val="22"/>
        </w:rPr>
        <w:t>panel</w:t>
      </w:r>
      <w:r w:rsidRPr="00B47EAC">
        <w:rPr>
          <w:rFonts w:ascii="Arial" w:hAnsi="Arial" w:cs="Arial"/>
          <w:sz w:val="22"/>
          <w:szCs w:val="22"/>
        </w:rPr>
        <w:t>s.</w:t>
      </w:r>
    </w:p>
    <w:p w14:paraId="158581D1" w14:textId="77777777" w:rsidR="00DA752D" w:rsidRPr="00B47EAC" w:rsidRDefault="00DA752D" w:rsidP="00DA752D">
      <w:pPr>
        <w:jc w:val="both"/>
        <w:rPr>
          <w:rFonts w:ascii="Arial" w:hAnsi="Arial" w:cs="Arial"/>
          <w:sz w:val="22"/>
          <w:szCs w:val="22"/>
        </w:rPr>
      </w:pPr>
    </w:p>
    <w:p w14:paraId="3DD1EE2A" w14:textId="77777777" w:rsidR="00DA752D" w:rsidRPr="00B47EAC" w:rsidRDefault="00DA752D" w:rsidP="00DA752D">
      <w:pPr>
        <w:jc w:val="both"/>
        <w:rPr>
          <w:rFonts w:ascii="Arial" w:hAnsi="Arial" w:cs="Arial"/>
          <w:b/>
          <w:sz w:val="22"/>
          <w:szCs w:val="22"/>
        </w:rPr>
      </w:pPr>
    </w:p>
    <w:p w14:paraId="39AAA6C9" w14:textId="77777777" w:rsidR="00DA752D" w:rsidRPr="00B47EAC" w:rsidRDefault="00DA752D" w:rsidP="00DA752D">
      <w:pPr>
        <w:jc w:val="both"/>
        <w:rPr>
          <w:rFonts w:ascii="Arial" w:hAnsi="Arial" w:cs="Arial"/>
          <w:b/>
          <w:sz w:val="22"/>
          <w:szCs w:val="22"/>
        </w:rPr>
      </w:pPr>
      <w:r w:rsidRPr="00B47EAC">
        <w:rPr>
          <w:rFonts w:ascii="Arial" w:hAnsi="Arial" w:cs="Arial"/>
          <w:b/>
          <w:sz w:val="22"/>
          <w:szCs w:val="22"/>
        </w:rPr>
        <w:t>Part II/E – Training/Facility time/Expenses</w:t>
      </w:r>
    </w:p>
    <w:p w14:paraId="62CD4B94"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26. In 2001, the Government accepted the ten investment principles recommended by Paul Myners in his report, “Institutional Investment in the UK”. The first of those principles,” Effective Decision Making”,  called for decisions to be made only by persons or organisations with the skills, information and resources necessary to take them effectively. Furthermore, where </w:t>
      </w:r>
      <w:r w:rsidRPr="00B47EAC">
        <w:rPr>
          <w:rFonts w:ascii="Arial" w:hAnsi="Arial" w:cs="Arial"/>
          <w:sz w:val="22"/>
          <w:szCs w:val="22"/>
        </w:rPr>
        <w:lastRenderedPageBreak/>
        <w:t xml:space="preserve">trustees - or in the case of the LGPS, members of formal </w:t>
      </w:r>
      <w:r w:rsidR="00A82870">
        <w:rPr>
          <w:rFonts w:ascii="Arial" w:hAnsi="Arial" w:cs="Arial"/>
          <w:sz w:val="22"/>
          <w:szCs w:val="22"/>
        </w:rPr>
        <w:t>panel</w:t>
      </w:r>
      <w:r w:rsidRPr="00B47EAC">
        <w:rPr>
          <w:rFonts w:ascii="Arial" w:hAnsi="Arial" w:cs="Arial"/>
          <w:sz w:val="22"/>
          <w:szCs w:val="22"/>
        </w:rPr>
        <w:t>s - take investment decisions, that they have sufficient expertise to be able to evaluate critically any advice they take.</w:t>
      </w:r>
    </w:p>
    <w:p w14:paraId="78D94F71" w14:textId="77777777" w:rsidR="00DA752D" w:rsidRPr="00B47EAC" w:rsidRDefault="00DA752D" w:rsidP="00DA752D">
      <w:pPr>
        <w:jc w:val="both"/>
        <w:rPr>
          <w:rFonts w:ascii="Arial" w:hAnsi="Arial" w:cs="Arial"/>
          <w:sz w:val="22"/>
          <w:szCs w:val="22"/>
        </w:rPr>
      </w:pPr>
    </w:p>
    <w:p w14:paraId="43C9AAB8"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27. The Local Government Pension Scheme (Management and Investment of Funds) Regulations 1998 (as amended) already requires administering authorities to report the extent of compliance with this principle. But on the wider issue of governance, it is equally important that they report on the extent to which training facilities, etc, are extended to lay members sitting on either main or secondary LGPS </w:t>
      </w:r>
      <w:r w:rsidR="00A82870">
        <w:rPr>
          <w:rFonts w:ascii="Arial" w:hAnsi="Arial" w:cs="Arial"/>
          <w:sz w:val="22"/>
          <w:szCs w:val="22"/>
        </w:rPr>
        <w:t>panel</w:t>
      </w:r>
      <w:r w:rsidRPr="00B47EAC">
        <w:rPr>
          <w:rFonts w:ascii="Arial" w:hAnsi="Arial" w:cs="Arial"/>
          <w:sz w:val="22"/>
          <w:szCs w:val="22"/>
        </w:rPr>
        <w:t>s.</w:t>
      </w:r>
    </w:p>
    <w:p w14:paraId="2AA73AAC" w14:textId="77777777" w:rsidR="00DA752D" w:rsidRPr="00B47EAC" w:rsidRDefault="00DA752D" w:rsidP="00DA752D">
      <w:pPr>
        <w:jc w:val="both"/>
        <w:rPr>
          <w:rFonts w:ascii="Arial" w:hAnsi="Arial" w:cs="Arial"/>
          <w:sz w:val="22"/>
          <w:szCs w:val="22"/>
        </w:rPr>
      </w:pPr>
    </w:p>
    <w:p w14:paraId="6C82AC8D"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28. If all stakeholders represented on LGPS </w:t>
      </w:r>
      <w:r w:rsidR="00A82870">
        <w:rPr>
          <w:rFonts w:ascii="Arial" w:hAnsi="Arial" w:cs="Arial"/>
          <w:sz w:val="22"/>
          <w:szCs w:val="22"/>
        </w:rPr>
        <w:t>panel</w:t>
      </w:r>
      <w:r w:rsidRPr="00B47EAC">
        <w:rPr>
          <w:rFonts w:ascii="Arial" w:hAnsi="Arial" w:cs="Arial"/>
          <w:sz w:val="22"/>
          <w:szCs w:val="22"/>
        </w:rPr>
        <w:t xml:space="preserve">s or panels are to satisfy the high standards set out in the Myners’ set of investment principles, it follows that equal opportunity for training, and hence facility time, should be afforded to all lay members. They too should have access to the resources that would enable them to evaluate the expert advice commissioned by the main investment </w:t>
      </w:r>
      <w:r w:rsidR="00A82870">
        <w:rPr>
          <w:rFonts w:ascii="Arial" w:hAnsi="Arial" w:cs="Arial"/>
          <w:sz w:val="22"/>
          <w:szCs w:val="22"/>
        </w:rPr>
        <w:t>panel</w:t>
      </w:r>
      <w:r w:rsidRPr="00B47EAC">
        <w:rPr>
          <w:rFonts w:ascii="Arial" w:hAnsi="Arial" w:cs="Arial"/>
          <w:sz w:val="22"/>
          <w:szCs w:val="22"/>
        </w:rPr>
        <w:t xml:space="preserve"> and to comment accordingly. But the way that is achieved at local level is not a matter for national prescription, in particular, the policy adopted by individual administering authority or local authority on the reimbursement of expenses incurred by </w:t>
      </w:r>
      <w:r w:rsidR="00A82870">
        <w:rPr>
          <w:rFonts w:ascii="Arial" w:hAnsi="Arial" w:cs="Arial"/>
          <w:sz w:val="22"/>
          <w:szCs w:val="22"/>
        </w:rPr>
        <w:t>panel</w:t>
      </w:r>
      <w:r w:rsidRPr="00B47EAC">
        <w:rPr>
          <w:rFonts w:ascii="Arial" w:hAnsi="Arial" w:cs="Arial"/>
          <w:sz w:val="22"/>
          <w:szCs w:val="22"/>
        </w:rPr>
        <w:t xml:space="preserve"> or panel members. On this basis, the best practice standard which administering authorities are required to measure themselves focuses on the extent to which they have a clear and transparent policy on training, facility time and reimbursement of expenses and whether this policy differs according to the type of member, for example, elected member or scheme member representative.</w:t>
      </w:r>
    </w:p>
    <w:p w14:paraId="6C2295C8" w14:textId="77777777" w:rsidR="00DA752D" w:rsidRPr="00B47EAC" w:rsidRDefault="00DA752D" w:rsidP="00DA752D">
      <w:pPr>
        <w:jc w:val="both"/>
        <w:rPr>
          <w:rFonts w:ascii="Arial" w:hAnsi="Arial" w:cs="Arial"/>
          <w:sz w:val="22"/>
          <w:szCs w:val="22"/>
        </w:rPr>
      </w:pPr>
    </w:p>
    <w:p w14:paraId="05D8FD8A"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a) That in relation to the way in which statutory and related decisions are taken by the administering authority, there is a clear policy on training, facility time and reimbursement of expenses in respect of members involved in the decision-making process.</w:t>
      </w:r>
    </w:p>
    <w:p w14:paraId="70834F8D" w14:textId="77777777" w:rsidR="00DA752D" w:rsidRPr="00B47EAC" w:rsidRDefault="00DA752D" w:rsidP="00DA752D">
      <w:pPr>
        <w:jc w:val="both"/>
        <w:rPr>
          <w:rFonts w:ascii="Arial" w:hAnsi="Arial" w:cs="Arial"/>
          <w:sz w:val="22"/>
          <w:szCs w:val="22"/>
        </w:rPr>
      </w:pPr>
    </w:p>
    <w:p w14:paraId="788FCBCE"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b) That where such a policy exists, it applies equally to all members of </w:t>
      </w:r>
      <w:r w:rsidR="00A82870">
        <w:rPr>
          <w:rFonts w:ascii="Arial" w:hAnsi="Arial" w:cs="Arial"/>
          <w:sz w:val="22"/>
          <w:szCs w:val="22"/>
        </w:rPr>
        <w:t>panel</w:t>
      </w:r>
      <w:r w:rsidRPr="00B47EAC">
        <w:rPr>
          <w:rFonts w:ascii="Arial" w:hAnsi="Arial" w:cs="Arial"/>
          <w:sz w:val="22"/>
          <w:szCs w:val="22"/>
        </w:rPr>
        <w:t>s, sub-</w:t>
      </w:r>
      <w:r w:rsidR="00A82870">
        <w:rPr>
          <w:rFonts w:ascii="Arial" w:hAnsi="Arial" w:cs="Arial"/>
          <w:sz w:val="22"/>
          <w:szCs w:val="22"/>
        </w:rPr>
        <w:t>panel</w:t>
      </w:r>
      <w:r w:rsidRPr="00B47EAC">
        <w:rPr>
          <w:rFonts w:ascii="Arial" w:hAnsi="Arial" w:cs="Arial"/>
          <w:sz w:val="22"/>
          <w:szCs w:val="22"/>
        </w:rPr>
        <w:t>s, advisory panels or any other form of secondary forum.</w:t>
      </w:r>
    </w:p>
    <w:p w14:paraId="3F8A9A24" w14:textId="77777777" w:rsidR="00DA752D" w:rsidRPr="00B47EAC" w:rsidRDefault="00DA752D" w:rsidP="00DA752D">
      <w:pPr>
        <w:rPr>
          <w:rFonts w:ascii="Arial" w:hAnsi="Arial" w:cs="Arial"/>
          <w:sz w:val="22"/>
          <w:szCs w:val="22"/>
        </w:rPr>
      </w:pPr>
    </w:p>
    <w:p w14:paraId="43483E1B" w14:textId="77777777" w:rsidR="00DA752D" w:rsidRPr="00B47EAC" w:rsidRDefault="00DA752D" w:rsidP="00DA752D">
      <w:pPr>
        <w:rPr>
          <w:rFonts w:ascii="Arial" w:hAnsi="Arial" w:cs="Arial"/>
          <w:b/>
          <w:sz w:val="22"/>
          <w:szCs w:val="22"/>
        </w:rPr>
      </w:pPr>
      <w:r w:rsidRPr="00B47EAC">
        <w:rPr>
          <w:rFonts w:ascii="Arial" w:hAnsi="Arial" w:cs="Arial"/>
          <w:b/>
          <w:sz w:val="22"/>
          <w:szCs w:val="22"/>
        </w:rPr>
        <w:t>Part II/F – Meetings (frequency/quorum)</w:t>
      </w:r>
    </w:p>
    <w:p w14:paraId="45836248"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29. From the evidence collected in 2006 by Communities and Local Government, it is clear that the majority of administering authorities who have introduced a multi-level </w:t>
      </w:r>
      <w:r w:rsidR="00A82870">
        <w:rPr>
          <w:rFonts w:ascii="Arial" w:hAnsi="Arial" w:cs="Arial"/>
          <w:sz w:val="22"/>
          <w:szCs w:val="22"/>
        </w:rPr>
        <w:t>panel</w:t>
      </w:r>
      <w:r w:rsidRPr="00B47EAC">
        <w:rPr>
          <w:rFonts w:ascii="Arial" w:hAnsi="Arial" w:cs="Arial"/>
          <w:sz w:val="22"/>
          <w:szCs w:val="22"/>
        </w:rPr>
        <w:t xml:space="preserve"> structure operate different reporting/meeting cycles for each </w:t>
      </w:r>
      <w:r w:rsidR="00A82870">
        <w:rPr>
          <w:rFonts w:ascii="Arial" w:hAnsi="Arial" w:cs="Arial"/>
          <w:sz w:val="22"/>
          <w:szCs w:val="22"/>
        </w:rPr>
        <w:t>panel</w:t>
      </w:r>
      <w:r w:rsidRPr="00B47EAC">
        <w:rPr>
          <w:rFonts w:ascii="Arial" w:hAnsi="Arial" w:cs="Arial"/>
          <w:sz w:val="22"/>
          <w:szCs w:val="22"/>
        </w:rPr>
        <w:t xml:space="preserve"> or panel. In the case of main, formal </w:t>
      </w:r>
      <w:r w:rsidR="00A82870">
        <w:rPr>
          <w:rFonts w:ascii="Arial" w:hAnsi="Arial" w:cs="Arial"/>
          <w:sz w:val="22"/>
          <w:szCs w:val="22"/>
        </w:rPr>
        <w:t>panel</w:t>
      </w:r>
      <w:r w:rsidRPr="00B47EAC">
        <w:rPr>
          <w:rFonts w:ascii="Arial" w:hAnsi="Arial" w:cs="Arial"/>
          <w:sz w:val="22"/>
          <w:szCs w:val="22"/>
        </w:rPr>
        <w:t xml:space="preserve">s, these tend to meet, on average, at least quarterly, though there are a few examples where meetings are held less often. As a general rule, it is expected that main </w:t>
      </w:r>
      <w:r w:rsidR="00A82870">
        <w:rPr>
          <w:rFonts w:ascii="Arial" w:hAnsi="Arial" w:cs="Arial"/>
          <w:sz w:val="22"/>
          <w:szCs w:val="22"/>
        </w:rPr>
        <w:t>panel</w:t>
      </w:r>
      <w:r w:rsidRPr="00B47EAC">
        <w:rPr>
          <w:rFonts w:ascii="Arial" w:hAnsi="Arial" w:cs="Arial"/>
          <w:sz w:val="22"/>
          <w:szCs w:val="22"/>
        </w:rPr>
        <w:t xml:space="preserve">s should meet no less than quarterly. Although it is important that any secondary </w:t>
      </w:r>
      <w:r w:rsidR="00A82870">
        <w:rPr>
          <w:rFonts w:ascii="Arial" w:hAnsi="Arial" w:cs="Arial"/>
          <w:sz w:val="22"/>
          <w:szCs w:val="22"/>
        </w:rPr>
        <w:t>panel</w:t>
      </w:r>
      <w:r w:rsidRPr="00B47EAC">
        <w:rPr>
          <w:rFonts w:ascii="Arial" w:hAnsi="Arial" w:cs="Arial"/>
          <w:sz w:val="22"/>
          <w:szCs w:val="22"/>
        </w:rPr>
        <w:t xml:space="preserve">s or panels should also meet on a regular and consistent basis, it is accepted that there should be no compulsion or expectation that there should be an equal number of main and secondary </w:t>
      </w:r>
      <w:r w:rsidR="00A82870">
        <w:rPr>
          <w:rFonts w:ascii="Arial" w:hAnsi="Arial" w:cs="Arial"/>
          <w:sz w:val="22"/>
          <w:szCs w:val="22"/>
        </w:rPr>
        <w:t>panel</w:t>
      </w:r>
      <w:r w:rsidRPr="00B47EAC">
        <w:rPr>
          <w:rFonts w:ascii="Arial" w:hAnsi="Arial" w:cs="Arial"/>
          <w:sz w:val="22"/>
          <w:szCs w:val="22"/>
        </w:rPr>
        <w:t xml:space="preserve"> meetings. But as a matter of best practice, it is expected that secondary meetings should be held at least bi-annually.</w:t>
      </w:r>
    </w:p>
    <w:p w14:paraId="5C5E4124" w14:textId="77777777" w:rsidR="00DA752D" w:rsidRPr="00B47EAC" w:rsidRDefault="00DA752D" w:rsidP="00DA752D">
      <w:pPr>
        <w:rPr>
          <w:rFonts w:ascii="Arial" w:hAnsi="Arial" w:cs="Arial"/>
          <w:sz w:val="22"/>
          <w:szCs w:val="22"/>
        </w:rPr>
      </w:pPr>
    </w:p>
    <w:p w14:paraId="26F5EBE1"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30. Although the overwhelming majority of administering authorities operate effective representation policies, the evidence collected in 2006 by Communities and Local Government revealed a small handful of authorities who restrict membership of their </w:t>
      </w:r>
      <w:r w:rsidR="00A82870">
        <w:rPr>
          <w:rFonts w:ascii="Arial" w:hAnsi="Arial" w:cs="Arial"/>
          <w:sz w:val="22"/>
          <w:szCs w:val="22"/>
        </w:rPr>
        <w:t>panel</w:t>
      </w:r>
      <w:r w:rsidRPr="00B47EAC">
        <w:rPr>
          <w:rFonts w:ascii="Arial" w:hAnsi="Arial" w:cs="Arial"/>
          <w:sz w:val="22"/>
          <w:szCs w:val="22"/>
        </w:rPr>
        <w:t xml:space="preserve">’s to elected members only. In legal terms, this is permissible, but in terms of best practice, it falls well short of the Government’s aims of improving the democratisation of LGPS </w:t>
      </w:r>
      <w:r w:rsidR="00A82870">
        <w:rPr>
          <w:rFonts w:ascii="Arial" w:hAnsi="Arial" w:cs="Arial"/>
          <w:sz w:val="22"/>
          <w:szCs w:val="22"/>
        </w:rPr>
        <w:t>panel</w:t>
      </w:r>
      <w:r w:rsidRPr="00B47EAC">
        <w:rPr>
          <w:rFonts w:ascii="Arial" w:hAnsi="Arial" w:cs="Arial"/>
          <w:sz w:val="22"/>
          <w:szCs w:val="22"/>
        </w:rPr>
        <w:t xml:space="preserve">s. In those cases where stakeholders, in particular, scheme members, are not represented, it is expected that administering authorities will provide alternative means for scheme employers, scheme members, pensioner members, for example, to be involved in the decision-making process. This may take for the form of employer road-shows or AGMs where access is open to all and where questions can be addressed to members of the main </w:t>
      </w:r>
      <w:r w:rsidR="00A82870">
        <w:rPr>
          <w:rFonts w:ascii="Arial" w:hAnsi="Arial" w:cs="Arial"/>
          <w:sz w:val="22"/>
          <w:szCs w:val="22"/>
        </w:rPr>
        <w:t>panel</w:t>
      </w:r>
      <w:r w:rsidRPr="00B47EAC">
        <w:rPr>
          <w:rFonts w:ascii="Arial" w:hAnsi="Arial" w:cs="Arial"/>
          <w:sz w:val="22"/>
          <w:szCs w:val="22"/>
        </w:rPr>
        <w:t xml:space="preserve">.  </w:t>
      </w:r>
    </w:p>
    <w:p w14:paraId="4366DC7F" w14:textId="77777777" w:rsidR="00DA752D" w:rsidRPr="00B47EAC" w:rsidRDefault="00DA752D" w:rsidP="00DA752D">
      <w:pPr>
        <w:jc w:val="both"/>
        <w:rPr>
          <w:rFonts w:ascii="Arial" w:hAnsi="Arial" w:cs="Arial"/>
          <w:sz w:val="22"/>
          <w:szCs w:val="22"/>
        </w:rPr>
      </w:pPr>
    </w:p>
    <w:p w14:paraId="5C25D218"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a) That an administering authority’s main </w:t>
      </w:r>
      <w:r w:rsidR="00A82870">
        <w:rPr>
          <w:rFonts w:ascii="Arial" w:hAnsi="Arial" w:cs="Arial"/>
          <w:sz w:val="22"/>
          <w:szCs w:val="22"/>
        </w:rPr>
        <w:t>panel</w:t>
      </w:r>
      <w:r w:rsidRPr="00B47EAC">
        <w:rPr>
          <w:rFonts w:ascii="Arial" w:hAnsi="Arial" w:cs="Arial"/>
          <w:sz w:val="22"/>
          <w:szCs w:val="22"/>
        </w:rPr>
        <w:t xml:space="preserve"> or </w:t>
      </w:r>
      <w:r w:rsidR="00A82870">
        <w:rPr>
          <w:rFonts w:ascii="Arial" w:hAnsi="Arial" w:cs="Arial"/>
          <w:sz w:val="22"/>
          <w:szCs w:val="22"/>
        </w:rPr>
        <w:t>panel</w:t>
      </w:r>
      <w:r w:rsidRPr="00B47EAC">
        <w:rPr>
          <w:rFonts w:ascii="Arial" w:hAnsi="Arial" w:cs="Arial"/>
          <w:sz w:val="22"/>
          <w:szCs w:val="22"/>
        </w:rPr>
        <w:t>s meet at least quarterly.</w:t>
      </w:r>
    </w:p>
    <w:p w14:paraId="31F9DA61" w14:textId="77777777" w:rsidR="00DA752D" w:rsidRPr="00B47EAC" w:rsidRDefault="00DA752D" w:rsidP="00DA752D">
      <w:pPr>
        <w:jc w:val="both"/>
        <w:rPr>
          <w:rFonts w:ascii="Arial" w:hAnsi="Arial" w:cs="Arial"/>
          <w:sz w:val="22"/>
          <w:szCs w:val="22"/>
        </w:rPr>
      </w:pPr>
    </w:p>
    <w:p w14:paraId="593B9826"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b) That an administering authority’s secondary </w:t>
      </w:r>
      <w:r w:rsidR="00A82870">
        <w:rPr>
          <w:rFonts w:ascii="Arial" w:hAnsi="Arial" w:cs="Arial"/>
          <w:sz w:val="22"/>
          <w:szCs w:val="22"/>
        </w:rPr>
        <w:t>panel</w:t>
      </w:r>
      <w:r w:rsidRPr="00B47EAC">
        <w:rPr>
          <w:rFonts w:ascii="Arial" w:hAnsi="Arial" w:cs="Arial"/>
          <w:sz w:val="22"/>
          <w:szCs w:val="22"/>
        </w:rPr>
        <w:t xml:space="preserve"> or panel meet at least twice a year and is synchronised with the dates when the main </w:t>
      </w:r>
      <w:r w:rsidR="00A82870">
        <w:rPr>
          <w:rFonts w:ascii="Arial" w:hAnsi="Arial" w:cs="Arial"/>
          <w:sz w:val="22"/>
          <w:szCs w:val="22"/>
        </w:rPr>
        <w:t>panel</w:t>
      </w:r>
      <w:r w:rsidRPr="00B47EAC">
        <w:rPr>
          <w:rFonts w:ascii="Arial" w:hAnsi="Arial" w:cs="Arial"/>
          <w:sz w:val="22"/>
          <w:szCs w:val="22"/>
        </w:rPr>
        <w:t xml:space="preserve"> sits.</w:t>
      </w:r>
    </w:p>
    <w:p w14:paraId="5E48CCA2" w14:textId="77777777" w:rsidR="00DA752D" w:rsidRPr="00B47EAC" w:rsidRDefault="00DA752D" w:rsidP="00DA752D">
      <w:pPr>
        <w:jc w:val="both"/>
        <w:rPr>
          <w:rFonts w:ascii="Arial" w:hAnsi="Arial" w:cs="Arial"/>
          <w:sz w:val="22"/>
          <w:szCs w:val="22"/>
        </w:rPr>
      </w:pPr>
    </w:p>
    <w:p w14:paraId="29DF5319"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c) That administering authorities who do not include lay members in their formal governance arrangements, provide a forum outside of those arrangements by which the interests of key stakeholders can be represented.</w:t>
      </w:r>
    </w:p>
    <w:p w14:paraId="77839D4D" w14:textId="77777777" w:rsidR="00DA752D" w:rsidRPr="00B47EAC" w:rsidRDefault="00DA752D" w:rsidP="00DA752D">
      <w:pPr>
        <w:rPr>
          <w:rFonts w:ascii="Arial" w:hAnsi="Arial" w:cs="Arial"/>
          <w:sz w:val="22"/>
          <w:szCs w:val="22"/>
        </w:rPr>
      </w:pPr>
    </w:p>
    <w:p w14:paraId="0F368E28" w14:textId="77777777" w:rsidR="00DA752D" w:rsidRPr="00B47EAC" w:rsidRDefault="00DA752D" w:rsidP="00DA752D">
      <w:pPr>
        <w:rPr>
          <w:rFonts w:ascii="Arial" w:hAnsi="Arial" w:cs="Arial"/>
          <w:b/>
          <w:sz w:val="22"/>
          <w:szCs w:val="22"/>
        </w:rPr>
      </w:pPr>
      <w:r w:rsidRPr="00B47EAC">
        <w:rPr>
          <w:rFonts w:ascii="Arial" w:hAnsi="Arial" w:cs="Arial"/>
          <w:b/>
          <w:sz w:val="22"/>
          <w:szCs w:val="22"/>
        </w:rPr>
        <w:t>Part II/G - Access</w:t>
      </w:r>
    </w:p>
    <w:p w14:paraId="3AF85FAF"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31. The people to whom the appointing council entrust with taking investment, and other statutory decisions, is a matter for that council to consider and determine. However, it is important that others, outside that formal decision-making process but involved in some capacity in the general governance arrangement, have equal access to </w:t>
      </w:r>
      <w:r w:rsidR="00A82870">
        <w:rPr>
          <w:rFonts w:ascii="Arial" w:hAnsi="Arial" w:cs="Arial"/>
          <w:sz w:val="22"/>
          <w:szCs w:val="22"/>
        </w:rPr>
        <w:t>panel</w:t>
      </w:r>
      <w:r w:rsidRPr="00B47EAC">
        <w:rPr>
          <w:rFonts w:ascii="Arial" w:hAnsi="Arial" w:cs="Arial"/>
          <w:sz w:val="22"/>
          <w:szCs w:val="22"/>
        </w:rPr>
        <w:t xml:space="preserve"> papers and other documents relied on by the main </w:t>
      </w:r>
      <w:r w:rsidR="00A82870">
        <w:rPr>
          <w:rFonts w:ascii="Arial" w:hAnsi="Arial" w:cs="Arial"/>
          <w:sz w:val="22"/>
          <w:szCs w:val="22"/>
        </w:rPr>
        <w:t>panel</w:t>
      </w:r>
      <w:r w:rsidRPr="00B47EAC">
        <w:rPr>
          <w:rFonts w:ascii="Arial" w:hAnsi="Arial" w:cs="Arial"/>
          <w:sz w:val="22"/>
          <w:szCs w:val="22"/>
        </w:rPr>
        <w:t xml:space="preserve"> in taking its decisions. </w:t>
      </w:r>
    </w:p>
    <w:p w14:paraId="657B9D88" w14:textId="77777777" w:rsidR="00DA752D" w:rsidRPr="00B47EAC" w:rsidRDefault="00DA752D" w:rsidP="00DA752D">
      <w:pPr>
        <w:jc w:val="both"/>
        <w:rPr>
          <w:rFonts w:ascii="Arial" w:hAnsi="Arial" w:cs="Arial"/>
          <w:sz w:val="22"/>
          <w:szCs w:val="22"/>
        </w:rPr>
      </w:pPr>
    </w:p>
    <w:p w14:paraId="525745E5"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32. The fact that voting rights are not conferred on individual lay members should not put them on any less footing than those members who serve on the main </w:t>
      </w:r>
      <w:r w:rsidR="00A82870">
        <w:rPr>
          <w:rFonts w:ascii="Arial" w:hAnsi="Arial" w:cs="Arial"/>
          <w:sz w:val="22"/>
          <w:szCs w:val="22"/>
        </w:rPr>
        <w:t>panel</w:t>
      </w:r>
      <w:r w:rsidRPr="00B47EAC">
        <w:rPr>
          <w:rFonts w:ascii="Arial" w:hAnsi="Arial" w:cs="Arial"/>
          <w:sz w:val="22"/>
          <w:szCs w:val="22"/>
        </w:rPr>
        <w:t xml:space="preserve"> with full voting rights. Secondary panels or </w:t>
      </w:r>
      <w:r w:rsidR="00A82870">
        <w:rPr>
          <w:rFonts w:ascii="Arial" w:hAnsi="Arial" w:cs="Arial"/>
          <w:sz w:val="22"/>
          <w:szCs w:val="22"/>
        </w:rPr>
        <w:t>panel</w:t>
      </w:r>
      <w:r w:rsidRPr="00B47EAC">
        <w:rPr>
          <w:rFonts w:ascii="Arial" w:hAnsi="Arial" w:cs="Arial"/>
          <w:sz w:val="22"/>
          <w:szCs w:val="22"/>
        </w:rPr>
        <w:t xml:space="preserve">s have a clear role to underpin and influence the work of the main </w:t>
      </w:r>
      <w:r w:rsidR="00A82870">
        <w:rPr>
          <w:rFonts w:ascii="Arial" w:hAnsi="Arial" w:cs="Arial"/>
          <w:sz w:val="22"/>
          <w:szCs w:val="22"/>
        </w:rPr>
        <w:t>panel</w:t>
      </w:r>
      <w:r w:rsidRPr="00B47EAC">
        <w:rPr>
          <w:rFonts w:ascii="Arial" w:hAnsi="Arial" w:cs="Arial"/>
          <w:sz w:val="22"/>
          <w:szCs w:val="22"/>
        </w:rPr>
        <w:t xml:space="preserve"> and can only do so where there is equal access.  </w:t>
      </w:r>
    </w:p>
    <w:p w14:paraId="792133B6" w14:textId="77777777" w:rsidR="00DA752D" w:rsidRPr="00B47EAC" w:rsidRDefault="00DA752D" w:rsidP="00DA752D">
      <w:pPr>
        <w:jc w:val="both"/>
        <w:rPr>
          <w:rFonts w:ascii="Arial" w:hAnsi="Arial" w:cs="Arial"/>
          <w:sz w:val="22"/>
          <w:szCs w:val="22"/>
        </w:rPr>
      </w:pPr>
    </w:p>
    <w:p w14:paraId="09C9BEF0"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a) That subject to any rules in the councils constitution, all members of main and secondary </w:t>
      </w:r>
      <w:r w:rsidR="00A82870">
        <w:rPr>
          <w:rFonts w:ascii="Arial" w:hAnsi="Arial" w:cs="Arial"/>
          <w:sz w:val="22"/>
          <w:szCs w:val="22"/>
        </w:rPr>
        <w:t>panel</w:t>
      </w:r>
      <w:r w:rsidRPr="00B47EAC">
        <w:rPr>
          <w:rFonts w:ascii="Arial" w:hAnsi="Arial" w:cs="Arial"/>
          <w:sz w:val="22"/>
          <w:szCs w:val="22"/>
        </w:rPr>
        <w:t xml:space="preserve">s or panels have equal access to </w:t>
      </w:r>
      <w:r w:rsidR="00A82870">
        <w:rPr>
          <w:rFonts w:ascii="Arial" w:hAnsi="Arial" w:cs="Arial"/>
          <w:sz w:val="22"/>
          <w:szCs w:val="22"/>
        </w:rPr>
        <w:t>panel</w:t>
      </w:r>
      <w:r w:rsidRPr="00B47EAC">
        <w:rPr>
          <w:rFonts w:ascii="Arial" w:hAnsi="Arial" w:cs="Arial"/>
          <w:sz w:val="22"/>
          <w:szCs w:val="22"/>
        </w:rPr>
        <w:t xml:space="preserve"> papers, documents and advice that falls to be considered at meetings of the main </w:t>
      </w:r>
      <w:r w:rsidR="00A82870">
        <w:rPr>
          <w:rFonts w:ascii="Arial" w:hAnsi="Arial" w:cs="Arial"/>
          <w:sz w:val="22"/>
          <w:szCs w:val="22"/>
        </w:rPr>
        <w:t>panel</w:t>
      </w:r>
      <w:r w:rsidRPr="00B47EAC">
        <w:rPr>
          <w:rFonts w:ascii="Arial" w:hAnsi="Arial" w:cs="Arial"/>
          <w:sz w:val="22"/>
          <w:szCs w:val="22"/>
        </w:rPr>
        <w:t xml:space="preserve">.  </w:t>
      </w:r>
    </w:p>
    <w:p w14:paraId="1BAEAD5E" w14:textId="77777777" w:rsidR="00DA752D" w:rsidRPr="00B47EAC" w:rsidRDefault="00DA752D" w:rsidP="00DA752D">
      <w:pPr>
        <w:jc w:val="both"/>
        <w:rPr>
          <w:rFonts w:ascii="Arial" w:hAnsi="Arial" w:cs="Arial"/>
          <w:b/>
          <w:sz w:val="22"/>
          <w:szCs w:val="22"/>
        </w:rPr>
      </w:pPr>
      <w:r w:rsidRPr="00B47EAC">
        <w:rPr>
          <w:rFonts w:ascii="Arial" w:hAnsi="Arial" w:cs="Arial"/>
          <w:b/>
          <w:sz w:val="22"/>
          <w:szCs w:val="22"/>
        </w:rPr>
        <w:t>Part II/H – Scope</w:t>
      </w:r>
    </w:p>
    <w:p w14:paraId="173DC11F"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33. Traditionally, LGPS </w:t>
      </w:r>
      <w:r w:rsidR="00A82870">
        <w:rPr>
          <w:rFonts w:ascii="Arial" w:hAnsi="Arial" w:cs="Arial"/>
          <w:sz w:val="22"/>
          <w:szCs w:val="22"/>
        </w:rPr>
        <w:t>panel</w:t>
      </w:r>
      <w:r w:rsidRPr="00B47EAC">
        <w:rPr>
          <w:rFonts w:ascii="Arial" w:hAnsi="Arial" w:cs="Arial"/>
          <w:sz w:val="22"/>
          <w:szCs w:val="22"/>
        </w:rPr>
        <w:t xml:space="preserve">s have focussed on the management and investment of the funds under their supervision, with questions arising from the main scheme dealt with by officers with delegated authority under the council’s constitution. In recent times, however, and reflecting the trend towards de-centralisation, administering authorities have become responsible for formulating a significant number of policy decisions on issues like abatement, compensation and the exercise of discretions under the scheme’s regulations. These are key decisions which should be subject to the rigorous supervision and oversight of the main </w:t>
      </w:r>
      <w:r w:rsidR="00A82870">
        <w:rPr>
          <w:rFonts w:ascii="Arial" w:hAnsi="Arial" w:cs="Arial"/>
          <w:sz w:val="22"/>
          <w:szCs w:val="22"/>
        </w:rPr>
        <w:t>panel</w:t>
      </w:r>
      <w:r w:rsidRPr="00B47EAC">
        <w:rPr>
          <w:rFonts w:ascii="Arial" w:hAnsi="Arial" w:cs="Arial"/>
          <w:sz w:val="22"/>
          <w:szCs w:val="22"/>
        </w:rPr>
        <w:t xml:space="preserve">. And with the prospect of some form of cost sharing arrangement to be in place by March 2009, it is clear that there are other key scheme issues, outside the investment field, that main </w:t>
      </w:r>
      <w:r w:rsidR="00A82870">
        <w:rPr>
          <w:rFonts w:ascii="Arial" w:hAnsi="Arial" w:cs="Arial"/>
          <w:sz w:val="22"/>
          <w:szCs w:val="22"/>
        </w:rPr>
        <w:t>panel</w:t>
      </w:r>
      <w:r w:rsidRPr="00B47EAC">
        <w:rPr>
          <w:rFonts w:ascii="Arial" w:hAnsi="Arial" w:cs="Arial"/>
          <w:sz w:val="22"/>
          <w:szCs w:val="22"/>
        </w:rPr>
        <w:t xml:space="preserve">s may need to address in the future. Given the not insignificant costs involved in running funds, LGPS </w:t>
      </w:r>
      <w:r w:rsidR="00A82870">
        <w:rPr>
          <w:rFonts w:ascii="Arial" w:hAnsi="Arial" w:cs="Arial"/>
          <w:sz w:val="22"/>
          <w:szCs w:val="22"/>
        </w:rPr>
        <w:t>panel</w:t>
      </w:r>
      <w:r w:rsidRPr="00B47EAC">
        <w:rPr>
          <w:rFonts w:ascii="Arial" w:hAnsi="Arial" w:cs="Arial"/>
          <w:sz w:val="22"/>
          <w:szCs w:val="22"/>
        </w:rPr>
        <w:t xml:space="preserve">s and panels need to receive regular reports on their scheme administration to ensure that best practice standards are targeted and met and furthermore, to satisfy themselves and to justify to their stakeholders that the Fund is being run on an effective basis. This would involve reviewing the </w:t>
      </w:r>
      <w:r w:rsidR="00A82870">
        <w:rPr>
          <w:rFonts w:ascii="Arial" w:hAnsi="Arial" w:cs="Arial"/>
          <w:sz w:val="22"/>
          <w:szCs w:val="22"/>
        </w:rPr>
        <w:t>panel</w:t>
      </w:r>
      <w:r w:rsidRPr="00B47EAC">
        <w:rPr>
          <w:rFonts w:ascii="Arial" w:hAnsi="Arial" w:cs="Arial"/>
          <w:sz w:val="22"/>
          <w:szCs w:val="22"/>
        </w:rPr>
        <w:t xml:space="preserve">’s governance arrangements and the effective use of its advisers to ensure sound decision making. Here, the use of an independent professional observer, free of conflicts of interest, would enable a wholly objective approach to be taken to the stewardship of the Fund. </w:t>
      </w:r>
    </w:p>
    <w:p w14:paraId="37269129" w14:textId="77777777" w:rsidR="00DA752D" w:rsidRPr="00B47EAC" w:rsidRDefault="00DA752D" w:rsidP="00DA752D">
      <w:pPr>
        <w:jc w:val="both"/>
        <w:rPr>
          <w:rFonts w:ascii="Arial" w:hAnsi="Arial" w:cs="Arial"/>
          <w:sz w:val="22"/>
          <w:szCs w:val="22"/>
        </w:rPr>
      </w:pPr>
    </w:p>
    <w:p w14:paraId="5D9BB5FF"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34. All this points to LGPS </w:t>
      </w:r>
      <w:r w:rsidR="00A82870">
        <w:rPr>
          <w:rFonts w:ascii="Arial" w:hAnsi="Arial" w:cs="Arial"/>
          <w:sz w:val="22"/>
          <w:szCs w:val="22"/>
        </w:rPr>
        <w:t>panel</w:t>
      </w:r>
      <w:r w:rsidRPr="00B47EAC">
        <w:rPr>
          <w:rFonts w:ascii="Arial" w:hAnsi="Arial" w:cs="Arial"/>
          <w:sz w:val="22"/>
          <w:szCs w:val="22"/>
        </w:rPr>
        <w:t xml:space="preserve">s perhaps becoming more multi-disciplined than they have been in the past, with a consequential impact on, for example, membership and training. For example, if decisions are to be taken by LGPS </w:t>
      </w:r>
      <w:r w:rsidR="00A82870">
        <w:rPr>
          <w:rFonts w:ascii="Arial" w:hAnsi="Arial" w:cs="Arial"/>
          <w:sz w:val="22"/>
          <w:szCs w:val="22"/>
        </w:rPr>
        <w:t>panel</w:t>
      </w:r>
      <w:r w:rsidRPr="00B47EAC">
        <w:rPr>
          <w:rFonts w:ascii="Arial" w:hAnsi="Arial" w:cs="Arial"/>
          <w:sz w:val="22"/>
          <w:szCs w:val="22"/>
        </w:rPr>
        <w:t xml:space="preserve">s that could impact on the cost-sharing mechanism, it is reasonable to expect scheme member representatives to be present on those decision making </w:t>
      </w:r>
      <w:r w:rsidR="00A82870">
        <w:rPr>
          <w:rFonts w:ascii="Arial" w:hAnsi="Arial" w:cs="Arial"/>
          <w:sz w:val="22"/>
          <w:szCs w:val="22"/>
        </w:rPr>
        <w:t>panel</w:t>
      </w:r>
      <w:r w:rsidRPr="00B47EAC">
        <w:rPr>
          <w:rFonts w:ascii="Arial" w:hAnsi="Arial" w:cs="Arial"/>
          <w:sz w:val="22"/>
          <w:szCs w:val="22"/>
        </w:rPr>
        <w:t xml:space="preserve">s, given that those decisions could have a direct impact on the position of scheme members under the scheme. </w:t>
      </w:r>
    </w:p>
    <w:p w14:paraId="39A1EB40" w14:textId="77777777" w:rsidR="00DA752D" w:rsidRPr="00B47EAC" w:rsidRDefault="00DA752D" w:rsidP="00DA752D">
      <w:pPr>
        <w:jc w:val="both"/>
        <w:rPr>
          <w:rFonts w:ascii="Arial" w:hAnsi="Arial" w:cs="Arial"/>
          <w:sz w:val="22"/>
          <w:szCs w:val="22"/>
        </w:rPr>
      </w:pPr>
    </w:p>
    <w:p w14:paraId="13CADA82"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lastRenderedPageBreak/>
        <w:t xml:space="preserve">35. Although the future may see LGPS </w:t>
      </w:r>
      <w:r w:rsidR="00A82870">
        <w:rPr>
          <w:rFonts w:ascii="Arial" w:hAnsi="Arial" w:cs="Arial"/>
          <w:sz w:val="22"/>
          <w:szCs w:val="22"/>
        </w:rPr>
        <w:t>panel</w:t>
      </w:r>
      <w:r w:rsidRPr="00B47EAC">
        <w:rPr>
          <w:rFonts w:ascii="Arial" w:hAnsi="Arial" w:cs="Arial"/>
          <w:sz w:val="22"/>
          <w:szCs w:val="22"/>
        </w:rPr>
        <w:t xml:space="preserve">s having a broader role than at present, individual administering authorities may adopt different strategies to meet these new demands. The more traditional approach might be to extend the scope of existing investment </w:t>
      </w:r>
      <w:r w:rsidR="00A82870">
        <w:rPr>
          <w:rFonts w:ascii="Arial" w:hAnsi="Arial" w:cs="Arial"/>
          <w:sz w:val="22"/>
          <w:szCs w:val="22"/>
        </w:rPr>
        <w:t>panel</w:t>
      </w:r>
      <w:r w:rsidRPr="00B47EAC">
        <w:rPr>
          <w:rFonts w:ascii="Arial" w:hAnsi="Arial" w:cs="Arial"/>
          <w:sz w:val="22"/>
          <w:szCs w:val="22"/>
        </w:rPr>
        <w:t xml:space="preserve">s to include general scheme and other administrative issues. But already, there is evidence to suggest that some administering authorities have opted instead to establish new sub </w:t>
      </w:r>
      <w:r w:rsidR="00A82870">
        <w:rPr>
          <w:rFonts w:ascii="Arial" w:hAnsi="Arial" w:cs="Arial"/>
          <w:sz w:val="22"/>
          <w:szCs w:val="22"/>
        </w:rPr>
        <w:t>panel</w:t>
      </w:r>
      <w:r w:rsidRPr="00B47EAC">
        <w:rPr>
          <w:rFonts w:ascii="Arial" w:hAnsi="Arial" w:cs="Arial"/>
          <w:sz w:val="22"/>
          <w:szCs w:val="22"/>
        </w:rPr>
        <w:t xml:space="preserve">s to deal solely with non-investment, scheme issues. The purpose of this guidance is not to prescribe the way in which administering authorities develop and adapt to scheme developments. Instead, the intention is to increase the awareness that administering authorities and their </w:t>
      </w:r>
      <w:r w:rsidR="00A82870">
        <w:rPr>
          <w:rFonts w:ascii="Arial" w:hAnsi="Arial" w:cs="Arial"/>
          <w:sz w:val="22"/>
          <w:szCs w:val="22"/>
        </w:rPr>
        <w:t>panel</w:t>
      </w:r>
      <w:r w:rsidRPr="00B47EAC">
        <w:rPr>
          <w:rFonts w:ascii="Arial" w:hAnsi="Arial" w:cs="Arial"/>
          <w:sz w:val="22"/>
          <w:szCs w:val="22"/>
        </w:rPr>
        <w:t>s must be flexible and willing to change to reflect scheme changes and wider pensions issues.</w:t>
      </w:r>
    </w:p>
    <w:p w14:paraId="682D620D" w14:textId="77777777" w:rsidR="00DA752D" w:rsidRPr="00B47EAC" w:rsidRDefault="00DA752D" w:rsidP="00DA752D">
      <w:pPr>
        <w:jc w:val="both"/>
        <w:rPr>
          <w:rFonts w:ascii="Arial" w:hAnsi="Arial" w:cs="Arial"/>
          <w:sz w:val="22"/>
          <w:szCs w:val="22"/>
        </w:rPr>
      </w:pPr>
    </w:p>
    <w:p w14:paraId="301768BC"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a) That administering authorities have taken steps to bring wider scheme issues within the scope of their governance arrangements.</w:t>
      </w:r>
    </w:p>
    <w:p w14:paraId="0D19D03D" w14:textId="77777777" w:rsidR="00DA752D" w:rsidRPr="00B47EAC" w:rsidRDefault="00DA752D" w:rsidP="00DA752D">
      <w:pPr>
        <w:rPr>
          <w:rFonts w:ascii="Arial" w:hAnsi="Arial" w:cs="Arial"/>
          <w:sz w:val="22"/>
          <w:szCs w:val="22"/>
        </w:rPr>
      </w:pPr>
    </w:p>
    <w:p w14:paraId="325662C4" w14:textId="77777777" w:rsidR="00DA752D" w:rsidRPr="00B47EAC" w:rsidRDefault="00DA752D" w:rsidP="00DA752D">
      <w:pPr>
        <w:jc w:val="both"/>
        <w:rPr>
          <w:rFonts w:ascii="Arial" w:hAnsi="Arial" w:cs="Arial"/>
          <w:b/>
          <w:sz w:val="22"/>
          <w:szCs w:val="22"/>
        </w:rPr>
      </w:pPr>
      <w:r w:rsidRPr="00B47EAC">
        <w:rPr>
          <w:rFonts w:ascii="Arial" w:hAnsi="Arial" w:cs="Arial"/>
          <w:b/>
          <w:sz w:val="22"/>
          <w:szCs w:val="22"/>
        </w:rPr>
        <w:t>Part II/I – Publicity</w:t>
      </w:r>
    </w:p>
    <w:p w14:paraId="3717D24B"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 xml:space="preserve">36. A key component in improving the democratisation of LGPS governance arrangements is to increase the awareness that opportunities exist for scheme member representatives and LGPS employers, for example, to become part of these arrangements. But the onus for increasing awareness should not rest entirely with the administering authority. It is just as much the role of scheme member representatives and scheme employers to keep abreast of developments in this field and to play an active part in the selection and appointment of </w:t>
      </w:r>
      <w:r w:rsidR="00A82870">
        <w:rPr>
          <w:rFonts w:ascii="Arial" w:hAnsi="Arial" w:cs="Arial"/>
          <w:sz w:val="22"/>
          <w:szCs w:val="22"/>
        </w:rPr>
        <w:t>panel</w:t>
      </w:r>
      <w:r w:rsidRPr="00B47EAC">
        <w:rPr>
          <w:rFonts w:ascii="Arial" w:hAnsi="Arial" w:cs="Arial"/>
          <w:sz w:val="22"/>
          <w:szCs w:val="22"/>
        </w:rPr>
        <w:t xml:space="preserve"> or panel members. This is best left to local choice and discretion. However, administering authorities are reminded that under Regulation 76B(1)(e) of the 1997 Regulations, the latest version of their Governance Compliance Statement must be included in their Pension Fund Annual Report. </w:t>
      </w:r>
    </w:p>
    <w:p w14:paraId="27EB5FF7" w14:textId="77777777" w:rsidR="00DA752D" w:rsidRPr="00B47EAC" w:rsidRDefault="00DA752D" w:rsidP="00DA752D">
      <w:pPr>
        <w:jc w:val="both"/>
        <w:rPr>
          <w:rFonts w:ascii="Arial" w:hAnsi="Arial" w:cs="Arial"/>
          <w:sz w:val="22"/>
          <w:szCs w:val="22"/>
        </w:rPr>
      </w:pPr>
    </w:p>
    <w:p w14:paraId="0BCD3C9C" w14:textId="77777777" w:rsidR="00DA752D" w:rsidRPr="00B47EAC" w:rsidRDefault="00DA752D" w:rsidP="00DA752D">
      <w:pPr>
        <w:jc w:val="both"/>
        <w:rPr>
          <w:rFonts w:ascii="Arial" w:hAnsi="Arial" w:cs="Arial"/>
          <w:sz w:val="22"/>
          <w:szCs w:val="22"/>
        </w:rPr>
      </w:pPr>
      <w:r w:rsidRPr="00B47EAC">
        <w:rPr>
          <w:rFonts w:ascii="Arial" w:hAnsi="Arial" w:cs="Arial"/>
          <w:sz w:val="22"/>
          <w:szCs w:val="22"/>
        </w:rPr>
        <w:t>a) That administering authorities have published details of their governance arrangements in such a way that stakeholders with an interest in the way in which the scheme is governed, can express an interest in wanting to be part of those arrangements.</w:t>
      </w:r>
    </w:p>
    <w:p w14:paraId="5B9AD0C9" w14:textId="77777777" w:rsidR="00DA752D" w:rsidRPr="00B47EAC" w:rsidRDefault="00DA752D" w:rsidP="00DA752D">
      <w:pPr>
        <w:rPr>
          <w:rFonts w:ascii="Arial" w:hAnsi="Arial" w:cs="Arial"/>
          <w:sz w:val="22"/>
          <w:szCs w:val="22"/>
        </w:rPr>
      </w:pPr>
    </w:p>
    <w:p w14:paraId="5D489DFD" w14:textId="77777777" w:rsidR="00DA752D" w:rsidRPr="00B47EAC" w:rsidRDefault="00DA752D" w:rsidP="00DA752D">
      <w:pPr>
        <w:rPr>
          <w:rFonts w:ascii="Arial" w:hAnsi="Arial" w:cs="Arial"/>
          <w:sz w:val="22"/>
          <w:szCs w:val="22"/>
        </w:rPr>
      </w:pPr>
      <w:r w:rsidRPr="00B47EAC">
        <w:rPr>
          <w:rFonts w:ascii="Arial" w:hAnsi="Arial" w:cs="Arial"/>
          <w:sz w:val="22"/>
          <w:szCs w:val="22"/>
        </w:rPr>
        <w:br w:type="page"/>
      </w:r>
    </w:p>
    <w:p w14:paraId="45E1CD20" w14:textId="169059AE" w:rsidR="00DA752D" w:rsidRPr="004C7CE4" w:rsidRDefault="00516E75" w:rsidP="00DA752D">
      <w:pPr>
        <w:rPr>
          <w:sz w:val="22"/>
          <w:szCs w:val="22"/>
        </w:rPr>
      </w:pPr>
      <w:r>
        <w:rPr>
          <w:b/>
          <w:noProof/>
          <w:sz w:val="26"/>
          <w:szCs w:val="26"/>
          <w:u w:val="single"/>
          <w:lang w:eastAsia="en-GB"/>
        </w:rPr>
        <mc:AlternateContent>
          <mc:Choice Requires="wps">
            <w:drawing>
              <wp:anchor distT="0" distB="0" distL="114300" distR="114300" simplePos="0" relativeHeight="251633664" behindDoc="0" locked="0" layoutInCell="1" allowOverlap="1" wp14:anchorId="7B06E703" wp14:editId="2DCC6D78">
                <wp:simplePos x="0" y="0"/>
                <wp:positionH relativeFrom="column">
                  <wp:posOffset>4318635</wp:posOffset>
                </wp:positionH>
                <wp:positionV relativeFrom="paragraph">
                  <wp:posOffset>-241300</wp:posOffset>
                </wp:positionV>
                <wp:extent cx="1171575" cy="378460"/>
                <wp:effectExtent l="0" t="0" r="0" b="0"/>
                <wp:wrapNone/>
                <wp:docPr id="37"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78460"/>
                        </a:xfrm>
                        <a:prstGeom prst="rect">
                          <a:avLst/>
                        </a:prstGeom>
                        <a:solidFill>
                          <a:srgbClr val="FFFFFF"/>
                        </a:solidFill>
                        <a:ln w="9525">
                          <a:solidFill>
                            <a:srgbClr val="000000"/>
                          </a:solidFill>
                          <a:miter lim="800000"/>
                          <a:headEnd/>
                          <a:tailEnd/>
                        </a:ln>
                      </wps:spPr>
                      <wps:txbx>
                        <w:txbxContent>
                          <w:p w14:paraId="611471DD" w14:textId="77777777" w:rsidR="00F3354E" w:rsidRPr="00EF67BB" w:rsidRDefault="00F3354E" w:rsidP="00DA752D">
                            <w:pPr>
                              <w:rPr>
                                <w:rFonts w:ascii="Arial" w:hAnsi="Arial" w:cs="Arial"/>
                                <w:b/>
                                <w:sz w:val="24"/>
                                <w:szCs w:val="24"/>
                              </w:rPr>
                            </w:pPr>
                            <w:r w:rsidRPr="00EF67BB">
                              <w:rPr>
                                <w:rFonts w:ascii="Arial" w:hAnsi="Arial" w:cs="Arial"/>
                                <w:b/>
                                <w:sz w:val="24"/>
                                <w:szCs w:val="24"/>
                              </w:rPr>
                              <w:t>Appendix</w:t>
                            </w:r>
                            <w:r>
                              <w:rPr>
                                <w:rFonts w:ascii="Arial" w:hAnsi="Arial" w:cs="Arial"/>
                                <w:b/>
                                <w:sz w:val="24"/>
                                <w:szCs w:val="24"/>
                              </w:rPr>
                              <w:t xml:space="preserve"> C</w:t>
                            </w:r>
                            <w:r w:rsidRPr="00EF67BB">
                              <w:rPr>
                                <w:rFonts w:ascii="Arial" w:hAnsi="Arial" w:cs="Arial"/>
                                <w:b/>
                                <w:sz w:val="24"/>
                                <w:szCs w:val="24"/>
                              </w:rPr>
                              <w:t xml:space="preserve"> </w:t>
                            </w:r>
                            <w:r>
                              <w:rPr>
                                <w:rFonts w:ascii="Arial" w:hAnsi="Arial" w:cs="Arial"/>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6E703" id="Text Box 404" o:spid="_x0000_s1092" type="#_x0000_t202" style="position:absolute;margin-left:340.05pt;margin-top:-19pt;width:92.25pt;height:29.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">
                <v:textbox>
                  <w:txbxContent>
                    <w:p w14:paraId="611471DD" w14:textId="77777777" w:rsidR="00F3354E" w:rsidRPr="00EF67BB" w:rsidRDefault="00F3354E" w:rsidP="00DA752D">
                      <w:pPr>
                        <w:rPr>
                          <w:rFonts w:ascii="Arial" w:hAnsi="Arial" w:cs="Arial"/>
                          <w:b/>
                          <w:sz w:val="24"/>
                          <w:szCs w:val="24"/>
                        </w:rPr>
                      </w:pPr>
                      <w:r w:rsidRPr="00EF67BB">
                        <w:rPr>
                          <w:rFonts w:ascii="Arial" w:hAnsi="Arial" w:cs="Arial"/>
                          <w:b/>
                          <w:sz w:val="24"/>
                          <w:szCs w:val="24"/>
                        </w:rPr>
                        <w:t>Appendix</w:t>
                      </w:r>
                      <w:r>
                        <w:rPr>
                          <w:rFonts w:ascii="Arial" w:hAnsi="Arial" w:cs="Arial"/>
                          <w:b/>
                          <w:sz w:val="24"/>
                          <w:szCs w:val="24"/>
                        </w:rPr>
                        <w:t xml:space="preserve"> C</w:t>
                      </w:r>
                      <w:r w:rsidRPr="00EF67BB">
                        <w:rPr>
                          <w:rFonts w:ascii="Arial" w:hAnsi="Arial" w:cs="Arial"/>
                          <w:b/>
                          <w:sz w:val="24"/>
                          <w:szCs w:val="24"/>
                        </w:rPr>
                        <w:t xml:space="preserve"> </w:t>
                      </w:r>
                      <w:r>
                        <w:rPr>
                          <w:rFonts w:ascii="Arial" w:hAnsi="Arial" w:cs="Arial"/>
                          <w:b/>
                          <w:sz w:val="24"/>
                          <w:szCs w:val="24"/>
                        </w:rPr>
                        <w:t xml:space="preserve"> </w:t>
                      </w:r>
                    </w:p>
                  </w:txbxContent>
                </v:textbox>
              </v:shape>
            </w:pict>
          </mc:Fallback>
        </mc:AlternateContent>
      </w:r>
    </w:p>
    <w:p w14:paraId="028712C7" w14:textId="77777777" w:rsidR="00DA752D" w:rsidRPr="004C7CE4" w:rsidRDefault="00DA752D" w:rsidP="00DA752D">
      <w:pPr>
        <w:ind w:left="720"/>
        <w:jc w:val="both"/>
        <w:rPr>
          <w:b/>
          <w:sz w:val="22"/>
          <w:szCs w:val="22"/>
        </w:rPr>
      </w:pPr>
    </w:p>
    <w:p w14:paraId="12E82115" w14:textId="77777777" w:rsidR="00DA752D" w:rsidRPr="00B47EAC" w:rsidRDefault="00DA752D" w:rsidP="00DA752D">
      <w:pPr>
        <w:jc w:val="both"/>
        <w:rPr>
          <w:rFonts w:ascii="Arial" w:hAnsi="Arial" w:cs="Arial"/>
          <w:b/>
          <w:sz w:val="24"/>
          <w:szCs w:val="24"/>
          <w:u w:val="single"/>
        </w:rPr>
      </w:pPr>
      <w:r w:rsidRPr="00B47EAC">
        <w:rPr>
          <w:rFonts w:ascii="Arial" w:hAnsi="Arial" w:cs="Arial"/>
          <w:b/>
          <w:sz w:val="24"/>
          <w:szCs w:val="24"/>
          <w:u w:val="single"/>
        </w:rPr>
        <w:t xml:space="preserve">Compliance Statement of the City &amp; County of Swansea Pension Fund </w:t>
      </w:r>
    </w:p>
    <w:p w14:paraId="6E49CC5D" w14:textId="77777777" w:rsidR="00DA752D" w:rsidRPr="00B47EAC" w:rsidRDefault="00DA752D" w:rsidP="00DA752D">
      <w:pPr>
        <w:jc w:val="both"/>
        <w:rPr>
          <w:rFonts w:ascii="Arial" w:hAnsi="Arial" w:cs="Arial"/>
          <w:b/>
          <w:sz w:val="24"/>
          <w:szCs w:val="24"/>
        </w:rPr>
      </w:pPr>
    </w:p>
    <w:p w14:paraId="2032034C" w14:textId="77777777" w:rsidR="00DA752D" w:rsidRPr="00B47EAC" w:rsidRDefault="00DA752D" w:rsidP="00DA752D">
      <w:pPr>
        <w:rPr>
          <w:rFonts w:ascii="Arial" w:hAnsi="Arial" w:cs="Arial"/>
          <w:b/>
          <w:sz w:val="24"/>
          <w:szCs w:val="24"/>
          <w:u w:val="single"/>
        </w:rPr>
      </w:pPr>
      <w:r w:rsidRPr="00B47EAC">
        <w:rPr>
          <w:rFonts w:ascii="Arial" w:hAnsi="Arial" w:cs="Arial"/>
          <w:b/>
          <w:sz w:val="24"/>
          <w:szCs w:val="24"/>
          <w:u w:val="single"/>
        </w:rPr>
        <w:t>Principle  A – Structure</w:t>
      </w:r>
    </w:p>
    <w:p w14:paraId="39B549A9" w14:textId="77777777" w:rsidR="00DA752D" w:rsidRPr="00B47EAC" w:rsidRDefault="00DA752D" w:rsidP="00DA752D">
      <w:pPr>
        <w:rPr>
          <w:rFonts w:ascii="Arial" w:hAnsi="Arial" w:cs="Arial"/>
          <w:b/>
          <w:sz w:val="24"/>
          <w:szCs w:val="24"/>
          <w:u w:val="single"/>
        </w:rPr>
      </w:pPr>
    </w:p>
    <w:p w14:paraId="7AD7A412"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
        <w:gridCol w:w="1890"/>
        <w:gridCol w:w="1554"/>
        <w:gridCol w:w="1620"/>
        <w:gridCol w:w="1260"/>
        <w:gridCol w:w="1754"/>
      </w:tblGrid>
      <w:tr w:rsidR="00DA752D" w:rsidRPr="00814920" w14:paraId="422A5ED5" w14:textId="77777777" w:rsidTr="00814920">
        <w:tc>
          <w:tcPr>
            <w:tcW w:w="444" w:type="dxa"/>
            <w:shd w:val="clear" w:color="auto" w:fill="auto"/>
          </w:tcPr>
          <w:p w14:paraId="3DBE31E9" w14:textId="77777777" w:rsidR="00DA752D" w:rsidRPr="00814920" w:rsidRDefault="00DA752D" w:rsidP="00B0151D">
            <w:pPr>
              <w:rPr>
                <w:rFonts w:ascii="Arial" w:hAnsi="Arial" w:cs="Arial"/>
                <w:sz w:val="24"/>
                <w:szCs w:val="24"/>
              </w:rPr>
            </w:pPr>
          </w:p>
        </w:tc>
        <w:tc>
          <w:tcPr>
            <w:tcW w:w="8078" w:type="dxa"/>
            <w:gridSpan w:val="5"/>
            <w:shd w:val="clear" w:color="auto" w:fill="auto"/>
          </w:tcPr>
          <w:p w14:paraId="448D9CB9" w14:textId="77777777" w:rsidR="006513B0" w:rsidRPr="00814920" w:rsidRDefault="00DA752D" w:rsidP="00B0151D">
            <w:pPr>
              <w:rPr>
                <w:rFonts w:ascii="Arial" w:hAnsi="Arial" w:cs="Arial"/>
                <w:b/>
                <w:sz w:val="24"/>
                <w:szCs w:val="24"/>
              </w:rPr>
            </w:pPr>
            <w:r w:rsidRPr="00814920">
              <w:rPr>
                <w:rFonts w:ascii="Arial" w:hAnsi="Arial" w:cs="Arial"/>
                <w:b/>
                <w:sz w:val="24"/>
                <w:szCs w:val="24"/>
              </w:rPr>
              <w:t xml:space="preserve"> N</w:t>
            </w:r>
            <w:r w:rsidR="008B43D2" w:rsidRPr="00814920">
              <w:rPr>
                <w:rFonts w:ascii="Arial" w:hAnsi="Arial" w:cs="Arial"/>
                <w:b/>
                <w:sz w:val="24"/>
                <w:szCs w:val="24"/>
              </w:rPr>
              <w:t>o</w:t>
            </w:r>
            <w:r w:rsidRPr="00814920">
              <w:rPr>
                <w:rFonts w:ascii="Arial" w:hAnsi="Arial" w:cs="Arial"/>
                <w:b/>
                <w:sz w:val="24"/>
                <w:szCs w:val="24"/>
              </w:rPr>
              <w:t xml:space="preserve">t Compliant*                                                       </w:t>
            </w:r>
            <w:r w:rsidR="008B43D2" w:rsidRPr="00814920">
              <w:rPr>
                <w:rFonts w:ascii="Arial" w:hAnsi="Arial" w:cs="Arial"/>
                <w:b/>
                <w:sz w:val="24"/>
                <w:szCs w:val="24"/>
              </w:rPr>
              <w:t>Fully Compliant</w:t>
            </w:r>
          </w:p>
          <w:p w14:paraId="07C24053" w14:textId="77777777" w:rsidR="00DA752D" w:rsidRPr="00814920" w:rsidRDefault="00DA752D" w:rsidP="00B0151D">
            <w:pPr>
              <w:rPr>
                <w:rFonts w:ascii="Arial" w:hAnsi="Arial" w:cs="Arial"/>
                <w:b/>
                <w:sz w:val="24"/>
                <w:szCs w:val="24"/>
              </w:rPr>
            </w:pPr>
          </w:p>
        </w:tc>
      </w:tr>
      <w:tr w:rsidR="00DA752D" w:rsidRPr="00814920" w14:paraId="3BAAF51B" w14:textId="77777777" w:rsidTr="00814920">
        <w:tc>
          <w:tcPr>
            <w:tcW w:w="444" w:type="dxa"/>
            <w:shd w:val="clear" w:color="auto" w:fill="auto"/>
          </w:tcPr>
          <w:p w14:paraId="6E84F16F" w14:textId="77777777" w:rsidR="00DA752D" w:rsidRPr="00814920" w:rsidRDefault="00DA752D" w:rsidP="00B0151D">
            <w:pPr>
              <w:rPr>
                <w:rFonts w:ascii="Arial" w:hAnsi="Arial" w:cs="Arial"/>
                <w:b/>
                <w:i/>
                <w:sz w:val="24"/>
                <w:szCs w:val="24"/>
              </w:rPr>
            </w:pPr>
            <w:r w:rsidRPr="00814920">
              <w:rPr>
                <w:rFonts w:ascii="Arial" w:hAnsi="Arial" w:cs="Arial"/>
                <w:b/>
                <w:sz w:val="24"/>
                <w:szCs w:val="24"/>
              </w:rPr>
              <w:t>a)</w:t>
            </w:r>
          </w:p>
        </w:tc>
        <w:tc>
          <w:tcPr>
            <w:tcW w:w="1890" w:type="dxa"/>
            <w:shd w:val="clear" w:color="auto" w:fill="auto"/>
          </w:tcPr>
          <w:p w14:paraId="7D2F2A47"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1575E8D8"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67727478"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2CEAFCCE"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4DF1432D" w14:textId="77777777" w:rsidR="00DA752D" w:rsidRPr="00814920" w:rsidRDefault="00DA752D" w:rsidP="00B0151D">
            <w:pPr>
              <w:rPr>
                <w:rFonts w:ascii="Arial" w:hAnsi="Arial" w:cs="Arial"/>
                <w:b/>
                <w:sz w:val="24"/>
                <w:szCs w:val="24"/>
              </w:rPr>
            </w:pPr>
            <w:r w:rsidRPr="00814920">
              <w:rPr>
                <w:rFonts w:ascii="Arial" w:hAnsi="Arial" w:cs="Arial"/>
                <w:b/>
                <w:sz w:val="24"/>
                <w:szCs w:val="24"/>
              </w:rPr>
              <w:sym w:font="Wingdings" w:char="F0FC"/>
            </w:r>
          </w:p>
        </w:tc>
      </w:tr>
      <w:tr w:rsidR="00DA752D" w:rsidRPr="00814920" w14:paraId="4D28CD0D" w14:textId="77777777" w:rsidTr="00814920">
        <w:tc>
          <w:tcPr>
            <w:tcW w:w="444" w:type="dxa"/>
            <w:shd w:val="clear" w:color="auto" w:fill="auto"/>
          </w:tcPr>
          <w:p w14:paraId="2889EBE5" w14:textId="77777777" w:rsidR="00DA752D" w:rsidRPr="00814920" w:rsidRDefault="00DA752D" w:rsidP="00B0151D">
            <w:pPr>
              <w:rPr>
                <w:rFonts w:ascii="Arial" w:hAnsi="Arial" w:cs="Arial"/>
                <w:b/>
                <w:sz w:val="24"/>
                <w:szCs w:val="24"/>
              </w:rPr>
            </w:pPr>
            <w:r w:rsidRPr="00814920">
              <w:rPr>
                <w:rFonts w:ascii="Arial" w:hAnsi="Arial" w:cs="Arial"/>
                <w:b/>
                <w:sz w:val="24"/>
                <w:szCs w:val="24"/>
              </w:rPr>
              <w:t>b)</w:t>
            </w:r>
          </w:p>
        </w:tc>
        <w:tc>
          <w:tcPr>
            <w:tcW w:w="1890" w:type="dxa"/>
            <w:shd w:val="clear" w:color="auto" w:fill="auto"/>
          </w:tcPr>
          <w:p w14:paraId="4E2B76EC"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747E278E"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26C05B0A"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3C714A34" w14:textId="77777777" w:rsidR="00DA752D" w:rsidRPr="00814920" w:rsidRDefault="00DA752D" w:rsidP="00B0151D">
            <w:pPr>
              <w:rPr>
                <w:rFonts w:ascii="Arial" w:hAnsi="Arial" w:cs="Arial"/>
                <w:b/>
                <w:sz w:val="24"/>
                <w:szCs w:val="24"/>
                <w:u w:val="single"/>
              </w:rPr>
            </w:pPr>
            <w:r w:rsidRPr="00814920">
              <w:rPr>
                <w:rFonts w:ascii="Arial" w:hAnsi="Arial" w:cs="Arial"/>
                <w:b/>
                <w:sz w:val="24"/>
                <w:szCs w:val="24"/>
              </w:rPr>
              <w:sym w:font="Wingdings" w:char="F0FC"/>
            </w:r>
          </w:p>
        </w:tc>
        <w:tc>
          <w:tcPr>
            <w:tcW w:w="1754" w:type="dxa"/>
            <w:shd w:val="clear" w:color="auto" w:fill="auto"/>
          </w:tcPr>
          <w:p w14:paraId="61386FE0" w14:textId="77777777" w:rsidR="00DA752D" w:rsidRPr="00814920" w:rsidRDefault="00DA752D" w:rsidP="00B0151D">
            <w:pPr>
              <w:rPr>
                <w:rFonts w:ascii="Arial" w:hAnsi="Arial" w:cs="Arial"/>
                <w:b/>
                <w:sz w:val="24"/>
                <w:szCs w:val="24"/>
                <w:u w:val="single"/>
              </w:rPr>
            </w:pPr>
          </w:p>
        </w:tc>
      </w:tr>
      <w:tr w:rsidR="00DA752D" w:rsidRPr="00814920" w14:paraId="399A7FC5" w14:textId="77777777" w:rsidTr="00814920">
        <w:tc>
          <w:tcPr>
            <w:tcW w:w="444" w:type="dxa"/>
            <w:shd w:val="clear" w:color="auto" w:fill="auto"/>
          </w:tcPr>
          <w:p w14:paraId="314F3C0C" w14:textId="77777777" w:rsidR="00DA752D" w:rsidRPr="00814920" w:rsidRDefault="00DA752D" w:rsidP="00B0151D">
            <w:pPr>
              <w:rPr>
                <w:rFonts w:ascii="Arial" w:hAnsi="Arial" w:cs="Arial"/>
                <w:b/>
                <w:sz w:val="24"/>
                <w:szCs w:val="24"/>
              </w:rPr>
            </w:pPr>
            <w:r w:rsidRPr="00814920">
              <w:rPr>
                <w:rFonts w:ascii="Arial" w:hAnsi="Arial" w:cs="Arial"/>
                <w:b/>
                <w:sz w:val="24"/>
                <w:szCs w:val="24"/>
              </w:rPr>
              <w:t>c)</w:t>
            </w:r>
          </w:p>
        </w:tc>
        <w:tc>
          <w:tcPr>
            <w:tcW w:w="1890" w:type="dxa"/>
            <w:shd w:val="clear" w:color="auto" w:fill="auto"/>
          </w:tcPr>
          <w:p w14:paraId="47BF6769"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14EEF2D3"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2DE64DAA"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773E3165"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27F9EA33" w14:textId="77777777" w:rsidR="00DA752D" w:rsidRPr="00814920" w:rsidRDefault="00DA752D" w:rsidP="00B0151D">
            <w:pPr>
              <w:rPr>
                <w:rFonts w:ascii="Arial" w:hAnsi="Arial" w:cs="Arial"/>
                <w:b/>
                <w:sz w:val="24"/>
                <w:szCs w:val="24"/>
              </w:rPr>
            </w:pPr>
            <w:r w:rsidRPr="00814920">
              <w:rPr>
                <w:rFonts w:ascii="Arial" w:hAnsi="Arial" w:cs="Arial"/>
                <w:b/>
                <w:sz w:val="24"/>
                <w:szCs w:val="24"/>
              </w:rPr>
              <w:t>N/A</w:t>
            </w:r>
          </w:p>
        </w:tc>
      </w:tr>
      <w:tr w:rsidR="00DA752D" w:rsidRPr="00814920" w14:paraId="2C5D2741" w14:textId="77777777" w:rsidTr="00814920">
        <w:tc>
          <w:tcPr>
            <w:tcW w:w="444" w:type="dxa"/>
            <w:shd w:val="clear" w:color="auto" w:fill="auto"/>
          </w:tcPr>
          <w:p w14:paraId="772468DA" w14:textId="77777777" w:rsidR="00DA752D" w:rsidRPr="00814920" w:rsidRDefault="00DA752D" w:rsidP="00B0151D">
            <w:pPr>
              <w:rPr>
                <w:rFonts w:ascii="Arial" w:hAnsi="Arial" w:cs="Arial"/>
                <w:b/>
                <w:sz w:val="24"/>
                <w:szCs w:val="24"/>
              </w:rPr>
            </w:pPr>
            <w:r w:rsidRPr="00814920">
              <w:rPr>
                <w:rFonts w:ascii="Arial" w:hAnsi="Arial" w:cs="Arial"/>
                <w:b/>
                <w:sz w:val="24"/>
                <w:szCs w:val="24"/>
              </w:rPr>
              <w:t>d)</w:t>
            </w:r>
          </w:p>
        </w:tc>
        <w:tc>
          <w:tcPr>
            <w:tcW w:w="1890" w:type="dxa"/>
            <w:shd w:val="clear" w:color="auto" w:fill="auto"/>
          </w:tcPr>
          <w:p w14:paraId="4AD76D8E"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4592ABE4"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26D9125C"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70A226AA"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17B24065" w14:textId="77777777" w:rsidR="00DA752D" w:rsidRPr="00814920" w:rsidRDefault="00DA752D" w:rsidP="00B0151D">
            <w:pPr>
              <w:rPr>
                <w:rFonts w:ascii="Arial" w:hAnsi="Arial" w:cs="Arial"/>
                <w:b/>
                <w:sz w:val="24"/>
                <w:szCs w:val="24"/>
              </w:rPr>
            </w:pPr>
            <w:r w:rsidRPr="00814920">
              <w:rPr>
                <w:rFonts w:ascii="Arial" w:hAnsi="Arial" w:cs="Arial"/>
                <w:b/>
                <w:sz w:val="24"/>
                <w:szCs w:val="24"/>
              </w:rPr>
              <w:t>N/A</w:t>
            </w:r>
          </w:p>
        </w:tc>
      </w:tr>
    </w:tbl>
    <w:p w14:paraId="0CB7A3CF" w14:textId="77777777" w:rsidR="00DA752D" w:rsidRPr="00B47EAC" w:rsidRDefault="00DA752D" w:rsidP="00DA752D">
      <w:pPr>
        <w:rPr>
          <w:rFonts w:ascii="Arial" w:hAnsi="Arial" w:cs="Arial"/>
          <w:b/>
          <w:sz w:val="24"/>
          <w:szCs w:val="24"/>
          <w:u w:val="single"/>
        </w:rPr>
      </w:pPr>
    </w:p>
    <w:p w14:paraId="7C1402B4" w14:textId="77777777" w:rsidR="00DA752D" w:rsidRPr="00B47EAC" w:rsidRDefault="00DA752D" w:rsidP="00DA752D">
      <w:pPr>
        <w:rPr>
          <w:rFonts w:ascii="Arial" w:hAnsi="Arial" w:cs="Arial"/>
          <w:b/>
          <w:sz w:val="24"/>
          <w:szCs w:val="24"/>
          <w:u w:val="single"/>
        </w:rPr>
      </w:pPr>
    </w:p>
    <w:p w14:paraId="26B8B0AC"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3B1F7906" w14:textId="77777777" w:rsidTr="00814920">
        <w:tc>
          <w:tcPr>
            <w:tcW w:w="14174" w:type="dxa"/>
            <w:shd w:val="clear" w:color="auto" w:fill="auto"/>
          </w:tcPr>
          <w:p w14:paraId="165E84F0" w14:textId="77777777" w:rsidR="00DA752D" w:rsidRPr="00814920" w:rsidRDefault="00DA752D" w:rsidP="00B0151D">
            <w:pPr>
              <w:rPr>
                <w:rFonts w:ascii="Arial" w:hAnsi="Arial" w:cs="Arial"/>
                <w:sz w:val="24"/>
                <w:szCs w:val="24"/>
              </w:rPr>
            </w:pPr>
            <w:r w:rsidRPr="00814920">
              <w:rPr>
                <w:rFonts w:ascii="Arial" w:hAnsi="Arial" w:cs="Arial"/>
                <w:sz w:val="24"/>
                <w:szCs w:val="24"/>
              </w:rPr>
              <w:t>* Please use this space to explain the reason for non-compliance (regulation 73A(1)(c)/1997 Regulations)</w:t>
            </w:r>
          </w:p>
          <w:p w14:paraId="431EA57B" w14:textId="77777777" w:rsidR="00DA752D" w:rsidRPr="00814920" w:rsidRDefault="00DA752D" w:rsidP="00B0151D">
            <w:pPr>
              <w:rPr>
                <w:rFonts w:ascii="Arial" w:hAnsi="Arial" w:cs="Arial"/>
                <w:sz w:val="24"/>
                <w:szCs w:val="24"/>
              </w:rPr>
            </w:pPr>
          </w:p>
          <w:p w14:paraId="09BF45AA" w14:textId="77777777" w:rsidR="00DA752D" w:rsidRPr="00814920" w:rsidRDefault="00DA752D" w:rsidP="00B0151D">
            <w:pPr>
              <w:rPr>
                <w:rFonts w:ascii="Arial" w:hAnsi="Arial" w:cs="Arial"/>
                <w:sz w:val="24"/>
                <w:szCs w:val="24"/>
              </w:rPr>
            </w:pPr>
          </w:p>
          <w:p w14:paraId="09E04668" w14:textId="77777777" w:rsidR="00DA752D" w:rsidRPr="00814920" w:rsidRDefault="00DA752D" w:rsidP="00B0151D">
            <w:pPr>
              <w:rPr>
                <w:rFonts w:ascii="Arial" w:hAnsi="Arial" w:cs="Arial"/>
                <w:sz w:val="24"/>
                <w:szCs w:val="24"/>
              </w:rPr>
            </w:pPr>
          </w:p>
          <w:p w14:paraId="7BF9A75E" w14:textId="77777777" w:rsidR="00DA752D" w:rsidRPr="00814920" w:rsidRDefault="00DA752D" w:rsidP="00B0151D">
            <w:pPr>
              <w:rPr>
                <w:rFonts w:ascii="Arial" w:hAnsi="Arial" w:cs="Arial"/>
                <w:sz w:val="24"/>
                <w:szCs w:val="24"/>
              </w:rPr>
            </w:pPr>
          </w:p>
          <w:p w14:paraId="3396CC11" w14:textId="77777777" w:rsidR="00DA752D" w:rsidRPr="00814920" w:rsidRDefault="00DA752D" w:rsidP="00B0151D">
            <w:pPr>
              <w:rPr>
                <w:rFonts w:ascii="Arial" w:hAnsi="Arial" w:cs="Arial"/>
                <w:sz w:val="24"/>
                <w:szCs w:val="24"/>
              </w:rPr>
            </w:pPr>
          </w:p>
        </w:tc>
      </w:tr>
    </w:tbl>
    <w:p w14:paraId="4172B4A5" w14:textId="77777777" w:rsidR="00DA752D" w:rsidRPr="00B47EAC" w:rsidRDefault="00DA752D" w:rsidP="00DA752D">
      <w:pPr>
        <w:rPr>
          <w:rFonts w:ascii="Arial" w:hAnsi="Arial" w:cs="Arial"/>
          <w:b/>
          <w:sz w:val="24"/>
          <w:szCs w:val="24"/>
          <w:u w:val="single"/>
        </w:rPr>
      </w:pPr>
    </w:p>
    <w:p w14:paraId="6888F322" w14:textId="77777777" w:rsidR="00DA752D" w:rsidRPr="00B47EAC" w:rsidRDefault="00DA752D" w:rsidP="00DA752D">
      <w:pPr>
        <w:rPr>
          <w:rFonts w:ascii="Arial" w:hAnsi="Arial" w:cs="Arial"/>
          <w:b/>
          <w:sz w:val="24"/>
          <w:szCs w:val="24"/>
          <w:u w:val="single"/>
        </w:rPr>
      </w:pPr>
    </w:p>
    <w:p w14:paraId="68E44D58"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6FD75794" w14:textId="77777777" w:rsidTr="00814920">
        <w:tc>
          <w:tcPr>
            <w:tcW w:w="14174" w:type="dxa"/>
            <w:shd w:val="clear" w:color="auto" w:fill="auto"/>
          </w:tcPr>
          <w:p w14:paraId="19781BB0" w14:textId="77777777" w:rsidR="00DA752D" w:rsidRPr="00814920" w:rsidRDefault="00DA752D" w:rsidP="00B0151D">
            <w:pPr>
              <w:rPr>
                <w:rFonts w:ascii="Arial" w:hAnsi="Arial" w:cs="Arial"/>
                <w:sz w:val="24"/>
                <w:szCs w:val="24"/>
              </w:rPr>
            </w:pPr>
            <w:r w:rsidRPr="00814920">
              <w:rPr>
                <w:rFonts w:ascii="Arial" w:hAnsi="Arial" w:cs="Arial"/>
                <w:sz w:val="24"/>
                <w:szCs w:val="24"/>
              </w:rPr>
              <w:t>Please use this space if you wish to add anything to explain or expand on the ratings given above :-</w:t>
            </w:r>
          </w:p>
          <w:p w14:paraId="2FCAE5F0" w14:textId="77777777" w:rsidR="00DA752D" w:rsidRPr="00814920" w:rsidRDefault="00DA752D" w:rsidP="00B0151D">
            <w:pPr>
              <w:rPr>
                <w:rFonts w:ascii="Arial" w:hAnsi="Arial" w:cs="Arial"/>
                <w:sz w:val="24"/>
                <w:szCs w:val="24"/>
              </w:rPr>
            </w:pPr>
          </w:p>
          <w:p w14:paraId="15E3E81B" w14:textId="77777777" w:rsidR="00DA752D" w:rsidRPr="00814920" w:rsidRDefault="00DA752D" w:rsidP="00B0151D">
            <w:pPr>
              <w:rPr>
                <w:rFonts w:ascii="Arial" w:hAnsi="Arial" w:cs="Arial"/>
                <w:sz w:val="24"/>
                <w:szCs w:val="24"/>
              </w:rPr>
            </w:pPr>
            <w:r w:rsidRPr="00814920">
              <w:rPr>
                <w:rFonts w:ascii="Arial" w:hAnsi="Arial" w:cs="Arial"/>
                <w:b/>
                <w:sz w:val="24"/>
                <w:szCs w:val="24"/>
              </w:rPr>
              <w:t xml:space="preserve">b) </w:t>
            </w:r>
            <w:r w:rsidRPr="00814920">
              <w:rPr>
                <w:rFonts w:ascii="Arial" w:hAnsi="Arial" w:cs="Arial"/>
                <w:sz w:val="24"/>
                <w:szCs w:val="24"/>
              </w:rPr>
              <w:t xml:space="preserve">A representative from a non admin authority employer has full-voting representation on the main </w:t>
            </w:r>
            <w:r w:rsidR="00A82870">
              <w:rPr>
                <w:rFonts w:ascii="Arial" w:hAnsi="Arial" w:cs="Arial"/>
                <w:sz w:val="24"/>
                <w:szCs w:val="24"/>
              </w:rPr>
              <w:t>panel</w:t>
            </w:r>
          </w:p>
          <w:p w14:paraId="634C04F6" w14:textId="77777777" w:rsidR="00DA752D" w:rsidRPr="00814920" w:rsidRDefault="00DA752D" w:rsidP="00B0151D">
            <w:pPr>
              <w:rPr>
                <w:rFonts w:ascii="Arial" w:hAnsi="Arial" w:cs="Arial"/>
                <w:sz w:val="24"/>
                <w:szCs w:val="24"/>
              </w:rPr>
            </w:pPr>
          </w:p>
          <w:p w14:paraId="76673133" w14:textId="77777777" w:rsidR="00DA752D" w:rsidRPr="00814920" w:rsidRDefault="00DA752D" w:rsidP="00B0151D">
            <w:pPr>
              <w:rPr>
                <w:rFonts w:ascii="Arial" w:hAnsi="Arial" w:cs="Arial"/>
                <w:sz w:val="24"/>
                <w:szCs w:val="24"/>
              </w:rPr>
            </w:pPr>
          </w:p>
        </w:tc>
      </w:tr>
    </w:tbl>
    <w:p w14:paraId="3347B1E4" w14:textId="77777777" w:rsidR="00DA752D" w:rsidRPr="00B47EAC" w:rsidRDefault="00DA752D" w:rsidP="00DA752D">
      <w:pPr>
        <w:rPr>
          <w:rFonts w:ascii="Arial" w:hAnsi="Arial" w:cs="Arial"/>
          <w:b/>
          <w:sz w:val="24"/>
          <w:szCs w:val="24"/>
          <w:u w:val="single"/>
        </w:rPr>
      </w:pPr>
      <w:r w:rsidRPr="00B47EAC">
        <w:rPr>
          <w:rFonts w:ascii="Arial" w:hAnsi="Arial" w:cs="Arial"/>
          <w:b/>
          <w:sz w:val="24"/>
          <w:szCs w:val="24"/>
          <w:u w:val="single"/>
        </w:rPr>
        <w:t>Principle  B – Representation</w:t>
      </w:r>
    </w:p>
    <w:p w14:paraId="60804BAC" w14:textId="77777777" w:rsidR="00DA752D" w:rsidRPr="00B47EAC" w:rsidRDefault="00DA752D" w:rsidP="00DA752D">
      <w:pPr>
        <w:rPr>
          <w:rFonts w:ascii="Arial" w:hAnsi="Arial" w:cs="Arial"/>
          <w:b/>
          <w:sz w:val="24"/>
          <w:szCs w:val="24"/>
          <w:u w:val="single"/>
        </w:rPr>
      </w:pPr>
    </w:p>
    <w:p w14:paraId="34E3E924"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DA752D" w:rsidRPr="00814920" w14:paraId="3D663BCC" w14:textId="77777777" w:rsidTr="00814920">
        <w:tc>
          <w:tcPr>
            <w:tcW w:w="828" w:type="dxa"/>
            <w:shd w:val="clear" w:color="auto" w:fill="auto"/>
          </w:tcPr>
          <w:p w14:paraId="2673D3E2" w14:textId="77777777" w:rsidR="00DA752D" w:rsidRPr="00814920" w:rsidRDefault="00DA752D" w:rsidP="00B0151D">
            <w:pPr>
              <w:rPr>
                <w:rFonts w:ascii="Arial" w:hAnsi="Arial" w:cs="Arial"/>
                <w:sz w:val="24"/>
                <w:szCs w:val="24"/>
              </w:rPr>
            </w:pPr>
          </w:p>
        </w:tc>
        <w:tc>
          <w:tcPr>
            <w:tcW w:w="7694" w:type="dxa"/>
            <w:gridSpan w:val="5"/>
            <w:shd w:val="clear" w:color="auto" w:fill="auto"/>
          </w:tcPr>
          <w:p w14:paraId="44945BB8" w14:textId="77777777" w:rsidR="00DA1B50" w:rsidRPr="00814920" w:rsidRDefault="00DA1B50" w:rsidP="00DA1B50">
            <w:pPr>
              <w:rPr>
                <w:rFonts w:ascii="Arial" w:hAnsi="Arial" w:cs="Arial"/>
                <w:b/>
                <w:sz w:val="24"/>
                <w:szCs w:val="24"/>
              </w:rPr>
            </w:pPr>
            <w:r w:rsidRPr="00814920">
              <w:rPr>
                <w:rFonts w:ascii="Arial" w:hAnsi="Arial" w:cs="Arial"/>
                <w:b/>
                <w:sz w:val="24"/>
                <w:szCs w:val="24"/>
              </w:rPr>
              <w:t>Not Compliant*                                                   Fully Compliant</w:t>
            </w:r>
          </w:p>
          <w:p w14:paraId="0A8F7ACA" w14:textId="77777777" w:rsidR="00DA752D" w:rsidRPr="00814920" w:rsidRDefault="00DA752D" w:rsidP="00B0151D">
            <w:pPr>
              <w:rPr>
                <w:rFonts w:ascii="Arial" w:hAnsi="Arial" w:cs="Arial"/>
                <w:b/>
                <w:sz w:val="24"/>
                <w:szCs w:val="24"/>
              </w:rPr>
            </w:pPr>
            <w:r w:rsidRPr="00814920">
              <w:rPr>
                <w:rFonts w:ascii="Arial" w:hAnsi="Arial" w:cs="Arial"/>
                <w:b/>
                <w:sz w:val="24"/>
                <w:szCs w:val="24"/>
              </w:rPr>
              <w:t xml:space="preserve"> </w:t>
            </w:r>
          </w:p>
        </w:tc>
      </w:tr>
      <w:tr w:rsidR="00DA752D" w:rsidRPr="00814920" w14:paraId="2F1F6FE9" w14:textId="77777777" w:rsidTr="00814920">
        <w:tc>
          <w:tcPr>
            <w:tcW w:w="828" w:type="dxa"/>
            <w:shd w:val="clear" w:color="auto" w:fill="auto"/>
          </w:tcPr>
          <w:p w14:paraId="1610E597" w14:textId="77777777" w:rsidR="00DA752D" w:rsidRPr="00814920" w:rsidRDefault="00DA752D" w:rsidP="00B0151D">
            <w:pPr>
              <w:rPr>
                <w:rFonts w:ascii="Arial" w:hAnsi="Arial" w:cs="Arial"/>
                <w:b/>
                <w:i/>
                <w:sz w:val="24"/>
                <w:szCs w:val="24"/>
              </w:rPr>
            </w:pPr>
            <w:r w:rsidRPr="00814920">
              <w:rPr>
                <w:rFonts w:ascii="Arial" w:hAnsi="Arial" w:cs="Arial"/>
                <w:b/>
                <w:sz w:val="24"/>
                <w:szCs w:val="24"/>
              </w:rPr>
              <w:t>a i)</w:t>
            </w:r>
          </w:p>
        </w:tc>
        <w:tc>
          <w:tcPr>
            <w:tcW w:w="1506" w:type="dxa"/>
            <w:shd w:val="clear" w:color="auto" w:fill="auto"/>
          </w:tcPr>
          <w:p w14:paraId="21449B96"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60119924"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1E2CD724"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39464A7C"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58A438AF" w14:textId="77777777" w:rsidR="00DA752D" w:rsidRPr="00814920" w:rsidRDefault="00DA752D" w:rsidP="00B0151D">
            <w:pPr>
              <w:rPr>
                <w:rFonts w:ascii="Arial" w:hAnsi="Arial" w:cs="Arial"/>
                <w:b/>
                <w:sz w:val="24"/>
                <w:szCs w:val="24"/>
              </w:rPr>
            </w:pPr>
            <w:r w:rsidRPr="00814920">
              <w:rPr>
                <w:rFonts w:ascii="Arial" w:hAnsi="Arial" w:cs="Arial"/>
                <w:b/>
                <w:sz w:val="24"/>
                <w:szCs w:val="24"/>
              </w:rPr>
              <w:sym w:font="Wingdings" w:char="F0FC"/>
            </w:r>
          </w:p>
        </w:tc>
      </w:tr>
      <w:tr w:rsidR="00DA752D" w:rsidRPr="00814920" w14:paraId="30563A90" w14:textId="77777777" w:rsidTr="00814920">
        <w:tc>
          <w:tcPr>
            <w:tcW w:w="828" w:type="dxa"/>
            <w:shd w:val="clear" w:color="auto" w:fill="auto"/>
          </w:tcPr>
          <w:p w14:paraId="64150B6B" w14:textId="77777777" w:rsidR="00DA752D" w:rsidRPr="00814920" w:rsidRDefault="00DA752D" w:rsidP="00B0151D">
            <w:pPr>
              <w:rPr>
                <w:rFonts w:ascii="Arial" w:hAnsi="Arial" w:cs="Arial"/>
                <w:b/>
                <w:sz w:val="24"/>
                <w:szCs w:val="24"/>
              </w:rPr>
            </w:pPr>
            <w:r w:rsidRPr="00814920">
              <w:rPr>
                <w:rFonts w:ascii="Arial" w:hAnsi="Arial" w:cs="Arial"/>
                <w:b/>
                <w:sz w:val="24"/>
                <w:szCs w:val="24"/>
              </w:rPr>
              <w:t>a ii)</w:t>
            </w:r>
          </w:p>
        </w:tc>
        <w:tc>
          <w:tcPr>
            <w:tcW w:w="1506" w:type="dxa"/>
            <w:shd w:val="clear" w:color="auto" w:fill="auto"/>
          </w:tcPr>
          <w:p w14:paraId="1663F68B" w14:textId="77777777" w:rsidR="00DA752D" w:rsidRPr="00814920" w:rsidRDefault="00DA752D" w:rsidP="00B0151D">
            <w:pPr>
              <w:rPr>
                <w:rFonts w:ascii="Arial" w:hAnsi="Arial" w:cs="Arial"/>
                <w:b/>
                <w:sz w:val="24"/>
                <w:szCs w:val="24"/>
                <w:u w:val="single"/>
              </w:rPr>
            </w:pPr>
            <w:r w:rsidRPr="00814920">
              <w:rPr>
                <w:rFonts w:ascii="Arial" w:hAnsi="Arial" w:cs="Arial"/>
                <w:b/>
                <w:sz w:val="24"/>
                <w:szCs w:val="24"/>
              </w:rPr>
              <w:sym w:font="Wingdings" w:char="F0FC"/>
            </w:r>
          </w:p>
        </w:tc>
        <w:tc>
          <w:tcPr>
            <w:tcW w:w="1554" w:type="dxa"/>
            <w:shd w:val="clear" w:color="auto" w:fill="auto"/>
          </w:tcPr>
          <w:p w14:paraId="13F5F0D7"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5D252060"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7457EC85"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6C19AEDD" w14:textId="77777777" w:rsidR="00DA752D" w:rsidRPr="00814920" w:rsidRDefault="00DA752D" w:rsidP="00B0151D">
            <w:pPr>
              <w:rPr>
                <w:rFonts w:ascii="Arial" w:hAnsi="Arial" w:cs="Arial"/>
                <w:b/>
                <w:sz w:val="24"/>
                <w:szCs w:val="24"/>
                <w:u w:val="single"/>
              </w:rPr>
            </w:pPr>
          </w:p>
        </w:tc>
      </w:tr>
      <w:tr w:rsidR="00DA752D" w:rsidRPr="00814920" w14:paraId="43C907A0" w14:textId="77777777" w:rsidTr="00814920">
        <w:tc>
          <w:tcPr>
            <w:tcW w:w="828" w:type="dxa"/>
            <w:shd w:val="clear" w:color="auto" w:fill="auto"/>
          </w:tcPr>
          <w:p w14:paraId="77117DE7" w14:textId="77777777" w:rsidR="00DA752D" w:rsidRPr="00814920" w:rsidRDefault="00DA752D" w:rsidP="00B0151D">
            <w:pPr>
              <w:rPr>
                <w:rFonts w:ascii="Arial" w:hAnsi="Arial" w:cs="Arial"/>
                <w:b/>
                <w:sz w:val="24"/>
                <w:szCs w:val="24"/>
              </w:rPr>
            </w:pPr>
            <w:r w:rsidRPr="00814920">
              <w:rPr>
                <w:rFonts w:ascii="Arial" w:hAnsi="Arial" w:cs="Arial"/>
                <w:b/>
                <w:sz w:val="24"/>
                <w:szCs w:val="24"/>
              </w:rPr>
              <w:t>a iii)</w:t>
            </w:r>
          </w:p>
        </w:tc>
        <w:tc>
          <w:tcPr>
            <w:tcW w:w="1506" w:type="dxa"/>
            <w:shd w:val="clear" w:color="auto" w:fill="auto"/>
          </w:tcPr>
          <w:p w14:paraId="7517EDB7"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32078DC7"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66D6CE5A"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59B74256"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6678CFCE" w14:textId="77777777" w:rsidR="00DA752D" w:rsidRPr="00814920" w:rsidRDefault="00DA752D" w:rsidP="00B0151D">
            <w:pPr>
              <w:rPr>
                <w:rFonts w:ascii="Arial" w:hAnsi="Arial" w:cs="Arial"/>
                <w:b/>
                <w:sz w:val="24"/>
                <w:szCs w:val="24"/>
              </w:rPr>
            </w:pPr>
            <w:r w:rsidRPr="00814920">
              <w:rPr>
                <w:rFonts w:ascii="Arial" w:hAnsi="Arial" w:cs="Arial"/>
                <w:b/>
                <w:sz w:val="24"/>
                <w:szCs w:val="24"/>
              </w:rPr>
              <w:sym w:font="Wingdings" w:char="F0FC"/>
            </w:r>
          </w:p>
        </w:tc>
      </w:tr>
      <w:tr w:rsidR="00DA752D" w:rsidRPr="00814920" w14:paraId="537FB9C9" w14:textId="77777777" w:rsidTr="00814920">
        <w:tc>
          <w:tcPr>
            <w:tcW w:w="828" w:type="dxa"/>
            <w:shd w:val="clear" w:color="auto" w:fill="auto"/>
          </w:tcPr>
          <w:p w14:paraId="12364D49" w14:textId="77777777" w:rsidR="00DA752D" w:rsidRPr="00814920" w:rsidRDefault="00DA752D" w:rsidP="00B0151D">
            <w:pPr>
              <w:rPr>
                <w:rFonts w:ascii="Arial" w:hAnsi="Arial" w:cs="Arial"/>
                <w:b/>
                <w:sz w:val="24"/>
                <w:szCs w:val="24"/>
              </w:rPr>
            </w:pPr>
            <w:r w:rsidRPr="00814920">
              <w:rPr>
                <w:rFonts w:ascii="Arial" w:hAnsi="Arial" w:cs="Arial"/>
                <w:b/>
                <w:sz w:val="24"/>
                <w:szCs w:val="24"/>
              </w:rPr>
              <w:t>a iv)</w:t>
            </w:r>
          </w:p>
        </w:tc>
        <w:tc>
          <w:tcPr>
            <w:tcW w:w="1506" w:type="dxa"/>
            <w:shd w:val="clear" w:color="auto" w:fill="auto"/>
          </w:tcPr>
          <w:p w14:paraId="483F99EC"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4B00D99C"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7AA91E91"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4506AC44"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2C0B95D4" w14:textId="77777777" w:rsidR="00DA752D" w:rsidRPr="00814920" w:rsidRDefault="00DA752D" w:rsidP="00B0151D">
            <w:pPr>
              <w:rPr>
                <w:rFonts w:ascii="Arial" w:hAnsi="Arial" w:cs="Arial"/>
                <w:b/>
                <w:sz w:val="24"/>
                <w:szCs w:val="24"/>
              </w:rPr>
            </w:pPr>
            <w:r w:rsidRPr="00814920">
              <w:rPr>
                <w:rFonts w:ascii="Arial" w:hAnsi="Arial" w:cs="Arial"/>
                <w:b/>
                <w:sz w:val="24"/>
                <w:szCs w:val="24"/>
              </w:rPr>
              <w:sym w:font="Wingdings" w:char="F0FC"/>
            </w:r>
          </w:p>
        </w:tc>
      </w:tr>
      <w:tr w:rsidR="00DA752D" w:rsidRPr="00814920" w14:paraId="6029C899" w14:textId="77777777" w:rsidTr="00814920">
        <w:tc>
          <w:tcPr>
            <w:tcW w:w="828" w:type="dxa"/>
            <w:shd w:val="clear" w:color="auto" w:fill="auto"/>
          </w:tcPr>
          <w:p w14:paraId="660730B4" w14:textId="77777777" w:rsidR="00DA752D" w:rsidRPr="00814920" w:rsidRDefault="00DA752D" w:rsidP="00B0151D">
            <w:pPr>
              <w:rPr>
                <w:rFonts w:ascii="Arial" w:hAnsi="Arial" w:cs="Arial"/>
                <w:b/>
                <w:sz w:val="24"/>
                <w:szCs w:val="24"/>
              </w:rPr>
            </w:pPr>
            <w:r w:rsidRPr="00814920">
              <w:rPr>
                <w:rFonts w:ascii="Arial" w:hAnsi="Arial" w:cs="Arial"/>
                <w:b/>
                <w:sz w:val="24"/>
                <w:szCs w:val="24"/>
              </w:rPr>
              <w:t>b)</w:t>
            </w:r>
          </w:p>
        </w:tc>
        <w:tc>
          <w:tcPr>
            <w:tcW w:w="1506" w:type="dxa"/>
            <w:shd w:val="clear" w:color="auto" w:fill="auto"/>
          </w:tcPr>
          <w:p w14:paraId="3CE45DAE"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1FEAB275"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09CCE89B"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15043B55"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5E64E81F" w14:textId="77777777" w:rsidR="00DA752D" w:rsidRPr="00814920" w:rsidRDefault="00DA752D" w:rsidP="00B0151D">
            <w:pPr>
              <w:rPr>
                <w:rFonts w:ascii="Arial" w:hAnsi="Arial" w:cs="Arial"/>
                <w:b/>
                <w:sz w:val="24"/>
                <w:szCs w:val="24"/>
              </w:rPr>
            </w:pPr>
            <w:r w:rsidRPr="00814920">
              <w:rPr>
                <w:rFonts w:ascii="Arial" w:hAnsi="Arial" w:cs="Arial"/>
                <w:b/>
                <w:sz w:val="24"/>
                <w:szCs w:val="24"/>
              </w:rPr>
              <w:sym w:font="Wingdings" w:char="F0FC"/>
            </w:r>
          </w:p>
        </w:tc>
      </w:tr>
      <w:tr w:rsidR="00DA752D" w:rsidRPr="00814920" w14:paraId="244E74E5" w14:textId="77777777" w:rsidTr="00814920">
        <w:tc>
          <w:tcPr>
            <w:tcW w:w="828" w:type="dxa"/>
            <w:shd w:val="clear" w:color="auto" w:fill="auto"/>
          </w:tcPr>
          <w:p w14:paraId="3E017F88" w14:textId="77777777" w:rsidR="00DA752D" w:rsidRPr="00814920" w:rsidRDefault="00DA752D" w:rsidP="00B0151D">
            <w:pPr>
              <w:rPr>
                <w:rFonts w:ascii="Arial" w:hAnsi="Arial" w:cs="Arial"/>
                <w:b/>
                <w:sz w:val="24"/>
                <w:szCs w:val="24"/>
              </w:rPr>
            </w:pPr>
          </w:p>
        </w:tc>
        <w:tc>
          <w:tcPr>
            <w:tcW w:w="1506" w:type="dxa"/>
            <w:shd w:val="clear" w:color="auto" w:fill="auto"/>
          </w:tcPr>
          <w:p w14:paraId="5A86581A"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6EEEB329"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565C244E"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27E99A48"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47D07CBF" w14:textId="77777777" w:rsidR="00DA752D" w:rsidRPr="00814920" w:rsidRDefault="00DA752D" w:rsidP="00B0151D">
            <w:pPr>
              <w:rPr>
                <w:rFonts w:ascii="Arial" w:hAnsi="Arial" w:cs="Arial"/>
                <w:b/>
                <w:sz w:val="24"/>
                <w:szCs w:val="24"/>
              </w:rPr>
            </w:pPr>
          </w:p>
        </w:tc>
      </w:tr>
    </w:tbl>
    <w:p w14:paraId="70E72FEF" w14:textId="77777777" w:rsidR="00DA752D" w:rsidRPr="00B47EAC" w:rsidRDefault="00DA752D" w:rsidP="00DA752D">
      <w:pPr>
        <w:rPr>
          <w:rFonts w:ascii="Arial" w:hAnsi="Arial" w:cs="Arial"/>
          <w:b/>
          <w:sz w:val="24"/>
          <w:szCs w:val="24"/>
          <w:u w:val="single"/>
        </w:rPr>
      </w:pPr>
    </w:p>
    <w:p w14:paraId="7026CD3F" w14:textId="77777777" w:rsidR="00DA752D" w:rsidRPr="00B47EAC" w:rsidRDefault="00DA752D" w:rsidP="00DA752D">
      <w:pPr>
        <w:rPr>
          <w:rFonts w:ascii="Arial" w:hAnsi="Arial" w:cs="Arial"/>
          <w:b/>
          <w:sz w:val="24"/>
          <w:szCs w:val="24"/>
          <w:u w:val="single"/>
        </w:rPr>
      </w:pPr>
    </w:p>
    <w:p w14:paraId="1B9CD99B"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4B6A4E1A" w14:textId="77777777" w:rsidTr="00814920">
        <w:tc>
          <w:tcPr>
            <w:tcW w:w="14174" w:type="dxa"/>
            <w:shd w:val="clear" w:color="auto" w:fill="auto"/>
          </w:tcPr>
          <w:p w14:paraId="6B54E28D" w14:textId="77777777" w:rsidR="00DA752D" w:rsidRPr="00814920" w:rsidRDefault="00DA752D" w:rsidP="00B0151D">
            <w:pPr>
              <w:rPr>
                <w:rFonts w:ascii="Arial" w:hAnsi="Arial" w:cs="Arial"/>
                <w:sz w:val="24"/>
                <w:szCs w:val="24"/>
              </w:rPr>
            </w:pPr>
            <w:r w:rsidRPr="00814920">
              <w:rPr>
                <w:rFonts w:ascii="Arial" w:hAnsi="Arial" w:cs="Arial"/>
                <w:sz w:val="24"/>
                <w:szCs w:val="24"/>
              </w:rPr>
              <w:t>* Please use this space to explain the reason for non-compliance (regulation 73A(1)(c)/1997 Regulations)</w:t>
            </w:r>
          </w:p>
          <w:p w14:paraId="328433DC" w14:textId="77777777" w:rsidR="00DA752D" w:rsidRPr="00814920" w:rsidRDefault="00DA752D" w:rsidP="00B0151D">
            <w:pPr>
              <w:rPr>
                <w:rFonts w:ascii="Arial" w:hAnsi="Arial" w:cs="Arial"/>
                <w:sz w:val="24"/>
                <w:szCs w:val="24"/>
              </w:rPr>
            </w:pPr>
          </w:p>
          <w:p w14:paraId="14C6437C" w14:textId="77777777" w:rsidR="00DA752D" w:rsidRPr="00814920" w:rsidRDefault="00DA752D" w:rsidP="00B0151D">
            <w:pPr>
              <w:rPr>
                <w:rFonts w:ascii="Arial" w:hAnsi="Arial" w:cs="Arial"/>
                <w:sz w:val="24"/>
                <w:szCs w:val="24"/>
              </w:rPr>
            </w:pPr>
            <w:r w:rsidRPr="00814920">
              <w:rPr>
                <w:rFonts w:ascii="Arial" w:hAnsi="Arial" w:cs="Arial"/>
                <w:b/>
                <w:sz w:val="24"/>
                <w:szCs w:val="24"/>
              </w:rPr>
              <w:t xml:space="preserve">a ii) </w:t>
            </w:r>
            <w:r w:rsidRPr="00814920">
              <w:rPr>
                <w:rFonts w:ascii="Arial" w:hAnsi="Arial" w:cs="Arial"/>
                <w:sz w:val="24"/>
                <w:szCs w:val="24"/>
              </w:rPr>
              <w:t xml:space="preserve">It has been the held opinion that employers within the scheme bear the investment/contribution risk, with scheme members’ contributions being guaranteed and quantified by statute therefore negating the necessity of any member representation on a </w:t>
            </w:r>
            <w:r w:rsidR="00A82870">
              <w:rPr>
                <w:rFonts w:ascii="Arial" w:hAnsi="Arial" w:cs="Arial"/>
                <w:sz w:val="24"/>
                <w:szCs w:val="24"/>
              </w:rPr>
              <w:t>panel</w:t>
            </w:r>
            <w:r w:rsidRPr="00814920">
              <w:rPr>
                <w:rFonts w:ascii="Arial" w:hAnsi="Arial" w:cs="Arial"/>
                <w:sz w:val="24"/>
                <w:szCs w:val="24"/>
              </w:rPr>
              <w:t xml:space="preserve"> which primarily dealt with investment issues. This approach  shall be reviewed in light of proposals re. scheme members sharing the risk in proposals due in 201</w:t>
            </w:r>
            <w:r w:rsidR="00A76AC3">
              <w:rPr>
                <w:rFonts w:ascii="Arial" w:hAnsi="Arial" w:cs="Arial"/>
                <w:sz w:val="24"/>
                <w:szCs w:val="24"/>
              </w:rPr>
              <w:t>3</w:t>
            </w:r>
            <w:r w:rsidRPr="00814920">
              <w:rPr>
                <w:rFonts w:ascii="Arial" w:hAnsi="Arial" w:cs="Arial"/>
                <w:sz w:val="24"/>
                <w:szCs w:val="24"/>
              </w:rPr>
              <w:t>.</w:t>
            </w:r>
          </w:p>
          <w:p w14:paraId="1517A73E" w14:textId="77777777" w:rsidR="00DA752D" w:rsidRPr="00814920" w:rsidRDefault="00DA752D" w:rsidP="00B0151D">
            <w:pPr>
              <w:rPr>
                <w:rFonts w:ascii="Arial" w:hAnsi="Arial" w:cs="Arial"/>
                <w:sz w:val="24"/>
                <w:szCs w:val="24"/>
              </w:rPr>
            </w:pPr>
          </w:p>
          <w:p w14:paraId="4777BC08" w14:textId="77777777" w:rsidR="00DA752D" w:rsidRPr="00814920" w:rsidRDefault="00DA752D" w:rsidP="00B0151D">
            <w:pPr>
              <w:rPr>
                <w:rFonts w:ascii="Arial" w:hAnsi="Arial" w:cs="Arial"/>
                <w:sz w:val="24"/>
                <w:szCs w:val="24"/>
              </w:rPr>
            </w:pPr>
          </w:p>
          <w:p w14:paraId="577555D2" w14:textId="77777777" w:rsidR="00DA752D" w:rsidRPr="00814920" w:rsidRDefault="00DA752D" w:rsidP="00B0151D">
            <w:pPr>
              <w:rPr>
                <w:rFonts w:ascii="Arial" w:hAnsi="Arial" w:cs="Arial"/>
                <w:sz w:val="24"/>
                <w:szCs w:val="24"/>
              </w:rPr>
            </w:pPr>
          </w:p>
        </w:tc>
      </w:tr>
    </w:tbl>
    <w:p w14:paraId="48431C1A" w14:textId="77777777" w:rsidR="00DA752D" w:rsidRPr="00B47EAC" w:rsidRDefault="00DA752D" w:rsidP="00DA752D">
      <w:pPr>
        <w:rPr>
          <w:rFonts w:ascii="Arial" w:hAnsi="Arial" w:cs="Arial"/>
          <w:b/>
          <w:sz w:val="24"/>
          <w:szCs w:val="24"/>
          <w:u w:val="single"/>
        </w:rPr>
      </w:pPr>
    </w:p>
    <w:p w14:paraId="5199F76C" w14:textId="77777777" w:rsidR="00DA752D" w:rsidRPr="00B47EAC" w:rsidRDefault="00DA752D" w:rsidP="00DA752D">
      <w:pPr>
        <w:rPr>
          <w:rFonts w:ascii="Arial" w:hAnsi="Arial" w:cs="Arial"/>
          <w:b/>
          <w:sz w:val="24"/>
          <w:szCs w:val="24"/>
          <w:u w:val="single"/>
        </w:rPr>
      </w:pPr>
    </w:p>
    <w:p w14:paraId="1AB5CC3E"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7F14EB65" w14:textId="77777777" w:rsidTr="00814920">
        <w:tc>
          <w:tcPr>
            <w:tcW w:w="14174" w:type="dxa"/>
            <w:shd w:val="clear" w:color="auto" w:fill="auto"/>
          </w:tcPr>
          <w:p w14:paraId="4B69307A" w14:textId="77777777" w:rsidR="00DA752D" w:rsidRPr="00814920" w:rsidRDefault="00DA752D" w:rsidP="00B0151D">
            <w:pPr>
              <w:rPr>
                <w:rFonts w:ascii="Arial" w:hAnsi="Arial" w:cs="Arial"/>
                <w:sz w:val="24"/>
                <w:szCs w:val="24"/>
              </w:rPr>
            </w:pPr>
            <w:r w:rsidRPr="00814920">
              <w:rPr>
                <w:rFonts w:ascii="Arial" w:hAnsi="Arial" w:cs="Arial"/>
                <w:sz w:val="24"/>
                <w:szCs w:val="24"/>
              </w:rPr>
              <w:t>Please use this space if you wish to add anything to explain or expand on the ratings given above :-</w:t>
            </w:r>
          </w:p>
          <w:p w14:paraId="1D759CE0" w14:textId="77777777" w:rsidR="00DA752D" w:rsidRPr="00814920" w:rsidRDefault="00DA752D" w:rsidP="00B0151D">
            <w:pPr>
              <w:rPr>
                <w:rFonts w:ascii="Arial" w:hAnsi="Arial" w:cs="Arial"/>
                <w:sz w:val="24"/>
                <w:szCs w:val="24"/>
              </w:rPr>
            </w:pPr>
          </w:p>
          <w:p w14:paraId="44100E13" w14:textId="77777777" w:rsidR="00DA752D" w:rsidRPr="00814920" w:rsidRDefault="00DA752D" w:rsidP="00B0151D">
            <w:pPr>
              <w:rPr>
                <w:rFonts w:ascii="Arial" w:hAnsi="Arial" w:cs="Arial"/>
                <w:sz w:val="24"/>
                <w:szCs w:val="24"/>
              </w:rPr>
            </w:pPr>
            <w:r w:rsidRPr="00814920">
              <w:rPr>
                <w:rFonts w:ascii="Arial" w:hAnsi="Arial" w:cs="Arial"/>
                <w:b/>
                <w:sz w:val="24"/>
                <w:szCs w:val="24"/>
              </w:rPr>
              <w:t xml:space="preserve">a i)  </w:t>
            </w:r>
            <w:r w:rsidRPr="00814920">
              <w:rPr>
                <w:rFonts w:ascii="Arial" w:hAnsi="Arial" w:cs="Arial"/>
                <w:sz w:val="24"/>
                <w:szCs w:val="24"/>
              </w:rPr>
              <w:t xml:space="preserve">A representative from a non admin authority employer has full-voting representation on the main panel. </w:t>
            </w:r>
          </w:p>
          <w:p w14:paraId="36F8BA6E" w14:textId="77777777" w:rsidR="00DA752D" w:rsidRPr="00814920" w:rsidRDefault="00DA752D" w:rsidP="00B0151D">
            <w:pPr>
              <w:rPr>
                <w:rFonts w:ascii="Arial" w:hAnsi="Arial" w:cs="Arial"/>
                <w:sz w:val="24"/>
                <w:szCs w:val="24"/>
              </w:rPr>
            </w:pPr>
          </w:p>
        </w:tc>
      </w:tr>
    </w:tbl>
    <w:p w14:paraId="60976EEF" w14:textId="77777777" w:rsidR="00DA752D" w:rsidRPr="00B47EAC" w:rsidRDefault="00DA752D" w:rsidP="00DA752D">
      <w:pPr>
        <w:rPr>
          <w:rFonts w:ascii="Arial" w:hAnsi="Arial" w:cs="Arial"/>
          <w:sz w:val="24"/>
          <w:szCs w:val="24"/>
        </w:rPr>
      </w:pPr>
    </w:p>
    <w:p w14:paraId="2C87C0BC" w14:textId="77777777" w:rsidR="00DA752D" w:rsidRPr="00B47EAC" w:rsidRDefault="00DA752D" w:rsidP="00DA752D">
      <w:pPr>
        <w:rPr>
          <w:rFonts w:ascii="Arial" w:hAnsi="Arial" w:cs="Arial"/>
          <w:sz w:val="24"/>
          <w:szCs w:val="24"/>
        </w:rPr>
      </w:pPr>
    </w:p>
    <w:p w14:paraId="6EF9B413" w14:textId="77777777" w:rsidR="00DA752D" w:rsidRPr="00B47EAC" w:rsidRDefault="00DA752D" w:rsidP="00DA752D">
      <w:pPr>
        <w:rPr>
          <w:rFonts w:ascii="Arial" w:hAnsi="Arial" w:cs="Arial"/>
          <w:b/>
          <w:sz w:val="24"/>
          <w:szCs w:val="24"/>
          <w:u w:val="single"/>
        </w:rPr>
      </w:pPr>
      <w:r w:rsidRPr="00B47EAC">
        <w:rPr>
          <w:rFonts w:ascii="Arial" w:hAnsi="Arial" w:cs="Arial"/>
          <w:b/>
          <w:sz w:val="24"/>
          <w:szCs w:val="24"/>
          <w:u w:val="single"/>
        </w:rPr>
        <w:t>Principle  C – Selection And Role of Lay Members</w:t>
      </w:r>
    </w:p>
    <w:p w14:paraId="7C7E3D8D" w14:textId="77777777" w:rsidR="00DA752D" w:rsidRPr="00B47EAC" w:rsidRDefault="00DA752D" w:rsidP="00DA752D">
      <w:pPr>
        <w:rPr>
          <w:rFonts w:ascii="Arial" w:hAnsi="Arial" w:cs="Arial"/>
          <w:b/>
          <w:sz w:val="24"/>
          <w:szCs w:val="24"/>
          <w:u w:val="single"/>
        </w:rPr>
      </w:pPr>
    </w:p>
    <w:p w14:paraId="120C45C8"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DA752D" w:rsidRPr="00814920" w14:paraId="72C71402" w14:textId="77777777" w:rsidTr="00814920">
        <w:tc>
          <w:tcPr>
            <w:tcW w:w="828" w:type="dxa"/>
            <w:shd w:val="clear" w:color="auto" w:fill="auto"/>
          </w:tcPr>
          <w:p w14:paraId="7BDDD15C" w14:textId="77777777" w:rsidR="00DA752D" w:rsidRPr="00814920" w:rsidRDefault="00DA752D" w:rsidP="00B0151D">
            <w:pPr>
              <w:rPr>
                <w:rFonts w:ascii="Arial" w:hAnsi="Arial" w:cs="Arial"/>
                <w:sz w:val="24"/>
                <w:szCs w:val="24"/>
              </w:rPr>
            </w:pPr>
          </w:p>
        </w:tc>
        <w:tc>
          <w:tcPr>
            <w:tcW w:w="7694" w:type="dxa"/>
            <w:gridSpan w:val="5"/>
            <w:shd w:val="clear" w:color="auto" w:fill="auto"/>
          </w:tcPr>
          <w:p w14:paraId="07B5B01C" w14:textId="77777777" w:rsidR="00DA1B50" w:rsidRPr="00814920" w:rsidRDefault="00DA1B50" w:rsidP="00DA1B50">
            <w:pPr>
              <w:rPr>
                <w:rFonts w:ascii="Arial" w:hAnsi="Arial" w:cs="Arial"/>
                <w:b/>
                <w:sz w:val="24"/>
                <w:szCs w:val="24"/>
              </w:rPr>
            </w:pPr>
            <w:r w:rsidRPr="00814920">
              <w:rPr>
                <w:rFonts w:ascii="Arial" w:hAnsi="Arial" w:cs="Arial"/>
                <w:b/>
                <w:sz w:val="24"/>
                <w:szCs w:val="24"/>
              </w:rPr>
              <w:t>Not Compliant*                                                   Fully Compliant</w:t>
            </w:r>
          </w:p>
          <w:p w14:paraId="6031D50C" w14:textId="77777777" w:rsidR="00DA752D" w:rsidRPr="00814920" w:rsidRDefault="00DA752D" w:rsidP="00B0151D">
            <w:pPr>
              <w:rPr>
                <w:rFonts w:ascii="Arial" w:hAnsi="Arial" w:cs="Arial"/>
                <w:b/>
                <w:sz w:val="24"/>
                <w:szCs w:val="24"/>
              </w:rPr>
            </w:pPr>
            <w:r w:rsidRPr="00814920">
              <w:rPr>
                <w:rFonts w:ascii="Arial" w:hAnsi="Arial" w:cs="Arial"/>
                <w:b/>
                <w:sz w:val="24"/>
                <w:szCs w:val="24"/>
              </w:rPr>
              <w:t xml:space="preserve">                                                                                                          </w:t>
            </w:r>
          </w:p>
        </w:tc>
      </w:tr>
      <w:tr w:rsidR="00DA752D" w:rsidRPr="00814920" w14:paraId="5FDB4659" w14:textId="77777777" w:rsidTr="00814920">
        <w:tc>
          <w:tcPr>
            <w:tcW w:w="828" w:type="dxa"/>
            <w:shd w:val="clear" w:color="auto" w:fill="auto"/>
          </w:tcPr>
          <w:p w14:paraId="5A578B15" w14:textId="77777777" w:rsidR="00DA752D" w:rsidRPr="00814920" w:rsidRDefault="00DA752D" w:rsidP="00B0151D">
            <w:pPr>
              <w:rPr>
                <w:rFonts w:ascii="Arial" w:hAnsi="Arial" w:cs="Arial"/>
                <w:b/>
                <w:i/>
                <w:sz w:val="24"/>
                <w:szCs w:val="24"/>
              </w:rPr>
            </w:pPr>
            <w:r w:rsidRPr="00814920">
              <w:rPr>
                <w:rFonts w:ascii="Arial" w:hAnsi="Arial" w:cs="Arial"/>
                <w:b/>
                <w:sz w:val="24"/>
                <w:szCs w:val="24"/>
              </w:rPr>
              <w:t>a)</w:t>
            </w:r>
          </w:p>
        </w:tc>
        <w:tc>
          <w:tcPr>
            <w:tcW w:w="1506" w:type="dxa"/>
            <w:shd w:val="clear" w:color="auto" w:fill="auto"/>
          </w:tcPr>
          <w:p w14:paraId="6B7F964B"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18B5AA25"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0C4CFA54"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002C146E"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36185E02" w14:textId="77777777" w:rsidR="00DA752D" w:rsidRPr="00814920" w:rsidRDefault="00DA752D" w:rsidP="00B0151D">
            <w:pPr>
              <w:rPr>
                <w:rFonts w:ascii="Arial" w:hAnsi="Arial" w:cs="Arial"/>
                <w:b/>
                <w:sz w:val="24"/>
                <w:szCs w:val="24"/>
              </w:rPr>
            </w:pPr>
            <w:r w:rsidRPr="00814920">
              <w:rPr>
                <w:rFonts w:ascii="Arial" w:hAnsi="Arial" w:cs="Arial"/>
                <w:b/>
                <w:sz w:val="24"/>
                <w:szCs w:val="24"/>
              </w:rPr>
              <w:sym w:font="Wingdings" w:char="F0FC"/>
            </w:r>
          </w:p>
        </w:tc>
      </w:tr>
      <w:tr w:rsidR="00DA752D" w:rsidRPr="00814920" w14:paraId="6BCAF013" w14:textId="77777777" w:rsidTr="00814920">
        <w:tc>
          <w:tcPr>
            <w:tcW w:w="828" w:type="dxa"/>
            <w:shd w:val="clear" w:color="auto" w:fill="auto"/>
          </w:tcPr>
          <w:p w14:paraId="7A26A177" w14:textId="77777777" w:rsidR="00DA752D" w:rsidRPr="00814920" w:rsidRDefault="00DA752D" w:rsidP="00B0151D">
            <w:pPr>
              <w:rPr>
                <w:rFonts w:ascii="Arial" w:hAnsi="Arial" w:cs="Arial"/>
                <w:b/>
                <w:sz w:val="24"/>
                <w:szCs w:val="24"/>
              </w:rPr>
            </w:pPr>
          </w:p>
        </w:tc>
        <w:tc>
          <w:tcPr>
            <w:tcW w:w="1506" w:type="dxa"/>
            <w:shd w:val="clear" w:color="auto" w:fill="auto"/>
          </w:tcPr>
          <w:p w14:paraId="370D49F7"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13DB6CC3"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63E83B1F"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5F30FCA3"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7558D406" w14:textId="77777777" w:rsidR="00DA752D" w:rsidRPr="00814920" w:rsidRDefault="00DA752D" w:rsidP="00B0151D">
            <w:pPr>
              <w:rPr>
                <w:rFonts w:ascii="Arial" w:hAnsi="Arial" w:cs="Arial"/>
                <w:b/>
                <w:sz w:val="24"/>
                <w:szCs w:val="24"/>
                <w:u w:val="single"/>
              </w:rPr>
            </w:pPr>
          </w:p>
        </w:tc>
      </w:tr>
      <w:tr w:rsidR="00DA752D" w:rsidRPr="00814920" w14:paraId="3F0BFEA9" w14:textId="77777777" w:rsidTr="00814920">
        <w:tc>
          <w:tcPr>
            <w:tcW w:w="828" w:type="dxa"/>
            <w:shd w:val="clear" w:color="auto" w:fill="auto"/>
          </w:tcPr>
          <w:p w14:paraId="6368F985" w14:textId="77777777" w:rsidR="00DA752D" w:rsidRPr="00814920" w:rsidRDefault="00DA752D" w:rsidP="00B0151D">
            <w:pPr>
              <w:rPr>
                <w:rFonts w:ascii="Arial" w:hAnsi="Arial" w:cs="Arial"/>
                <w:b/>
                <w:sz w:val="24"/>
                <w:szCs w:val="24"/>
              </w:rPr>
            </w:pPr>
          </w:p>
        </w:tc>
        <w:tc>
          <w:tcPr>
            <w:tcW w:w="1506" w:type="dxa"/>
            <w:shd w:val="clear" w:color="auto" w:fill="auto"/>
          </w:tcPr>
          <w:p w14:paraId="4D393D74"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27F778B0"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5BDDC0D7"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653BEE31"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472DB1D4" w14:textId="77777777" w:rsidR="00DA752D" w:rsidRPr="00814920" w:rsidRDefault="00DA752D" w:rsidP="00B0151D">
            <w:pPr>
              <w:rPr>
                <w:rFonts w:ascii="Arial" w:hAnsi="Arial" w:cs="Arial"/>
                <w:b/>
                <w:sz w:val="24"/>
                <w:szCs w:val="24"/>
              </w:rPr>
            </w:pPr>
          </w:p>
        </w:tc>
      </w:tr>
      <w:tr w:rsidR="00DA752D" w:rsidRPr="00814920" w14:paraId="0B02A382" w14:textId="77777777" w:rsidTr="00814920">
        <w:tc>
          <w:tcPr>
            <w:tcW w:w="828" w:type="dxa"/>
            <w:shd w:val="clear" w:color="auto" w:fill="auto"/>
          </w:tcPr>
          <w:p w14:paraId="4A3581C5" w14:textId="77777777" w:rsidR="00DA752D" w:rsidRPr="00814920" w:rsidRDefault="00DA752D" w:rsidP="00B0151D">
            <w:pPr>
              <w:rPr>
                <w:rFonts w:ascii="Arial" w:hAnsi="Arial" w:cs="Arial"/>
                <w:b/>
                <w:sz w:val="24"/>
                <w:szCs w:val="24"/>
              </w:rPr>
            </w:pPr>
          </w:p>
        </w:tc>
        <w:tc>
          <w:tcPr>
            <w:tcW w:w="1506" w:type="dxa"/>
            <w:shd w:val="clear" w:color="auto" w:fill="auto"/>
          </w:tcPr>
          <w:p w14:paraId="01C03D62"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46FF91C6"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5588231C"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62B7D345"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4130DFB3" w14:textId="77777777" w:rsidR="00DA752D" w:rsidRPr="00814920" w:rsidRDefault="00DA752D" w:rsidP="00B0151D">
            <w:pPr>
              <w:rPr>
                <w:rFonts w:ascii="Arial" w:hAnsi="Arial" w:cs="Arial"/>
                <w:b/>
                <w:sz w:val="24"/>
                <w:szCs w:val="24"/>
              </w:rPr>
            </w:pPr>
          </w:p>
        </w:tc>
      </w:tr>
      <w:tr w:rsidR="00DA752D" w:rsidRPr="00814920" w14:paraId="349FF882" w14:textId="77777777" w:rsidTr="00814920">
        <w:tc>
          <w:tcPr>
            <w:tcW w:w="828" w:type="dxa"/>
            <w:shd w:val="clear" w:color="auto" w:fill="auto"/>
          </w:tcPr>
          <w:p w14:paraId="7F475EA8" w14:textId="77777777" w:rsidR="00DA752D" w:rsidRPr="00814920" w:rsidRDefault="00DA752D" w:rsidP="00B0151D">
            <w:pPr>
              <w:rPr>
                <w:rFonts w:ascii="Arial" w:hAnsi="Arial" w:cs="Arial"/>
                <w:b/>
                <w:sz w:val="24"/>
                <w:szCs w:val="24"/>
              </w:rPr>
            </w:pPr>
          </w:p>
        </w:tc>
        <w:tc>
          <w:tcPr>
            <w:tcW w:w="1506" w:type="dxa"/>
            <w:shd w:val="clear" w:color="auto" w:fill="auto"/>
          </w:tcPr>
          <w:p w14:paraId="70074837"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626A697A"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275D6522"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44FD8DD6"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4E372554" w14:textId="77777777" w:rsidR="00DA752D" w:rsidRPr="00814920" w:rsidRDefault="00DA752D" w:rsidP="00B0151D">
            <w:pPr>
              <w:rPr>
                <w:rFonts w:ascii="Arial" w:hAnsi="Arial" w:cs="Arial"/>
                <w:b/>
                <w:sz w:val="24"/>
                <w:szCs w:val="24"/>
              </w:rPr>
            </w:pPr>
          </w:p>
        </w:tc>
      </w:tr>
      <w:tr w:rsidR="00DA752D" w:rsidRPr="00814920" w14:paraId="694626D8" w14:textId="77777777" w:rsidTr="00814920">
        <w:tc>
          <w:tcPr>
            <w:tcW w:w="828" w:type="dxa"/>
            <w:shd w:val="clear" w:color="auto" w:fill="auto"/>
          </w:tcPr>
          <w:p w14:paraId="780D69C4" w14:textId="77777777" w:rsidR="00DA752D" w:rsidRPr="00814920" w:rsidRDefault="00DA752D" w:rsidP="00B0151D">
            <w:pPr>
              <w:rPr>
                <w:rFonts w:ascii="Arial" w:hAnsi="Arial" w:cs="Arial"/>
                <w:b/>
                <w:sz w:val="24"/>
                <w:szCs w:val="24"/>
              </w:rPr>
            </w:pPr>
          </w:p>
        </w:tc>
        <w:tc>
          <w:tcPr>
            <w:tcW w:w="1506" w:type="dxa"/>
            <w:shd w:val="clear" w:color="auto" w:fill="auto"/>
          </w:tcPr>
          <w:p w14:paraId="359F7C8A"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4279892F"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4B909BC0"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05B40020"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65758A43" w14:textId="77777777" w:rsidR="00DA752D" w:rsidRPr="00814920" w:rsidRDefault="00DA752D" w:rsidP="00B0151D">
            <w:pPr>
              <w:rPr>
                <w:rFonts w:ascii="Arial" w:hAnsi="Arial" w:cs="Arial"/>
                <w:b/>
                <w:sz w:val="24"/>
                <w:szCs w:val="24"/>
              </w:rPr>
            </w:pPr>
          </w:p>
        </w:tc>
      </w:tr>
    </w:tbl>
    <w:p w14:paraId="434D2BFF" w14:textId="77777777" w:rsidR="00DA752D" w:rsidRPr="00B47EAC" w:rsidRDefault="00DA752D" w:rsidP="00DA752D">
      <w:pPr>
        <w:rPr>
          <w:rFonts w:ascii="Arial" w:hAnsi="Arial" w:cs="Arial"/>
          <w:b/>
          <w:sz w:val="24"/>
          <w:szCs w:val="24"/>
          <w:u w:val="single"/>
        </w:rPr>
      </w:pPr>
    </w:p>
    <w:p w14:paraId="029DB553"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595EBE60" w14:textId="77777777" w:rsidTr="00814920">
        <w:tc>
          <w:tcPr>
            <w:tcW w:w="14174" w:type="dxa"/>
            <w:shd w:val="clear" w:color="auto" w:fill="auto"/>
          </w:tcPr>
          <w:p w14:paraId="7741E2E7" w14:textId="77777777" w:rsidR="00DA752D" w:rsidRPr="00814920" w:rsidRDefault="00DA752D" w:rsidP="00B0151D">
            <w:pPr>
              <w:rPr>
                <w:rFonts w:ascii="Arial" w:hAnsi="Arial" w:cs="Arial"/>
                <w:sz w:val="24"/>
                <w:szCs w:val="24"/>
              </w:rPr>
            </w:pPr>
            <w:r w:rsidRPr="00814920">
              <w:rPr>
                <w:rFonts w:ascii="Arial" w:hAnsi="Arial" w:cs="Arial"/>
                <w:sz w:val="24"/>
                <w:szCs w:val="24"/>
              </w:rPr>
              <w:t>* Please use this space to explain the reason for non-compliance (regulation 73A(1)(c)/1997 Regulations)</w:t>
            </w:r>
          </w:p>
          <w:p w14:paraId="35AAA923" w14:textId="77777777" w:rsidR="00DA752D" w:rsidRPr="00814920" w:rsidRDefault="00DA752D" w:rsidP="00B0151D">
            <w:pPr>
              <w:rPr>
                <w:rFonts w:ascii="Arial" w:hAnsi="Arial" w:cs="Arial"/>
                <w:sz w:val="24"/>
                <w:szCs w:val="24"/>
              </w:rPr>
            </w:pPr>
          </w:p>
          <w:p w14:paraId="6F277FCD" w14:textId="77777777" w:rsidR="00DA752D" w:rsidRPr="00814920" w:rsidRDefault="00DA752D" w:rsidP="00B0151D">
            <w:pPr>
              <w:rPr>
                <w:rFonts w:ascii="Arial" w:hAnsi="Arial" w:cs="Arial"/>
                <w:sz w:val="24"/>
                <w:szCs w:val="24"/>
              </w:rPr>
            </w:pPr>
          </w:p>
        </w:tc>
      </w:tr>
    </w:tbl>
    <w:p w14:paraId="22BA6017" w14:textId="77777777" w:rsidR="00DA752D" w:rsidRPr="00B47EAC" w:rsidRDefault="00DA752D" w:rsidP="00DA752D">
      <w:pPr>
        <w:rPr>
          <w:rFonts w:ascii="Arial" w:hAnsi="Arial" w:cs="Arial"/>
          <w:b/>
          <w:sz w:val="24"/>
          <w:szCs w:val="24"/>
          <w:u w:val="single"/>
        </w:rPr>
      </w:pPr>
    </w:p>
    <w:p w14:paraId="63050574" w14:textId="77777777" w:rsidR="00FB524C" w:rsidRPr="00B47EAC" w:rsidRDefault="00FB524C"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5B1178D0" w14:textId="77777777" w:rsidTr="00814920">
        <w:tc>
          <w:tcPr>
            <w:tcW w:w="14174" w:type="dxa"/>
            <w:shd w:val="clear" w:color="auto" w:fill="auto"/>
          </w:tcPr>
          <w:p w14:paraId="52AF2EB2" w14:textId="77777777" w:rsidR="00DA752D" w:rsidRPr="00814920" w:rsidRDefault="00DA752D" w:rsidP="00B0151D">
            <w:pPr>
              <w:rPr>
                <w:rFonts w:ascii="Arial" w:hAnsi="Arial" w:cs="Arial"/>
                <w:sz w:val="24"/>
                <w:szCs w:val="24"/>
              </w:rPr>
            </w:pPr>
            <w:r w:rsidRPr="00814920">
              <w:rPr>
                <w:rFonts w:ascii="Arial" w:hAnsi="Arial" w:cs="Arial"/>
                <w:sz w:val="24"/>
                <w:szCs w:val="24"/>
              </w:rPr>
              <w:t>Please use this space if you wish to add anything to explain or expand on the ratings given above :-</w:t>
            </w:r>
          </w:p>
          <w:p w14:paraId="259F50A9" w14:textId="77777777" w:rsidR="00DA752D" w:rsidRPr="00814920" w:rsidRDefault="00DA752D" w:rsidP="00B0151D">
            <w:pPr>
              <w:rPr>
                <w:rFonts w:ascii="Arial" w:hAnsi="Arial" w:cs="Arial"/>
                <w:sz w:val="24"/>
                <w:szCs w:val="24"/>
              </w:rPr>
            </w:pPr>
          </w:p>
          <w:p w14:paraId="6BE62FBE" w14:textId="77777777" w:rsidR="00DA752D" w:rsidRPr="00814920" w:rsidRDefault="00DA752D" w:rsidP="00B0151D">
            <w:pPr>
              <w:rPr>
                <w:rFonts w:ascii="Arial" w:hAnsi="Arial" w:cs="Arial"/>
                <w:sz w:val="24"/>
                <w:szCs w:val="24"/>
              </w:rPr>
            </w:pPr>
          </w:p>
          <w:p w14:paraId="78C28FBF" w14:textId="77777777" w:rsidR="00DA752D" w:rsidRPr="00814920" w:rsidRDefault="00DA752D" w:rsidP="00B0151D">
            <w:pPr>
              <w:rPr>
                <w:rFonts w:ascii="Arial" w:hAnsi="Arial" w:cs="Arial"/>
                <w:sz w:val="24"/>
                <w:szCs w:val="24"/>
              </w:rPr>
            </w:pPr>
          </w:p>
        </w:tc>
      </w:tr>
    </w:tbl>
    <w:p w14:paraId="4854A917" w14:textId="77777777" w:rsidR="00FB524C" w:rsidRPr="00B47EAC" w:rsidRDefault="00FB524C" w:rsidP="00DA752D">
      <w:pPr>
        <w:rPr>
          <w:rFonts w:ascii="Arial" w:hAnsi="Arial" w:cs="Arial"/>
          <w:b/>
          <w:sz w:val="24"/>
          <w:szCs w:val="24"/>
          <w:u w:val="single"/>
        </w:rPr>
      </w:pPr>
    </w:p>
    <w:p w14:paraId="72E7B5EA" w14:textId="77777777" w:rsidR="00DA752D" w:rsidRPr="00B47EAC" w:rsidRDefault="00DA752D" w:rsidP="00DA752D">
      <w:pPr>
        <w:rPr>
          <w:rFonts w:ascii="Arial" w:hAnsi="Arial" w:cs="Arial"/>
          <w:b/>
          <w:sz w:val="24"/>
          <w:szCs w:val="24"/>
          <w:u w:val="single"/>
        </w:rPr>
      </w:pPr>
      <w:r w:rsidRPr="00B47EAC">
        <w:rPr>
          <w:rFonts w:ascii="Arial" w:hAnsi="Arial" w:cs="Arial"/>
          <w:b/>
          <w:sz w:val="24"/>
          <w:szCs w:val="24"/>
          <w:u w:val="single"/>
        </w:rPr>
        <w:t>Principle  D – Voting</w:t>
      </w:r>
    </w:p>
    <w:p w14:paraId="3E3AB4B0"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DA1B50" w:rsidRPr="00814920" w14:paraId="5A6E7F9A" w14:textId="77777777" w:rsidTr="00814920">
        <w:tc>
          <w:tcPr>
            <w:tcW w:w="828" w:type="dxa"/>
            <w:shd w:val="clear" w:color="auto" w:fill="auto"/>
          </w:tcPr>
          <w:p w14:paraId="6D32A651" w14:textId="77777777" w:rsidR="00DA1B50" w:rsidRPr="00814920" w:rsidRDefault="00DA1B50" w:rsidP="00B0151D">
            <w:pPr>
              <w:rPr>
                <w:rFonts w:ascii="Arial" w:hAnsi="Arial" w:cs="Arial"/>
                <w:sz w:val="24"/>
                <w:szCs w:val="24"/>
              </w:rPr>
            </w:pPr>
          </w:p>
        </w:tc>
        <w:tc>
          <w:tcPr>
            <w:tcW w:w="7694" w:type="dxa"/>
            <w:gridSpan w:val="5"/>
            <w:shd w:val="clear" w:color="auto" w:fill="auto"/>
          </w:tcPr>
          <w:p w14:paraId="4B235E39" w14:textId="77777777" w:rsidR="00DA1B50" w:rsidRPr="00814920" w:rsidRDefault="00DA1B50" w:rsidP="00D7394D">
            <w:pPr>
              <w:rPr>
                <w:rFonts w:ascii="Arial" w:hAnsi="Arial" w:cs="Arial"/>
                <w:b/>
                <w:sz w:val="24"/>
                <w:szCs w:val="24"/>
              </w:rPr>
            </w:pPr>
            <w:r w:rsidRPr="00814920">
              <w:rPr>
                <w:rFonts w:ascii="Arial" w:hAnsi="Arial" w:cs="Arial"/>
                <w:b/>
                <w:sz w:val="24"/>
                <w:szCs w:val="24"/>
              </w:rPr>
              <w:t>Not Compliant*                                                   Fully Compliant</w:t>
            </w:r>
          </w:p>
          <w:p w14:paraId="26E280A8" w14:textId="77777777" w:rsidR="00DA1B50" w:rsidRPr="00814920" w:rsidRDefault="00DA1B50" w:rsidP="00D7394D">
            <w:pPr>
              <w:rPr>
                <w:rFonts w:ascii="Arial" w:hAnsi="Arial" w:cs="Arial"/>
                <w:b/>
                <w:sz w:val="24"/>
                <w:szCs w:val="24"/>
              </w:rPr>
            </w:pPr>
            <w:r w:rsidRPr="00814920">
              <w:rPr>
                <w:rFonts w:ascii="Arial" w:hAnsi="Arial" w:cs="Arial"/>
                <w:b/>
                <w:sz w:val="24"/>
                <w:szCs w:val="24"/>
              </w:rPr>
              <w:t xml:space="preserve">                                                                                                          </w:t>
            </w:r>
          </w:p>
        </w:tc>
      </w:tr>
      <w:tr w:rsidR="00DA1B50" w:rsidRPr="00814920" w14:paraId="162F8929" w14:textId="77777777" w:rsidTr="00814920">
        <w:tc>
          <w:tcPr>
            <w:tcW w:w="828" w:type="dxa"/>
            <w:shd w:val="clear" w:color="auto" w:fill="auto"/>
          </w:tcPr>
          <w:p w14:paraId="5C22173A" w14:textId="77777777" w:rsidR="00DA1B50" w:rsidRPr="00814920" w:rsidRDefault="00DA1B50" w:rsidP="00B0151D">
            <w:pPr>
              <w:rPr>
                <w:rFonts w:ascii="Arial" w:hAnsi="Arial" w:cs="Arial"/>
                <w:b/>
                <w:i/>
                <w:sz w:val="24"/>
                <w:szCs w:val="24"/>
              </w:rPr>
            </w:pPr>
            <w:r w:rsidRPr="00814920">
              <w:rPr>
                <w:rFonts w:ascii="Arial" w:hAnsi="Arial" w:cs="Arial"/>
                <w:b/>
                <w:sz w:val="24"/>
                <w:szCs w:val="24"/>
              </w:rPr>
              <w:t>a)</w:t>
            </w:r>
          </w:p>
        </w:tc>
        <w:tc>
          <w:tcPr>
            <w:tcW w:w="1506" w:type="dxa"/>
            <w:shd w:val="clear" w:color="auto" w:fill="auto"/>
          </w:tcPr>
          <w:p w14:paraId="22E1F592"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5196B249"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1D4288F7"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1C8D3B88"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7131950A" w14:textId="77777777" w:rsidR="00DA1B50" w:rsidRPr="00814920" w:rsidRDefault="00DA1B50" w:rsidP="00B0151D">
            <w:pPr>
              <w:rPr>
                <w:rFonts w:ascii="Arial" w:hAnsi="Arial" w:cs="Arial"/>
                <w:b/>
                <w:sz w:val="24"/>
                <w:szCs w:val="24"/>
              </w:rPr>
            </w:pPr>
            <w:r w:rsidRPr="00814920">
              <w:rPr>
                <w:rFonts w:ascii="Arial" w:hAnsi="Arial" w:cs="Arial"/>
                <w:b/>
                <w:sz w:val="24"/>
                <w:szCs w:val="24"/>
              </w:rPr>
              <w:sym w:font="Wingdings" w:char="F0FC"/>
            </w:r>
          </w:p>
        </w:tc>
      </w:tr>
      <w:tr w:rsidR="00DA1B50" w:rsidRPr="00814920" w14:paraId="54C86F82" w14:textId="77777777" w:rsidTr="00814920">
        <w:tc>
          <w:tcPr>
            <w:tcW w:w="828" w:type="dxa"/>
            <w:shd w:val="clear" w:color="auto" w:fill="auto"/>
          </w:tcPr>
          <w:p w14:paraId="38ADAC5B" w14:textId="77777777" w:rsidR="00DA1B50" w:rsidRPr="00814920" w:rsidRDefault="00DA1B50" w:rsidP="00B0151D">
            <w:pPr>
              <w:rPr>
                <w:rFonts w:ascii="Arial" w:hAnsi="Arial" w:cs="Arial"/>
                <w:b/>
                <w:sz w:val="24"/>
                <w:szCs w:val="24"/>
              </w:rPr>
            </w:pPr>
          </w:p>
        </w:tc>
        <w:tc>
          <w:tcPr>
            <w:tcW w:w="1506" w:type="dxa"/>
            <w:shd w:val="clear" w:color="auto" w:fill="auto"/>
          </w:tcPr>
          <w:p w14:paraId="79B9FD51"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6F37F998"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516F2F15"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316E2401"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6967F900" w14:textId="77777777" w:rsidR="00DA1B50" w:rsidRPr="00814920" w:rsidRDefault="00DA1B50" w:rsidP="00B0151D">
            <w:pPr>
              <w:rPr>
                <w:rFonts w:ascii="Arial" w:hAnsi="Arial" w:cs="Arial"/>
                <w:b/>
                <w:sz w:val="24"/>
                <w:szCs w:val="24"/>
                <w:u w:val="single"/>
              </w:rPr>
            </w:pPr>
          </w:p>
        </w:tc>
      </w:tr>
      <w:tr w:rsidR="00DA1B50" w:rsidRPr="00814920" w14:paraId="4FE58097" w14:textId="77777777" w:rsidTr="00814920">
        <w:tc>
          <w:tcPr>
            <w:tcW w:w="828" w:type="dxa"/>
            <w:shd w:val="clear" w:color="auto" w:fill="auto"/>
          </w:tcPr>
          <w:p w14:paraId="286AA765" w14:textId="77777777" w:rsidR="00DA1B50" w:rsidRPr="00814920" w:rsidRDefault="00DA1B50" w:rsidP="00B0151D">
            <w:pPr>
              <w:rPr>
                <w:rFonts w:ascii="Arial" w:hAnsi="Arial" w:cs="Arial"/>
                <w:b/>
                <w:sz w:val="24"/>
                <w:szCs w:val="24"/>
              </w:rPr>
            </w:pPr>
          </w:p>
        </w:tc>
        <w:tc>
          <w:tcPr>
            <w:tcW w:w="1506" w:type="dxa"/>
            <w:shd w:val="clear" w:color="auto" w:fill="auto"/>
          </w:tcPr>
          <w:p w14:paraId="1EA48704"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28DC5635"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27E3FA1C"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6FFEC941"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1C7BAE96" w14:textId="77777777" w:rsidR="00DA1B50" w:rsidRPr="00814920" w:rsidRDefault="00DA1B50" w:rsidP="00B0151D">
            <w:pPr>
              <w:rPr>
                <w:rFonts w:ascii="Arial" w:hAnsi="Arial" w:cs="Arial"/>
                <w:b/>
                <w:sz w:val="24"/>
                <w:szCs w:val="24"/>
              </w:rPr>
            </w:pPr>
          </w:p>
        </w:tc>
      </w:tr>
      <w:tr w:rsidR="00DA1B50" w:rsidRPr="00814920" w14:paraId="66FEF15F" w14:textId="77777777" w:rsidTr="00814920">
        <w:tc>
          <w:tcPr>
            <w:tcW w:w="828" w:type="dxa"/>
            <w:shd w:val="clear" w:color="auto" w:fill="auto"/>
          </w:tcPr>
          <w:p w14:paraId="3283015D" w14:textId="77777777" w:rsidR="00DA1B50" w:rsidRPr="00814920" w:rsidRDefault="00DA1B50" w:rsidP="00B0151D">
            <w:pPr>
              <w:rPr>
                <w:rFonts w:ascii="Arial" w:hAnsi="Arial" w:cs="Arial"/>
                <w:b/>
                <w:sz w:val="24"/>
                <w:szCs w:val="24"/>
              </w:rPr>
            </w:pPr>
          </w:p>
        </w:tc>
        <w:tc>
          <w:tcPr>
            <w:tcW w:w="1506" w:type="dxa"/>
            <w:shd w:val="clear" w:color="auto" w:fill="auto"/>
          </w:tcPr>
          <w:p w14:paraId="66D824D3"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0D099CE7"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44D5131F"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3D4B77DC"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13420678" w14:textId="77777777" w:rsidR="00DA1B50" w:rsidRPr="00814920" w:rsidRDefault="00DA1B50" w:rsidP="00B0151D">
            <w:pPr>
              <w:rPr>
                <w:rFonts w:ascii="Arial" w:hAnsi="Arial" w:cs="Arial"/>
                <w:b/>
                <w:sz w:val="24"/>
                <w:szCs w:val="24"/>
              </w:rPr>
            </w:pPr>
          </w:p>
        </w:tc>
      </w:tr>
      <w:tr w:rsidR="00DA1B50" w:rsidRPr="00814920" w14:paraId="55622827" w14:textId="77777777" w:rsidTr="00814920">
        <w:tc>
          <w:tcPr>
            <w:tcW w:w="828" w:type="dxa"/>
            <w:shd w:val="clear" w:color="auto" w:fill="auto"/>
          </w:tcPr>
          <w:p w14:paraId="5D7ECA2A" w14:textId="77777777" w:rsidR="00DA1B50" w:rsidRPr="00814920" w:rsidRDefault="00DA1B50" w:rsidP="00B0151D">
            <w:pPr>
              <w:rPr>
                <w:rFonts w:ascii="Arial" w:hAnsi="Arial" w:cs="Arial"/>
                <w:b/>
                <w:sz w:val="24"/>
                <w:szCs w:val="24"/>
              </w:rPr>
            </w:pPr>
          </w:p>
        </w:tc>
        <w:tc>
          <w:tcPr>
            <w:tcW w:w="1506" w:type="dxa"/>
            <w:shd w:val="clear" w:color="auto" w:fill="auto"/>
          </w:tcPr>
          <w:p w14:paraId="641E8260"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017C83E8"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20DD0565"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5A24AA50"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4BA6B45D" w14:textId="77777777" w:rsidR="00DA1B50" w:rsidRPr="00814920" w:rsidRDefault="00DA1B50" w:rsidP="00B0151D">
            <w:pPr>
              <w:rPr>
                <w:rFonts w:ascii="Arial" w:hAnsi="Arial" w:cs="Arial"/>
                <w:b/>
                <w:sz w:val="24"/>
                <w:szCs w:val="24"/>
              </w:rPr>
            </w:pPr>
          </w:p>
        </w:tc>
      </w:tr>
      <w:tr w:rsidR="00DA1B50" w:rsidRPr="00814920" w14:paraId="2F9CDC05" w14:textId="77777777" w:rsidTr="00814920">
        <w:tc>
          <w:tcPr>
            <w:tcW w:w="828" w:type="dxa"/>
            <w:shd w:val="clear" w:color="auto" w:fill="auto"/>
          </w:tcPr>
          <w:p w14:paraId="31AB4E3D" w14:textId="77777777" w:rsidR="00DA1B50" w:rsidRPr="00814920" w:rsidRDefault="00DA1B50" w:rsidP="00B0151D">
            <w:pPr>
              <w:rPr>
                <w:rFonts w:ascii="Arial" w:hAnsi="Arial" w:cs="Arial"/>
                <w:b/>
                <w:sz w:val="24"/>
                <w:szCs w:val="24"/>
              </w:rPr>
            </w:pPr>
          </w:p>
        </w:tc>
        <w:tc>
          <w:tcPr>
            <w:tcW w:w="1506" w:type="dxa"/>
            <w:shd w:val="clear" w:color="auto" w:fill="auto"/>
          </w:tcPr>
          <w:p w14:paraId="13E54D7C"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5EDA40EC"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75F98462"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00589DF7"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62B0B1AB" w14:textId="77777777" w:rsidR="00DA1B50" w:rsidRPr="00814920" w:rsidRDefault="00DA1B50" w:rsidP="00B0151D">
            <w:pPr>
              <w:rPr>
                <w:rFonts w:ascii="Arial" w:hAnsi="Arial" w:cs="Arial"/>
                <w:b/>
                <w:sz w:val="24"/>
                <w:szCs w:val="24"/>
              </w:rPr>
            </w:pPr>
          </w:p>
        </w:tc>
      </w:tr>
    </w:tbl>
    <w:p w14:paraId="2FB16716"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00116FB6" w14:textId="77777777" w:rsidTr="00814920">
        <w:tc>
          <w:tcPr>
            <w:tcW w:w="14174" w:type="dxa"/>
            <w:shd w:val="clear" w:color="auto" w:fill="auto"/>
          </w:tcPr>
          <w:p w14:paraId="43CC8478" w14:textId="77777777" w:rsidR="00DA752D" w:rsidRPr="00814920" w:rsidRDefault="00DA752D" w:rsidP="00B0151D">
            <w:pPr>
              <w:rPr>
                <w:rFonts w:ascii="Arial" w:hAnsi="Arial" w:cs="Arial"/>
                <w:sz w:val="24"/>
                <w:szCs w:val="24"/>
              </w:rPr>
            </w:pPr>
            <w:r w:rsidRPr="00814920">
              <w:rPr>
                <w:rFonts w:ascii="Arial" w:hAnsi="Arial" w:cs="Arial"/>
                <w:sz w:val="24"/>
                <w:szCs w:val="24"/>
              </w:rPr>
              <w:t>* Please use this space to explain the reason for non-compliance (regulation 73A(1)(c)/1997 Regulations)</w:t>
            </w:r>
          </w:p>
          <w:p w14:paraId="1802C264" w14:textId="77777777" w:rsidR="00DA752D" w:rsidRPr="00814920" w:rsidRDefault="00DA752D" w:rsidP="00B0151D">
            <w:pPr>
              <w:rPr>
                <w:rFonts w:ascii="Arial" w:hAnsi="Arial" w:cs="Arial"/>
                <w:sz w:val="24"/>
                <w:szCs w:val="24"/>
              </w:rPr>
            </w:pPr>
          </w:p>
          <w:p w14:paraId="3CE84527" w14:textId="77777777" w:rsidR="00DA752D" w:rsidRPr="00814920" w:rsidRDefault="00DA752D" w:rsidP="00B0151D">
            <w:pPr>
              <w:rPr>
                <w:rFonts w:ascii="Arial" w:hAnsi="Arial" w:cs="Arial"/>
                <w:b/>
                <w:sz w:val="24"/>
                <w:szCs w:val="24"/>
              </w:rPr>
            </w:pPr>
          </w:p>
          <w:p w14:paraId="35B1C64E" w14:textId="77777777" w:rsidR="00DA752D" w:rsidRPr="00814920" w:rsidRDefault="00DA752D" w:rsidP="00B0151D">
            <w:pPr>
              <w:rPr>
                <w:rFonts w:ascii="Arial" w:hAnsi="Arial" w:cs="Arial"/>
                <w:sz w:val="24"/>
                <w:szCs w:val="24"/>
              </w:rPr>
            </w:pPr>
          </w:p>
        </w:tc>
      </w:tr>
    </w:tbl>
    <w:p w14:paraId="37F756A2" w14:textId="77777777" w:rsidR="00DA752D" w:rsidRPr="00B47EAC" w:rsidRDefault="00DA752D" w:rsidP="00DA752D">
      <w:pPr>
        <w:rPr>
          <w:rFonts w:ascii="Arial" w:hAnsi="Arial" w:cs="Arial"/>
          <w:b/>
          <w:sz w:val="24"/>
          <w:szCs w:val="24"/>
          <w:u w:val="single"/>
        </w:rPr>
      </w:pPr>
    </w:p>
    <w:p w14:paraId="26C36390"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2EA58817" w14:textId="77777777" w:rsidTr="00814920">
        <w:tc>
          <w:tcPr>
            <w:tcW w:w="14174" w:type="dxa"/>
            <w:shd w:val="clear" w:color="auto" w:fill="auto"/>
          </w:tcPr>
          <w:p w14:paraId="30CF6334" w14:textId="77777777" w:rsidR="00DA752D" w:rsidRPr="00814920" w:rsidRDefault="00DA752D" w:rsidP="00B0151D">
            <w:pPr>
              <w:rPr>
                <w:rFonts w:ascii="Arial" w:hAnsi="Arial" w:cs="Arial"/>
                <w:sz w:val="24"/>
                <w:szCs w:val="24"/>
              </w:rPr>
            </w:pPr>
            <w:r w:rsidRPr="00814920">
              <w:rPr>
                <w:rFonts w:ascii="Arial" w:hAnsi="Arial" w:cs="Arial"/>
                <w:sz w:val="24"/>
                <w:szCs w:val="24"/>
              </w:rPr>
              <w:t>Please use this space if you wish to add anything to explain or expand on the ratings given above :-</w:t>
            </w:r>
          </w:p>
          <w:p w14:paraId="1F1D9E34" w14:textId="77777777" w:rsidR="00DA752D" w:rsidRPr="00814920" w:rsidRDefault="00DA752D" w:rsidP="00B0151D">
            <w:pPr>
              <w:rPr>
                <w:rFonts w:ascii="Arial" w:hAnsi="Arial" w:cs="Arial"/>
                <w:sz w:val="24"/>
                <w:szCs w:val="24"/>
              </w:rPr>
            </w:pPr>
          </w:p>
          <w:p w14:paraId="4E4B0256" w14:textId="77777777" w:rsidR="00DA752D" w:rsidRPr="00814920" w:rsidRDefault="00DA752D" w:rsidP="00B0151D">
            <w:pPr>
              <w:rPr>
                <w:rFonts w:ascii="Arial" w:hAnsi="Arial" w:cs="Arial"/>
                <w:sz w:val="24"/>
                <w:szCs w:val="24"/>
              </w:rPr>
            </w:pPr>
          </w:p>
        </w:tc>
      </w:tr>
    </w:tbl>
    <w:p w14:paraId="1F62B4F2" w14:textId="77777777" w:rsidR="00DA752D" w:rsidRPr="00B47EAC" w:rsidRDefault="00DA752D" w:rsidP="00DA752D">
      <w:pPr>
        <w:rPr>
          <w:rFonts w:ascii="Arial" w:hAnsi="Arial" w:cs="Arial"/>
          <w:sz w:val="24"/>
          <w:szCs w:val="24"/>
        </w:rPr>
      </w:pPr>
    </w:p>
    <w:p w14:paraId="28C4728B" w14:textId="77777777" w:rsidR="00DA752D" w:rsidRPr="00B47EAC" w:rsidRDefault="00DA752D" w:rsidP="00DA752D">
      <w:pPr>
        <w:rPr>
          <w:rFonts w:ascii="Arial" w:hAnsi="Arial" w:cs="Arial"/>
          <w:b/>
          <w:sz w:val="24"/>
          <w:szCs w:val="24"/>
          <w:u w:val="single"/>
        </w:rPr>
      </w:pPr>
      <w:r w:rsidRPr="00B47EAC">
        <w:rPr>
          <w:rFonts w:ascii="Arial" w:hAnsi="Arial" w:cs="Arial"/>
          <w:b/>
          <w:sz w:val="24"/>
          <w:szCs w:val="24"/>
          <w:u w:val="single"/>
        </w:rPr>
        <w:t>Principle  E – Training/Facility Time/Expenses</w:t>
      </w:r>
    </w:p>
    <w:p w14:paraId="136B150B"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DA1B50" w:rsidRPr="00814920" w14:paraId="33A8C2AD" w14:textId="77777777" w:rsidTr="00814920">
        <w:tc>
          <w:tcPr>
            <w:tcW w:w="828" w:type="dxa"/>
            <w:shd w:val="clear" w:color="auto" w:fill="auto"/>
          </w:tcPr>
          <w:p w14:paraId="0E12F29C" w14:textId="77777777" w:rsidR="00DA1B50" w:rsidRPr="00814920" w:rsidRDefault="00DA1B50" w:rsidP="00B0151D">
            <w:pPr>
              <w:rPr>
                <w:rFonts w:ascii="Arial" w:hAnsi="Arial" w:cs="Arial"/>
                <w:sz w:val="24"/>
                <w:szCs w:val="24"/>
              </w:rPr>
            </w:pPr>
          </w:p>
        </w:tc>
        <w:tc>
          <w:tcPr>
            <w:tcW w:w="7694" w:type="dxa"/>
            <w:gridSpan w:val="5"/>
            <w:shd w:val="clear" w:color="auto" w:fill="auto"/>
          </w:tcPr>
          <w:p w14:paraId="07F1F336" w14:textId="77777777" w:rsidR="00DA1B50" w:rsidRPr="00814920" w:rsidRDefault="00DA1B50" w:rsidP="00D7394D">
            <w:pPr>
              <w:rPr>
                <w:rFonts w:ascii="Arial" w:hAnsi="Arial" w:cs="Arial"/>
                <w:b/>
                <w:sz w:val="24"/>
                <w:szCs w:val="24"/>
              </w:rPr>
            </w:pPr>
            <w:r w:rsidRPr="00814920">
              <w:rPr>
                <w:rFonts w:ascii="Arial" w:hAnsi="Arial" w:cs="Arial"/>
                <w:b/>
                <w:sz w:val="24"/>
                <w:szCs w:val="24"/>
              </w:rPr>
              <w:t>Not Compliant*                                                   Fully Compliant</w:t>
            </w:r>
          </w:p>
          <w:p w14:paraId="680C1C5B" w14:textId="77777777" w:rsidR="00DA1B50" w:rsidRPr="00814920" w:rsidRDefault="00DA1B50" w:rsidP="00D7394D">
            <w:pPr>
              <w:rPr>
                <w:rFonts w:ascii="Arial" w:hAnsi="Arial" w:cs="Arial"/>
                <w:b/>
                <w:sz w:val="24"/>
                <w:szCs w:val="24"/>
              </w:rPr>
            </w:pPr>
            <w:r w:rsidRPr="00814920">
              <w:rPr>
                <w:rFonts w:ascii="Arial" w:hAnsi="Arial" w:cs="Arial"/>
                <w:b/>
                <w:sz w:val="24"/>
                <w:szCs w:val="24"/>
              </w:rPr>
              <w:t xml:space="preserve">                                                                                                          </w:t>
            </w:r>
          </w:p>
        </w:tc>
      </w:tr>
      <w:tr w:rsidR="00DA1B50" w:rsidRPr="00814920" w14:paraId="4F963757" w14:textId="77777777" w:rsidTr="00814920">
        <w:tc>
          <w:tcPr>
            <w:tcW w:w="828" w:type="dxa"/>
            <w:shd w:val="clear" w:color="auto" w:fill="auto"/>
          </w:tcPr>
          <w:p w14:paraId="6C4124BC" w14:textId="77777777" w:rsidR="00DA1B50" w:rsidRPr="00814920" w:rsidRDefault="00DA1B50" w:rsidP="00B0151D">
            <w:pPr>
              <w:rPr>
                <w:rFonts w:ascii="Arial" w:hAnsi="Arial" w:cs="Arial"/>
                <w:b/>
                <w:i/>
                <w:sz w:val="24"/>
                <w:szCs w:val="24"/>
              </w:rPr>
            </w:pPr>
            <w:r w:rsidRPr="00814920">
              <w:rPr>
                <w:rFonts w:ascii="Arial" w:hAnsi="Arial" w:cs="Arial"/>
                <w:b/>
                <w:sz w:val="24"/>
                <w:szCs w:val="24"/>
              </w:rPr>
              <w:t>a)</w:t>
            </w:r>
          </w:p>
        </w:tc>
        <w:tc>
          <w:tcPr>
            <w:tcW w:w="1506" w:type="dxa"/>
            <w:shd w:val="clear" w:color="auto" w:fill="auto"/>
          </w:tcPr>
          <w:p w14:paraId="1A2B41DA"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0889FDEC"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30DF0347"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768D8BA3"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2F32EC0B" w14:textId="77777777" w:rsidR="00DA1B50" w:rsidRPr="00814920" w:rsidRDefault="00DA1B50" w:rsidP="00B0151D">
            <w:pPr>
              <w:rPr>
                <w:rFonts w:ascii="Arial" w:hAnsi="Arial" w:cs="Arial"/>
                <w:b/>
                <w:sz w:val="24"/>
                <w:szCs w:val="24"/>
              </w:rPr>
            </w:pPr>
            <w:r w:rsidRPr="00814920">
              <w:rPr>
                <w:rFonts w:ascii="Arial" w:hAnsi="Arial" w:cs="Arial"/>
                <w:b/>
                <w:sz w:val="24"/>
                <w:szCs w:val="24"/>
              </w:rPr>
              <w:sym w:font="Wingdings" w:char="F0FC"/>
            </w:r>
          </w:p>
        </w:tc>
      </w:tr>
      <w:tr w:rsidR="00DA1B50" w:rsidRPr="00814920" w14:paraId="57135851" w14:textId="77777777" w:rsidTr="00814920">
        <w:tc>
          <w:tcPr>
            <w:tcW w:w="828" w:type="dxa"/>
            <w:shd w:val="clear" w:color="auto" w:fill="auto"/>
          </w:tcPr>
          <w:p w14:paraId="50D5DA2C" w14:textId="77777777" w:rsidR="00DA1B50" w:rsidRPr="00814920" w:rsidRDefault="00DA1B50" w:rsidP="00B0151D">
            <w:pPr>
              <w:rPr>
                <w:rFonts w:ascii="Arial" w:hAnsi="Arial" w:cs="Arial"/>
                <w:b/>
                <w:sz w:val="24"/>
                <w:szCs w:val="24"/>
              </w:rPr>
            </w:pPr>
            <w:r w:rsidRPr="00814920">
              <w:rPr>
                <w:rFonts w:ascii="Arial" w:hAnsi="Arial" w:cs="Arial"/>
                <w:b/>
                <w:sz w:val="24"/>
                <w:szCs w:val="24"/>
              </w:rPr>
              <w:t>b)</w:t>
            </w:r>
          </w:p>
        </w:tc>
        <w:tc>
          <w:tcPr>
            <w:tcW w:w="1506" w:type="dxa"/>
            <w:shd w:val="clear" w:color="auto" w:fill="auto"/>
          </w:tcPr>
          <w:p w14:paraId="371FB475"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565ACA9D"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741BC844"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68DED3BC"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476DB707" w14:textId="77777777" w:rsidR="00DA1B50" w:rsidRPr="00814920" w:rsidRDefault="00DA1B50" w:rsidP="00B0151D">
            <w:pPr>
              <w:rPr>
                <w:rFonts w:ascii="Arial" w:hAnsi="Arial" w:cs="Arial"/>
                <w:b/>
                <w:sz w:val="24"/>
                <w:szCs w:val="24"/>
                <w:u w:val="single"/>
              </w:rPr>
            </w:pPr>
            <w:r w:rsidRPr="00814920">
              <w:rPr>
                <w:rFonts w:ascii="Arial" w:hAnsi="Arial" w:cs="Arial"/>
                <w:b/>
                <w:sz w:val="24"/>
                <w:szCs w:val="24"/>
              </w:rPr>
              <w:sym w:font="Wingdings" w:char="F0FC"/>
            </w:r>
          </w:p>
        </w:tc>
      </w:tr>
      <w:tr w:rsidR="00DA1B50" w:rsidRPr="00814920" w14:paraId="53C146B6" w14:textId="77777777" w:rsidTr="00814920">
        <w:tc>
          <w:tcPr>
            <w:tcW w:w="828" w:type="dxa"/>
            <w:shd w:val="clear" w:color="auto" w:fill="auto"/>
          </w:tcPr>
          <w:p w14:paraId="1C2FEDED" w14:textId="77777777" w:rsidR="00DA1B50" w:rsidRPr="00814920" w:rsidRDefault="00DA1B50" w:rsidP="00B0151D">
            <w:pPr>
              <w:rPr>
                <w:rFonts w:ascii="Arial" w:hAnsi="Arial" w:cs="Arial"/>
                <w:b/>
                <w:sz w:val="24"/>
                <w:szCs w:val="24"/>
              </w:rPr>
            </w:pPr>
          </w:p>
        </w:tc>
        <w:tc>
          <w:tcPr>
            <w:tcW w:w="1506" w:type="dxa"/>
            <w:shd w:val="clear" w:color="auto" w:fill="auto"/>
          </w:tcPr>
          <w:p w14:paraId="75C7500C"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7A56C9FA"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6E8F7221"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101A5500"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5D3BA1F6" w14:textId="77777777" w:rsidR="00DA1B50" w:rsidRPr="00814920" w:rsidRDefault="00DA1B50" w:rsidP="00B0151D">
            <w:pPr>
              <w:rPr>
                <w:rFonts w:ascii="Arial" w:hAnsi="Arial" w:cs="Arial"/>
                <w:b/>
                <w:sz w:val="24"/>
                <w:szCs w:val="24"/>
              </w:rPr>
            </w:pPr>
          </w:p>
        </w:tc>
      </w:tr>
      <w:tr w:rsidR="00DA1B50" w:rsidRPr="00814920" w14:paraId="5B85A8C2" w14:textId="77777777" w:rsidTr="00814920">
        <w:tc>
          <w:tcPr>
            <w:tcW w:w="828" w:type="dxa"/>
            <w:shd w:val="clear" w:color="auto" w:fill="auto"/>
          </w:tcPr>
          <w:p w14:paraId="38C2A6FC" w14:textId="77777777" w:rsidR="00DA1B50" w:rsidRPr="00814920" w:rsidRDefault="00DA1B50" w:rsidP="00B0151D">
            <w:pPr>
              <w:rPr>
                <w:rFonts w:ascii="Arial" w:hAnsi="Arial" w:cs="Arial"/>
                <w:b/>
                <w:sz w:val="24"/>
                <w:szCs w:val="24"/>
              </w:rPr>
            </w:pPr>
          </w:p>
        </w:tc>
        <w:tc>
          <w:tcPr>
            <w:tcW w:w="1506" w:type="dxa"/>
            <w:shd w:val="clear" w:color="auto" w:fill="auto"/>
          </w:tcPr>
          <w:p w14:paraId="1E8CD67C"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1C0D0AB9"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3B610D1C"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1540C3F7"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70AA9792" w14:textId="77777777" w:rsidR="00DA1B50" w:rsidRPr="00814920" w:rsidRDefault="00DA1B50" w:rsidP="00B0151D">
            <w:pPr>
              <w:rPr>
                <w:rFonts w:ascii="Arial" w:hAnsi="Arial" w:cs="Arial"/>
                <w:b/>
                <w:sz w:val="24"/>
                <w:szCs w:val="24"/>
              </w:rPr>
            </w:pPr>
          </w:p>
        </w:tc>
      </w:tr>
      <w:tr w:rsidR="00DA1B50" w:rsidRPr="00814920" w14:paraId="6D28E0C9" w14:textId="77777777" w:rsidTr="00814920">
        <w:tc>
          <w:tcPr>
            <w:tcW w:w="828" w:type="dxa"/>
            <w:shd w:val="clear" w:color="auto" w:fill="auto"/>
          </w:tcPr>
          <w:p w14:paraId="31A809E5" w14:textId="77777777" w:rsidR="00DA1B50" w:rsidRPr="00814920" w:rsidRDefault="00DA1B50" w:rsidP="00B0151D">
            <w:pPr>
              <w:rPr>
                <w:rFonts w:ascii="Arial" w:hAnsi="Arial" w:cs="Arial"/>
                <w:b/>
                <w:sz w:val="24"/>
                <w:szCs w:val="24"/>
              </w:rPr>
            </w:pPr>
          </w:p>
        </w:tc>
        <w:tc>
          <w:tcPr>
            <w:tcW w:w="1506" w:type="dxa"/>
            <w:shd w:val="clear" w:color="auto" w:fill="auto"/>
          </w:tcPr>
          <w:p w14:paraId="169073DB"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3EB94DFC"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65F18394"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7D51A618"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405DE50C" w14:textId="77777777" w:rsidR="00DA1B50" w:rsidRPr="00814920" w:rsidRDefault="00DA1B50" w:rsidP="00B0151D">
            <w:pPr>
              <w:rPr>
                <w:rFonts w:ascii="Arial" w:hAnsi="Arial" w:cs="Arial"/>
                <w:b/>
                <w:sz w:val="24"/>
                <w:szCs w:val="24"/>
              </w:rPr>
            </w:pPr>
          </w:p>
        </w:tc>
      </w:tr>
      <w:tr w:rsidR="00DA1B50" w:rsidRPr="00814920" w14:paraId="45D58D8F" w14:textId="77777777" w:rsidTr="00814920">
        <w:tc>
          <w:tcPr>
            <w:tcW w:w="828" w:type="dxa"/>
            <w:shd w:val="clear" w:color="auto" w:fill="auto"/>
          </w:tcPr>
          <w:p w14:paraId="544480A5" w14:textId="77777777" w:rsidR="00DA1B50" w:rsidRPr="00814920" w:rsidRDefault="00DA1B50" w:rsidP="00B0151D">
            <w:pPr>
              <w:rPr>
                <w:rFonts w:ascii="Arial" w:hAnsi="Arial" w:cs="Arial"/>
                <w:b/>
                <w:sz w:val="24"/>
                <w:szCs w:val="24"/>
              </w:rPr>
            </w:pPr>
          </w:p>
        </w:tc>
        <w:tc>
          <w:tcPr>
            <w:tcW w:w="1506" w:type="dxa"/>
            <w:shd w:val="clear" w:color="auto" w:fill="auto"/>
          </w:tcPr>
          <w:p w14:paraId="63081D12"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4950214B"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221A0759"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5B98B7A6"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0CCA3EBD" w14:textId="77777777" w:rsidR="00DA1B50" w:rsidRPr="00814920" w:rsidRDefault="00DA1B50" w:rsidP="00B0151D">
            <w:pPr>
              <w:rPr>
                <w:rFonts w:ascii="Arial" w:hAnsi="Arial" w:cs="Arial"/>
                <w:b/>
                <w:sz w:val="24"/>
                <w:szCs w:val="24"/>
              </w:rPr>
            </w:pPr>
          </w:p>
        </w:tc>
      </w:tr>
    </w:tbl>
    <w:p w14:paraId="2CA489EE"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6ADDC848" w14:textId="77777777" w:rsidTr="00814920">
        <w:tc>
          <w:tcPr>
            <w:tcW w:w="14174" w:type="dxa"/>
            <w:shd w:val="clear" w:color="auto" w:fill="auto"/>
          </w:tcPr>
          <w:p w14:paraId="3F4C4747" w14:textId="77777777" w:rsidR="00DA752D" w:rsidRPr="00814920" w:rsidRDefault="00DA752D" w:rsidP="00B0151D">
            <w:pPr>
              <w:rPr>
                <w:rFonts w:ascii="Arial" w:hAnsi="Arial" w:cs="Arial"/>
                <w:sz w:val="24"/>
                <w:szCs w:val="24"/>
              </w:rPr>
            </w:pPr>
            <w:r w:rsidRPr="00814920">
              <w:rPr>
                <w:rFonts w:ascii="Arial" w:hAnsi="Arial" w:cs="Arial"/>
                <w:sz w:val="24"/>
                <w:szCs w:val="24"/>
              </w:rPr>
              <w:t>* Please use this space to explain the reason for non-compliance (regulation 73A(1)(c)/1997 Regulations)</w:t>
            </w:r>
          </w:p>
          <w:p w14:paraId="6C574422" w14:textId="77777777" w:rsidR="00DA752D" w:rsidRPr="00814920" w:rsidRDefault="00DA752D" w:rsidP="00B0151D">
            <w:pPr>
              <w:rPr>
                <w:rFonts w:ascii="Arial" w:hAnsi="Arial" w:cs="Arial"/>
                <w:sz w:val="24"/>
                <w:szCs w:val="24"/>
              </w:rPr>
            </w:pPr>
          </w:p>
        </w:tc>
      </w:tr>
    </w:tbl>
    <w:p w14:paraId="59595CC7"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3737B5BD" w14:textId="77777777" w:rsidTr="00814920">
        <w:tc>
          <w:tcPr>
            <w:tcW w:w="14174" w:type="dxa"/>
            <w:shd w:val="clear" w:color="auto" w:fill="auto"/>
          </w:tcPr>
          <w:p w14:paraId="54492A6A" w14:textId="77777777" w:rsidR="00DA752D" w:rsidRPr="00814920" w:rsidRDefault="00DA752D" w:rsidP="00B0151D">
            <w:pPr>
              <w:rPr>
                <w:rFonts w:ascii="Arial" w:hAnsi="Arial" w:cs="Arial"/>
                <w:sz w:val="24"/>
                <w:szCs w:val="24"/>
              </w:rPr>
            </w:pPr>
            <w:r w:rsidRPr="00814920">
              <w:rPr>
                <w:rFonts w:ascii="Arial" w:hAnsi="Arial" w:cs="Arial"/>
                <w:sz w:val="24"/>
                <w:szCs w:val="24"/>
              </w:rPr>
              <w:t>Please use this space if you wish to add anything to explain or expand on the ratings given above :-</w:t>
            </w:r>
          </w:p>
          <w:p w14:paraId="15ED0279" w14:textId="77777777" w:rsidR="00DA752D" w:rsidRPr="00814920" w:rsidRDefault="00DA752D" w:rsidP="00B0151D">
            <w:pPr>
              <w:rPr>
                <w:rFonts w:ascii="Arial" w:hAnsi="Arial" w:cs="Arial"/>
                <w:b/>
                <w:sz w:val="24"/>
                <w:szCs w:val="24"/>
              </w:rPr>
            </w:pPr>
          </w:p>
          <w:p w14:paraId="408486E4" w14:textId="77777777" w:rsidR="00DA752D" w:rsidRPr="00814920" w:rsidRDefault="00DA752D" w:rsidP="00B0151D">
            <w:pPr>
              <w:rPr>
                <w:rFonts w:ascii="Arial" w:hAnsi="Arial" w:cs="Arial"/>
                <w:sz w:val="24"/>
                <w:szCs w:val="24"/>
              </w:rPr>
            </w:pPr>
            <w:r w:rsidRPr="00814920">
              <w:rPr>
                <w:rFonts w:ascii="Arial" w:hAnsi="Arial" w:cs="Arial"/>
                <w:b/>
                <w:sz w:val="24"/>
                <w:szCs w:val="24"/>
              </w:rPr>
              <w:t xml:space="preserve">a) b) </w:t>
            </w:r>
            <w:r w:rsidRPr="00814920">
              <w:rPr>
                <w:rFonts w:ascii="Arial" w:hAnsi="Arial" w:cs="Arial"/>
                <w:sz w:val="24"/>
                <w:szCs w:val="24"/>
              </w:rPr>
              <w:t xml:space="preserve">Identifying and providing trustee training is a collaborative process between </w:t>
            </w:r>
            <w:r w:rsidRPr="00814920">
              <w:rPr>
                <w:rFonts w:ascii="Arial" w:hAnsi="Arial" w:cs="Arial"/>
                <w:sz w:val="24"/>
                <w:szCs w:val="24"/>
              </w:rPr>
              <w:lastRenderedPageBreak/>
              <w:t>members of the panel and scheme officers to determine the appropriateness of the same. All appropriate costs/ expenses are approved by the Chief Treasury &amp; Technical Officer and/or the Head of Financial Services within the identified Investment/Admin expenses budget.</w:t>
            </w:r>
          </w:p>
        </w:tc>
      </w:tr>
    </w:tbl>
    <w:p w14:paraId="6F43F67D" w14:textId="77777777" w:rsidR="00DA752D" w:rsidRPr="00B47EAC" w:rsidRDefault="00DA752D" w:rsidP="00DA752D">
      <w:pPr>
        <w:rPr>
          <w:rFonts w:ascii="Arial" w:hAnsi="Arial" w:cs="Arial"/>
          <w:b/>
          <w:sz w:val="24"/>
          <w:szCs w:val="24"/>
          <w:u w:val="single"/>
        </w:rPr>
      </w:pPr>
      <w:r w:rsidRPr="00B47EAC">
        <w:rPr>
          <w:rFonts w:ascii="Arial" w:hAnsi="Arial" w:cs="Arial"/>
          <w:b/>
          <w:sz w:val="24"/>
          <w:szCs w:val="24"/>
          <w:u w:val="single"/>
        </w:rPr>
        <w:lastRenderedPageBreak/>
        <w:t>Principle  F – Meetings (frequency/quorum)</w:t>
      </w:r>
    </w:p>
    <w:p w14:paraId="1D5409A8" w14:textId="77777777" w:rsidR="00DA752D" w:rsidRPr="00B47EAC" w:rsidRDefault="00DA752D" w:rsidP="00DA752D">
      <w:pPr>
        <w:rPr>
          <w:rFonts w:ascii="Arial" w:hAnsi="Arial" w:cs="Arial"/>
          <w:b/>
          <w:sz w:val="24"/>
          <w:szCs w:val="24"/>
          <w:u w:val="single"/>
        </w:rPr>
      </w:pPr>
    </w:p>
    <w:p w14:paraId="3C032967"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DA1B50" w:rsidRPr="00814920" w14:paraId="5CE8FB04" w14:textId="77777777" w:rsidTr="00814920">
        <w:tc>
          <w:tcPr>
            <w:tcW w:w="828" w:type="dxa"/>
            <w:shd w:val="clear" w:color="auto" w:fill="auto"/>
          </w:tcPr>
          <w:p w14:paraId="6058372C" w14:textId="77777777" w:rsidR="00DA1B50" w:rsidRPr="00814920" w:rsidRDefault="00DA1B50" w:rsidP="00B0151D">
            <w:pPr>
              <w:rPr>
                <w:rFonts w:ascii="Arial" w:hAnsi="Arial" w:cs="Arial"/>
                <w:sz w:val="24"/>
                <w:szCs w:val="24"/>
              </w:rPr>
            </w:pPr>
          </w:p>
        </w:tc>
        <w:tc>
          <w:tcPr>
            <w:tcW w:w="7694" w:type="dxa"/>
            <w:gridSpan w:val="5"/>
            <w:shd w:val="clear" w:color="auto" w:fill="auto"/>
          </w:tcPr>
          <w:p w14:paraId="33497C42" w14:textId="77777777" w:rsidR="00DA1B50" w:rsidRPr="00814920" w:rsidRDefault="00DA1B50" w:rsidP="00D7394D">
            <w:pPr>
              <w:rPr>
                <w:rFonts w:ascii="Arial" w:hAnsi="Arial" w:cs="Arial"/>
                <w:b/>
                <w:sz w:val="24"/>
                <w:szCs w:val="24"/>
              </w:rPr>
            </w:pPr>
            <w:r w:rsidRPr="00814920">
              <w:rPr>
                <w:rFonts w:ascii="Arial" w:hAnsi="Arial" w:cs="Arial"/>
                <w:b/>
                <w:sz w:val="24"/>
                <w:szCs w:val="24"/>
              </w:rPr>
              <w:t>Not Compliant*                                                   Fully Compliant</w:t>
            </w:r>
          </w:p>
          <w:p w14:paraId="2530D1AF" w14:textId="77777777" w:rsidR="00DA1B50" w:rsidRPr="00814920" w:rsidRDefault="00DA1B50" w:rsidP="00D7394D">
            <w:pPr>
              <w:rPr>
                <w:rFonts w:ascii="Arial" w:hAnsi="Arial" w:cs="Arial"/>
                <w:b/>
                <w:sz w:val="24"/>
                <w:szCs w:val="24"/>
              </w:rPr>
            </w:pPr>
            <w:r w:rsidRPr="00814920">
              <w:rPr>
                <w:rFonts w:ascii="Arial" w:hAnsi="Arial" w:cs="Arial"/>
                <w:b/>
                <w:sz w:val="24"/>
                <w:szCs w:val="24"/>
              </w:rPr>
              <w:t xml:space="preserve">                                                                                                          </w:t>
            </w:r>
          </w:p>
        </w:tc>
      </w:tr>
      <w:tr w:rsidR="00DA1B50" w:rsidRPr="00814920" w14:paraId="79662101" w14:textId="77777777" w:rsidTr="00814920">
        <w:tc>
          <w:tcPr>
            <w:tcW w:w="828" w:type="dxa"/>
            <w:shd w:val="clear" w:color="auto" w:fill="auto"/>
          </w:tcPr>
          <w:p w14:paraId="70F2BD7D" w14:textId="77777777" w:rsidR="00DA1B50" w:rsidRPr="00814920" w:rsidRDefault="00DA1B50" w:rsidP="00B0151D">
            <w:pPr>
              <w:rPr>
                <w:rFonts w:ascii="Arial" w:hAnsi="Arial" w:cs="Arial"/>
                <w:b/>
                <w:i/>
                <w:sz w:val="24"/>
                <w:szCs w:val="24"/>
              </w:rPr>
            </w:pPr>
            <w:r w:rsidRPr="00814920">
              <w:rPr>
                <w:rFonts w:ascii="Arial" w:hAnsi="Arial" w:cs="Arial"/>
                <w:b/>
                <w:sz w:val="24"/>
                <w:szCs w:val="24"/>
              </w:rPr>
              <w:t>a)</w:t>
            </w:r>
          </w:p>
        </w:tc>
        <w:tc>
          <w:tcPr>
            <w:tcW w:w="1506" w:type="dxa"/>
            <w:shd w:val="clear" w:color="auto" w:fill="auto"/>
          </w:tcPr>
          <w:p w14:paraId="2B5C59F9"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10F47F26"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0EBE988B"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40EEC7C4"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237277AE" w14:textId="77777777" w:rsidR="00DA1B50" w:rsidRPr="00814920" w:rsidRDefault="00DA1B50" w:rsidP="00B0151D">
            <w:pPr>
              <w:rPr>
                <w:rFonts w:ascii="Arial" w:hAnsi="Arial" w:cs="Arial"/>
                <w:b/>
                <w:sz w:val="24"/>
                <w:szCs w:val="24"/>
              </w:rPr>
            </w:pPr>
            <w:r w:rsidRPr="00814920">
              <w:rPr>
                <w:rFonts w:ascii="Arial" w:hAnsi="Arial" w:cs="Arial"/>
                <w:b/>
                <w:sz w:val="24"/>
                <w:szCs w:val="24"/>
              </w:rPr>
              <w:sym w:font="Wingdings" w:char="F0FC"/>
            </w:r>
          </w:p>
        </w:tc>
      </w:tr>
      <w:tr w:rsidR="00DA1B50" w:rsidRPr="00814920" w14:paraId="4FB26497" w14:textId="77777777" w:rsidTr="00814920">
        <w:tc>
          <w:tcPr>
            <w:tcW w:w="828" w:type="dxa"/>
            <w:shd w:val="clear" w:color="auto" w:fill="auto"/>
          </w:tcPr>
          <w:p w14:paraId="5E0D188D" w14:textId="77777777" w:rsidR="00DA1B50" w:rsidRPr="00814920" w:rsidRDefault="00DA1B50" w:rsidP="00B0151D">
            <w:pPr>
              <w:rPr>
                <w:rFonts w:ascii="Arial" w:hAnsi="Arial" w:cs="Arial"/>
                <w:b/>
                <w:sz w:val="24"/>
                <w:szCs w:val="24"/>
              </w:rPr>
            </w:pPr>
            <w:r w:rsidRPr="00814920">
              <w:rPr>
                <w:rFonts w:ascii="Arial" w:hAnsi="Arial" w:cs="Arial"/>
                <w:b/>
                <w:sz w:val="24"/>
                <w:szCs w:val="24"/>
              </w:rPr>
              <w:t>b)</w:t>
            </w:r>
          </w:p>
        </w:tc>
        <w:tc>
          <w:tcPr>
            <w:tcW w:w="1506" w:type="dxa"/>
            <w:shd w:val="clear" w:color="auto" w:fill="auto"/>
          </w:tcPr>
          <w:p w14:paraId="3773B65C"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6D27B8CB"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27E927A1"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36A203E9"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007CD2DF" w14:textId="77777777" w:rsidR="00DA1B50" w:rsidRPr="00814920" w:rsidRDefault="00DA1B50" w:rsidP="00B0151D">
            <w:pPr>
              <w:rPr>
                <w:rFonts w:ascii="Arial" w:hAnsi="Arial" w:cs="Arial"/>
                <w:b/>
                <w:sz w:val="24"/>
                <w:szCs w:val="24"/>
                <w:u w:val="single"/>
              </w:rPr>
            </w:pPr>
            <w:r w:rsidRPr="00814920">
              <w:rPr>
                <w:rFonts w:ascii="Arial" w:hAnsi="Arial" w:cs="Arial"/>
                <w:b/>
                <w:sz w:val="24"/>
                <w:szCs w:val="24"/>
              </w:rPr>
              <w:t>NA</w:t>
            </w:r>
          </w:p>
        </w:tc>
      </w:tr>
      <w:tr w:rsidR="00DA1B50" w:rsidRPr="00814920" w14:paraId="3B402F58" w14:textId="77777777" w:rsidTr="00814920">
        <w:tc>
          <w:tcPr>
            <w:tcW w:w="828" w:type="dxa"/>
            <w:shd w:val="clear" w:color="auto" w:fill="auto"/>
          </w:tcPr>
          <w:p w14:paraId="09C9DBD0" w14:textId="77777777" w:rsidR="00DA1B50" w:rsidRPr="00814920" w:rsidRDefault="00DA1B50" w:rsidP="00B0151D">
            <w:pPr>
              <w:rPr>
                <w:rFonts w:ascii="Arial" w:hAnsi="Arial" w:cs="Arial"/>
                <w:b/>
                <w:sz w:val="24"/>
                <w:szCs w:val="24"/>
              </w:rPr>
            </w:pPr>
            <w:r w:rsidRPr="00814920">
              <w:rPr>
                <w:rFonts w:ascii="Arial" w:hAnsi="Arial" w:cs="Arial"/>
                <w:b/>
                <w:sz w:val="24"/>
                <w:szCs w:val="24"/>
              </w:rPr>
              <w:t>c)</w:t>
            </w:r>
          </w:p>
        </w:tc>
        <w:tc>
          <w:tcPr>
            <w:tcW w:w="1506" w:type="dxa"/>
            <w:shd w:val="clear" w:color="auto" w:fill="auto"/>
          </w:tcPr>
          <w:p w14:paraId="2002692C"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17896FB7"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0E8F71D6"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300ED49E"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43FF7BE1" w14:textId="77777777" w:rsidR="00DA1B50" w:rsidRPr="00814920" w:rsidRDefault="00DA1B50" w:rsidP="00B0151D">
            <w:pPr>
              <w:rPr>
                <w:rFonts w:ascii="Arial" w:hAnsi="Arial" w:cs="Arial"/>
                <w:b/>
                <w:sz w:val="24"/>
                <w:szCs w:val="24"/>
              </w:rPr>
            </w:pPr>
            <w:r w:rsidRPr="00814920">
              <w:rPr>
                <w:rFonts w:ascii="Arial" w:hAnsi="Arial" w:cs="Arial"/>
                <w:b/>
                <w:sz w:val="24"/>
                <w:szCs w:val="24"/>
              </w:rPr>
              <w:sym w:font="Wingdings" w:char="F0FC"/>
            </w:r>
          </w:p>
        </w:tc>
      </w:tr>
      <w:tr w:rsidR="00DA1B50" w:rsidRPr="00814920" w14:paraId="180DC93C" w14:textId="77777777" w:rsidTr="00814920">
        <w:tc>
          <w:tcPr>
            <w:tcW w:w="828" w:type="dxa"/>
            <w:shd w:val="clear" w:color="auto" w:fill="auto"/>
          </w:tcPr>
          <w:p w14:paraId="28651D2F" w14:textId="77777777" w:rsidR="00DA1B50" w:rsidRPr="00814920" w:rsidRDefault="00DA1B50" w:rsidP="00B0151D">
            <w:pPr>
              <w:rPr>
                <w:rFonts w:ascii="Arial" w:hAnsi="Arial" w:cs="Arial"/>
                <w:b/>
                <w:sz w:val="24"/>
                <w:szCs w:val="24"/>
              </w:rPr>
            </w:pPr>
          </w:p>
        </w:tc>
        <w:tc>
          <w:tcPr>
            <w:tcW w:w="1506" w:type="dxa"/>
            <w:shd w:val="clear" w:color="auto" w:fill="auto"/>
          </w:tcPr>
          <w:p w14:paraId="4A1D6239"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644E0FDA"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21C314A9"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53FC518A"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11D0F32D" w14:textId="77777777" w:rsidR="00DA1B50" w:rsidRPr="00814920" w:rsidRDefault="00DA1B50" w:rsidP="00B0151D">
            <w:pPr>
              <w:rPr>
                <w:rFonts w:ascii="Arial" w:hAnsi="Arial" w:cs="Arial"/>
                <w:b/>
                <w:sz w:val="24"/>
                <w:szCs w:val="24"/>
              </w:rPr>
            </w:pPr>
          </w:p>
        </w:tc>
      </w:tr>
      <w:tr w:rsidR="00DA1B50" w:rsidRPr="00814920" w14:paraId="7A0261DF" w14:textId="77777777" w:rsidTr="00814920">
        <w:tc>
          <w:tcPr>
            <w:tcW w:w="828" w:type="dxa"/>
            <w:shd w:val="clear" w:color="auto" w:fill="auto"/>
          </w:tcPr>
          <w:p w14:paraId="63EDCC00" w14:textId="77777777" w:rsidR="00DA1B50" w:rsidRPr="00814920" w:rsidRDefault="00DA1B50" w:rsidP="00B0151D">
            <w:pPr>
              <w:rPr>
                <w:rFonts w:ascii="Arial" w:hAnsi="Arial" w:cs="Arial"/>
                <w:b/>
                <w:sz w:val="24"/>
                <w:szCs w:val="24"/>
              </w:rPr>
            </w:pPr>
          </w:p>
        </w:tc>
        <w:tc>
          <w:tcPr>
            <w:tcW w:w="1506" w:type="dxa"/>
            <w:shd w:val="clear" w:color="auto" w:fill="auto"/>
          </w:tcPr>
          <w:p w14:paraId="34B80799"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13084C21"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405D55C5"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57B040DB"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1FB4E6AE" w14:textId="77777777" w:rsidR="00DA1B50" w:rsidRPr="00814920" w:rsidRDefault="00DA1B50" w:rsidP="00B0151D">
            <w:pPr>
              <w:rPr>
                <w:rFonts w:ascii="Arial" w:hAnsi="Arial" w:cs="Arial"/>
                <w:b/>
                <w:sz w:val="24"/>
                <w:szCs w:val="24"/>
              </w:rPr>
            </w:pPr>
          </w:p>
        </w:tc>
      </w:tr>
      <w:tr w:rsidR="00DA1B50" w:rsidRPr="00814920" w14:paraId="47D6D81F" w14:textId="77777777" w:rsidTr="00814920">
        <w:tc>
          <w:tcPr>
            <w:tcW w:w="828" w:type="dxa"/>
            <w:shd w:val="clear" w:color="auto" w:fill="auto"/>
          </w:tcPr>
          <w:p w14:paraId="48719ED9" w14:textId="77777777" w:rsidR="00DA1B50" w:rsidRPr="00814920" w:rsidRDefault="00DA1B50" w:rsidP="00B0151D">
            <w:pPr>
              <w:rPr>
                <w:rFonts w:ascii="Arial" w:hAnsi="Arial" w:cs="Arial"/>
                <w:b/>
                <w:sz w:val="24"/>
                <w:szCs w:val="24"/>
              </w:rPr>
            </w:pPr>
          </w:p>
        </w:tc>
        <w:tc>
          <w:tcPr>
            <w:tcW w:w="1506" w:type="dxa"/>
            <w:shd w:val="clear" w:color="auto" w:fill="auto"/>
          </w:tcPr>
          <w:p w14:paraId="49E7C7F8"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5BEF4677"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056F271D"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143C3BE2"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65D2175B" w14:textId="77777777" w:rsidR="00DA1B50" w:rsidRPr="00814920" w:rsidRDefault="00DA1B50" w:rsidP="00B0151D">
            <w:pPr>
              <w:rPr>
                <w:rFonts w:ascii="Arial" w:hAnsi="Arial" w:cs="Arial"/>
                <w:b/>
                <w:sz w:val="24"/>
                <w:szCs w:val="24"/>
              </w:rPr>
            </w:pPr>
          </w:p>
        </w:tc>
      </w:tr>
    </w:tbl>
    <w:p w14:paraId="182E03D7" w14:textId="77777777" w:rsidR="00DA752D" w:rsidRPr="00B47EAC" w:rsidRDefault="00DA752D" w:rsidP="00DA752D">
      <w:pPr>
        <w:rPr>
          <w:rFonts w:ascii="Arial" w:hAnsi="Arial" w:cs="Arial"/>
          <w:b/>
          <w:sz w:val="24"/>
          <w:szCs w:val="24"/>
          <w:u w:val="single"/>
        </w:rPr>
      </w:pPr>
    </w:p>
    <w:p w14:paraId="38561C22" w14:textId="77777777" w:rsidR="00DA752D" w:rsidRPr="00B47EAC" w:rsidRDefault="00DA752D" w:rsidP="00DA752D">
      <w:pPr>
        <w:rPr>
          <w:rFonts w:ascii="Arial" w:hAnsi="Arial" w:cs="Arial"/>
          <w:b/>
          <w:sz w:val="24"/>
          <w:szCs w:val="24"/>
          <w:u w:val="single"/>
        </w:rPr>
      </w:pPr>
    </w:p>
    <w:p w14:paraId="5A8213B3"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145F4D78" w14:textId="77777777" w:rsidTr="00814920">
        <w:tc>
          <w:tcPr>
            <w:tcW w:w="14174" w:type="dxa"/>
            <w:shd w:val="clear" w:color="auto" w:fill="auto"/>
          </w:tcPr>
          <w:p w14:paraId="4B3AA194" w14:textId="77777777" w:rsidR="00DA752D" w:rsidRPr="00814920" w:rsidRDefault="00DA752D" w:rsidP="00B0151D">
            <w:pPr>
              <w:rPr>
                <w:rFonts w:ascii="Arial" w:hAnsi="Arial" w:cs="Arial"/>
                <w:sz w:val="24"/>
                <w:szCs w:val="24"/>
              </w:rPr>
            </w:pPr>
            <w:r w:rsidRPr="00814920">
              <w:rPr>
                <w:rFonts w:ascii="Arial" w:hAnsi="Arial" w:cs="Arial"/>
                <w:sz w:val="24"/>
                <w:szCs w:val="24"/>
              </w:rPr>
              <w:t>* Please use this space to explain the reason for non-compliance (regulation 73A(1)(c)/1997 Regulations)</w:t>
            </w:r>
          </w:p>
          <w:p w14:paraId="235585A8" w14:textId="77777777" w:rsidR="00DA752D" w:rsidRPr="00814920" w:rsidRDefault="00DA752D" w:rsidP="00B0151D">
            <w:pPr>
              <w:rPr>
                <w:rFonts w:ascii="Arial" w:hAnsi="Arial" w:cs="Arial"/>
                <w:sz w:val="24"/>
                <w:szCs w:val="24"/>
              </w:rPr>
            </w:pPr>
          </w:p>
          <w:p w14:paraId="22F53E2C" w14:textId="77777777" w:rsidR="00DA752D" w:rsidRPr="00814920" w:rsidRDefault="00DA752D" w:rsidP="00B0151D">
            <w:pPr>
              <w:rPr>
                <w:rFonts w:ascii="Arial" w:hAnsi="Arial" w:cs="Arial"/>
                <w:sz w:val="24"/>
                <w:szCs w:val="24"/>
              </w:rPr>
            </w:pPr>
          </w:p>
          <w:p w14:paraId="355EE40B" w14:textId="77777777" w:rsidR="00DA752D" w:rsidRPr="00814920" w:rsidRDefault="00DA752D" w:rsidP="00B0151D">
            <w:pPr>
              <w:rPr>
                <w:rFonts w:ascii="Arial" w:hAnsi="Arial" w:cs="Arial"/>
                <w:sz w:val="24"/>
                <w:szCs w:val="24"/>
              </w:rPr>
            </w:pPr>
          </w:p>
        </w:tc>
      </w:tr>
    </w:tbl>
    <w:p w14:paraId="272BB569" w14:textId="77777777" w:rsidR="00DA752D" w:rsidRPr="00B47EAC" w:rsidRDefault="00DA752D" w:rsidP="00DA752D">
      <w:pPr>
        <w:rPr>
          <w:rFonts w:ascii="Arial" w:hAnsi="Arial" w:cs="Arial"/>
          <w:b/>
          <w:sz w:val="24"/>
          <w:szCs w:val="24"/>
          <w:u w:val="single"/>
        </w:rPr>
      </w:pPr>
    </w:p>
    <w:p w14:paraId="52DB3531"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558A4B04" w14:textId="77777777" w:rsidTr="00814920">
        <w:tc>
          <w:tcPr>
            <w:tcW w:w="14174" w:type="dxa"/>
            <w:shd w:val="clear" w:color="auto" w:fill="auto"/>
          </w:tcPr>
          <w:p w14:paraId="3E946D8C" w14:textId="77777777" w:rsidR="00DA752D" w:rsidRPr="00814920" w:rsidRDefault="00DA752D" w:rsidP="00B0151D">
            <w:pPr>
              <w:rPr>
                <w:rFonts w:ascii="Arial" w:hAnsi="Arial" w:cs="Arial"/>
                <w:sz w:val="24"/>
                <w:szCs w:val="24"/>
              </w:rPr>
            </w:pPr>
            <w:r w:rsidRPr="00814920">
              <w:rPr>
                <w:rFonts w:ascii="Arial" w:hAnsi="Arial" w:cs="Arial"/>
                <w:sz w:val="24"/>
                <w:szCs w:val="24"/>
              </w:rPr>
              <w:t>Please use this space if you wish to add anything to explain or expand on the ratings given above :-</w:t>
            </w:r>
          </w:p>
          <w:p w14:paraId="5F3B580B" w14:textId="77777777" w:rsidR="00DA752D" w:rsidRPr="00814920" w:rsidRDefault="00DA752D" w:rsidP="00B0151D">
            <w:pPr>
              <w:rPr>
                <w:rFonts w:ascii="Arial" w:hAnsi="Arial" w:cs="Arial"/>
                <w:b/>
                <w:sz w:val="24"/>
                <w:szCs w:val="24"/>
              </w:rPr>
            </w:pPr>
          </w:p>
          <w:p w14:paraId="02AD8314" w14:textId="77777777" w:rsidR="00DA752D" w:rsidRPr="00814920" w:rsidRDefault="00DA752D" w:rsidP="00B0151D">
            <w:pPr>
              <w:rPr>
                <w:rFonts w:ascii="Arial" w:hAnsi="Arial" w:cs="Arial"/>
                <w:sz w:val="24"/>
                <w:szCs w:val="24"/>
              </w:rPr>
            </w:pPr>
            <w:r w:rsidRPr="00814920">
              <w:rPr>
                <w:rFonts w:ascii="Arial" w:hAnsi="Arial" w:cs="Arial"/>
                <w:b/>
                <w:sz w:val="24"/>
                <w:szCs w:val="24"/>
              </w:rPr>
              <w:t xml:space="preserve">c) </w:t>
            </w:r>
            <w:r w:rsidRPr="00814920">
              <w:rPr>
                <w:rFonts w:ascii="Arial" w:hAnsi="Arial" w:cs="Arial"/>
                <w:sz w:val="24"/>
                <w:szCs w:val="24"/>
              </w:rPr>
              <w:t>These</w:t>
            </w:r>
            <w:r w:rsidRPr="00814920">
              <w:rPr>
                <w:rFonts w:ascii="Arial" w:hAnsi="Arial" w:cs="Arial"/>
                <w:b/>
                <w:sz w:val="24"/>
                <w:szCs w:val="24"/>
              </w:rPr>
              <w:t xml:space="preserve"> </w:t>
            </w:r>
            <w:r w:rsidRPr="00814920">
              <w:rPr>
                <w:rFonts w:ascii="Arial" w:hAnsi="Arial" w:cs="Arial"/>
                <w:sz w:val="24"/>
                <w:szCs w:val="24"/>
              </w:rPr>
              <w:t>include an Annual General Meeting and scheme member /scheme employer roadshows.</w:t>
            </w:r>
          </w:p>
        </w:tc>
      </w:tr>
    </w:tbl>
    <w:p w14:paraId="356CAD80" w14:textId="77777777" w:rsidR="00DA752D" w:rsidRPr="00B47EAC" w:rsidRDefault="00DA752D" w:rsidP="00DA752D">
      <w:pPr>
        <w:rPr>
          <w:rFonts w:ascii="Arial" w:hAnsi="Arial" w:cs="Arial"/>
          <w:b/>
          <w:sz w:val="24"/>
          <w:szCs w:val="24"/>
          <w:u w:val="single"/>
        </w:rPr>
      </w:pPr>
    </w:p>
    <w:p w14:paraId="2548D833" w14:textId="77777777" w:rsidR="00DA752D" w:rsidRPr="00B47EAC" w:rsidRDefault="00626E87" w:rsidP="00DA752D">
      <w:pPr>
        <w:rPr>
          <w:rFonts w:ascii="Arial" w:hAnsi="Arial" w:cs="Arial"/>
          <w:b/>
          <w:sz w:val="24"/>
          <w:szCs w:val="24"/>
          <w:u w:val="single"/>
        </w:rPr>
      </w:pPr>
      <w:r>
        <w:rPr>
          <w:rFonts w:ascii="Arial" w:hAnsi="Arial" w:cs="Arial"/>
          <w:b/>
          <w:sz w:val="24"/>
          <w:szCs w:val="24"/>
          <w:u w:val="single"/>
        </w:rPr>
        <w:t>P</w:t>
      </w:r>
      <w:r w:rsidR="00DA752D" w:rsidRPr="00B47EAC">
        <w:rPr>
          <w:rFonts w:ascii="Arial" w:hAnsi="Arial" w:cs="Arial"/>
          <w:b/>
          <w:sz w:val="24"/>
          <w:szCs w:val="24"/>
          <w:u w:val="single"/>
        </w:rPr>
        <w:t>rinciple  G – Access</w:t>
      </w:r>
    </w:p>
    <w:p w14:paraId="769AE80D" w14:textId="77777777" w:rsidR="00DA752D" w:rsidRPr="00B47EAC" w:rsidRDefault="00DA752D" w:rsidP="00DA752D">
      <w:pPr>
        <w:rPr>
          <w:rFonts w:ascii="Arial" w:hAnsi="Arial" w:cs="Arial"/>
          <w:b/>
          <w:sz w:val="24"/>
          <w:szCs w:val="24"/>
          <w:u w:val="single"/>
        </w:rPr>
      </w:pPr>
    </w:p>
    <w:p w14:paraId="2FC53E86"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DA752D" w:rsidRPr="00814920" w14:paraId="48A3771A" w14:textId="77777777" w:rsidTr="00814920">
        <w:tc>
          <w:tcPr>
            <w:tcW w:w="828" w:type="dxa"/>
            <w:shd w:val="clear" w:color="auto" w:fill="auto"/>
          </w:tcPr>
          <w:p w14:paraId="3CFC61A3" w14:textId="77777777" w:rsidR="00DA752D" w:rsidRPr="00814920" w:rsidRDefault="00DA752D" w:rsidP="00B0151D">
            <w:pPr>
              <w:rPr>
                <w:rFonts w:ascii="Arial" w:hAnsi="Arial" w:cs="Arial"/>
                <w:sz w:val="24"/>
                <w:szCs w:val="24"/>
              </w:rPr>
            </w:pPr>
          </w:p>
        </w:tc>
        <w:tc>
          <w:tcPr>
            <w:tcW w:w="7694" w:type="dxa"/>
            <w:gridSpan w:val="5"/>
            <w:shd w:val="clear" w:color="auto" w:fill="auto"/>
          </w:tcPr>
          <w:p w14:paraId="393A8494" w14:textId="77777777" w:rsidR="00DA1B50" w:rsidRPr="00814920" w:rsidRDefault="00DA752D" w:rsidP="00DA1B50">
            <w:pPr>
              <w:rPr>
                <w:rFonts w:ascii="Arial" w:hAnsi="Arial" w:cs="Arial"/>
                <w:b/>
                <w:sz w:val="24"/>
                <w:szCs w:val="24"/>
              </w:rPr>
            </w:pPr>
            <w:r w:rsidRPr="00814920">
              <w:rPr>
                <w:rFonts w:ascii="Arial" w:hAnsi="Arial" w:cs="Arial"/>
                <w:b/>
                <w:sz w:val="24"/>
                <w:szCs w:val="24"/>
              </w:rPr>
              <w:t xml:space="preserve"> </w:t>
            </w:r>
            <w:r w:rsidR="00DA1B50" w:rsidRPr="00814920">
              <w:rPr>
                <w:rFonts w:ascii="Arial" w:hAnsi="Arial" w:cs="Arial"/>
                <w:b/>
                <w:sz w:val="24"/>
                <w:szCs w:val="24"/>
              </w:rPr>
              <w:t>Not Compliant*                                                 Fully Compliant</w:t>
            </w:r>
          </w:p>
          <w:p w14:paraId="14FCFDDB" w14:textId="77777777" w:rsidR="00DA1B50" w:rsidRPr="00814920" w:rsidRDefault="00DA1B50" w:rsidP="00B0151D">
            <w:pPr>
              <w:rPr>
                <w:rFonts w:ascii="Arial" w:hAnsi="Arial" w:cs="Arial"/>
                <w:b/>
                <w:sz w:val="24"/>
                <w:szCs w:val="24"/>
              </w:rPr>
            </w:pPr>
          </w:p>
        </w:tc>
      </w:tr>
      <w:tr w:rsidR="00DA752D" w:rsidRPr="00814920" w14:paraId="3182071E" w14:textId="77777777" w:rsidTr="00814920">
        <w:tc>
          <w:tcPr>
            <w:tcW w:w="828" w:type="dxa"/>
            <w:shd w:val="clear" w:color="auto" w:fill="auto"/>
          </w:tcPr>
          <w:p w14:paraId="421CF14B" w14:textId="77777777" w:rsidR="00DA752D" w:rsidRPr="00814920" w:rsidRDefault="00DA752D" w:rsidP="00B0151D">
            <w:pPr>
              <w:rPr>
                <w:rFonts w:ascii="Arial" w:hAnsi="Arial" w:cs="Arial"/>
                <w:b/>
                <w:i/>
                <w:sz w:val="24"/>
                <w:szCs w:val="24"/>
              </w:rPr>
            </w:pPr>
            <w:r w:rsidRPr="00814920">
              <w:rPr>
                <w:rFonts w:ascii="Arial" w:hAnsi="Arial" w:cs="Arial"/>
                <w:b/>
                <w:sz w:val="24"/>
                <w:szCs w:val="24"/>
              </w:rPr>
              <w:t>a)</w:t>
            </w:r>
          </w:p>
        </w:tc>
        <w:tc>
          <w:tcPr>
            <w:tcW w:w="1506" w:type="dxa"/>
            <w:shd w:val="clear" w:color="auto" w:fill="auto"/>
          </w:tcPr>
          <w:p w14:paraId="6B61A3B5"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1BD25250"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6EAC8EC4"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6CEDEEE2"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7EF253B3" w14:textId="77777777" w:rsidR="00DA752D" w:rsidRPr="00814920" w:rsidRDefault="00DA752D" w:rsidP="00B0151D">
            <w:pPr>
              <w:rPr>
                <w:rFonts w:ascii="Arial" w:hAnsi="Arial" w:cs="Arial"/>
                <w:b/>
                <w:sz w:val="24"/>
                <w:szCs w:val="24"/>
              </w:rPr>
            </w:pPr>
            <w:r w:rsidRPr="00814920">
              <w:rPr>
                <w:rFonts w:ascii="Arial" w:hAnsi="Arial" w:cs="Arial"/>
                <w:b/>
                <w:sz w:val="24"/>
                <w:szCs w:val="24"/>
              </w:rPr>
              <w:sym w:font="Wingdings" w:char="F0FC"/>
            </w:r>
          </w:p>
        </w:tc>
      </w:tr>
      <w:tr w:rsidR="00DA752D" w:rsidRPr="00814920" w14:paraId="01A6A464" w14:textId="77777777" w:rsidTr="00814920">
        <w:tc>
          <w:tcPr>
            <w:tcW w:w="828" w:type="dxa"/>
            <w:shd w:val="clear" w:color="auto" w:fill="auto"/>
          </w:tcPr>
          <w:p w14:paraId="6457E4EF" w14:textId="77777777" w:rsidR="00DA752D" w:rsidRPr="00814920" w:rsidRDefault="00DA752D" w:rsidP="00B0151D">
            <w:pPr>
              <w:rPr>
                <w:rFonts w:ascii="Arial" w:hAnsi="Arial" w:cs="Arial"/>
                <w:b/>
                <w:sz w:val="24"/>
                <w:szCs w:val="24"/>
              </w:rPr>
            </w:pPr>
          </w:p>
        </w:tc>
        <w:tc>
          <w:tcPr>
            <w:tcW w:w="1506" w:type="dxa"/>
            <w:shd w:val="clear" w:color="auto" w:fill="auto"/>
          </w:tcPr>
          <w:p w14:paraId="1AF69944"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01628386"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3B5C5989"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60E3BCE7"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1BD2D0F2" w14:textId="77777777" w:rsidR="00DA752D" w:rsidRPr="00814920" w:rsidRDefault="00DA752D" w:rsidP="00B0151D">
            <w:pPr>
              <w:rPr>
                <w:rFonts w:ascii="Arial" w:hAnsi="Arial" w:cs="Arial"/>
                <w:b/>
                <w:sz w:val="24"/>
                <w:szCs w:val="24"/>
                <w:u w:val="single"/>
              </w:rPr>
            </w:pPr>
          </w:p>
        </w:tc>
      </w:tr>
      <w:tr w:rsidR="00DA752D" w:rsidRPr="00814920" w14:paraId="0BD7FC8D" w14:textId="77777777" w:rsidTr="00814920">
        <w:tc>
          <w:tcPr>
            <w:tcW w:w="828" w:type="dxa"/>
            <w:shd w:val="clear" w:color="auto" w:fill="auto"/>
          </w:tcPr>
          <w:p w14:paraId="70FD46F3" w14:textId="77777777" w:rsidR="00DA752D" w:rsidRPr="00814920" w:rsidRDefault="00DA752D" w:rsidP="00B0151D">
            <w:pPr>
              <w:rPr>
                <w:rFonts w:ascii="Arial" w:hAnsi="Arial" w:cs="Arial"/>
                <w:b/>
                <w:sz w:val="24"/>
                <w:szCs w:val="24"/>
              </w:rPr>
            </w:pPr>
          </w:p>
        </w:tc>
        <w:tc>
          <w:tcPr>
            <w:tcW w:w="1506" w:type="dxa"/>
            <w:shd w:val="clear" w:color="auto" w:fill="auto"/>
          </w:tcPr>
          <w:p w14:paraId="3F97C214"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3BFD4A90"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7F225338"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62DF9489"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36523C17" w14:textId="77777777" w:rsidR="00DA752D" w:rsidRPr="00814920" w:rsidRDefault="00DA752D" w:rsidP="00B0151D">
            <w:pPr>
              <w:rPr>
                <w:rFonts w:ascii="Arial" w:hAnsi="Arial" w:cs="Arial"/>
                <w:b/>
                <w:sz w:val="24"/>
                <w:szCs w:val="24"/>
              </w:rPr>
            </w:pPr>
          </w:p>
        </w:tc>
      </w:tr>
      <w:tr w:rsidR="00DA752D" w:rsidRPr="00814920" w14:paraId="48190A89" w14:textId="77777777" w:rsidTr="00814920">
        <w:tc>
          <w:tcPr>
            <w:tcW w:w="828" w:type="dxa"/>
            <w:shd w:val="clear" w:color="auto" w:fill="auto"/>
          </w:tcPr>
          <w:p w14:paraId="7800578E" w14:textId="77777777" w:rsidR="00DA752D" w:rsidRPr="00814920" w:rsidRDefault="00DA752D" w:rsidP="00B0151D">
            <w:pPr>
              <w:rPr>
                <w:rFonts w:ascii="Arial" w:hAnsi="Arial" w:cs="Arial"/>
                <w:b/>
                <w:sz w:val="24"/>
                <w:szCs w:val="24"/>
              </w:rPr>
            </w:pPr>
          </w:p>
        </w:tc>
        <w:tc>
          <w:tcPr>
            <w:tcW w:w="1506" w:type="dxa"/>
            <w:shd w:val="clear" w:color="auto" w:fill="auto"/>
          </w:tcPr>
          <w:p w14:paraId="402BD47A"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6C8329C1"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7EE5BE5B"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4EC4A2F7"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68ACCBF3" w14:textId="77777777" w:rsidR="00DA752D" w:rsidRPr="00814920" w:rsidRDefault="00DA752D" w:rsidP="00B0151D">
            <w:pPr>
              <w:rPr>
                <w:rFonts w:ascii="Arial" w:hAnsi="Arial" w:cs="Arial"/>
                <w:b/>
                <w:sz w:val="24"/>
                <w:szCs w:val="24"/>
              </w:rPr>
            </w:pPr>
          </w:p>
        </w:tc>
      </w:tr>
      <w:tr w:rsidR="00DA752D" w:rsidRPr="00814920" w14:paraId="634FE074" w14:textId="77777777" w:rsidTr="00814920">
        <w:tc>
          <w:tcPr>
            <w:tcW w:w="828" w:type="dxa"/>
            <w:shd w:val="clear" w:color="auto" w:fill="auto"/>
          </w:tcPr>
          <w:p w14:paraId="03B5FAC5" w14:textId="77777777" w:rsidR="00DA752D" w:rsidRPr="00814920" w:rsidRDefault="00DA752D" w:rsidP="00B0151D">
            <w:pPr>
              <w:rPr>
                <w:rFonts w:ascii="Arial" w:hAnsi="Arial" w:cs="Arial"/>
                <w:b/>
                <w:sz w:val="24"/>
                <w:szCs w:val="24"/>
              </w:rPr>
            </w:pPr>
          </w:p>
        </w:tc>
        <w:tc>
          <w:tcPr>
            <w:tcW w:w="1506" w:type="dxa"/>
            <w:shd w:val="clear" w:color="auto" w:fill="auto"/>
          </w:tcPr>
          <w:p w14:paraId="7762189A"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0956BF43"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5FF435CB"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36C09F63"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16AF6F5C" w14:textId="77777777" w:rsidR="00DA752D" w:rsidRPr="00814920" w:rsidRDefault="00DA752D" w:rsidP="00B0151D">
            <w:pPr>
              <w:rPr>
                <w:rFonts w:ascii="Arial" w:hAnsi="Arial" w:cs="Arial"/>
                <w:b/>
                <w:sz w:val="24"/>
                <w:szCs w:val="24"/>
              </w:rPr>
            </w:pPr>
          </w:p>
        </w:tc>
      </w:tr>
      <w:tr w:rsidR="00DA752D" w:rsidRPr="00814920" w14:paraId="362C7D48" w14:textId="77777777" w:rsidTr="00814920">
        <w:tc>
          <w:tcPr>
            <w:tcW w:w="828" w:type="dxa"/>
            <w:shd w:val="clear" w:color="auto" w:fill="auto"/>
          </w:tcPr>
          <w:p w14:paraId="0A62BFA6" w14:textId="77777777" w:rsidR="00DA752D" w:rsidRPr="00814920" w:rsidRDefault="00DA752D" w:rsidP="00B0151D">
            <w:pPr>
              <w:rPr>
                <w:rFonts w:ascii="Arial" w:hAnsi="Arial" w:cs="Arial"/>
                <w:b/>
                <w:sz w:val="24"/>
                <w:szCs w:val="24"/>
              </w:rPr>
            </w:pPr>
          </w:p>
        </w:tc>
        <w:tc>
          <w:tcPr>
            <w:tcW w:w="1506" w:type="dxa"/>
            <w:shd w:val="clear" w:color="auto" w:fill="auto"/>
          </w:tcPr>
          <w:p w14:paraId="095F004D"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1C9B37E8"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09BC8006"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1F881743"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42F117D7" w14:textId="77777777" w:rsidR="00DA752D" w:rsidRPr="00814920" w:rsidRDefault="00DA752D" w:rsidP="00B0151D">
            <w:pPr>
              <w:rPr>
                <w:rFonts w:ascii="Arial" w:hAnsi="Arial" w:cs="Arial"/>
                <w:b/>
                <w:sz w:val="24"/>
                <w:szCs w:val="24"/>
              </w:rPr>
            </w:pPr>
          </w:p>
        </w:tc>
      </w:tr>
    </w:tbl>
    <w:p w14:paraId="63CEF564" w14:textId="77777777" w:rsidR="00DA752D" w:rsidRPr="00B47EAC" w:rsidRDefault="00DA752D" w:rsidP="00DA752D">
      <w:pPr>
        <w:rPr>
          <w:rFonts w:ascii="Arial" w:hAnsi="Arial" w:cs="Arial"/>
          <w:b/>
          <w:sz w:val="24"/>
          <w:szCs w:val="24"/>
          <w:u w:val="single"/>
        </w:rPr>
      </w:pPr>
    </w:p>
    <w:p w14:paraId="15A8ED0D" w14:textId="77777777" w:rsidR="00DA752D" w:rsidRPr="00B47EAC" w:rsidRDefault="00DA752D" w:rsidP="00DA752D">
      <w:pPr>
        <w:rPr>
          <w:rFonts w:ascii="Arial" w:hAnsi="Arial" w:cs="Arial"/>
          <w:b/>
          <w:sz w:val="24"/>
          <w:szCs w:val="24"/>
          <w:u w:val="single"/>
        </w:rPr>
      </w:pPr>
    </w:p>
    <w:p w14:paraId="0C9AB889"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6925288B" w14:textId="77777777" w:rsidTr="00814920">
        <w:tc>
          <w:tcPr>
            <w:tcW w:w="14174" w:type="dxa"/>
            <w:shd w:val="clear" w:color="auto" w:fill="auto"/>
          </w:tcPr>
          <w:p w14:paraId="26A604B6" w14:textId="77777777" w:rsidR="00DA752D" w:rsidRPr="00814920" w:rsidRDefault="00DA752D" w:rsidP="00B0151D">
            <w:pPr>
              <w:rPr>
                <w:rFonts w:ascii="Arial" w:hAnsi="Arial" w:cs="Arial"/>
                <w:sz w:val="24"/>
                <w:szCs w:val="24"/>
              </w:rPr>
            </w:pPr>
            <w:r w:rsidRPr="00814920">
              <w:rPr>
                <w:rFonts w:ascii="Arial" w:hAnsi="Arial" w:cs="Arial"/>
                <w:sz w:val="24"/>
                <w:szCs w:val="24"/>
              </w:rPr>
              <w:t xml:space="preserve">* Please use this space to explain the reason for non-compliance (regulation </w:t>
            </w:r>
            <w:r w:rsidRPr="00814920">
              <w:rPr>
                <w:rFonts w:ascii="Arial" w:hAnsi="Arial" w:cs="Arial"/>
                <w:sz w:val="24"/>
                <w:szCs w:val="24"/>
              </w:rPr>
              <w:lastRenderedPageBreak/>
              <w:t>73A(1)(c)/1997 Regulations)</w:t>
            </w:r>
          </w:p>
          <w:p w14:paraId="4A0F82A6" w14:textId="77777777" w:rsidR="00DA752D" w:rsidRPr="00814920" w:rsidRDefault="00DA752D" w:rsidP="00B0151D">
            <w:pPr>
              <w:rPr>
                <w:rFonts w:ascii="Arial" w:hAnsi="Arial" w:cs="Arial"/>
                <w:sz w:val="24"/>
                <w:szCs w:val="24"/>
              </w:rPr>
            </w:pPr>
          </w:p>
          <w:p w14:paraId="5013ED8D" w14:textId="77777777" w:rsidR="00DA752D" w:rsidRPr="00814920" w:rsidRDefault="00DA752D" w:rsidP="00B0151D">
            <w:pPr>
              <w:rPr>
                <w:rFonts w:ascii="Arial" w:hAnsi="Arial" w:cs="Arial"/>
                <w:sz w:val="24"/>
                <w:szCs w:val="24"/>
              </w:rPr>
            </w:pPr>
          </w:p>
          <w:p w14:paraId="278D0C7F" w14:textId="77777777" w:rsidR="00DA752D" w:rsidRPr="00814920" w:rsidRDefault="00DA752D" w:rsidP="00B0151D">
            <w:pPr>
              <w:rPr>
                <w:rFonts w:ascii="Arial" w:hAnsi="Arial" w:cs="Arial"/>
                <w:sz w:val="24"/>
                <w:szCs w:val="24"/>
              </w:rPr>
            </w:pPr>
          </w:p>
        </w:tc>
      </w:tr>
    </w:tbl>
    <w:p w14:paraId="5191567B" w14:textId="77777777" w:rsidR="00DA752D" w:rsidRPr="00B47EAC" w:rsidRDefault="00DA752D" w:rsidP="00DA752D">
      <w:pPr>
        <w:rPr>
          <w:rFonts w:ascii="Arial" w:hAnsi="Arial" w:cs="Arial"/>
          <w:b/>
          <w:sz w:val="24"/>
          <w:szCs w:val="24"/>
          <w:u w:val="single"/>
        </w:rPr>
      </w:pPr>
    </w:p>
    <w:p w14:paraId="4FAF7B6F" w14:textId="77777777" w:rsidR="00DA752D" w:rsidRPr="00B47EAC" w:rsidRDefault="00DA752D" w:rsidP="00DA752D">
      <w:pPr>
        <w:rPr>
          <w:rFonts w:ascii="Arial" w:hAnsi="Arial" w:cs="Arial"/>
          <w:b/>
          <w:sz w:val="24"/>
          <w:szCs w:val="24"/>
          <w:u w:val="single"/>
        </w:rPr>
      </w:pPr>
    </w:p>
    <w:p w14:paraId="1A1F277F" w14:textId="77777777" w:rsidR="000474E1" w:rsidRPr="00B47EAC" w:rsidRDefault="000474E1" w:rsidP="00DA752D">
      <w:pPr>
        <w:rPr>
          <w:rFonts w:ascii="Arial" w:hAnsi="Arial" w:cs="Arial"/>
          <w:b/>
          <w:sz w:val="24"/>
          <w:szCs w:val="24"/>
          <w:u w:val="single"/>
        </w:rPr>
      </w:pPr>
    </w:p>
    <w:p w14:paraId="383AE244" w14:textId="77777777" w:rsidR="000474E1" w:rsidRPr="00B47EAC" w:rsidRDefault="000474E1" w:rsidP="00DA752D">
      <w:pPr>
        <w:rPr>
          <w:rFonts w:ascii="Arial" w:hAnsi="Arial" w:cs="Arial"/>
          <w:b/>
          <w:sz w:val="24"/>
          <w:szCs w:val="24"/>
          <w:u w:val="single"/>
        </w:rPr>
      </w:pPr>
    </w:p>
    <w:p w14:paraId="46072E35" w14:textId="77777777" w:rsidR="000474E1" w:rsidRPr="00B47EAC" w:rsidRDefault="000474E1"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4F80D3C3" w14:textId="77777777" w:rsidTr="00814920">
        <w:tc>
          <w:tcPr>
            <w:tcW w:w="14174" w:type="dxa"/>
            <w:shd w:val="clear" w:color="auto" w:fill="auto"/>
          </w:tcPr>
          <w:p w14:paraId="1C84897D" w14:textId="77777777" w:rsidR="00DA752D" w:rsidRPr="00814920" w:rsidRDefault="00DA752D" w:rsidP="00B0151D">
            <w:pPr>
              <w:rPr>
                <w:rFonts w:ascii="Arial" w:hAnsi="Arial" w:cs="Arial"/>
                <w:sz w:val="24"/>
                <w:szCs w:val="24"/>
              </w:rPr>
            </w:pPr>
            <w:r w:rsidRPr="00814920">
              <w:rPr>
                <w:rFonts w:ascii="Arial" w:hAnsi="Arial" w:cs="Arial"/>
                <w:sz w:val="24"/>
                <w:szCs w:val="24"/>
              </w:rPr>
              <w:t>Please use this space if you wish to add anything to explain or expand on the ratings given above :-</w:t>
            </w:r>
          </w:p>
          <w:p w14:paraId="239B38E8" w14:textId="77777777" w:rsidR="00DA752D" w:rsidRPr="00814920" w:rsidRDefault="00DA752D" w:rsidP="00B0151D">
            <w:pPr>
              <w:rPr>
                <w:rFonts w:ascii="Arial" w:hAnsi="Arial" w:cs="Arial"/>
                <w:b/>
                <w:sz w:val="24"/>
                <w:szCs w:val="24"/>
              </w:rPr>
            </w:pPr>
          </w:p>
          <w:p w14:paraId="14E2F47A" w14:textId="77777777" w:rsidR="00DA752D" w:rsidRPr="00814920" w:rsidRDefault="00DA752D" w:rsidP="00B0151D">
            <w:pPr>
              <w:rPr>
                <w:rFonts w:ascii="Arial" w:hAnsi="Arial" w:cs="Arial"/>
                <w:sz w:val="24"/>
                <w:szCs w:val="24"/>
              </w:rPr>
            </w:pPr>
          </w:p>
          <w:p w14:paraId="61C997C7" w14:textId="77777777" w:rsidR="00DA752D" w:rsidRPr="00814920" w:rsidRDefault="00DA752D" w:rsidP="00B0151D">
            <w:pPr>
              <w:rPr>
                <w:rFonts w:ascii="Arial" w:hAnsi="Arial" w:cs="Arial"/>
                <w:sz w:val="24"/>
                <w:szCs w:val="24"/>
              </w:rPr>
            </w:pPr>
          </w:p>
          <w:p w14:paraId="0DD0949F" w14:textId="77777777" w:rsidR="00DA752D" w:rsidRPr="00814920" w:rsidRDefault="00DA752D" w:rsidP="00B0151D">
            <w:pPr>
              <w:rPr>
                <w:rFonts w:ascii="Arial" w:hAnsi="Arial" w:cs="Arial"/>
                <w:sz w:val="24"/>
                <w:szCs w:val="24"/>
              </w:rPr>
            </w:pPr>
          </w:p>
          <w:p w14:paraId="15E25DBF" w14:textId="77777777" w:rsidR="00DA752D" w:rsidRPr="00814920" w:rsidRDefault="00DA752D" w:rsidP="00B0151D">
            <w:pPr>
              <w:rPr>
                <w:rFonts w:ascii="Arial" w:hAnsi="Arial" w:cs="Arial"/>
                <w:sz w:val="24"/>
                <w:szCs w:val="24"/>
              </w:rPr>
            </w:pPr>
          </w:p>
          <w:p w14:paraId="283334E4" w14:textId="77777777" w:rsidR="00DA752D" w:rsidRPr="00814920" w:rsidRDefault="00DA752D" w:rsidP="00B0151D">
            <w:pPr>
              <w:rPr>
                <w:rFonts w:ascii="Arial" w:hAnsi="Arial" w:cs="Arial"/>
                <w:sz w:val="24"/>
                <w:szCs w:val="24"/>
              </w:rPr>
            </w:pPr>
          </w:p>
        </w:tc>
      </w:tr>
    </w:tbl>
    <w:p w14:paraId="1C48BDE1" w14:textId="77777777" w:rsidR="00DA752D" w:rsidRDefault="00DA752D" w:rsidP="00DA752D">
      <w:pPr>
        <w:rPr>
          <w:rFonts w:ascii="Arial" w:hAnsi="Arial" w:cs="Arial"/>
          <w:sz w:val="24"/>
          <w:szCs w:val="24"/>
        </w:rPr>
      </w:pPr>
    </w:p>
    <w:p w14:paraId="2DA912A4" w14:textId="77777777" w:rsidR="00FB524C" w:rsidRPr="00B47EAC" w:rsidRDefault="00FB524C" w:rsidP="00DA752D">
      <w:pPr>
        <w:rPr>
          <w:rFonts w:ascii="Arial" w:hAnsi="Arial" w:cs="Arial"/>
          <w:b/>
          <w:sz w:val="24"/>
          <w:szCs w:val="24"/>
          <w:u w:val="single"/>
        </w:rPr>
      </w:pPr>
    </w:p>
    <w:p w14:paraId="4A3CF65E" w14:textId="77777777" w:rsidR="00DA752D" w:rsidRPr="00B47EAC" w:rsidRDefault="00DA752D" w:rsidP="00DA752D">
      <w:pPr>
        <w:rPr>
          <w:rFonts w:ascii="Arial" w:hAnsi="Arial" w:cs="Arial"/>
          <w:b/>
          <w:sz w:val="24"/>
          <w:szCs w:val="24"/>
          <w:u w:val="single"/>
        </w:rPr>
      </w:pPr>
      <w:r w:rsidRPr="00B47EAC">
        <w:rPr>
          <w:rFonts w:ascii="Arial" w:hAnsi="Arial" w:cs="Arial"/>
          <w:b/>
          <w:sz w:val="24"/>
          <w:szCs w:val="24"/>
          <w:u w:val="single"/>
        </w:rPr>
        <w:t>Principle  H – Scope</w:t>
      </w:r>
    </w:p>
    <w:p w14:paraId="1FC4575B" w14:textId="77777777" w:rsidR="00DA752D" w:rsidRPr="00B47EAC" w:rsidRDefault="00DA752D" w:rsidP="00DA752D">
      <w:pPr>
        <w:rPr>
          <w:rFonts w:ascii="Arial" w:hAnsi="Arial" w:cs="Arial"/>
          <w:b/>
          <w:sz w:val="24"/>
          <w:szCs w:val="24"/>
          <w:u w:val="single"/>
        </w:rPr>
      </w:pPr>
    </w:p>
    <w:p w14:paraId="4A58046A"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DA752D" w:rsidRPr="00814920" w14:paraId="08429F89" w14:textId="77777777" w:rsidTr="00814920">
        <w:tc>
          <w:tcPr>
            <w:tcW w:w="828" w:type="dxa"/>
            <w:shd w:val="clear" w:color="auto" w:fill="auto"/>
          </w:tcPr>
          <w:p w14:paraId="2DAE45DA" w14:textId="77777777" w:rsidR="00DA752D" w:rsidRPr="00814920" w:rsidRDefault="00DA752D" w:rsidP="00B0151D">
            <w:pPr>
              <w:rPr>
                <w:rFonts w:ascii="Arial" w:hAnsi="Arial" w:cs="Arial"/>
                <w:sz w:val="24"/>
                <w:szCs w:val="24"/>
              </w:rPr>
            </w:pPr>
          </w:p>
        </w:tc>
        <w:tc>
          <w:tcPr>
            <w:tcW w:w="7694" w:type="dxa"/>
            <w:gridSpan w:val="5"/>
            <w:shd w:val="clear" w:color="auto" w:fill="auto"/>
          </w:tcPr>
          <w:p w14:paraId="11BA92E4" w14:textId="77777777" w:rsidR="00DA752D" w:rsidRPr="00814920" w:rsidRDefault="00DA752D" w:rsidP="00B0151D">
            <w:pPr>
              <w:rPr>
                <w:rFonts w:ascii="Arial" w:hAnsi="Arial" w:cs="Arial"/>
                <w:b/>
                <w:sz w:val="24"/>
                <w:szCs w:val="24"/>
              </w:rPr>
            </w:pPr>
            <w:r w:rsidRPr="00814920">
              <w:rPr>
                <w:rFonts w:ascii="Arial" w:hAnsi="Arial" w:cs="Arial"/>
                <w:b/>
                <w:sz w:val="24"/>
                <w:szCs w:val="24"/>
              </w:rPr>
              <w:t xml:space="preserve"> </w:t>
            </w:r>
            <w:r w:rsidR="00DA1B50" w:rsidRPr="00814920">
              <w:rPr>
                <w:rFonts w:ascii="Arial" w:hAnsi="Arial" w:cs="Arial"/>
                <w:b/>
                <w:sz w:val="24"/>
                <w:szCs w:val="24"/>
              </w:rPr>
              <w:t>Not Compliant*                                                 Fully Compliant</w:t>
            </w:r>
          </w:p>
          <w:p w14:paraId="3DA1EE60" w14:textId="77777777" w:rsidR="00DA1B50" w:rsidRPr="00814920" w:rsidRDefault="00DA1B50" w:rsidP="00B0151D">
            <w:pPr>
              <w:rPr>
                <w:rFonts w:ascii="Arial" w:hAnsi="Arial" w:cs="Arial"/>
                <w:b/>
                <w:sz w:val="24"/>
                <w:szCs w:val="24"/>
              </w:rPr>
            </w:pPr>
          </w:p>
        </w:tc>
      </w:tr>
      <w:tr w:rsidR="00DA752D" w:rsidRPr="00814920" w14:paraId="3E061A6B" w14:textId="77777777" w:rsidTr="00814920">
        <w:tc>
          <w:tcPr>
            <w:tcW w:w="828" w:type="dxa"/>
            <w:shd w:val="clear" w:color="auto" w:fill="auto"/>
          </w:tcPr>
          <w:p w14:paraId="7EEF0942" w14:textId="77777777" w:rsidR="00DA752D" w:rsidRPr="00814920" w:rsidRDefault="00DA752D" w:rsidP="00B0151D">
            <w:pPr>
              <w:rPr>
                <w:rFonts w:ascii="Arial" w:hAnsi="Arial" w:cs="Arial"/>
                <w:b/>
                <w:i/>
                <w:sz w:val="24"/>
                <w:szCs w:val="24"/>
              </w:rPr>
            </w:pPr>
            <w:r w:rsidRPr="00814920">
              <w:rPr>
                <w:rFonts w:ascii="Arial" w:hAnsi="Arial" w:cs="Arial"/>
                <w:b/>
                <w:sz w:val="24"/>
                <w:szCs w:val="24"/>
              </w:rPr>
              <w:t>a)</w:t>
            </w:r>
          </w:p>
        </w:tc>
        <w:tc>
          <w:tcPr>
            <w:tcW w:w="1506" w:type="dxa"/>
            <w:shd w:val="clear" w:color="auto" w:fill="auto"/>
          </w:tcPr>
          <w:p w14:paraId="3343158C"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2F9E7D58"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6E3B5881"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75BF4E43"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472A54DA" w14:textId="77777777" w:rsidR="00DA752D" w:rsidRPr="00814920" w:rsidRDefault="00DA752D" w:rsidP="00B0151D">
            <w:pPr>
              <w:rPr>
                <w:rFonts w:ascii="Arial" w:hAnsi="Arial" w:cs="Arial"/>
                <w:b/>
                <w:sz w:val="24"/>
                <w:szCs w:val="24"/>
              </w:rPr>
            </w:pPr>
            <w:r w:rsidRPr="00814920">
              <w:rPr>
                <w:rFonts w:ascii="Arial" w:hAnsi="Arial" w:cs="Arial"/>
                <w:b/>
                <w:sz w:val="24"/>
                <w:szCs w:val="24"/>
              </w:rPr>
              <w:sym w:font="Wingdings" w:char="F0FC"/>
            </w:r>
          </w:p>
        </w:tc>
      </w:tr>
      <w:tr w:rsidR="00DA752D" w:rsidRPr="00814920" w14:paraId="48ED684E" w14:textId="77777777" w:rsidTr="00814920">
        <w:tc>
          <w:tcPr>
            <w:tcW w:w="828" w:type="dxa"/>
            <w:shd w:val="clear" w:color="auto" w:fill="auto"/>
          </w:tcPr>
          <w:p w14:paraId="0B3051F1" w14:textId="77777777" w:rsidR="00DA752D" w:rsidRPr="00814920" w:rsidRDefault="00DA752D" w:rsidP="00B0151D">
            <w:pPr>
              <w:rPr>
                <w:rFonts w:ascii="Arial" w:hAnsi="Arial" w:cs="Arial"/>
                <w:b/>
                <w:sz w:val="24"/>
                <w:szCs w:val="24"/>
              </w:rPr>
            </w:pPr>
          </w:p>
        </w:tc>
        <w:tc>
          <w:tcPr>
            <w:tcW w:w="1506" w:type="dxa"/>
            <w:shd w:val="clear" w:color="auto" w:fill="auto"/>
          </w:tcPr>
          <w:p w14:paraId="57C44093"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1EEE1FD2"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30477BA7"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415F90A2"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0A3C5DF6" w14:textId="77777777" w:rsidR="00DA752D" w:rsidRPr="00814920" w:rsidRDefault="00DA752D" w:rsidP="00B0151D">
            <w:pPr>
              <w:rPr>
                <w:rFonts w:ascii="Arial" w:hAnsi="Arial" w:cs="Arial"/>
                <w:b/>
                <w:sz w:val="24"/>
                <w:szCs w:val="24"/>
                <w:u w:val="single"/>
              </w:rPr>
            </w:pPr>
          </w:p>
        </w:tc>
      </w:tr>
      <w:tr w:rsidR="00DA752D" w:rsidRPr="00814920" w14:paraId="2EF39249" w14:textId="77777777" w:rsidTr="00814920">
        <w:tc>
          <w:tcPr>
            <w:tcW w:w="828" w:type="dxa"/>
            <w:shd w:val="clear" w:color="auto" w:fill="auto"/>
          </w:tcPr>
          <w:p w14:paraId="56C74C2E" w14:textId="77777777" w:rsidR="00DA752D" w:rsidRPr="00814920" w:rsidRDefault="00DA752D" w:rsidP="00B0151D">
            <w:pPr>
              <w:rPr>
                <w:rFonts w:ascii="Arial" w:hAnsi="Arial" w:cs="Arial"/>
                <w:b/>
                <w:sz w:val="24"/>
                <w:szCs w:val="24"/>
              </w:rPr>
            </w:pPr>
          </w:p>
        </w:tc>
        <w:tc>
          <w:tcPr>
            <w:tcW w:w="1506" w:type="dxa"/>
            <w:shd w:val="clear" w:color="auto" w:fill="auto"/>
          </w:tcPr>
          <w:p w14:paraId="36C2645E"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5A9133F4"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0F82EE43"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2CFB32EB"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3BDD2C26" w14:textId="77777777" w:rsidR="00DA752D" w:rsidRPr="00814920" w:rsidRDefault="00DA752D" w:rsidP="00B0151D">
            <w:pPr>
              <w:rPr>
                <w:rFonts w:ascii="Arial" w:hAnsi="Arial" w:cs="Arial"/>
                <w:b/>
                <w:sz w:val="24"/>
                <w:szCs w:val="24"/>
              </w:rPr>
            </w:pPr>
          </w:p>
        </w:tc>
      </w:tr>
      <w:tr w:rsidR="00DA752D" w:rsidRPr="00814920" w14:paraId="3CF82419" w14:textId="77777777" w:rsidTr="00814920">
        <w:tc>
          <w:tcPr>
            <w:tcW w:w="828" w:type="dxa"/>
            <w:shd w:val="clear" w:color="auto" w:fill="auto"/>
          </w:tcPr>
          <w:p w14:paraId="513FC440" w14:textId="77777777" w:rsidR="00DA752D" w:rsidRPr="00814920" w:rsidRDefault="00DA752D" w:rsidP="00B0151D">
            <w:pPr>
              <w:rPr>
                <w:rFonts w:ascii="Arial" w:hAnsi="Arial" w:cs="Arial"/>
                <w:b/>
                <w:sz w:val="24"/>
                <w:szCs w:val="24"/>
              </w:rPr>
            </w:pPr>
          </w:p>
        </w:tc>
        <w:tc>
          <w:tcPr>
            <w:tcW w:w="1506" w:type="dxa"/>
            <w:shd w:val="clear" w:color="auto" w:fill="auto"/>
          </w:tcPr>
          <w:p w14:paraId="16589AE7"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603B469D"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5D10E5CD"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6C4CD179"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5A0CED4A" w14:textId="77777777" w:rsidR="00DA752D" w:rsidRPr="00814920" w:rsidRDefault="00DA752D" w:rsidP="00B0151D">
            <w:pPr>
              <w:rPr>
                <w:rFonts w:ascii="Arial" w:hAnsi="Arial" w:cs="Arial"/>
                <w:b/>
                <w:sz w:val="24"/>
                <w:szCs w:val="24"/>
              </w:rPr>
            </w:pPr>
          </w:p>
        </w:tc>
      </w:tr>
      <w:tr w:rsidR="00DA752D" w:rsidRPr="00814920" w14:paraId="1856D584" w14:textId="77777777" w:rsidTr="00814920">
        <w:tc>
          <w:tcPr>
            <w:tcW w:w="828" w:type="dxa"/>
            <w:shd w:val="clear" w:color="auto" w:fill="auto"/>
          </w:tcPr>
          <w:p w14:paraId="168DA25C" w14:textId="77777777" w:rsidR="00DA752D" w:rsidRPr="00814920" w:rsidRDefault="00DA752D" w:rsidP="00B0151D">
            <w:pPr>
              <w:rPr>
                <w:rFonts w:ascii="Arial" w:hAnsi="Arial" w:cs="Arial"/>
                <w:b/>
                <w:sz w:val="24"/>
                <w:szCs w:val="24"/>
              </w:rPr>
            </w:pPr>
          </w:p>
        </w:tc>
        <w:tc>
          <w:tcPr>
            <w:tcW w:w="1506" w:type="dxa"/>
            <w:shd w:val="clear" w:color="auto" w:fill="auto"/>
          </w:tcPr>
          <w:p w14:paraId="529A5DA4"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07073B97"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3B85CF9F"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177AD058"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5D9781AE" w14:textId="77777777" w:rsidR="00DA752D" w:rsidRPr="00814920" w:rsidRDefault="00DA752D" w:rsidP="00B0151D">
            <w:pPr>
              <w:rPr>
                <w:rFonts w:ascii="Arial" w:hAnsi="Arial" w:cs="Arial"/>
                <w:b/>
                <w:sz w:val="24"/>
                <w:szCs w:val="24"/>
              </w:rPr>
            </w:pPr>
          </w:p>
        </w:tc>
      </w:tr>
      <w:tr w:rsidR="00DA752D" w:rsidRPr="00814920" w14:paraId="1C936CEA" w14:textId="77777777" w:rsidTr="00814920">
        <w:tc>
          <w:tcPr>
            <w:tcW w:w="828" w:type="dxa"/>
            <w:shd w:val="clear" w:color="auto" w:fill="auto"/>
          </w:tcPr>
          <w:p w14:paraId="5649F29B" w14:textId="77777777" w:rsidR="00DA752D" w:rsidRPr="00814920" w:rsidRDefault="00DA752D" w:rsidP="00B0151D">
            <w:pPr>
              <w:rPr>
                <w:rFonts w:ascii="Arial" w:hAnsi="Arial" w:cs="Arial"/>
                <w:b/>
                <w:sz w:val="24"/>
                <w:szCs w:val="24"/>
              </w:rPr>
            </w:pPr>
          </w:p>
        </w:tc>
        <w:tc>
          <w:tcPr>
            <w:tcW w:w="1506" w:type="dxa"/>
            <w:shd w:val="clear" w:color="auto" w:fill="auto"/>
          </w:tcPr>
          <w:p w14:paraId="6DED135A"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3B0C44E1"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60BB35D7"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090D6B99"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62E59509" w14:textId="77777777" w:rsidR="00DA752D" w:rsidRPr="00814920" w:rsidRDefault="00DA752D" w:rsidP="00B0151D">
            <w:pPr>
              <w:rPr>
                <w:rFonts w:ascii="Arial" w:hAnsi="Arial" w:cs="Arial"/>
                <w:b/>
                <w:sz w:val="24"/>
                <w:szCs w:val="24"/>
              </w:rPr>
            </w:pPr>
          </w:p>
        </w:tc>
      </w:tr>
    </w:tbl>
    <w:p w14:paraId="5EC5FD09" w14:textId="77777777" w:rsidR="00DA752D" w:rsidRPr="00B47EAC" w:rsidRDefault="00DA752D" w:rsidP="00DA752D">
      <w:pPr>
        <w:rPr>
          <w:rFonts w:ascii="Arial" w:hAnsi="Arial" w:cs="Arial"/>
          <w:b/>
          <w:sz w:val="24"/>
          <w:szCs w:val="24"/>
          <w:u w:val="single"/>
        </w:rPr>
      </w:pPr>
    </w:p>
    <w:p w14:paraId="6C892CAA" w14:textId="77777777" w:rsidR="00DA752D" w:rsidRPr="00B47EAC" w:rsidRDefault="00DA752D" w:rsidP="00DA752D">
      <w:pPr>
        <w:rPr>
          <w:rFonts w:ascii="Arial" w:hAnsi="Arial" w:cs="Arial"/>
          <w:b/>
          <w:sz w:val="24"/>
          <w:szCs w:val="24"/>
          <w:u w:val="single"/>
        </w:rPr>
      </w:pPr>
    </w:p>
    <w:p w14:paraId="65837343"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3AB11444" w14:textId="77777777" w:rsidTr="00814920">
        <w:tc>
          <w:tcPr>
            <w:tcW w:w="14174" w:type="dxa"/>
            <w:shd w:val="clear" w:color="auto" w:fill="auto"/>
          </w:tcPr>
          <w:p w14:paraId="7EE9B4C4" w14:textId="77777777" w:rsidR="00DA752D" w:rsidRPr="00814920" w:rsidRDefault="00DA752D" w:rsidP="00B0151D">
            <w:pPr>
              <w:rPr>
                <w:rFonts w:ascii="Arial" w:hAnsi="Arial" w:cs="Arial"/>
                <w:sz w:val="24"/>
                <w:szCs w:val="24"/>
              </w:rPr>
            </w:pPr>
            <w:r w:rsidRPr="00814920">
              <w:rPr>
                <w:rFonts w:ascii="Arial" w:hAnsi="Arial" w:cs="Arial"/>
                <w:sz w:val="24"/>
                <w:szCs w:val="24"/>
              </w:rPr>
              <w:t>* Please use this space to explain the reason for non-compliance (regulation 73A(1)(c)/1997 Regulations)</w:t>
            </w:r>
          </w:p>
          <w:p w14:paraId="66C8C4D4" w14:textId="77777777" w:rsidR="00DA752D" w:rsidRPr="00814920" w:rsidRDefault="00DA752D" w:rsidP="00B0151D">
            <w:pPr>
              <w:rPr>
                <w:rFonts w:ascii="Arial" w:hAnsi="Arial" w:cs="Arial"/>
                <w:sz w:val="24"/>
                <w:szCs w:val="24"/>
              </w:rPr>
            </w:pPr>
          </w:p>
          <w:p w14:paraId="3F33DC25" w14:textId="77777777" w:rsidR="00DA752D" w:rsidRPr="00814920" w:rsidRDefault="00DA752D" w:rsidP="00B0151D">
            <w:pPr>
              <w:rPr>
                <w:rFonts w:ascii="Arial" w:hAnsi="Arial" w:cs="Arial"/>
                <w:sz w:val="24"/>
                <w:szCs w:val="24"/>
              </w:rPr>
            </w:pPr>
          </w:p>
          <w:p w14:paraId="43915D32" w14:textId="77777777" w:rsidR="00DA752D" w:rsidRPr="00814920" w:rsidRDefault="00DA752D" w:rsidP="00B0151D">
            <w:pPr>
              <w:rPr>
                <w:rFonts w:ascii="Arial" w:hAnsi="Arial" w:cs="Arial"/>
                <w:sz w:val="24"/>
                <w:szCs w:val="24"/>
              </w:rPr>
            </w:pPr>
          </w:p>
        </w:tc>
      </w:tr>
    </w:tbl>
    <w:p w14:paraId="36634B05" w14:textId="77777777" w:rsidR="00DA752D" w:rsidRDefault="00DA752D" w:rsidP="00DA752D">
      <w:pPr>
        <w:rPr>
          <w:rFonts w:ascii="Arial" w:hAnsi="Arial" w:cs="Arial"/>
          <w:b/>
          <w:sz w:val="24"/>
          <w:szCs w:val="24"/>
          <w:u w:val="single"/>
        </w:rPr>
      </w:pPr>
    </w:p>
    <w:p w14:paraId="1A41E240" w14:textId="77777777" w:rsidR="00B35782" w:rsidRPr="00B47EAC" w:rsidRDefault="00B35782" w:rsidP="00DA752D">
      <w:pPr>
        <w:rPr>
          <w:rFonts w:ascii="Arial" w:hAnsi="Arial" w:cs="Arial"/>
          <w:b/>
          <w:sz w:val="24"/>
          <w:szCs w:val="24"/>
          <w:u w:val="single"/>
        </w:rPr>
      </w:pPr>
    </w:p>
    <w:p w14:paraId="6C916626" w14:textId="77777777" w:rsidR="000474E1" w:rsidRPr="00B47EAC" w:rsidRDefault="000474E1"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371BDBB7" w14:textId="77777777" w:rsidTr="00814920">
        <w:tc>
          <w:tcPr>
            <w:tcW w:w="14174" w:type="dxa"/>
            <w:shd w:val="clear" w:color="auto" w:fill="auto"/>
          </w:tcPr>
          <w:p w14:paraId="2108A2CA" w14:textId="77777777" w:rsidR="00DA752D" w:rsidRPr="00814920" w:rsidRDefault="00DA752D" w:rsidP="00B0151D">
            <w:pPr>
              <w:rPr>
                <w:rFonts w:ascii="Arial" w:hAnsi="Arial" w:cs="Arial"/>
                <w:sz w:val="24"/>
                <w:szCs w:val="24"/>
              </w:rPr>
            </w:pPr>
            <w:r w:rsidRPr="00814920">
              <w:rPr>
                <w:rFonts w:ascii="Arial" w:hAnsi="Arial" w:cs="Arial"/>
                <w:sz w:val="24"/>
                <w:szCs w:val="24"/>
              </w:rPr>
              <w:t>Please use this space if you wish to add anything to explain or expand on the ratings given above :-</w:t>
            </w:r>
          </w:p>
          <w:p w14:paraId="6359D0E9" w14:textId="77777777" w:rsidR="00DA752D" w:rsidRPr="00814920" w:rsidRDefault="00DA752D" w:rsidP="00B0151D">
            <w:pPr>
              <w:rPr>
                <w:rFonts w:ascii="Arial" w:hAnsi="Arial" w:cs="Arial"/>
                <w:b/>
                <w:sz w:val="24"/>
                <w:szCs w:val="24"/>
              </w:rPr>
            </w:pPr>
          </w:p>
          <w:p w14:paraId="07B056F6" w14:textId="77777777" w:rsidR="00DA752D" w:rsidRPr="00814920" w:rsidRDefault="00DA752D" w:rsidP="00B0151D">
            <w:pPr>
              <w:rPr>
                <w:rFonts w:ascii="Arial" w:hAnsi="Arial" w:cs="Arial"/>
                <w:sz w:val="24"/>
                <w:szCs w:val="24"/>
              </w:rPr>
            </w:pPr>
            <w:r w:rsidRPr="00814920">
              <w:rPr>
                <w:rFonts w:ascii="Arial" w:hAnsi="Arial" w:cs="Arial"/>
                <w:b/>
                <w:sz w:val="24"/>
                <w:szCs w:val="24"/>
              </w:rPr>
              <w:t>a)</w:t>
            </w:r>
            <w:r w:rsidRPr="00814920">
              <w:rPr>
                <w:rFonts w:ascii="Arial" w:hAnsi="Arial" w:cs="Arial"/>
                <w:sz w:val="24"/>
                <w:szCs w:val="24"/>
              </w:rPr>
              <w:t xml:space="preserve"> The main </w:t>
            </w:r>
            <w:r w:rsidR="00A82870">
              <w:rPr>
                <w:rFonts w:ascii="Arial" w:hAnsi="Arial" w:cs="Arial"/>
                <w:sz w:val="24"/>
                <w:szCs w:val="24"/>
              </w:rPr>
              <w:t>panel</w:t>
            </w:r>
            <w:r w:rsidRPr="00814920">
              <w:rPr>
                <w:rFonts w:ascii="Arial" w:hAnsi="Arial" w:cs="Arial"/>
                <w:sz w:val="24"/>
                <w:szCs w:val="24"/>
              </w:rPr>
              <w:t xml:space="preserve"> has always considered within its remit  all associated Pension Fund matters.</w:t>
            </w:r>
          </w:p>
          <w:p w14:paraId="1304C674" w14:textId="77777777" w:rsidR="00DA752D" w:rsidRPr="00814920" w:rsidRDefault="00DA752D" w:rsidP="00B0151D">
            <w:pPr>
              <w:rPr>
                <w:rFonts w:ascii="Arial" w:hAnsi="Arial" w:cs="Arial"/>
                <w:sz w:val="24"/>
                <w:szCs w:val="24"/>
              </w:rPr>
            </w:pPr>
          </w:p>
          <w:p w14:paraId="393E14A0" w14:textId="77777777" w:rsidR="00DA752D" w:rsidRPr="00814920" w:rsidRDefault="00DA752D" w:rsidP="00B0151D">
            <w:pPr>
              <w:rPr>
                <w:rFonts w:ascii="Arial" w:hAnsi="Arial" w:cs="Arial"/>
                <w:sz w:val="24"/>
                <w:szCs w:val="24"/>
              </w:rPr>
            </w:pPr>
          </w:p>
          <w:p w14:paraId="1DAA18B7" w14:textId="77777777" w:rsidR="00DA752D" w:rsidRPr="00814920" w:rsidRDefault="00DA752D" w:rsidP="00B0151D">
            <w:pPr>
              <w:rPr>
                <w:rFonts w:ascii="Arial" w:hAnsi="Arial" w:cs="Arial"/>
                <w:sz w:val="24"/>
                <w:szCs w:val="24"/>
              </w:rPr>
            </w:pPr>
          </w:p>
          <w:p w14:paraId="2182EF1C" w14:textId="77777777" w:rsidR="00DA752D" w:rsidRPr="00814920" w:rsidRDefault="00DA752D" w:rsidP="00B0151D">
            <w:pPr>
              <w:rPr>
                <w:rFonts w:ascii="Arial" w:hAnsi="Arial" w:cs="Arial"/>
                <w:sz w:val="24"/>
                <w:szCs w:val="24"/>
              </w:rPr>
            </w:pPr>
          </w:p>
        </w:tc>
      </w:tr>
    </w:tbl>
    <w:p w14:paraId="42C8CD74" w14:textId="77777777" w:rsidR="00DA752D" w:rsidRPr="00B47EAC" w:rsidRDefault="00DA752D" w:rsidP="00DA752D">
      <w:pPr>
        <w:rPr>
          <w:rFonts w:ascii="Arial" w:hAnsi="Arial" w:cs="Arial"/>
          <w:sz w:val="24"/>
          <w:szCs w:val="24"/>
        </w:rPr>
      </w:pPr>
    </w:p>
    <w:p w14:paraId="2C7EAA0B" w14:textId="77777777" w:rsidR="00FB524C" w:rsidRDefault="00FB524C" w:rsidP="00DA752D">
      <w:pPr>
        <w:rPr>
          <w:rFonts w:ascii="Arial" w:hAnsi="Arial" w:cs="Arial"/>
          <w:b/>
          <w:sz w:val="24"/>
          <w:szCs w:val="24"/>
          <w:u w:val="single"/>
        </w:rPr>
      </w:pPr>
    </w:p>
    <w:p w14:paraId="124E25BD" w14:textId="77777777" w:rsidR="00FB524C" w:rsidRPr="00B47EAC" w:rsidRDefault="00FB524C" w:rsidP="00DA752D">
      <w:pPr>
        <w:rPr>
          <w:rFonts w:ascii="Arial" w:hAnsi="Arial" w:cs="Arial"/>
          <w:b/>
          <w:sz w:val="24"/>
          <w:szCs w:val="24"/>
          <w:u w:val="single"/>
        </w:rPr>
      </w:pPr>
    </w:p>
    <w:p w14:paraId="5B0A90E9" w14:textId="77777777" w:rsidR="00DA752D" w:rsidRPr="00B47EAC" w:rsidRDefault="00DA752D" w:rsidP="00DA752D">
      <w:pPr>
        <w:rPr>
          <w:rFonts w:ascii="Arial" w:hAnsi="Arial" w:cs="Arial"/>
          <w:b/>
          <w:sz w:val="24"/>
          <w:szCs w:val="24"/>
          <w:u w:val="single"/>
        </w:rPr>
      </w:pPr>
      <w:r w:rsidRPr="00B47EAC">
        <w:rPr>
          <w:rFonts w:ascii="Arial" w:hAnsi="Arial" w:cs="Arial"/>
          <w:b/>
          <w:sz w:val="24"/>
          <w:szCs w:val="24"/>
          <w:u w:val="single"/>
        </w:rPr>
        <w:t>Principle  I – Publicity</w:t>
      </w:r>
    </w:p>
    <w:p w14:paraId="3F661EE6" w14:textId="77777777" w:rsidR="00DA752D" w:rsidRPr="00B47EAC" w:rsidRDefault="00DA752D" w:rsidP="00DA752D">
      <w:pPr>
        <w:rPr>
          <w:rFonts w:ascii="Arial" w:hAnsi="Arial" w:cs="Arial"/>
          <w:b/>
          <w:sz w:val="24"/>
          <w:szCs w:val="24"/>
          <w:u w:val="single"/>
        </w:rPr>
      </w:pPr>
    </w:p>
    <w:p w14:paraId="4BBC38BE"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DA752D" w:rsidRPr="00814920" w14:paraId="3DB64FCC" w14:textId="77777777" w:rsidTr="00814920">
        <w:tc>
          <w:tcPr>
            <w:tcW w:w="828" w:type="dxa"/>
            <w:shd w:val="clear" w:color="auto" w:fill="auto"/>
          </w:tcPr>
          <w:p w14:paraId="0ED9AD0A" w14:textId="77777777" w:rsidR="00DA752D" w:rsidRPr="00814920" w:rsidRDefault="00DA752D" w:rsidP="00B0151D">
            <w:pPr>
              <w:rPr>
                <w:rFonts w:ascii="Arial" w:hAnsi="Arial" w:cs="Arial"/>
                <w:sz w:val="24"/>
                <w:szCs w:val="24"/>
              </w:rPr>
            </w:pPr>
          </w:p>
        </w:tc>
        <w:tc>
          <w:tcPr>
            <w:tcW w:w="7694" w:type="dxa"/>
            <w:gridSpan w:val="5"/>
            <w:shd w:val="clear" w:color="auto" w:fill="auto"/>
          </w:tcPr>
          <w:p w14:paraId="4FD00E35" w14:textId="77777777" w:rsidR="00DA752D" w:rsidRPr="00814920" w:rsidRDefault="00DA1B50" w:rsidP="00B0151D">
            <w:pPr>
              <w:rPr>
                <w:rFonts w:ascii="Arial" w:hAnsi="Arial" w:cs="Arial"/>
                <w:b/>
                <w:sz w:val="24"/>
                <w:szCs w:val="24"/>
              </w:rPr>
            </w:pPr>
            <w:r w:rsidRPr="00814920">
              <w:rPr>
                <w:rFonts w:ascii="Arial" w:hAnsi="Arial" w:cs="Arial"/>
                <w:b/>
                <w:sz w:val="24"/>
                <w:szCs w:val="24"/>
              </w:rPr>
              <w:t>Not Compliant*                                                 Fully Compliant</w:t>
            </w:r>
          </w:p>
          <w:p w14:paraId="7BBDDC38" w14:textId="77777777" w:rsidR="00DA1B50" w:rsidRPr="00814920" w:rsidRDefault="00DA1B50" w:rsidP="00B0151D">
            <w:pPr>
              <w:rPr>
                <w:rFonts w:ascii="Arial" w:hAnsi="Arial" w:cs="Arial"/>
                <w:b/>
                <w:sz w:val="24"/>
                <w:szCs w:val="24"/>
              </w:rPr>
            </w:pPr>
          </w:p>
        </w:tc>
      </w:tr>
      <w:tr w:rsidR="00DA752D" w:rsidRPr="00814920" w14:paraId="6B37FBD0" w14:textId="77777777" w:rsidTr="00814920">
        <w:tc>
          <w:tcPr>
            <w:tcW w:w="828" w:type="dxa"/>
            <w:shd w:val="clear" w:color="auto" w:fill="auto"/>
          </w:tcPr>
          <w:p w14:paraId="16201DE7" w14:textId="77777777" w:rsidR="00DA752D" w:rsidRPr="00814920" w:rsidRDefault="00DA752D" w:rsidP="00B0151D">
            <w:pPr>
              <w:rPr>
                <w:rFonts w:ascii="Arial" w:hAnsi="Arial" w:cs="Arial"/>
                <w:b/>
                <w:i/>
                <w:sz w:val="24"/>
                <w:szCs w:val="24"/>
              </w:rPr>
            </w:pPr>
            <w:r w:rsidRPr="00814920">
              <w:rPr>
                <w:rFonts w:ascii="Arial" w:hAnsi="Arial" w:cs="Arial"/>
                <w:b/>
                <w:sz w:val="24"/>
                <w:szCs w:val="24"/>
              </w:rPr>
              <w:t>a)</w:t>
            </w:r>
          </w:p>
        </w:tc>
        <w:tc>
          <w:tcPr>
            <w:tcW w:w="1506" w:type="dxa"/>
            <w:shd w:val="clear" w:color="auto" w:fill="auto"/>
          </w:tcPr>
          <w:p w14:paraId="6927E3C2"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3A597633"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15184B83"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601590EB"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36656748" w14:textId="77777777" w:rsidR="00DA752D" w:rsidRPr="00814920" w:rsidRDefault="00DA752D" w:rsidP="00B0151D">
            <w:pPr>
              <w:rPr>
                <w:rFonts w:ascii="Arial" w:hAnsi="Arial" w:cs="Arial"/>
                <w:b/>
                <w:sz w:val="24"/>
                <w:szCs w:val="24"/>
              </w:rPr>
            </w:pPr>
            <w:r w:rsidRPr="00814920">
              <w:rPr>
                <w:rFonts w:ascii="Arial" w:hAnsi="Arial" w:cs="Arial"/>
                <w:b/>
                <w:sz w:val="24"/>
                <w:szCs w:val="24"/>
              </w:rPr>
              <w:sym w:font="Wingdings" w:char="F0FC"/>
            </w:r>
          </w:p>
        </w:tc>
      </w:tr>
      <w:tr w:rsidR="00DA752D" w:rsidRPr="00814920" w14:paraId="49C9B2D2" w14:textId="77777777" w:rsidTr="00814920">
        <w:tc>
          <w:tcPr>
            <w:tcW w:w="828" w:type="dxa"/>
            <w:shd w:val="clear" w:color="auto" w:fill="auto"/>
          </w:tcPr>
          <w:p w14:paraId="5DC43F6A" w14:textId="77777777" w:rsidR="00DA752D" w:rsidRPr="00814920" w:rsidRDefault="00DA752D" w:rsidP="00B0151D">
            <w:pPr>
              <w:rPr>
                <w:rFonts w:ascii="Arial" w:hAnsi="Arial" w:cs="Arial"/>
                <w:b/>
                <w:sz w:val="24"/>
                <w:szCs w:val="24"/>
              </w:rPr>
            </w:pPr>
          </w:p>
        </w:tc>
        <w:tc>
          <w:tcPr>
            <w:tcW w:w="1506" w:type="dxa"/>
            <w:shd w:val="clear" w:color="auto" w:fill="auto"/>
          </w:tcPr>
          <w:p w14:paraId="4CC1B23A"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3DDF4A6A"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3A369B33"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5BECD36F"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27783659" w14:textId="77777777" w:rsidR="00DA752D" w:rsidRPr="00814920" w:rsidRDefault="00DA752D" w:rsidP="00B0151D">
            <w:pPr>
              <w:rPr>
                <w:rFonts w:ascii="Arial" w:hAnsi="Arial" w:cs="Arial"/>
                <w:b/>
                <w:sz w:val="24"/>
                <w:szCs w:val="24"/>
                <w:u w:val="single"/>
              </w:rPr>
            </w:pPr>
          </w:p>
        </w:tc>
      </w:tr>
      <w:tr w:rsidR="00DA752D" w:rsidRPr="00814920" w14:paraId="4AC41E15" w14:textId="77777777" w:rsidTr="00814920">
        <w:tc>
          <w:tcPr>
            <w:tcW w:w="828" w:type="dxa"/>
            <w:shd w:val="clear" w:color="auto" w:fill="auto"/>
          </w:tcPr>
          <w:p w14:paraId="59DE0EDC" w14:textId="77777777" w:rsidR="00DA752D" w:rsidRPr="00814920" w:rsidRDefault="00DA752D" w:rsidP="00B0151D">
            <w:pPr>
              <w:rPr>
                <w:rFonts w:ascii="Arial" w:hAnsi="Arial" w:cs="Arial"/>
                <w:b/>
                <w:sz w:val="24"/>
                <w:szCs w:val="24"/>
              </w:rPr>
            </w:pPr>
          </w:p>
        </w:tc>
        <w:tc>
          <w:tcPr>
            <w:tcW w:w="1506" w:type="dxa"/>
            <w:shd w:val="clear" w:color="auto" w:fill="auto"/>
          </w:tcPr>
          <w:p w14:paraId="36ECEF54"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3AA64873"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183642F0"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74B2BEE3"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0851F22B" w14:textId="77777777" w:rsidR="00DA752D" w:rsidRPr="00814920" w:rsidRDefault="00DA752D" w:rsidP="00B0151D">
            <w:pPr>
              <w:rPr>
                <w:rFonts w:ascii="Arial" w:hAnsi="Arial" w:cs="Arial"/>
                <w:b/>
                <w:sz w:val="24"/>
                <w:szCs w:val="24"/>
              </w:rPr>
            </w:pPr>
          </w:p>
        </w:tc>
      </w:tr>
      <w:tr w:rsidR="00DA752D" w:rsidRPr="00814920" w14:paraId="2E6D5115" w14:textId="77777777" w:rsidTr="00814920">
        <w:tc>
          <w:tcPr>
            <w:tcW w:w="828" w:type="dxa"/>
            <w:shd w:val="clear" w:color="auto" w:fill="auto"/>
          </w:tcPr>
          <w:p w14:paraId="60C2E9E3" w14:textId="77777777" w:rsidR="00DA752D" w:rsidRPr="00814920" w:rsidRDefault="00DA752D" w:rsidP="00B0151D">
            <w:pPr>
              <w:rPr>
                <w:rFonts w:ascii="Arial" w:hAnsi="Arial" w:cs="Arial"/>
                <w:b/>
                <w:sz w:val="24"/>
                <w:szCs w:val="24"/>
              </w:rPr>
            </w:pPr>
          </w:p>
        </w:tc>
        <w:tc>
          <w:tcPr>
            <w:tcW w:w="1506" w:type="dxa"/>
            <w:shd w:val="clear" w:color="auto" w:fill="auto"/>
          </w:tcPr>
          <w:p w14:paraId="309396A3"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2906B7A5"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01BFF2E9"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3BD69070"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316FF095" w14:textId="77777777" w:rsidR="00DA752D" w:rsidRPr="00814920" w:rsidRDefault="00DA752D" w:rsidP="00B0151D">
            <w:pPr>
              <w:rPr>
                <w:rFonts w:ascii="Arial" w:hAnsi="Arial" w:cs="Arial"/>
                <w:b/>
                <w:sz w:val="24"/>
                <w:szCs w:val="24"/>
              </w:rPr>
            </w:pPr>
          </w:p>
        </w:tc>
      </w:tr>
      <w:tr w:rsidR="00DA752D" w:rsidRPr="00814920" w14:paraId="2E603BFA" w14:textId="77777777" w:rsidTr="00814920">
        <w:tc>
          <w:tcPr>
            <w:tcW w:w="828" w:type="dxa"/>
            <w:shd w:val="clear" w:color="auto" w:fill="auto"/>
          </w:tcPr>
          <w:p w14:paraId="32CC5B03" w14:textId="77777777" w:rsidR="00DA752D" w:rsidRPr="00814920" w:rsidRDefault="00DA752D" w:rsidP="00B0151D">
            <w:pPr>
              <w:rPr>
                <w:rFonts w:ascii="Arial" w:hAnsi="Arial" w:cs="Arial"/>
                <w:b/>
                <w:sz w:val="24"/>
                <w:szCs w:val="24"/>
              </w:rPr>
            </w:pPr>
          </w:p>
        </w:tc>
        <w:tc>
          <w:tcPr>
            <w:tcW w:w="1506" w:type="dxa"/>
            <w:shd w:val="clear" w:color="auto" w:fill="auto"/>
          </w:tcPr>
          <w:p w14:paraId="64CC4766"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0BDBEE92"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0F5C1AB4"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5B791FB0"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50C19AE6" w14:textId="77777777" w:rsidR="00DA752D" w:rsidRPr="00814920" w:rsidRDefault="00DA752D" w:rsidP="00B0151D">
            <w:pPr>
              <w:rPr>
                <w:rFonts w:ascii="Arial" w:hAnsi="Arial" w:cs="Arial"/>
                <w:b/>
                <w:sz w:val="24"/>
                <w:szCs w:val="24"/>
              </w:rPr>
            </w:pPr>
          </w:p>
        </w:tc>
      </w:tr>
      <w:tr w:rsidR="00DA752D" w:rsidRPr="00814920" w14:paraId="26A4BA66" w14:textId="77777777" w:rsidTr="00814920">
        <w:tc>
          <w:tcPr>
            <w:tcW w:w="828" w:type="dxa"/>
            <w:shd w:val="clear" w:color="auto" w:fill="auto"/>
          </w:tcPr>
          <w:p w14:paraId="3CE9B82B" w14:textId="77777777" w:rsidR="00DA752D" w:rsidRPr="00814920" w:rsidRDefault="00DA752D" w:rsidP="00B0151D">
            <w:pPr>
              <w:rPr>
                <w:rFonts w:ascii="Arial" w:hAnsi="Arial" w:cs="Arial"/>
                <w:b/>
                <w:sz w:val="24"/>
                <w:szCs w:val="24"/>
              </w:rPr>
            </w:pPr>
          </w:p>
        </w:tc>
        <w:tc>
          <w:tcPr>
            <w:tcW w:w="1506" w:type="dxa"/>
            <w:shd w:val="clear" w:color="auto" w:fill="auto"/>
          </w:tcPr>
          <w:p w14:paraId="6D4B14FF"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7471707F"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3EF5ADB3"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721585B7"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3EB7A794" w14:textId="77777777" w:rsidR="00DA752D" w:rsidRPr="00814920" w:rsidRDefault="00DA752D" w:rsidP="00B0151D">
            <w:pPr>
              <w:rPr>
                <w:rFonts w:ascii="Arial" w:hAnsi="Arial" w:cs="Arial"/>
                <w:b/>
                <w:sz w:val="24"/>
                <w:szCs w:val="24"/>
              </w:rPr>
            </w:pPr>
          </w:p>
        </w:tc>
      </w:tr>
    </w:tbl>
    <w:p w14:paraId="188FA889" w14:textId="77777777" w:rsidR="00DA752D" w:rsidRPr="00B47EAC" w:rsidRDefault="00DA752D" w:rsidP="00DA752D">
      <w:pPr>
        <w:rPr>
          <w:rFonts w:ascii="Arial" w:hAnsi="Arial" w:cs="Arial"/>
          <w:b/>
          <w:sz w:val="24"/>
          <w:szCs w:val="24"/>
          <w:u w:val="single"/>
        </w:rPr>
      </w:pPr>
    </w:p>
    <w:p w14:paraId="5A413C33"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776EE91F" w14:textId="77777777" w:rsidTr="00814920">
        <w:tc>
          <w:tcPr>
            <w:tcW w:w="14174" w:type="dxa"/>
            <w:shd w:val="clear" w:color="auto" w:fill="auto"/>
          </w:tcPr>
          <w:p w14:paraId="13AF65B8" w14:textId="77777777" w:rsidR="00DA752D" w:rsidRPr="00814920" w:rsidRDefault="00DA752D" w:rsidP="00B0151D">
            <w:pPr>
              <w:rPr>
                <w:rFonts w:ascii="Arial" w:hAnsi="Arial" w:cs="Arial"/>
                <w:sz w:val="24"/>
                <w:szCs w:val="24"/>
              </w:rPr>
            </w:pPr>
            <w:r w:rsidRPr="00814920">
              <w:rPr>
                <w:rFonts w:ascii="Arial" w:hAnsi="Arial" w:cs="Arial"/>
                <w:sz w:val="24"/>
                <w:szCs w:val="24"/>
              </w:rPr>
              <w:t>* Please use this space to explain the reason for non-compliance (regulation 73A(1)(c)/1997 Regulations)</w:t>
            </w:r>
          </w:p>
          <w:p w14:paraId="4ADDFA9E" w14:textId="77777777" w:rsidR="00DA752D" w:rsidRPr="00814920" w:rsidRDefault="00DA752D" w:rsidP="00B0151D">
            <w:pPr>
              <w:rPr>
                <w:rFonts w:ascii="Arial" w:hAnsi="Arial" w:cs="Arial"/>
                <w:sz w:val="24"/>
                <w:szCs w:val="24"/>
              </w:rPr>
            </w:pPr>
          </w:p>
          <w:p w14:paraId="40E450C5" w14:textId="77777777" w:rsidR="00DA752D" w:rsidRPr="00814920" w:rsidRDefault="00DA752D" w:rsidP="00B0151D">
            <w:pPr>
              <w:rPr>
                <w:rFonts w:ascii="Arial" w:hAnsi="Arial" w:cs="Arial"/>
                <w:sz w:val="24"/>
                <w:szCs w:val="24"/>
              </w:rPr>
            </w:pPr>
          </w:p>
          <w:p w14:paraId="11FB7973" w14:textId="77777777" w:rsidR="00DA752D" w:rsidRPr="00814920" w:rsidRDefault="00DA752D" w:rsidP="00B0151D">
            <w:pPr>
              <w:rPr>
                <w:rFonts w:ascii="Arial" w:hAnsi="Arial" w:cs="Arial"/>
                <w:sz w:val="24"/>
                <w:szCs w:val="24"/>
              </w:rPr>
            </w:pPr>
          </w:p>
        </w:tc>
      </w:tr>
    </w:tbl>
    <w:p w14:paraId="74F23AE0" w14:textId="77777777" w:rsidR="00DA752D" w:rsidRPr="00B47EAC" w:rsidRDefault="00DA752D" w:rsidP="00DA752D">
      <w:pPr>
        <w:rPr>
          <w:rFonts w:ascii="Arial" w:hAnsi="Arial" w:cs="Arial"/>
          <w:b/>
          <w:sz w:val="24"/>
          <w:szCs w:val="24"/>
          <w:u w:val="single"/>
        </w:rPr>
      </w:pPr>
    </w:p>
    <w:p w14:paraId="0BC9A3E1"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DA752D" w:rsidRPr="00814920" w14:paraId="48098539" w14:textId="77777777" w:rsidTr="00814920">
        <w:tc>
          <w:tcPr>
            <w:tcW w:w="14174" w:type="dxa"/>
            <w:shd w:val="clear" w:color="auto" w:fill="auto"/>
          </w:tcPr>
          <w:p w14:paraId="51A0B5FF" w14:textId="77777777" w:rsidR="00DA752D" w:rsidRPr="00814920" w:rsidRDefault="00DA752D" w:rsidP="00B0151D">
            <w:pPr>
              <w:rPr>
                <w:rFonts w:ascii="Arial" w:hAnsi="Arial" w:cs="Arial"/>
                <w:sz w:val="24"/>
                <w:szCs w:val="24"/>
              </w:rPr>
            </w:pPr>
            <w:r w:rsidRPr="00814920">
              <w:rPr>
                <w:rFonts w:ascii="Arial" w:hAnsi="Arial" w:cs="Arial"/>
                <w:sz w:val="24"/>
                <w:szCs w:val="24"/>
              </w:rPr>
              <w:t>Please use this space if you wish to add anything to explain or expand on the ratings given above :-</w:t>
            </w:r>
          </w:p>
          <w:p w14:paraId="1D72C783" w14:textId="77777777" w:rsidR="00DA752D" w:rsidRPr="00814920" w:rsidRDefault="00DA752D" w:rsidP="00B0151D">
            <w:pPr>
              <w:rPr>
                <w:rFonts w:ascii="Arial" w:hAnsi="Arial" w:cs="Arial"/>
                <w:b/>
                <w:sz w:val="24"/>
                <w:szCs w:val="24"/>
              </w:rPr>
            </w:pPr>
          </w:p>
          <w:p w14:paraId="575CB831" w14:textId="77777777" w:rsidR="00DA752D" w:rsidRPr="00814920" w:rsidRDefault="00DA752D" w:rsidP="00B0151D">
            <w:pPr>
              <w:rPr>
                <w:rFonts w:ascii="Arial" w:hAnsi="Arial" w:cs="Arial"/>
                <w:sz w:val="24"/>
                <w:szCs w:val="24"/>
              </w:rPr>
            </w:pPr>
          </w:p>
          <w:p w14:paraId="1B131435" w14:textId="77777777" w:rsidR="00DA752D" w:rsidRPr="00814920" w:rsidRDefault="00DA752D" w:rsidP="00B0151D">
            <w:pPr>
              <w:rPr>
                <w:rFonts w:ascii="Arial" w:hAnsi="Arial" w:cs="Arial"/>
                <w:sz w:val="24"/>
                <w:szCs w:val="24"/>
              </w:rPr>
            </w:pPr>
          </w:p>
          <w:p w14:paraId="45FAF804" w14:textId="77777777" w:rsidR="00DA752D" w:rsidRPr="00814920" w:rsidRDefault="00DA752D" w:rsidP="00B0151D">
            <w:pPr>
              <w:rPr>
                <w:rFonts w:ascii="Arial" w:hAnsi="Arial" w:cs="Arial"/>
                <w:sz w:val="24"/>
                <w:szCs w:val="24"/>
              </w:rPr>
            </w:pPr>
          </w:p>
        </w:tc>
      </w:tr>
    </w:tbl>
    <w:p w14:paraId="3048B865" w14:textId="77777777" w:rsidR="004A4FB9" w:rsidRPr="00B47EAC" w:rsidRDefault="004A4FB9" w:rsidP="00C45127">
      <w:pPr>
        <w:jc w:val="both"/>
        <w:rPr>
          <w:rFonts w:ascii="Arial" w:hAnsi="Arial" w:cs="Arial"/>
          <w:sz w:val="24"/>
          <w:szCs w:val="24"/>
        </w:rPr>
      </w:pPr>
    </w:p>
    <w:p w14:paraId="70D6C89D" w14:textId="77777777" w:rsidR="00FB524C" w:rsidRPr="00B47EAC" w:rsidRDefault="00FB524C" w:rsidP="004A4FB9">
      <w:pPr>
        <w:rPr>
          <w:rFonts w:ascii="Arial" w:hAnsi="Arial" w:cs="Arial"/>
          <w:b/>
          <w:sz w:val="24"/>
          <w:szCs w:val="24"/>
        </w:rPr>
      </w:pPr>
    </w:p>
    <w:p w14:paraId="7ADB2BA3" w14:textId="77777777" w:rsidR="00FB524C" w:rsidRPr="00B47EAC" w:rsidRDefault="00FB524C" w:rsidP="004A4FB9">
      <w:pPr>
        <w:rPr>
          <w:rFonts w:ascii="Arial" w:hAnsi="Arial" w:cs="Arial"/>
          <w:b/>
          <w:sz w:val="24"/>
          <w:szCs w:val="24"/>
        </w:rPr>
      </w:pPr>
    </w:p>
    <w:p w14:paraId="45260F1D" w14:textId="77777777" w:rsidR="00FB524C" w:rsidRPr="00B47EAC" w:rsidRDefault="00FB524C" w:rsidP="004A4FB9">
      <w:pPr>
        <w:rPr>
          <w:rFonts w:ascii="Arial" w:hAnsi="Arial" w:cs="Arial"/>
          <w:b/>
          <w:sz w:val="24"/>
          <w:szCs w:val="24"/>
        </w:rPr>
      </w:pPr>
    </w:p>
    <w:p w14:paraId="601EB1F6" w14:textId="77777777" w:rsidR="00FB524C" w:rsidRPr="00B47EAC" w:rsidRDefault="00FB524C" w:rsidP="004A4FB9">
      <w:pPr>
        <w:rPr>
          <w:rFonts w:ascii="Arial" w:hAnsi="Arial" w:cs="Arial"/>
          <w:b/>
          <w:sz w:val="24"/>
          <w:szCs w:val="24"/>
        </w:rPr>
      </w:pPr>
    </w:p>
    <w:p w14:paraId="149E0FD3" w14:textId="77777777" w:rsidR="00FB524C" w:rsidRPr="00B47EAC" w:rsidRDefault="00FB524C" w:rsidP="004A4FB9">
      <w:pPr>
        <w:rPr>
          <w:rFonts w:ascii="Arial" w:hAnsi="Arial" w:cs="Arial"/>
          <w:b/>
          <w:sz w:val="24"/>
          <w:szCs w:val="24"/>
        </w:rPr>
      </w:pPr>
    </w:p>
    <w:p w14:paraId="0ED1C2E2" w14:textId="77777777" w:rsidR="00FB524C" w:rsidRDefault="00FB524C" w:rsidP="004A4FB9">
      <w:pPr>
        <w:rPr>
          <w:rFonts w:ascii="Arial" w:hAnsi="Arial" w:cs="Arial"/>
          <w:b/>
          <w:sz w:val="24"/>
          <w:szCs w:val="24"/>
        </w:rPr>
      </w:pPr>
    </w:p>
    <w:p w14:paraId="202E188B" w14:textId="77777777" w:rsidR="002E00C4" w:rsidRDefault="002E00C4" w:rsidP="004A4FB9">
      <w:pPr>
        <w:rPr>
          <w:rFonts w:ascii="Arial" w:hAnsi="Arial" w:cs="Arial"/>
          <w:b/>
          <w:sz w:val="24"/>
          <w:szCs w:val="24"/>
        </w:rPr>
      </w:pPr>
    </w:p>
    <w:p w14:paraId="23704811" w14:textId="77777777" w:rsidR="002E00C4" w:rsidRDefault="002E00C4" w:rsidP="004A4FB9">
      <w:pPr>
        <w:rPr>
          <w:rFonts w:ascii="Arial" w:hAnsi="Arial" w:cs="Arial"/>
          <w:b/>
          <w:sz w:val="24"/>
          <w:szCs w:val="24"/>
        </w:rPr>
      </w:pPr>
    </w:p>
    <w:p w14:paraId="2589772A" w14:textId="77777777" w:rsidR="002E00C4" w:rsidRPr="00B47EAC" w:rsidRDefault="002E00C4" w:rsidP="004A4FB9">
      <w:pPr>
        <w:rPr>
          <w:rFonts w:ascii="Arial" w:hAnsi="Arial" w:cs="Arial"/>
          <w:b/>
          <w:sz w:val="24"/>
          <w:szCs w:val="24"/>
        </w:rPr>
      </w:pPr>
    </w:p>
    <w:p w14:paraId="25AD4892" w14:textId="77777777" w:rsidR="002E00C4" w:rsidRDefault="00B35782" w:rsidP="004A4FB9">
      <w:pPr>
        <w:rPr>
          <w:rFonts w:ascii="Arial" w:hAnsi="Arial" w:cs="Arial"/>
          <w:b/>
          <w:sz w:val="24"/>
          <w:szCs w:val="24"/>
        </w:rPr>
      </w:pPr>
      <w:r>
        <w:rPr>
          <w:rFonts w:ascii="Arial" w:hAnsi="Arial" w:cs="Arial"/>
          <w:b/>
          <w:sz w:val="24"/>
          <w:szCs w:val="24"/>
        </w:rPr>
        <w:t xml:space="preserve"> </w:t>
      </w:r>
      <w:r w:rsidR="00626E87">
        <w:rPr>
          <w:rFonts w:ascii="Arial" w:hAnsi="Arial" w:cs="Arial"/>
          <w:b/>
          <w:sz w:val="24"/>
          <w:szCs w:val="24"/>
        </w:rPr>
        <w:t xml:space="preserve">                                                                                                                </w:t>
      </w:r>
    </w:p>
    <w:p w14:paraId="03C5D95E" w14:textId="77777777" w:rsidR="002E00C4" w:rsidRDefault="002E00C4" w:rsidP="004A4FB9">
      <w:pPr>
        <w:rPr>
          <w:rFonts w:ascii="Arial" w:hAnsi="Arial" w:cs="Arial"/>
          <w:b/>
          <w:sz w:val="24"/>
          <w:szCs w:val="24"/>
        </w:rPr>
      </w:pPr>
    </w:p>
    <w:p w14:paraId="583093D5" w14:textId="77777777" w:rsidR="002E00C4" w:rsidRDefault="002E00C4" w:rsidP="004A4FB9">
      <w:pPr>
        <w:rPr>
          <w:rFonts w:ascii="Arial" w:hAnsi="Arial" w:cs="Arial"/>
          <w:b/>
          <w:sz w:val="24"/>
          <w:szCs w:val="24"/>
        </w:rPr>
      </w:pPr>
    </w:p>
    <w:p w14:paraId="5AA4446B" w14:textId="77777777" w:rsidR="004A4FB9" w:rsidRPr="00B47EAC" w:rsidRDefault="002E00C4" w:rsidP="004A4FB9">
      <w:pPr>
        <w:rPr>
          <w:rFonts w:ascii="Arial" w:hAnsi="Arial" w:cs="Arial"/>
          <w:b/>
          <w:sz w:val="24"/>
          <w:szCs w:val="24"/>
        </w:rPr>
      </w:pPr>
      <w:r>
        <w:rPr>
          <w:rFonts w:ascii="Arial" w:hAnsi="Arial" w:cs="Arial"/>
          <w:b/>
          <w:sz w:val="24"/>
          <w:szCs w:val="24"/>
        </w:rPr>
        <w:lastRenderedPageBreak/>
        <w:t xml:space="preserve">                                                                                                               </w:t>
      </w:r>
      <w:r w:rsidR="00626E87">
        <w:rPr>
          <w:rFonts w:ascii="Arial" w:hAnsi="Arial" w:cs="Arial"/>
          <w:b/>
          <w:sz w:val="24"/>
          <w:szCs w:val="24"/>
        </w:rPr>
        <w:t xml:space="preserve">   </w:t>
      </w:r>
      <w:r w:rsidR="004A4FB9" w:rsidRPr="00B47EAC">
        <w:rPr>
          <w:rFonts w:ascii="Arial" w:hAnsi="Arial" w:cs="Arial"/>
          <w:b/>
          <w:sz w:val="24"/>
          <w:szCs w:val="24"/>
        </w:rPr>
        <w:t>Appendix 10</w:t>
      </w:r>
    </w:p>
    <w:p w14:paraId="6AE1A83E" w14:textId="77777777" w:rsidR="004A4FB9" w:rsidRPr="00B47EAC" w:rsidRDefault="004A4FB9" w:rsidP="004A4FB9">
      <w:pPr>
        <w:rPr>
          <w:rFonts w:ascii="Arial" w:hAnsi="Arial" w:cs="Arial"/>
          <w:b/>
          <w:sz w:val="24"/>
          <w:szCs w:val="24"/>
        </w:rPr>
      </w:pPr>
    </w:p>
    <w:p w14:paraId="6E003786" w14:textId="77777777" w:rsidR="009D18D8" w:rsidRPr="009D18D8" w:rsidRDefault="009D18D8" w:rsidP="009D18D8">
      <w:pPr>
        <w:jc w:val="both"/>
        <w:rPr>
          <w:rFonts w:ascii="Arial" w:hAnsi="Arial" w:cs="Arial"/>
          <w:b/>
          <w:sz w:val="24"/>
          <w:szCs w:val="24"/>
        </w:rPr>
      </w:pPr>
    </w:p>
    <w:p w14:paraId="195F0A31" w14:textId="77777777" w:rsidR="00D60C26" w:rsidRPr="002E00C4" w:rsidRDefault="00D60C26" w:rsidP="00D60C26">
      <w:pPr>
        <w:jc w:val="both"/>
        <w:rPr>
          <w:rFonts w:ascii="Arial" w:hAnsi="Arial" w:cs="Arial"/>
          <w:b/>
          <w:sz w:val="24"/>
          <w:szCs w:val="24"/>
        </w:rPr>
      </w:pPr>
      <w:r w:rsidRPr="002E00C4">
        <w:rPr>
          <w:rFonts w:ascii="Arial" w:hAnsi="Arial" w:cs="Arial"/>
          <w:b/>
          <w:sz w:val="24"/>
          <w:szCs w:val="24"/>
        </w:rPr>
        <w:t>Communications Policy Statement</w:t>
      </w:r>
    </w:p>
    <w:p w14:paraId="6E16ACAD" w14:textId="77777777" w:rsidR="00D60C26" w:rsidRPr="002E00C4" w:rsidRDefault="00D60C26" w:rsidP="00D60C26">
      <w:pPr>
        <w:jc w:val="both"/>
        <w:rPr>
          <w:rFonts w:ascii="Arial" w:hAnsi="Arial" w:cs="Arial"/>
          <w:b/>
          <w:sz w:val="24"/>
          <w:szCs w:val="24"/>
        </w:rPr>
      </w:pPr>
    </w:p>
    <w:p w14:paraId="76EB4F7F" w14:textId="77777777" w:rsidR="002E00C4" w:rsidRPr="002E00C4" w:rsidRDefault="002E00C4" w:rsidP="002E00C4">
      <w:pPr>
        <w:jc w:val="both"/>
        <w:rPr>
          <w:rFonts w:ascii="Arial" w:hAnsi="Arial" w:cs="Arial"/>
          <w:sz w:val="24"/>
          <w:szCs w:val="24"/>
          <w:lang w:eastAsia="en-GB"/>
        </w:rPr>
      </w:pPr>
      <w:r w:rsidRPr="002E00C4">
        <w:rPr>
          <w:rFonts w:ascii="Arial" w:hAnsi="Arial" w:cs="Arial"/>
          <w:sz w:val="24"/>
          <w:szCs w:val="24"/>
        </w:rPr>
        <w:t>The City and County of Swansea Pension Fund endeavours to provide a high quality and consistent service to our customers in the most efficient and effective manner possible, particularly in an ever changing pensions environment.</w:t>
      </w:r>
    </w:p>
    <w:p w14:paraId="3C55B5A5" w14:textId="77777777" w:rsidR="002E00C4" w:rsidRPr="002E00C4" w:rsidRDefault="002E00C4" w:rsidP="002E00C4">
      <w:pPr>
        <w:jc w:val="both"/>
        <w:rPr>
          <w:rFonts w:ascii="Arial" w:hAnsi="Arial" w:cs="Arial"/>
          <w:sz w:val="24"/>
          <w:szCs w:val="24"/>
        </w:rPr>
      </w:pPr>
    </w:p>
    <w:p w14:paraId="3F26542E" w14:textId="77777777" w:rsidR="002E00C4" w:rsidRPr="002E00C4" w:rsidRDefault="002E00C4" w:rsidP="002E00C4">
      <w:pPr>
        <w:jc w:val="both"/>
        <w:rPr>
          <w:rFonts w:ascii="Arial" w:hAnsi="Arial" w:cs="Arial"/>
          <w:sz w:val="24"/>
          <w:szCs w:val="24"/>
        </w:rPr>
      </w:pPr>
      <w:r w:rsidRPr="002E00C4">
        <w:rPr>
          <w:rFonts w:ascii="Arial" w:hAnsi="Arial" w:cs="Arial"/>
          <w:sz w:val="24"/>
          <w:szCs w:val="24"/>
        </w:rPr>
        <w:t>There are 5 distinct groups with whom the fund needs to communicate.</w:t>
      </w:r>
    </w:p>
    <w:p w14:paraId="3C784F5D" w14:textId="77777777" w:rsidR="002E00C4" w:rsidRPr="002E00C4" w:rsidRDefault="002E00C4" w:rsidP="002E00C4">
      <w:pPr>
        <w:jc w:val="both"/>
        <w:rPr>
          <w:rFonts w:ascii="Arial" w:hAnsi="Arial" w:cs="Arial"/>
          <w:sz w:val="24"/>
          <w:szCs w:val="24"/>
        </w:rPr>
      </w:pPr>
    </w:p>
    <w:p w14:paraId="6E8976C7" w14:textId="77777777" w:rsidR="002E00C4" w:rsidRPr="002E00C4" w:rsidRDefault="002E00C4" w:rsidP="002E00C4">
      <w:pPr>
        <w:shd w:val="clear" w:color="auto" w:fill="CCCCCC"/>
        <w:ind w:right="4834"/>
        <w:jc w:val="both"/>
        <w:rPr>
          <w:rFonts w:ascii="Arial" w:hAnsi="Arial" w:cs="Arial"/>
          <w:sz w:val="24"/>
          <w:szCs w:val="24"/>
        </w:rPr>
      </w:pPr>
    </w:p>
    <w:p w14:paraId="2A9EA1E3" w14:textId="77777777" w:rsidR="002E00C4" w:rsidRPr="002E00C4" w:rsidRDefault="002E00C4" w:rsidP="002E00C4">
      <w:pPr>
        <w:shd w:val="clear" w:color="auto" w:fill="CCCCCC"/>
        <w:ind w:right="4834"/>
        <w:jc w:val="both"/>
        <w:rPr>
          <w:rFonts w:ascii="Arial" w:hAnsi="Arial" w:cs="Arial"/>
          <w:sz w:val="24"/>
          <w:szCs w:val="24"/>
        </w:rPr>
      </w:pPr>
      <w:r w:rsidRPr="002E00C4">
        <w:rPr>
          <w:rFonts w:ascii="Arial" w:hAnsi="Arial" w:cs="Arial"/>
          <w:sz w:val="24"/>
          <w:szCs w:val="24"/>
        </w:rPr>
        <w:t>1.</w:t>
      </w:r>
      <w:r w:rsidRPr="002E00C4">
        <w:rPr>
          <w:rFonts w:ascii="Arial" w:hAnsi="Arial" w:cs="Arial"/>
          <w:sz w:val="24"/>
          <w:szCs w:val="24"/>
        </w:rPr>
        <w:tab/>
        <w:t>Scheme Members</w:t>
      </w:r>
    </w:p>
    <w:p w14:paraId="22B54307" w14:textId="77777777" w:rsidR="002E00C4" w:rsidRPr="002E00C4" w:rsidRDefault="002E00C4" w:rsidP="002E00C4">
      <w:pPr>
        <w:shd w:val="clear" w:color="auto" w:fill="CCCCCC"/>
        <w:ind w:right="4834"/>
        <w:jc w:val="both"/>
        <w:rPr>
          <w:rFonts w:ascii="Arial" w:hAnsi="Arial" w:cs="Arial"/>
          <w:sz w:val="24"/>
          <w:szCs w:val="24"/>
        </w:rPr>
      </w:pPr>
    </w:p>
    <w:p w14:paraId="1ED93AE9" w14:textId="77777777" w:rsidR="002E00C4" w:rsidRPr="002E00C4" w:rsidRDefault="002E00C4" w:rsidP="002E00C4">
      <w:pPr>
        <w:shd w:val="clear" w:color="auto" w:fill="CCCCCC"/>
        <w:ind w:right="4834"/>
        <w:jc w:val="both"/>
        <w:rPr>
          <w:rFonts w:ascii="Arial" w:hAnsi="Arial" w:cs="Arial"/>
          <w:sz w:val="24"/>
          <w:szCs w:val="24"/>
        </w:rPr>
      </w:pPr>
      <w:r w:rsidRPr="002E00C4">
        <w:rPr>
          <w:rFonts w:ascii="Arial" w:hAnsi="Arial" w:cs="Arial"/>
          <w:sz w:val="24"/>
          <w:szCs w:val="24"/>
        </w:rPr>
        <w:t>2.</w:t>
      </w:r>
      <w:r w:rsidRPr="002E00C4">
        <w:rPr>
          <w:rFonts w:ascii="Arial" w:hAnsi="Arial" w:cs="Arial"/>
          <w:sz w:val="24"/>
          <w:szCs w:val="24"/>
        </w:rPr>
        <w:tab/>
        <w:t>Prospective Scheme Members</w:t>
      </w:r>
    </w:p>
    <w:p w14:paraId="0EB5CE8B" w14:textId="77777777" w:rsidR="002E00C4" w:rsidRPr="002E00C4" w:rsidRDefault="002E00C4" w:rsidP="002E00C4">
      <w:pPr>
        <w:shd w:val="clear" w:color="auto" w:fill="CCCCCC"/>
        <w:ind w:right="4834"/>
        <w:jc w:val="both"/>
        <w:rPr>
          <w:rFonts w:ascii="Arial" w:hAnsi="Arial" w:cs="Arial"/>
          <w:sz w:val="24"/>
          <w:szCs w:val="24"/>
        </w:rPr>
      </w:pPr>
    </w:p>
    <w:p w14:paraId="6FC1726D" w14:textId="77777777" w:rsidR="002E00C4" w:rsidRPr="002E00C4" w:rsidRDefault="002E00C4" w:rsidP="002E00C4">
      <w:pPr>
        <w:shd w:val="clear" w:color="auto" w:fill="CCCCCC"/>
        <w:ind w:right="4834"/>
        <w:jc w:val="both"/>
        <w:rPr>
          <w:rFonts w:ascii="Arial" w:hAnsi="Arial" w:cs="Arial"/>
          <w:sz w:val="24"/>
          <w:szCs w:val="24"/>
        </w:rPr>
      </w:pPr>
      <w:r w:rsidRPr="002E00C4">
        <w:rPr>
          <w:rFonts w:ascii="Arial" w:hAnsi="Arial" w:cs="Arial"/>
          <w:sz w:val="24"/>
          <w:szCs w:val="24"/>
        </w:rPr>
        <w:t>3.</w:t>
      </w:r>
      <w:r w:rsidRPr="002E00C4">
        <w:rPr>
          <w:rFonts w:ascii="Arial" w:hAnsi="Arial" w:cs="Arial"/>
          <w:sz w:val="24"/>
          <w:szCs w:val="24"/>
        </w:rPr>
        <w:tab/>
        <w:t>Scheme Employers</w:t>
      </w:r>
    </w:p>
    <w:p w14:paraId="6B4FA7D2" w14:textId="77777777" w:rsidR="002E00C4" w:rsidRPr="002E00C4" w:rsidRDefault="002E00C4" w:rsidP="002E00C4">
      <w:pPr>
        <w:shd w:val="clear" w:color="auto" w:fill="CCCCCC"/>
        <w:ind w:right="4834"/>
        <w:jc w:val="both"/>
        <w:rPr>
          <w:rFonts w:ascii="Arial" w:hAnsi="Arial" w:cs="Arial"/>
          <w:sz w:val="24"/>
          <w:szCs w:val="24"/>
        </w:rPr>
      </w:pPr>
    </w:p>
    <w:p w14:paraId="69E6169A" w14:textId="77777777" w:rsidR="002E00C4" w:rsidRPr="002E00C4" w:rsidRDefault="002E00C4" w:rsidP="002E00C4">
      <w:pPr>
        <w:shd w:val="clear" w:color="auto" w:fill="CCCCCC"/>
        <w:ind w:right="4834"/>
        <w:jc w:val="both"/>
        <w:rPr>
          <w:rFonts w:ascii="Arial" w:hAnsi="Arial" w:cs="Arial"/>
          <w:sz w:val="24"/>
          <w:szCs w:val="24"/>
        </w:rPr>
      </w:pPr>
      <w:r w:rsidRPr="002E00C4">
        <w:rPr>
          <w:rFonts w:ascii="Arial" w:hAnsi="Arial" w:cs="Arial"/>
          <w:sz w:val="24"/>
          <w:szCs w:val="24"/>
        </w:rPr>
        <w:t>4.</w:t>
      </w:r>
      <w:r w:rsidRPr="002E00C4">
        <w:rPr>
          <w:rFonts w:ascii="Arial" w:hAnsi="Arial" w:cs="Arial"/>
          <w:sz w:val="24"/>
          <w:szCs w:val="24"/>
        </w:rPr>
        <w:tab/>
        <w:t>Other Bodies</w:t>
      </w:r>
    </w:p>
    <w:p w14:paraId="3AFE00C4" w14:textId="77777777" w:rsidR="002E00C4" w:rsidRPr="002E00C4" w:rsidRDefault="002E00C4" w:rsidP="002E00C4">
      <w:pPr>
        <w:shd w:val="clear" w:color="auto" w:fill="CCCCCC"/>
        <w:ind w:right="4834"/>
        <w:jc w:val="both"/>
        <w:rPr>
          <w:rFonts w:ascii="Arial" w:hAnsi="Arial" w:cs="Arial"/>
          <w:sz w:val="24"/>
          <w:szCs w:val="24"/>
        </w:rPr>
      </w:pPr>
    </w:p>
    <w:p w14:paraId="3D702B7B" w14:textId="77777777" w:rsidR="002E00C4" w:rsidRPr="002E00C4" w:rsidRDefault="002E00C4" w:rsidP="002E00C4">
      <w:pPr>
        <w:shd w:val="clear" w:color="auto" w:fill="CCCCCC"/>
        <w:ind w:right="4834"/>
        <w:jc w:val="both"/>
        <w:rPr>
          <w:rFonts w:ascii="Arial" w:hAnsi="Arial" w:cs="Arial"/>
          <w:sz w:val="24"/>
          <w:szCs w:val="24"/>
        </w:rPr>
      </w:pPr>
      <w:r w:rsidRPr="002E00C4">
        <w:rPr>
          <w:rFonts w:ascii="Arial" w:hAnsi="Arial" w:cs="Arial"/>
          <w:sz w:val="24"/>
          <w:szCs w:val="24"/>
        </w:rPr>
        <w:t>5.</w:t>
      </w:r>
      <w:r w:rsidRPr="002E00C4">
        <w:rPr>
          <w:rFonts w:ascii="Arial" w:hAnsi="Arial" w:cs="Arial"/>
          <w:sz w:val="24"/>
          <w:szCs w:val="24"/>
        </w:rPr>
        <w:tab/>
        <w:t>Fund Staff</w:t>
      </w:r>
    </w:p>
    <w:p w14:paraId="1340E414" w14:textId="77777777" w:rsidR="002E00C4" w:rsidRPr="002E00C4" w:rsidRDefault="002E00C4" w:rsidP="002E00C4">
      <w:pPr>
        <w:shd w:val="clear" w:color="auto" w:fill="CCCCCC"/>
        <w:ind w:right="4834"/>
        <w:jc w:val="both"/>
        <w:rPr>
          <w:rFonts w:ascii="Arial" w:hAnsi="Arial" w:cs="Arial"/>
          <w:sz w:val="24"/>
          <w:szCs w:val="24"/>
        </w:rPr>
      </w:pPr>
    </w:p>
    <w:p w14:paraId="3B7A974D" w14:textId="77777777" w:rsidR="002E00C4" w:rsidRPr="002E00C4" w:rsidRDefault="002E00C4" w:rsidP="002E00C4">
      <w:pPr>
        <w:ind w:right="4834"/>
        <w:jc w:val="both"/>
        <w:rPr>
          <w:rFonts w:ascii="Arial" w:hAnsi="Arial" w:cs="Arial"/>
          <w:sz w:val="24"/>
          <w:szCs w:val="24"/>
        </w:rPr>
      </w:pPr>
    </w:p>
    <w:p w14:paraId="690B3C1D" w14:textId="77777777" w:rsidR="002E00C4" w:rsidRPr="002E00C4" w:rsidRDefault="002E00C4" w:rsidP="002E00C4">
      <w:pPr>
        <w:ind w:right="102"/>
        <w:jc w:val="both"/>
        <w:rPr>
          <w:rFonts w:ascii="Arial" w:hAnsi="Arial" w:cs="Arial"/>
          <w:sz w:val="24"/>
          <w:szCs w:val="24"/>
        </w:rPr>
      </w:pPr>
      <w:r w:rsidRPr="002E00C4">
        <w:rPr>
          <w:rFonts w:ascii="Arial" w:hAnsi="Arial" w:cs="Arial"/>
          <w:sz w:val="24"/>
          <w:szCs w:val="24"/>
        </w:rPr>
        <w:t>The City and County of Swansea Pension Fund aims to use the most appropriate communication method for the audiences receiving the information.  This may involve using more than one method of communication as considered appropriate. All print and electronic communications are designed with consideration for those with additional needs. A phone contact number (01792 636655) is available for anyone experiencing difficulty in understanding any of the Fund’s documents.</w:t>
      </w:r>
    </w:p>
    <w:p w14:paraId="6F0E07E3" w14:textId="77777777" w:rsidR="002E00C4" w:rsidRPr="002E00C4" w:rsidRDefault="002E00C4" w:rsidP="002E00C4">
      <w:pPr>
        <w:spacing w:before="60" w:after="60"/>
        <w:ind w:right="102"/>
        <w:jc w:val="both"/>
        <w:rPr>
          <w:rFonts w:ascii="Arial" w:hAnsi="Arial" w:cs="Arial"/>
          <w:sz w:val="24"/>
          <w:szCs w:val="24"/>
        </w:rPr>
      </w:pPr>
    </w:p>
    <w:p w14:paraId="08518A20" w14:textId="77777777" w:rsidR="002E00C4" w:rsidRPr="002E00C4" w:rsidRDefault="002E00C4" w:rsidP="002E00C4">
      <w:pPr>
        <w:ind w:right="102"/>
        <w:jc w:val="both"/>
        <w:rPr>
          <w:rFonts w:ascii="Arial" w:hAnsi="Arial" w:cs="Arial"/>
          <w:sz w:val="24"/>
          <w:szCs w:val="24"/>
        </w:rPr>
      </w:pPr>
      <w:r w:rsidRPr="002E00C4">
        <w:rPr>
          <w:rFonts w:ascii="Arial" w:hAnsi="Arial" w:cs="Arial"/>
          <w:sz w:val="24"/>
          <w:szCs w:val="24"/>
        </w:rPr>
        <w:t>The Policy document has been prepared, as required, by Regulation 106B of the Local Government Pension Scheme Regulations 1997 and sets out the mechanisms, which are used to meet those communication needs and is subject to periodic review.</w:t>
      </w:r>
    </w:p>
    <w:p w14:paraId="3B2CAE70" w14:textId="77777777" w:rsidR="002E00C4" w:rsidRPr="002E00C4" w:rsidRDefault="002E00C4" w:rsidP="002E00C4">
      <w:pPr>
        <w:spacing w:before="60" w:after="60"/>
        <w:ind w:right="102"/>
        <w:jc w:val="both"/>
        <w:rPr>
          <w:rFonts w:ascii="Arial" w:hAnsi="Arial" w:cs="Arial"/>
          <w:b/>
          <w:sz w:val="24"/>
          <w:szCs w:val="24"/>
        </w:rPr>
      </w:pPr>
      <w:r w:rsidRPr="002E00C4">
        <w:rPr>
          <w:rFonts w:ascii="Arial" w:hAnsi="Arial" w:cs="Arial"/>
          <w:sz w:val="24"/>
          <w:szCs w:val="24"/>
        </w:rPr>
        <w:br w:type="page"/>
      </w:r>
      <w:r w:rsidRPr="002E00C4">
        <w:rPr>
          <w:rFonts w:ascii="Arial" w:hAnsi="Arial" w:cs="Arial"/>
          <w:b/>
          <w:sz w:val="24"/>
          <w:szCs w:val="24"/>
        </w:rPr>
        <w:lastRenderedPageBreak/>
        <w:t>SCHEME MEMBERS</w:t>
      </w:r>
    </w:p>
    <w:p w14:paraId="3C2CDD19" w14:textId="77777777" w:rsidR="002E00C4" w:rsidRPr="002E00C4" w:rsidRDefault="002E00C4" w:rsidP="002E00C4">
      <w:pPr>
        <w:spacing w:before="60" w:after="60"/>
        <w:ind w:right="102"/>
        <w:jc w:val="both"/>
        <w:rPr>
          <w:rFonts w:ascii="Arial" w:hAnsi="Arial" w:cs="Arial"/>
          <w:b/>
          <w:sz w:val="24"/>
          <w:szCs w:val="24"/>
        </w:rPr>
      </w:pPr>
    </w:p>
    <w:p w14:paraId="202ADCD4" w14:textId="77777777" w:rsidR="002E00C4" w:rsidRPr="002E00C4" w:rsidRDefault="002E00C4" w:rsidP="002E00C4">
      <w:pPr>
        <w:spacing w:before="60" w:after="60"/>
        <w:ind w:right="102"/>
        <w:jc w:val="both"/>
        <w:rPr>
          <w:rFonts w:ascii="Arial" w:hAnsi="Arial" w:cs="Arial"/>
          <w:sz w:val="24"/>
          <w:szCs w:val="24"/>
        </w:rPr>
      </w:pPr>
      <w:r w:rsidRPr="002E00C4">
        <w:rPr>
          <w:rFonts w:ascii="Arial" w:hAnsi="Arial" w:cs="Arial"/>
          <w:sz w:val="24"/>
          <w:szCs w:val="24"/>
        </w:rPr>
        <w:t>Scheme members include current contributors, those with a deferred benefit and those receiving a pension.</w:t>
      </w:r>
    </w:p>
    <w:p w14:paraId="27667534" w14:textId="77777777" w:rsidR="002E00C4" w:rsidRPr="002E00C4" w:rsidRDefault="002E00C4" w:rsidP="002E00C4">
      <w:pPr>
        <w:spacing w:before="60" w:after="60"/>
        <w:ind w:right="102"/>
        <w:jc w:val="both"/>
        <w:rPr>
          <w:rFonts w:ascii="Arial" w:hAnsi="Arial" w:cs="Arial"/>
          <w:sz w:val="24"/>
          <w:szCs w:val="24"/>
        </w:rPr>
      </w:pPr>
    </w:p>
    <w:p w14:paraId="20AB0A9C" w14:textId="77777777" w:rsidR="002E00C4" w:rsidRPr="002E00C4" w:rsidRDefault="002E00C4" w:rsidP="002E00C4">
      <w:pPr>
        <w:spacing w:before="60" w:after="60"/>
        <w:ind w:right="102"/>
        <w:jc w:val="both"/>
        <w:rPr>
          <w:rFonts w:ascii="Arial" w:hAnsi="Arial" w:cs="Arial"/>
          <w:b/>
          <w:sz w:val="24"/>
          <w:szCs w:val="24"/>
        </w:rPr>
      </w:pPr>
      <w:r w:rsidRPr="002E00C4">
        <w:rPr>
          <w:rFonts w:ascii="Arial" w:hAnsi="Arial" w:cs="Arial"/>
          <w:b/>
          <w:sz w:val="24"/>
          <w:szCs w:val="24"/>
        </w:rPr>
        <w:t>The Fund aims to communicate with members electronically where an email address has been provided or through the My Pension Online portal.  Members who wish to opt out of electronic communication can do so in writing at any time and will receive hardcopy correspondence by post.</w:t>
      </w:r>
    </w:p>
    <w:p w14:paraId="5CC2B76C" w14:textId="77777777" w:rsidR="002E00C4" w:rsidRPr="002E00C4" w:rsidRDefault="002E00C4" w:rsidP="002E00C4">
      <w:pPr>
        <w:spacing w:before="60" w:after="60"/>
        <w:ind w:right="102"/>
        <w:jc w:val="both"/>
        <w:rPr>
          <w:rFonts w:ascii="Arial" w:hAnsi="Arial" w:cs="Arial"/>
          <w:sz w:val="24"/>
          <w:szCs w:val="24"/>
        </w:rPr>
      </w:pPr>
    </w:p>
    <w:p w14:paraId="35037F47" w14:textId="77777777" w:rsidR="002E00C4" w:rsidRPr="002E00C4" w:rsidRDefault="002E00C4" w:rsidP="002E00C4">
      <w:pPr>
        <w:spacing w:before="60" w:after="60"/>
        <w:ind w:right="102"/>
        <w:jc w:val="both"/>
        <w:rPr>
          <w:rFonts w:ascii="Arial" w:hAnsi="Arial" w:cs="Arial"/>
          <w:b/>
          <w:sz w:val="24"/>
          <w:szCs w:val="24"/>
        </w:rPr>
      </w:pPr>
      <w:r w:rsidRPr="002E00C4">
        <w:rPr>
          <w:rFonts w:ascii="Arial" w:hAnsi="Arial" w:cs="Arial"/>
          <w:b/>
          <w:sz w:val="24"/>
          <w:szCs w:val="24"/>
        </w:rPr>
        <w:t>Annual Report and Accounts</w:t>
      </w:r>
    </w:p>
    <w:p w14:paraId="6236A6D9" w14:textId="77777777" w:rsidR="002E00C4" w:rsidRPr="002E00C4" w:rsidRDefault="002E00C4" w:rsidP="002E00C4">
      <w:pPr>
        <w:spacing w:before="60" w:after="60"/>
        <w:ind w:right="102"/>
        <w:jc w:val="both"/>
        <w:rPr>
          <w:rFonts w:ascii="Arial" w:hAnsi="Arial" w:cs="Arial"/>
          <w:sz w:val="24"/>
          <w:szCs w:val="24"/>
        </w:rPr>
      </w:pPr>
      <w:r w:rsidRPr="002E00C4">
        <w:rPr>
          <w:rFonts w:ascii="Arial" w:hAnsi="Arial" w:cs="Arial"/>
          <w:sz w:val="24"/>
          <w:szCs w:val="24"/>
        </w:rPr>
        <w:t>A copy of the Fund’s Annual Report and Accounts is available to all scheme members on request and can be accessed on our website.</w:t>
      </w:r>
    </w:p>
    <w:p w14:paraId="65ABCDCA" w14:textId="77777777" w:rsidR="002E00C4" w:rsidRPr="002E00C4" w:rsidRDefault="002E00C4" w:rsidP="002E00C4">
      <w:pPr>
        <w:spacing w:before="60" w:after="60"/>
        <w:ind w:right="102"/>
        <w:jc w:val="both"/>
        <w:rPr>
          <w:rFonts w:ascii="Arial" w:hAnsi="Arial" w:cs="Arial"/>
          <w:b/>
          <w:sz w:val="24"/>
          <w:szCs w:val="24"/>
        </w:rPr>
      </w:pPr>
    </w:p>
    <w:p w14:paraId="0B029AFF" w14:textId="77777777" w:rsidR="002E00C4" w:rsidRPr="002E00C4" w:rsidRDefault="002E00C4" w:rsidP="002E00C4">
      <w:pPr>
        <w:spacing w:before="60" w:after="60"/>
        <w:ind w:right="102"/>
        <w:jc w:val="both"/>
        <w:rPr>
          <w:rFonts w:ascii="Arial" w:hAnsi="Arial" w:cs="Arial"/>
          <w:b/>
          <w:sz w:val="24"/>
          <w:szCs w:val="24"/>
        </w:rPr>
      </w:pPr>
      <w:r w:rsidRPr="002E00C4">
        <w:rPr>
          <w:rFonts w:ascii="Arial" w:hAnsi="Arial" w:cs="Arial"/>
          <w:b/>
          <w:sz w:val="24"/>
          <w:szCs w:val="24"/>
        </w:rPr>
        <w:t>Newsletter</w:t>
      </w:r>
    </w:p>
    <w:p w14:paraId="7E00EF97" w14:textId="77777777" w:rsidR="002E00C4" w:rsidRPr="002E00C4" w:rsidRDefault="002E00C4" w:rsidP="002E00C4">
      <w:pPr>
        <w:spacing w:before="60" w:after="60"/>
        <w:ind w:right="102"/>
        <w:jc w:val="both"/>
        <w:rPr>
          <w:rFonts w:ascii="Arial" w:hAnsi="Arial" w:cs="Arial"/>
          <w:sz w:val="24"/>
          <w:szCs w:val="24"/>
        </w:rPr>
      </w:pPr>
      <w:r w:rsidRPr="002E00C4">
        <w:rPr>
          <w:rFonts w:ascii="Arial" w:hAnsi="Arial" w:cs="Arial"/>
          <w:sz w:val="24"/>
          <w:szCs w:val="24"/>
        </w:rPr>
        <w:t>To satisfy disclosure requirements the Fund will issue a newsletter to active and deferred Scheme members of the fund on an ad hoc basis, which will cover current pension topics within the LGPS and pensions industry in general.</w:t>
      </w:r>
    </w:p>
    <w:p w14:paraId="04F47496" w14:textId="77777777" w:rsidR="002E00C4" w:rsidRPr="002E00C4" w:rsidRDefault="002E00C4" w:rsidP="002E00C4">
      <w:pPr>
        <w:spacing w:before="60" w:after="60"/>
        <w:ind w:right="102"/>
        <w:jc w:val="both"/>
        <w:rPr>
          <w:rFonts w:ascii="Arial" w:hAnsi="Arial" w:cs="Arial"/>
          <w:sz w:val="24"/>
          <w:szCs w:val="24"/>
        </w:rPr>
      </w:pPr>
    </w:p>
    <w:p w14:paraId="3129545E" w14:textId="77777777" w:rsidR="002E00C4" w:rsidRPr="002E00C4" w:rsidRDefault="002E00C4" w:rsidP="002E00C4">
      <w:pPr>
        <w:spacing w:before="60" w:after="60"/>
        <w:ind w:right="102"/>
        <w:jc w:val="both"/>
        <w:rPr>
          <w:rFonts w:ascii="Arial" w:hAnsi="Arial" w:cs="Arial"/>
          <w:sz w:val="24"/>
          <w:szCs w:val="24"/>
        </w:rPr>
      </w:pPr>
      <w:r w:rsidRPr="002E00C4">
        <w:rPr>
          <w:rFonts w:ascii="Arial" w:hAnsi="Arial" w:cs="Arial"/>
          <w:sz w:val="24"/>
          <w:szCs w:val="24"/>
        </w:rPr>
        <w:t xml:space="preserve">An annual newsletter is sent to all pensioners, which includes information on the annual pensions increase, the payment dates of the monthly pension for the forthcoming year and other matters of interest.  </w:t>
      </w:r>
    </w:p>
    <w:p w14:paraId="199664A1" w14:textId="77777777" w:rsidR="002E00C4" w:rsidRPr="002E00C4" w:rsidRDefault="002E00C4" w:rsidP="002E00C4">
      <w:pPr>
        <w:spacing w:before="60" w:after="60"/>
        <w:ind w:right="102"/>
        <w:jc w:val="both"/>
        <w:rPr>
          <w:rFonts w:ascii="Arial" w:hAnsi="Arial" w:cs="Arial"/>
          <w:sz w:val="24"/>
          <w:szCs w:val="24"/>
        </w:rPr>
      </w:pPr>
    </w:p>
    <w:p w14:paraId="399F3D18" w14:textId="77777777" w:rsidR="002E00C4" w:rsidRPr="002E00C4" w:rsidRDefault="002E00C4" w:rsidP="002E00C4">
      <w:pPr>
        <w:spacing w:before="60" w:after="60"/>
        <w:ind w:right="102"/>
        <w:jc w:val="both"/>
        <w:rPr>
          <w:rFonts w:ascii="Arial" w:hAnsi="Arial" w:cs="Arial"/>
          <w:b/>
          <w:sz w:val="24"/>
          <w:szCs w:val="24"/>
        </w:rPr>
      </w:pPr>
      <w:r w:rsidRPr="002E00C4">
        <w:rPr>
          <w:rFonts w:ascii="Arial" w:hAnsi="Arial" w:cs="Arial"/>
          <w:b/>
          <w:sz w:val="24"/>
          <w:szCs w:val="24"/>
        </w:rPr>
        <w:t>Annual Benefit Statements</w:t>
      </w:r>
    </w:p>
    <w:p w14:paraId="2CF79BEF" w14:textId="77777777" w:rsidR="002E00C4" w:rsidRPr="002E00C4" w:rsidRDefault="002E00C4" w:rsidP="002E00C4">
      <w:pPr>
        <w:spacing w:before="60" w:after="60"/>
        <w:ind w:right="102"/>
        <w:jc w:val="both"/>
        <w:rPr>
          <w:rFonts w:ascii="Arial" w:hAnsi="Arial" w:cs="Arial"/>
          <w:sz w:val="24"/>
          <w:szCs w:val="24"/>
        </w:rPr>
      </w:pPr>
      <w:r w:rsidRPr="002E00C4">
        <w:rPr>
          <w:rFonts w:ascii="Arial" w:hAnsi="Arial" w:cs="Arial"/>
          <w:sz w:val="24"/>
          <w:szCs w:val="24"/>
        </w:rPr>
        <w:t xml:space="preserve">An Annual Benefit Statement, showing the current and prospective value of members’ final salary and Career Average Re-valued Earnings (CARE) benefits will be available online via the Member self-service facility.   If a member has elected to ‘opt out’ from receiving e-coms notifications a hardcopy of the Annual Benefit Statement will be sent directly (this will be to the address held for the member as at time of print) to all members who are contributing to the Fund at the previous financial year end.   </w:t>
      </w:r>
    </w:p>
    <w:p w14:paraId="3225EDFA" w14:textId="77777777" w:rsidR="002E00C4" w:rsidRPr="002E00C4" w:rsidRDefault="002E00C4" w:rsidP="002E00C4">
      <w:pPr>
        <w:spacing w:before="60" w:after="60"/>
        <w:ind w:right="102"/>
        <w:jc w:val="both"/>
        <w:rPr>
          <w:rFonts w:ascii="Arial" w:hAnsi="Arial" w:cs="Arial"/>
          <w:sz w:val="24"/>
          <w:szCs w:val="24"/>
        </w:rPr>
      </w:pPr>
    </w:p>
    <w:p w14:paraId="7427549A" w14:textId="77777777" w:rsidR="002E00C4" w:rsidRPr="002E00C4" w:rsidRDefault="002E00C4" w:rsidP="002E00C4">
      <w:pPr>
        <w:spacing w:before="60" w:after="60"/>
        <w:ind w:right="102"/>
        <w:jc w:val="both"/>
        <w:rPr>
          <w:rFonts w:ascii="Arial" w:hAnsi="Arial" w:cs="Arial"/>
          <w:sz w:val="24"/>
          <w:szCs w:val="24"/>
        </w:rPr>
      </w:pPr>
      <w:r w:rsidRPr="002E00C4">
        <w:rPr>
          <w:rFonts w:ascii="Arial" w:hAnsi="Arial" w:cs="Arial"/>
          <w:sz w:val="24"/>
          <w:szCs w:val="24"/>
        </w:rPr>
        <w:t>For members who have a deferred benefit with the Fund, the annual benefit statements providing the up rated value of benefits, will be available to view online via the member self-service facility.  If the member has elected to ‘opt out’ from receiving e-coms notifications a hardcopy annual benefit statement will be sent directly to the home address where a current address is known.</w:t>
      </w:r>
    </w:p>
    <w:p w14:paraId="23E58E69" w14:textId="77777777" w:rsidR="002E00C4" w:rsidRPr="002E00C4" w:rsidRDefault="002E00C4" w:rsidP="002E00C4">
      <w:pPr>
        <w:spacing w:before="60" w:after="60"/>
        <w:ind w:right="102"/>
        <w:jc w:val="both"/>
        <w:rPr>
          <w:rFonts w:ascii="Arial" w:hAnsi="Arial" w:cs="Arial"/>
          <w:sz w:val="24"/>
          <w:szCs w:val="24"/>
        </w:rPr>
      </w:pPr>
    </w:p>
    <w:p w14:paraId="38950C5D" w14:textId="77777777" w:rsidR="002E00C4" w:rsidRDefault="002E00C4" w:rsidP="002E00C4">
      <w:pPr>
        <w:spacing w:before="60" w:after="60"/>
        <w:ind w:right="102"/>
        <w:jc w:val="both"/>
        <w:rPr>
          <w:rFonts w:ascii="Arial" w:hAnsi="Arial" w:cs="Arial"/>
          <w:b/>
          <w:sz w:val="24"/>
          <w:szCs w:val="24"/>
        </w:rPr>
      </w:pPr>
    </w:p>
    <w:p w14:paraId="49082ACB" w14:textId="77777777" w:rsidR="002E00C4" w:rsidRPr="002E00C4" w:rsidRDefault="002E00C4" w:rsidP="002E00C4">
      <w:pPr>
        <w:spacing w:before="60" w:after="60"/>
        <w:ind w:right="102"/>
        <w:jc w:val="both"/>
        <w:rPr>
          <w:rFonts w:ascii="Arial" w:hAnsi="Arial" w:cs="Arial"/>
          <w:b/>
          <w:sz w:val="24"/>
          <w:szCs w:val="24"/>
        </w:rPr>
      </w:pPr>
      <w:r w:rsidRPr="002E00C4">
        <w:rPr>
          <w:rFonts w:ascii="Arial" w:hAnsi="Arial" w:cs="Arial"/>
          <w:b/>
          <w:sz w:val="24"/>
          <w:szCs w:val="24"/>
        </w:rPr>
        <w:lastRenderedPageBreak/>
        <w:t>Pension Savings Statements</w:t>
      </w:r>
    </w:p>
    <w:p w14:paraId="595E93DF" w14:textId="77777777" w:rsidR="002E00C4" w:rsidRPr="002E00C4" w:rsidRDefault="002E00C4" w:rsidP="002E00C4">
      <w:pPr>
        <w:spacing w:before="60" w:after="60"/>
        <w:ind w:right="102"/>
        <w:jc w:val="both"/>
        <w:rPr>
          <w:rFonts w:ascii="Arial" w:hAnsi="Arial" w:cs="Arial"/>
          <w:sz w:val="24"/>
          <w:szCs w:val="24"/>
        </w:rPr>
      </w:pPr>
      <w:r w:rsidRPr="002E00C4">
        <w:rPr>
          <w:rFonts w:ascii="Arial" w:hAnsi="Arial" w:cs="Arial"/>
          <w:sz w:val="24"/>
          <w:szCs w:val="24"/>
        </w:rPr>
        <w:t>Provides members with a summary of their pension savings and must be provided by 6 October each year to those members who have breached the annual allowance limit or are close to breaching.</w:t>
      </w:r>
    </w:p>
    <w:p w14:paraId="1C5BC1F5" w14:textId="77777777" w:rsidR="002E00C4" w:rsidRPr="002E00C4" w:rsidRDefault="002E00C4" w:rsidP="002E00C4">
      <w:pPr>
        <w:spacing w:before="60" w:after="60"/>
        <w:ind w:right="102"/>
        <w:jc w:val="both"/>
        <w:rPr>
          <w:rFonts w:ascii="Arial" w:hAnsi="Arial" w:cs="Arial"/>
          <w:sz w:val="24"/>
          <w:szCs w:val="24"/>
        </w:rPr>
      </w:pPr>
    </w:p>
    <w:p w14:paraId="072C95B8" w14:textId="77777777" w:rsidR="002E00C4" w:rsidRPr="002E00C4" w:rsidRDefault="002E00C4" w:rsidP="002E00C4">
      <w:pPr>
        <w:spacing w:before="60" w:after="60"/>
        <w:ind w:right="102"/>
        <w:jc w:val="both"/>
        <w:rPr>
          <w:rFonts w:ascii="Arial" w:hAnsi="Arial" w:cs="Arial"/>
          <w:b/>
          <w:sz w:val="24"/>
          <w:szCs w:val="24"/>
        </w:rPr>
      </w:pPr>
      <w:r w:rsidRPr="002E00C4">
        <w:rPr>
          <w:rFonts w:ascii="Arial" w:hAnsi="Arial" w:cs="Arial"/>
          <w:b/>
          <w:sz w:val="24"/>
          <w:szCs w:val="24"/>
        </w:rPr>
        <w:t>Scheme Literature</w:t>
      </w:r>
    </w:p>
    <w:p w14:paraId="547872C8" w14:textId="77777777" w:rsidR="002E00C4" w:rsidRPr="002E00C4" w:rsidRDefault="002E00C4" w:rsidP="002E00C4">
      <w:pPr>
        <w:spacing w:before="60" w:after="60"/>
        <w:ind w:right="102"/>
        <w:jc w:val="both"/>
        <w:rPr>
          <w:rFonts w:ascii="Arial" w:hAnsi="Arial" w:cs="Arial"/>
          <w:sz w:val="24"/>
          <w:szCs w:val="24"/>
        </w:rPr>
      </w:pPr>
      <w:r w:rsidRPr="002E00C4">
        <w:rPr>
          <w:rFonts w:ascii="Arial" w:hAnsi="Arial" w:cs="Arial"/>
          <w:sz w:val="24"/>
          <w:szCs w:val="24"/>
        </w:rPr>
        <w:t>An extensive range of Scheme literature is produced by the Fund including an employee’s guide to the LGPS, which is signposted to all active members upon commencement and to other active members upon request.  The guide(s) are updated annually to reflect any changes to the Scheme Regulations and is available on our website.</w:t>
      </w:r>
    </w:p>
    <w:p w14:paraId="2BD852AD" w14:textId="77777777" w:rsidR="002E00C4" w:rsidRPr="002E00C4" w:rsidRDefault="002E00C4" w:rsidP="002E00C4">
      <w:pPr>
        <w:spacing w:before="60" w:after="60"/>
        <w:ind w:right="102"/>
        <w:jc w:val="both"/>
        <w:rPr>
          <w:rFonts w:ascii="Arial" w:hAnsi="Arial" w:cs="Arial"/>
          <w:sz w:val="24"/>
          <w:szCs w:val="24"/>
        </w:rPr>
      </w:pPr>
    </w:p>
    <w:p w14:paraId="24E87F88" w14:textId="77777777" w:rsidR="002E00C4" w:rsidRPr="002E00C4" w:rsidRDefault="002E00C4" w:rsidP="002E00C4">
      <w:pPr>
        <w:spacing w:before="60" w:after="60"/>
        <w:ind w:right="102"/>
        <w:jc w:val="both"/>
        <w:rPr>
          <w:rFonts w:ascii="Arial" w:hAnsi="Arial" w:cs="Arial"/>
          <w:sz w:val="24"/>
          <w:szCs w:val="24"/>
        </w:rPr>
      </w:pPr>
      <w:r w:rsidRPr="002E00C4">
        <w:rPr>
          <w:rFonts w:ascii="Arial" w:hAnsi="Arial" w:cs="Arial"/>
          <w:sz w:val="24"/>
          <w:szCs w:val="24"/>
        </w:rPr>
        <w:t xml:space="preserve">Further literature concerning specific provisions within the LGPS and is available online at </w:t>
      </w:r>
      <w:hyperlink r:id="rId59" w:history="1">
        <w:r w:rsidRPr="002E00C4">
          <w:rPr>
            <w:rStyle w:val="Hyperlink"/>
            <w:rFonts w:ascii="Arial" w:hAnsi="Arial" w:cs="Arial"/>
            <w:sz w:val="24"/>
            <w:szCs w:val="24"/>
          </w:rPr>
          <w:t>www.swanseapensionfund.org.uk</w:t>
        </w:r>
      </w:hyperlink>
      <w:r w:rsidRPr="002E00C4">
        <w:rPr>
          <w:rFonts w:ascii="Arial" w:hAnsi="Arial" w:cs="Arial"/>
          <w:sz w:val="24"/>
          <w:szCs w:val="24"/>
        </w:rPr>
        <w:t xml:space="preserve">, upon request or as appropriate when communicating with members.  A list of current communication material is listed in Appendix 1.  </w:t>
      </w:r>
    </w:p>
    <w:p w14:paraId="06713F3B" w14:textId="77777777" w:rsidR="002E00C4" w:rsidRPr="002E00C4" w:rsidRDefault="002E00C4" w:rsidP="002E00C4">
      <w:pPr>
        <w:spacing w:before="60" w:after="60"/>
        <w:ind w:right="102"/>
        <w:jc w:val="both"/>
        <w:rPr>
          <w:rFonts w:ascii="Arial" w:hAnsi="Arial" w:cs="Arial"/>
          <w:sz w:val="24"/>
          <w:szCs w:val="24"/>
        </w:rPr>
      </w:pPr>
    </w:p>
    <w:p w14:paraId="41935E1A" w14:textId="77777777" w:rsidR="002E00C4" w:rsidRPr="002E00C4" w:rsidRDefault="002E00C4" w:rsidP="002E00C4">
      <w:pPr>
        <w:spacing w:before="60" w:after="60"/>
        <w:ind w:right="102"/>
        <w:jc w:val="both"/>
        <w:rPr>
          <w:rFonts w:ascii="Arial" w:hAnsi="Arial" w:cs="Arial"/>
          <w:b/>
          <w:sz w:val="24"/>
          <w:szCs w:val="24"/>
        </w:rPr>
      </w:pPr>
      <w:r w:rsidRPr="002E00C4">
        <w:rPr>
          <w:rFonts w:ascii="Arial" w:hAnsi="Arial" w:cs="Arial"/>
          <w:b/>
          <w:sz w:val="24"/>
          <w:szCs w:val="24"/>
        </w:rPr>
        <w:t>Correspondence</w:t>
      </w:r>
    </w:p>
    <w:p w14:paraId="4D8DD09B" w14:textId="77777777" w:rsidR="002E00C4" w:rsidRPr="002E00C4" w:rsidRDefault="002E00C4" w:rsidP="002E00C4">
      <w:pPr>
        <w:spacing w:before="60" w:after="60"/>
        <w:ind w:right="102"/>
        <w:jc w:val="both"/>
        <w:rPr>
          <w:rFonts w:ascii="Arial" w:hAnsi="Arial" w:cs="Arial"/>
          <w:sz w:val="24"/>
          <w:szCs w:val="24"/>
        </w:rPr>
      </w:pPr>
      <w:r w:rsidRPr="002E00C4">
        <w:rPr>
          <w:rFonts w:ascii="Arial" w:hAnsi="Arial" w:cs="Arial"/>
          <w:sz w:val="24"/>
          <w:szCs w:val="24"/>
        </w:rPr>
        <w:t>The Fund utilises surface mail, e-mail and our member self-service portal to receive and send communications.  Correspondence is available in an individuals preferred language.</w:t>
      </w:r>
    </w:p>
    <w:p w14:paraId="548896E2" w14:textId="77777777" w:rsidR="002E00C4" w:rsidRPr="002E00C4" w:rsidRDefault="002E00C4" w:rsidP="002E00C4">
      <w:pPr>
        <w:spacing w:before="60" w:after="60"/>
        <w:ind w:right="102"/>
        <w:jc w:val="both"/>
        <w:rPr>
          <w:rFonts w:ascii="Arial" w:hAnsi="Arial" w:cs="Arial"/>
          <w:b/>
          <w:sz w:val="24"/>
          <w:szCs w:val="24"/>
        </w:rPr>
      </w:pPr>
    </w:p>
    <w:p w14:paraId="17114E5F" w14:textId="77777777" w:rsidR="002E00C4" w:rsidRPr="002E00C4" w:rsidRDefault="002E00C4" w:rsidP="002E00C4">
      <w:pPr>
        <w:spacing w:before="60" w:after="60"/>
        <w:ind w:right="102"/>
        <w:jc w:val="both"/>
        <w:rPr>
          <w:rFonts w:ascii="Arial" w:hAnsi="Arial" w:cs="Arial"/>
          <w:b/>
          <w:sz w:val="24"/>
          <w:szCs w:val="24"/>
        </w:rPr>
      </w:pPr>
      <w:r w:rsidRPr="002E00C4">
        <w:rPr>
          <w:rFonts w:ascii="Arial" w:hAnsi="Arial" w:cs="Arial"/>
          <w:b/>
          <w:sz w:val="24"/>
          <w:szCs w:val="24"/>
        </w:rPr>
        <w:t>Payment Advice/P60</w:t>
      </w:r>
    </w:p>
    <w:p w14:paraId="0DF84611" w14:textId="77777777" w:rsidR="002E00C4" w:rsidRPr="002E00C4" w:rsidRDefault="002E00C4" w:rsidP="002E00C4">
      <w:pPr>
        <w:ind w:right="-85"/>
        <w:jc w:val="both"/>
        <w:rPr>
          <w:rFonts w:ascii="Arial" w:hAnsi="Arial" w:cs="Arial"/>
          <w:sz w:val="24"/>
          <w:szCs w:val="24"/>
        </w:rPr>
      </w:pPr>
      <w:r w:rsidRPr="002E00C4">
        <w:rPr>
          <w:rFonts w:ascii="Arial" w:hAnsi="Arial" w:cs="Arial"/>
          <w:sz w:val="24"/>
          <w:szCs w:val="24"/>
        </w:rPr>
        <w:t>Pensioners will only be issued with a payment advice slip from the Pension Payroll Section if there is a £10.00 net pay variance from the previous month.  P60 notifications, which provide a breakdown of the annual amounts paid, are available annually in May.</w:t>
      </w:r>
    </w:p>
    <w:p w14:paraId="08A4AC75" w14:textId="77777777" w:rsidR="002E00C4" w:rsidRPr="002E00C4" w:rsidRDefault="002E00C4" w:rsidP="002E00C4">
      <w:pPr>
        <w:ind w:right="-85"/>
        <w:jc w:val="both"/>
        <w:rPr>
          <w:rFonts w:ascii="Arial" w:hAnsi="Arial" w:cs="Arial"/>
          <w:sz w:val="24"/>
          <w:szCs w:val="24"/>
        </w:rPr>
      </w:pPr>
    </w:p>
    <w:p w14:paraId="3078B369" w14:textId="77777777" w:rsidR="002E00C4" w:rsidRPr="002E00C4" w:rsidRDefault="002E00C4" w:rsidP="002E00C4">
      <w:pPr>
        <w:ind w:right="-85"/>
        <w:jc w:val="both"/>
        <w:rPr>
          <w:rFonts w:ascii="Arial" w:hAnsi="Arial" w:cs="Arial"/>
          <w:b/>
          <w:sz w:val="24"/>
          <w:szCs w:val="24"/>
        </w:rPr>
      </w:pPr>
      <w:r w:rsidRPr="002E00C4">
        <w:rPr>
          <w:rFonts w:ascii="Arial" w:hAnsi="Arial" w:cs="Arial"/>
          <w:b/>
          <w:sz w:val="24"/>
          <w:szCs w:val="24"/>
        </w:rPr>
        <w:t>Employee Surgeries/Presentations</w:t>
      </w:r>
    </w:p>
    <w:p w14:paraId="218791BF"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Upon request, surgeries are available for individual Scheme members or groups along with standard or tailored presentations to be held at employer venues.  Member roadshows confirming regulatory changes will be arranged by the Fund in association with the member’s employer.</w:t>
      </w:r>
    </w:p>
    <w:p w14:paraId="68EF149E" w14:textId="77777777" w:rsidR="002E00C4" w:rsidRPr="002E00C4" w:rsidRDefault="002E00C4" w:rsidP="002E00C4">
      <w:pPr>
        <w:spacing w:before="60" w:after="60"/>
        <w:ind w:right="-28"/>
        <w:jc w:val="both"/>
        <w:rPr>
          <w:rFonts w:ascii="Arial" w:hAnsi="Arial" w:cs="Arial"/>
          <w:sz w:val="24"/>
          <w:szCs w:val="24"/>
        </w:rPr>
      </w:pPr>
    </w:p>
    <w:p w14:paraId="36F6CF22"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Pre-Retirement Courses</w:t>
      </w:r>
    </w:p>
    <w:p w14:paraId="35752E1C"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Pre-retirement courses are scheduled by the member’s employer however upon request the Pension Fund Communication Officer is available to attend to address any questions that a member(s) who is nearing retirement might have regarding the procedures and entitlements.</w:t>
      </w:r>
    </w:p>
    <w:p w14:paraId="6B76AB15" w14:textId="77777777" w:rsidR="002E00C4" w:rsidRPr="002E00C4" w:rsidRDefault="002E00C4" w:rsidP="002E00C4">
      <w:pPr>
        <w:spacing w:before="60" w:after="60"/>
        <w:ind w:right="-28"/>
        <w:jc w:val="both"/>
        <w:rPr>
          <w:rFonts w:ascii="Arial" w:hAnsi="Arial" w:cs="Arial"/>
          <w:sz w:val="24"/>
          <w:szCs w:val="24"/>
        </w:rPr>
      </w:pPr>
    </w:p>
    <w:p w14:paraId="428E2656"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lastRenderedPageBreak/>
        <w:t>Existence Validation – Life Certificate Exercise</w:t>
      </w:r>
    </w:p>
    <w:p w14:paraId="626185AF"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In conjunction with the DWP the Fund engages in an on-going National Fraud Initiative exercise based on risk assessment in order to establish the continued existence of pensioners in receipt of monthly pension payments. </w:t>
      </w:r>
    </w:p>
    <w:p w14:paraId="52527F9D" w14:textId="77777777" w:rsidR="002E00C4" w:rsidRPr="002E00C4" w:rsidRDefault="002E00C4" w:rsidP="002E00C4">
      <w:pPr>
        <w:spacing w:before="60" w:after="60"/>
        <w:ind w:right="-28"/>
        <w:jc w:val="both"/>
        <w:rPr>
          <w:rFonts w:ascii="Arial" w:hAnsi="Arial" w:cs="Arial"/>
          <w:sz w:val="24"/>
          <w:szCs w:val="24"/>
        </w:rPr>
      </w:pPr>
    </w:p>
    <w:p w14:paraId="41F6793C"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Upon return of a BACS pension payment or notification of a death of a pensioner member by a third party, a life certificate will be issued to the members last known address.</w:t>
      </w:r>
    </w:p>
    <w:p w14:paraId="2795CC6A" w14:textId="77777777" w:rsidR="002E00C4" w:rsidRPr="002E00C4" w:rsidRDefault="002E00C4" w:rsidP="002E00C4">
      <w:pPr>
        <w:spacing w:before="60" w:after="60"/>
        <w:ind w:right="-28"/>
        <w:jc w:val="both"/>
        <w:rPr>
          <w:rFonts w:ascii="Arial" w:hAnsi="Arial" w:cs="Arial"/>
          <w:sz w:val="24"/>
          <w:szCs w:val="24"/>
        </w:rPr>
      </w:pPr>
    </w:p>
    <w:p w14:paraId="38CFBB47"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Overseas Pensioners</w:t>
      </w:r>
    </w:p>
    <w:p w14:paraId="1450522F"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The Fund engages with a third party who specialises in oversees money transfers to undertake an annual continued eligibility exercise to ensure the qualification of continued pension payments to pensioners living overseas. </w:t>
      </w:r>
    </w:p>
    <w:p w14:paraId="686DA22C" w14:textId="77777777" w:rsidR="002E00C4" w:rsidRPr="002E00C4" w:rsidRDefault="002E00C4" w:rsidP="002E00C4">
      <w:pPr>
        <w:spacing w:before="60" w:after="60"/>
        <w:ind w:right="907"/>
        <w:jc w:val="both"/>
        <w:rPr>
          <w:rFonts w:ascii="Arial" w:hAnsi="Arial" w:cs="Arial"/>
          <w:b/>
          <w:sz w:val="24"/>
          <w:szCs w:val="24"/>
        </w:rPr>
      </w:pPr>
    </w:p>
    <w:p w14:paraId="50F36EAA" w14:textId="77777777" w:rsidR="002E00C4" w:rsidRPr="002E00C4" w:rsidRDefault="002E00C4" w:rsidP="002E00C4">
      <w:pPr>
        <w:spacing w:before="60" w:after="60"/>
        <w:ind w:right="907"/>
        <w:jc w:val="both"/>
        <w:rPr>
          <w:rFonts w:ascii="Arial" w:hAnsi="Arial" w:cs="Arial"/>
          <w:b/>
          <w:sz w:val="24"/>
          <w:szCs w:val="24"/>
        </w:rPr>
      </w:pPr>
      <w:r w:rsidRPr="002E00C4">
        <w:rPr>
          <w:rFonts w:ascii="Arial" w:hAnsi="Arial" w:cs="Arial"/>
          <w:b/>
          <w:sz w:val="24"/>
          <w:szCs w:val="24"/>
        </w:rPr>
        <w:t>Website</w:t>
      </w:r>
    </w:p>
    <w:p w14:paraId="25E95331"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Extensive information about the LGPS along with Scheme literature, policies and forms are available to download from the City and County of Swansea Pension Fund website (</w:t>
      </w:r>
      <w:hyperlink r:id="rId60" w:history="1">
        <w:r w:rsidRPr="002E00C4">
          <w:rPr>
            <w:rStyle w:val="Hyperlink"/>
            <w:rFonts w:ascii="Arial" w:hAnsi="Arial" w:cs="Arial"/>
            <w:sz w:val="24"/>
            <w:szCs w:val="24"/>
          </w:rPr>
          <w:t>www.swansea.pensionfund.org.uk</w:t>
        </w:r>
      </w:hyperlink>
      <w:r w:rsidRPr="002E00C4">
        <w:rPr>
          <w:rFonts w:ascii="Arial" w:hAnsi="Arial" w:cs="Arial"/>
          <w:sz w:val="24"/>
          <w:szCs w:val="24"/>
        </w:rPr>
        <w:t>) for all stakeholders.  The website is a prime source of information on the pension scheme, including electronic copies of Scheme literature and policies to ensure timely, up-to-date, and easy to access information.</w:t>
      </w:r>
    </w:p>
    <w:p w14:paraId="032933B4" w14:textId="77777777" w:rsidR="002E00C4" w:rsidRPr="002E00C4" w:rsidRDefault="002E00C4" w:rsidP="002E00C4">
      <w:pPr>
        <w:spacing w:before="60" w:after="60"/>
        <w:ind w:right="-28"/>
        <w:jc w:val="both"/>
        <w:rPr>
          <w:rFonts w:ascii="Arial" w:hAnsi="Arial" w:cs="Arial"/>
          <w:sz w:val="24"/>
          <w:szCs w:val="24"/>
        </w:rPr>
      </w:pPr>
    </w:p>
    <w:p w14:paraId="5EB13D02"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The Member Self Service link is available on the website and members are encouraged to sign-up.  Benefit Statements and other correspondence are available through this secure online portal</w:t>
      </w:r>
      <w:r w:rsidRPr="002E00C4">
        <w:rPr>
          <w:rFonts w:ascii="Arial" w:hAnsi="Arial" w:cs="Arial"/>
          <w:color w:val="FF0000"/>
          <w:sz w:val="24"/>
          <w:szCs w:val="24"/>
        </w:rPr>
        <w:t>.</w:t>
      </w:r>
    </w:p>
    <w:p w14:paraId="507E4D8B" w14:textId="77777777" w:rsidR="002E00C4" w:rsidRPr="002E00C4" w:rsidRDefault="002E00C4" w:rsidP="002E00C4">
      <w:pPr>
        <w:spacing w:before="60" w:after="60"/>
        <w:ind w:right="-28"/>
        <w:jc w:val="both"/>
        <w:rPr>
          <w:rFonts w:ascii="Arial" w:hAnsi="Arial" w:cs="Arial"/>
          <w:sz w:val="24"/>
          <w:szCs w:val="24"/>
        </w:rPr>
      </w:pPr>
    </w:p>
    <w:p w14:paraId="1871B9D8"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General Communications</w:t>
      </w:r>
    </w:p>
    <w:p w14:paraId="5DF35FF8"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A published telephone number along with general email addresses and full postal address is listed on all correspondence issued. </w:t>
      </w:r>
    </w:p>
    <w:p w14:paraId="5CB59864"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 </w:t>
      </w:r>
    </w:p>
    <w:p w14:paraId="3DA4125D"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A national member website, offering additional information is available at </w:t>
      </w:r>
      <w:hyperlink r:id="rId61" w:history="1">
        <w:r w:rsidRPr="002E00C4">
          <w:rPr>
            <w:rStyle w:val="Hyperlink"/>
            <w:rFonts w:ascii="Arial" w:hAnsi="Arial" w:cs="Arial"/>
            <w:sz w:val="24"/>
            <w:szCs w:val="24"/>
          </w:rPr>
          <w:t>https://lgpsmember.org/</w:t>
        </w:r>
      </w:hyperlink>
      <w:r w:rsidRPr="002E00C4">
        <w:rPr>
          <w:rFonts w:ascii="Arial" w:hAnsi="Arial" w:cs="Arial"/>
          <w:sz w:val="24"/>
          <w:szCs w:val="24"/>
        </w:rPr>
        <w:t xml:space="preserve"> </w:t>
      </w:r>
    </w:p>
    <w:p w14:paraId="5A61520D"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sz w:val="24"/>
          <w:szCs w:val="24"/>
        </w:rPr>
        <w:br w:type="page"/>
      </w:r>
      <w:r w:rsidRPr="002E00C4">
        <w:rPr>
          <w:rFonts w:ascii="Arial" w:hAnsi="Arial" w:cs="Arial"/>
          <w:b/>
          <w:sz w:val="24"/>
          <w:szCs w:val="24"/>
        </w:rPr>
        <w:lastRenderedPageBreak/>
        <w:t>PROSPECTIVE SCHEME MEMBERS</w:t>
      </w:r>
    </w:p>
    <w:p w14:paraId="62959583" w14:textId="77777777" w:rsidR="002E00C4" w:rsidRPr="002E00C4" w:rsidRDefault="002E00C4" w:rsidP="002E00C4">
      <w:pPr>
        <w:spacing w:before="60" w:after="60"/>
        <w:ind w:right="-28"/>
        <w:jc w:val="both"/>
        <w:rPr>
          <w:rFonts w:ascii="Arial" w:hAnsi="Arial" w:cs="Arial"/>
          <w:sz w:val="24"/>
          <w:szCs w:val="24"/>
        </w:rPr>
      </w:pPr>
    </w:p>
    <w:p w14:paraId="1F95A5CC"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Scheme Leaflet</w:t>
      </w:r>
    </w:p>
    <w:p w14:paraId="4B064977"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In accordance with the Disclosure Regulations, prospective Scheme members are signposted to a Short Scheme Guide.  The information contained provides an overview of LGPS benefits from day one of membership.</w:t>
      </w:r>
    </w:p>
    <w:p w14:paraId="4B3D4993" w14:textId="77777777" w:rsidR="002E00C4" w:rsidRPr="002E00C4" w:rsidRDefault="002E00C4" w:rsidP="002E00C4">
      <w:pPr>
        <w:spacing w:before="60" w:after="60"/>
        <w:ind w:right="-28"/>
        <w:jc w:val="both"/>
        <w:rPr>
          <w:rFonts w:ascii="Arial" w:hAnsi="Arial" w:cs="Arial"/>
          <w:sz w:val="24"/>
          <w:szCs w:val="24"/>
        </w:rPr>
      </w:pPr>
    </w:p>
    <w:p w14:paraId="093C6319"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Promotional Leaflet</w:t>
      </w:r>
    </w:p>
    <w:p w14:paraId="6CB26FA0"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The Fund has a promotional leaflet ‘The Local Government Pension Scheme – Saving for Retirement’.  The leaflet is included with joiner packs issued by the employer when the employee commences employment.   The leaflet provides information to non-members of the benefits of being a member of the scheme.   </w:t>
      </w:r>
    </w:p>
    <w:p w14:paraId="14713A26" w14:textId="77777777" w:rsidR="002E00C4" w:rsidRPr="002E00C4" w:rsidRDefault="002E00C4" w:rsidP="002E00C4">
      <w:pPr>
        <w:spacing w:before="60" w:after="60"/>
        <w:ind w:right="-28"/>
        <w:jc w:val="both"/>
        <w:rPr>
          <w:rFonts w:ascii="Arial" w:hAnsi="Arial" w:cs="Arial"/>
          <w:b/>
          <w:sz w:val="24"/>
          <w:szCs w:val="24"/>
        </w:rPr>
      </w:pPr>
    </w:p>
    <w:p w14:paraId="56D0825E"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Corporate Induction Courses</w:t>
      </w:r>
    </w:p>
    <w:p w14:paraId="182643B1"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Corporate Induction Courses are available to employees on-line; any LGPS queries that a member might have can be presented either by emailing </w:t>
      </w:r>
      <w:hyperlink r:id="rId62" w:history="1">
        <w:r w:rsidRPr="002E00C4">
          <w:rPr>
            <w:rStyle w:val="Hyperlink"/>
            <w:rFonts w:ascii="Arial" w:hAnsi="Arial" w:cs="Arial"/>
            <w:sz w:val="24"/>
            <w:szCs w:val="24"/>
          </w:rPr>
          <w:t>pensions@swansea.gov.uk</w:t>
        </w:r>
      </w:hyperlink>
      <w:r w:rsidRPr="002E00C4">
        <w:rPr>
          <w:rFonts w:ascii="Arial" w:hAnsi="Arial" w:cs="Arial"/>
          <w:sz w:val="24"/>
          <w:szCs w:val="24"/>
        </w:rPr>
        <w:t xml:space="preserve"> or phoning 01792 636655. A response will follow in due course.</w:t>
      </w:r>
    </w:p>
    <w:p w14:paraId="0EFF943A" w14:textId="77777777" w:rsidR="002E00C4" w:rsidRPr="002E00C4" w:rsidRDefault="002E00C4" w:rsidP="002E00C4">
      <w:pPr>
        <w:spacing w:before="60" w:after="60"/>
        <w:ind w:right="-28"/>
        <w:jc w:val="both"/>
        <w:rPr>
          <w:rFonts w:ascii="Arial" w:hAnsi="Arial" w:cs="Arial"/>
          <w:sz w:val="24"/>
          <w:szCs w:val="24"/>
        </w:rPr>
      </w:pPr>
    </w:p>
    <w:p w14:paraId="7DE62E03"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Trade Unions</w:t>
      </w:r>
    </w:p>
    <w:p w14:paraId="02802B18"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The Fund will work with the relevant Trade Unions to ensure all interested parties understand the Scheme.  Training days for branch officers will be provided upon request, and efforts will be made to ensure that all pension related issues are communicated effectively with the Trade Unions.</w:t>
      </w:r>
    </w:p>
    <w:p w14:paraId="0A01F0E5" w14:textId="77777777" w:rsidR="002E00C4" w:rsidRPr="002E00C4" w:rsidRDefault="002E00C4" w:rsidP="002E00C4">
      <w:pPr>
        <w:spacing w:before="60" w:after="60"/>
        <w:ind w:right="-28"/>
        <w:jc w:val="both"/>
        <w:rPr>
          <w:rFonts w:ascii="Arial" w:hAnsi="Arial" w:cs="Arial"/>
          <w:sz w:val="24"/>
          <w:szCs w:val="24"/>
        </w:rPr>
      </w:pPr>
    </w:p>
    <w:p w14:paraId="07832503"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Website</w:t>
      </w:r>
    </w:p>
    <w:p w14:paraId="4D2FA7D1"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The Fund’s website will contain a specific section for prospective joiners or optants out, highlighting the benefits of planning for retirement and what the Scheme provides to allow the member to make an informed choice.  </w:t>
      </w:r>
    </w:p>
    <w:p w14:paraId="3845CF4D" w14:textId="77777777" w:rsidR="002E00C4" w:rsidRPr="002E00C4" w:rsidRDefault="002E00C4" w:rsidP="002E00C4">
      <w:pPr>
        <w:tabs>
          <w:tab w:val="left" w:pos="8670"/>
        </w:tabs>
        <w:spacing w:before="60" w:after="60"/>
        <w:ind w:right="-28"/>
        <w:jc w:val="both"/>
        <w:rPr>
          <w:rFonts w:ascii="Arial" w:hAnsi="Arial" w:cs="Arial"/>
          <w:b/>
          <w:sz w:val="24"/>
          <w:szCs w:val="24"/>
        </w:rPr>
      </w:pPr>
      <w:r w:rsidRPr="002E00C4">
        <w:rPr>
          <w:rFonts w:ascii="Arial" w:hAnsi="Arial" w:cs="Arial"/>
          <w:sz w:val="24"/>
          <w:szCs w:val="24"/>
        </w:rPr>
        <w:br w:type="page"/>
      </w:r>
      <w:r w:rsidRPr="002E00C4">
        <w:rPr>
          <w:rFonts w:ascii="Arial" w:hAnsi="Arial" w:cs="Arial"/>
          <w:b/>
          <w:sz w:val="24"/>
          <w:szCs w:val="24"/>
        </w:rPr>
        <w:lastRenderedPageBreak/>
        <w:t>SCHEME EMPLOYERS</w:t>
      </w:r>
    </w:p>
    <w:p w14:paraId="692E8FC4" w14:textId="77777777" w:rsidR="002E00C4" w:rsidRPr="002E00C4" w:rsidRDefault="002E00C4" w:rsidP="002E00C4">
      <w:pPr>
        <w:spacing w:before="60" w:after="60"/>
        <w:ind w:right="-28"/>
        <w:jc w:val="both"/>
        <w:rPr>
          <w:rFonts w:ascii="Arial" w:hAnsi="Arial" w:cs="Arial"/>
          <w:b/>
          <w:sz w:val="24"/>
          <w:szCs w:val="24"/>
        </w:rPr>
      </w:pPr>
    </w:p>
    <w:p w14:paraId="3A4E4764"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The Fund communicates with its participating employers in several ways to help them meet their responsibilities as Scheme employers.</w:t>
      </w:r>
    </w:p>
    <w:p w14:paraId="6815A476" w14:textId="77777777" w:rsidR="002E00C4" w:rsidRPr="002E00C4" w:rsidRDefault="002E00C4" w:rsidP="002E00C4">
      <w:pPr>
        <w:spacing w:before="60" w:after="60"/>
        <w:ind w:right="-28"/>
        <w:jc w:val="both"/>
        <w:rPr>
          <w:rFonts w:ascii="Arial" w:hAnsi="Arial" w:cs="Arial"/>
          <w:sz w:val="24"/>
          <w:szCs w:val="24"/>
        </w:rPr>
      </w:pPr>
    </w:p>
    <w:p w14:paraId="21533A9B"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Annual Report and Accounts</w:t>
      </w:r>
    </w:p>
    <w:p w14:paraId="10FC09D4"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The audited accounts of the City and County of Swansea Pension Fund are prepared as at 31 March each year and a copy is distributed to each participating employer.  </w:t>
      </w:r>
    </w:p>
    <w:p w14:paraId="3011C25D" w14:textId="77777777" w:rsidR="002E00C4" w:rsidRPr="002E00C4" w:rsidRDefault="002E00C4" w:rsidP="002E00C4">
      <w:pPr>
        <w:spacing w:before="60" w:after="60"/>
        <w:ind w:right="-28"/>
        <w:jc w:val="both"/>
        <w:rPr>
          <w:rFonts w:ascii="Arial" w:hAnsi="Arial" w:cs="Arial"/>
          <w:b/>
          <w:sz w:val="24"/>
          <w:szCs w:val="24"/>
        </w:rPr>
      </w:pPr>
    </w:p>
    <w:p w14:paraId="345A340A"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Employer Meetings</w:t>
      </w:r>
    </w:p>
    <w:p w14:paraId="038B3DB3"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The Fund will hold an annual consultative meeting to discuss the Funds’ Annual Report and Accounts.  The meeting will also be used to communicate major strategic issues and significant legislation changes as well as triennial valuation matters.  </w:t>
      </w:r>
    </w:p>
    <w:p w14:paraId="0FCABC3F" w14:textId="77777777" w:rsidR="002E00C4" w:rsidRPr="002E00C4" w:rsidRDefault="002E00C4" w:rsidP="002E00C4">
      <w:pPr>
        <w:spacing w:before="60" w:after="60"/>
        <w:ind w:right="-28"/>
        <w:jc w:val="both"/>
        <w:rPr>
          <w:rFonts w:ascii="Arial" w:hAnsi="Arial" w:cs="Arial"/>
          <w:sz w:val="24"/>
          <w:szCs w:val="24"/>
        </w:rPr>
      </w:pPr>
    </w:p>
    <w:p w14:paraId="6FA4638C"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Actuarial Valuation meetings follow the undertaking of the triennial valuation and issue of the report to understand their individual funding position.</w:t>
      </w:r>
    </w:p>
    <w:p w14:paraId="108BE793" w14:textId="77777777" w:rsidR="002E00C4" w:rsidRPr="002E00C4" w:rsidRDefault="002E00C4" w:rsidP="002E00C4">
      <w:pPr>
        <w:spacing w:before="60" w:after="60"/>
        <w:ind w:right="-28"/>
        <w:jc w:val="both"/>
        <w:rPr>
          <w:rFonts w:ascii="Arial" w:hAnsi="Arial" w:cs="Arial"/>
          <w:sz w:val="24"/>
          <w:szCs w:val="24"/>
        </w:rPr>
      </w:pPr>
    </w:p>
    <w:p w14:paraId="623FB3AA"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Periodic meetings will be held to discuss specific issues as they arise.</w:t>
      </w:r>
    </w:p>
    <w:p w14:paraId="40DC629D" w14:textId="77777777" w:rsidR="002E00C4" w:rsidRPr="002E00C4" w:rsidRDefault="002E00C4" w:rsidP="002E00C4">
      <w:pPr>
        <w:spacing w:before="60" w:after="60"/>
        <w:ind w:right="-28"/>
        <w:jc w:val="both"/>
        <w:rPr>
          <w:rFonts w:ascii="Arial" w:hAnsi="Arial" w:cs="Arial"/>
          <w:sz w:val="24"/>
          <w:szCs w:val="24"/>
        </w:rPr>
      </w:pPr>
    </w:p>
    <w:p w14:paraId="61C0036A"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Pension Administration Strategy</w:t>
      </w:r>
    </w:p>
    <w:p w14:paraId="1E4FE64E"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A Pension Administration Strategy has been published, in accordance with the Scheme Regulations, to define the responsibilities of both the Fund and all Scheme employers in the administration of the Scheme.</w:t>
      </w:r>
    </w:p>
    <w:p w14:paraId="7A430E48" w14:textId="77777777" w:rsidR="002E00C4" w:rsidRPr="002E00C4" w:rsidRDefault="002E00C4" w:rsidP="002E00C4">
      <w:pPr>
        <w:spacing w:before="60" w:after="60"/>
        <w:ind w:right="-28"/>
        <w:jc w:val="both"/>
        <w:rPr>
          <w:rFonts w:ascii="Arial" w:hAnsi="Arial" w:cs="Arial"/>
          <w:sz w:val="24"/>
          <w:szCs w:val="24"/>
        </w:rPr>
      </w:pPr>
    </w:p>
    <w:p w14:paraId="7987D916"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The Strategy sets out the level of performance expected from the City and County of Swansea Pension Fund and all employers, as well as the consequence of not meeting statutory deadlines. </w:t>
      </w:r>
    </w:p>
    <w:p w14:paraId="6BA027C9" w14:textId="77777777" w:rsidR="002E00C4" w:rsidRPr="002E00C4" w:rsidRDefault="002E00C4" w:rsidP="002E00C4">
      <w:pPr>
        <w:spacing w:before="60" w:after="60"/>
        <w:ind w:right="-28"/>
        <w:jc w:val="both"/>
        <w:rPr>
          <w:rFonts w:ascii="Arial" w:hAnsi="Arial" w:cs="Arial"/>
          <w:sz w:val="24"/>
          <w:szCs w:val="24"/>
        </w:rPr>
      </w:pPr>
    </w:p>
    <w:p w14:paraId="7A234187"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Employer’s guide</w:t>
      </w:r>
    </w:p>
    <w:p w14:paraId="3595CD75"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An Employer’s Guide has been issued to assist the employers in discharging their pension administration responsibilities.  This is supported by the dedicated Communication Officer, who will provide assistance in administrative matters whenever necessary.</w:t>
      </w:r>
    </w:p>
    <w:p w14:paraId="4EF7CD41" w14:textId="77777777" w:rsidR="002E00C4" w:rsidRPr="002E00C4" w:rsidRDefault="002E00C4" w:rsidP="002E00C4">
      <w:pPr>
        <w:spacing w:before="60" w:after="60"/>
        <w:ind w:right="-28"/>
        <w:jc w:val="both"/>
        <w:rPr>
          <w:rFonts w:ascii="Arial" w:hAnsi="Arial" w:cs="Arial"/>
          <w:sz w:val="24"/>
          <w:szCs w:val="24"/>
        </w:rPr>
      </w:pPr>
    </w:p>
    <w:p w14:paraId="138A28F5"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Updates</w:t>
      </w:r>
    </w:p>
    <w:p w14:paraId="3651F986"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Regulatory and administrative updates are frequently issued to all employers via email.  </w:t>
      </w:r>
    </w:p>
    <w:p w14:paraId="01DE5E34" w14:textId="77777777" w:rsidR="002E00C4" w:rsidRPr="002E00C4" w:rsidRDefault="002E00C4" w:rsidP="002E00C4">
      <w:pPr>
        <w:spacing w:before="60" w:after="60"/>
        <w:ind w:right="-28"/>
        <w:jc w:val="both"/>
        <w:rPr>
          <w:rFonts w:ascii="Arial" w:hAnsi="Arial" w:cs="Arial"/>
          <w:sz w:val="24"/>
          <w:szCs w:val="24"/>
        </w:rPr>
      </w:pPr>
    </w:p>
    <w:p w14:paraId="4AD0A02C"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Training</w:t>
      </w:r>
    </w:p>
    <w:p w14:paraId="409D8311"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Bespoke sessions can be delivered, on request, by the dedicated Communication Officer to resolve any administrative issues identified by the employer. The fund will provide refresher training on topics as required.</w:t>
      </w:r>
    </w:p>
    <w:p w14:paraId="75B9EDCD" w14:textId="77777777" w:rsidR="002E00C4" w:rsidRPr="002E00C4" w:rsidRDefault="002E00C4" w:rsidP="002E00C4">
      <w:pPr>
        <w:spacing w:before="60" w:after="60"/>
        <w:ind w:right="-28"/>
        <w:jc w:val="both"/>
        <w:rPr>
          <w:rFonts w:ascii="Arial" w:hAnsi="Arial" w:cs="Arial"/>
          <w:sz w:val="24"/>
          <w:szCs w:val="24"/>
        </w:rPr>
      </w:pPr>
    </w:p>
    <w:p w14:paraId="78E4CE60"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Website</w:t>
      </w:r>
    </w:p>
    <w:p w14:paraId="7CCE3148"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The Fund Website has a dedicated employer area to provide employers with the guidance needed to effectively discharge their administrative responsibilities and includes updates as well as forms and notes of guidance, which can be downloaded.</w:t>
      </w:r>
    </w:p>
    <w:p w14:paraId="0D459377" w14:textId="77777777" w:rsidR="002E00C4" w:rsidRPr="002E00C4" w:rsidRDefault="002E00C4" w:rsidP="002E00C4">
      <w:pPr>
        <w:spacing w:before="60" w:after="60"/>
        <w:ind w:right="-28"/>
        <w:jc w:val="both"/>
        <w:rPr>
          <w:rFonts w:ascii="Arial" w:hAnsi="Arial" w:cs="Arial"/>
          <w:sz w:val="24"/>
          <w:szCs w:val="24"/>
        </w:rPr>
      </w:pPr>
    </w:p>
    <w:p w14:paraId="4136FCE5"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br w:type="page"/>
      </w:r>
      <w:r w:rsidRPr="002E00C4">
        <w:rPr>
          <w:rFonts w:ascii="Arial" w:hAnsi="Arial" w:cs="Arial"/>
          <w:b/>
          <w:sz w:val="24"/>
          <w:szCs w:val="24"/>
        </w:rPr>
        <w:lastRenderedPageBreak/>
        <w:t>OTHER BODIES</w:t>
      </w:r>
    </w:p>
    <w:p w14:paraId="7590ADA9" w14:textId="77777777" w:rsidR="002E00C4" w:rsidRPr="002E00C4" w:rsidRDefault="002E00C4" w:rsidP="002E00C4">
      <w:pPr>
        <w:spacing w:before="60" w:after="60"/>
        <w:ind w:right="-28"/>
        <w:jc w:val="both"/>
        <w:rPr>
          <w:rFonts w:ascii="Arial" w:hAnsi="Arial" w:cs="Arial"/>
          <w:sz w:val="24"/>
          <w:szCs w:val="24"/>
        </w:rPr>
      </w:pPr>
    </w:p>
    <w:p w14:paraId="4A632FBE"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All Wales Pensions Officer’s Group</w:t>
      </w:r>
    </w:p>
    <w:p w14:paraId="5A2B75E5"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Pensions Officers from all the Welsh administering authorities meet regularly in order to share information and ensure uniform interpretation of the LGPS and other prevailing regulations.</w:t>
      </w:r>
    </w:p>
    <w:p w14:paraId="5056C548" w14:textId="77777777" w:rsidR="002E00C4" w:rsidRPr="002E00C4" w:rsidRDefault="002E00C4" w:rsidP="002E00C4">
      <w:pPr>
        <w:spacing w:before="60" w:after="60"/>
        <w:ind w:right="-28"/>
        <w:jc w:val="both"/>
        <w:rPr>
          <w:rFonts w:ascii="Arial" w:hAnsi="Arial" w:cs="Arial"/>
          <w:b/>
          <w:sz w:val="24"/>
          <w:szCs w:val="24"/>
        </w:rPr>
      </w:pPr>
    </w:p>
    <w:p w14:paraId="2BDB34FF"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Wales Pension Partnership Group</w:t>
      </w:r>
    </w:p>
    <w:p w14:paraId="138CEC50"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sz w:val="24"/>
          <w:szCs w:val="24"/>
        </w:rPr>
        <w:t>The Fund works continuously to collaborate with other Welsh Pension Funds to evaluate specific partnership arrangements, particularly within the All Wales Pension Funds Communication Working Group</w:t>
      </w:r>
      <w:r w:rsidRPr="002E00C4">
        <w:rPr>
          <w:rFonts w:ascii="Arial" w:hAnsi="Arial" w:cs="Arial"/>
          <w:b/>
          <w:sz w:val="24"/>
          <w:szCs w:val="24"/>
        </w:rPr>
        <w:t>.</w:t>
      </w:r>
    </w:p>
    <w:p w14:paraId="20526C17" w14:textId="77777777" w:rsidR="002E00C4" w:rsidRPr="002E00C4" w:rsidRDefault="002E00C4" w:rsidP="002E00C4">
      <w:pPr>
        <w:spacing w:before="60" w:after="60"/>
        <w:ind w:right="-28"/>
        <w:jc w:val="both"/>
        <w:rPr>
          <w:rFonts w:ascii="Arial" w:hAnsi="Arial" w:cs="Arial"/>
          <w:b/>
          <w:sz w:val="24"/>
          <w:szCs w:val="24"/>
        </w:rPr>
      </w:pPr>
    </w:p>
    <w:p w14:paraId="15097C95"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Trade Unions</w:t>
      </w:r>
    </w:p>
    <w:p w14:paraId="27FD2BE2"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sz w:val="24"/>
          <w:szCs w:val="24"/>
        </w:rPr>
        <w:t>Trade Unions in South West Wales are valuable ambassadors for the Pension Scheme.  They ensure that details of the Local Government Pension Scheme’s availability are brought to their members’ attention and assist in negotiation under TUPE transfers in order to ensure, whenever possible, continued access to the Local Government Pension Scheme.</w:t>
      </w:r>
    </w:p>
    <w:p w14:paraId="36894914" w14:textId="77777777" w:rsidR="002E00C4" w:rsidRPr="002E00C4" w:rsidRDefault="002E00C4" w:rsidP="002E00C4">
      <w:pPr>
        <w:spacing w:before="60" w:after="60"/>
        <w:ind w:right="-28"/>
        <w:jc w:val="both"/>
        <w:rPr>
          <w:rFonts w:ascii="Arial" w:hAnsi="Arial" w:cs="Arial"/>
          <w:b/>
          <w:sz w:val="24"/>
          <w:szCs w:val="24"/>
        </w:rPr>
      </w:pPr>
    </w:p>
    <w:p w14:paraId="4BC56526"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Seminars/Webinars</w:t>
      </w:r>
    </w:p>
    <w:p w14:paraId="6EC63752"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Fund Officers regularly participate at seminars and conferences held by LGPS related bodies.</w:t>
      </w:r>
    </w:p>
    <w:p w14:paraId="454540CC" w14:textId="77777777" w:rsidR="002E00C4" w:rsidRPr="002E00C4" w:rsidRDefault="002E00C4" w:rsidP="002E00C4">
      <w:pPr>
        <w:spacing w:before="60" w:after="60"/>
        <w:ind w:right="-28"/>
        <w:jc w:val="both"/>
        <w:rPr>
          <w:rFonts w:ascii="Arial" w:hAnsi="Arial" w:cs="Arial"/>
          <w:sz w:val="24"/>
          <w:szCs w:val="24"/>
        </w:rPr>
      </w:pPr>
    </w:p>
    <w:p w14:paraId="0CD39D44"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National Information Forum</w:t>
      </w:r>
    </w:p>
    <w:p w14:paraId="2D44F44C"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These meetings, which are attended by representatives from the Ministry for Housing, Communities &amp; Local Government (MHCLG) and the Local Government Pensions Committee (LGPC), provide an opportunity to discuss issues of common interest and share best practice. </w:t>
      </w:r>
    </w:p>
    <w:p w14:paraId="495CE319" w14:textId="77777777" w:rsidR="002E00C4" w:rsidRPr="002E00C4" w:rsidRDefault="002E00C4" w:rsidP="002E00C4">
      <w:pPr>
        <w:spacing w:before="60" w:after="60"/>
        <w:ind w:right="-28"/>
        <w:jc w:val="both"/>
        <w:rPr>
          <w:rFonts w:ascii="Arial" w:hAnsi="Arial" w:cs="Arial"/>
          <w:sz w:val="24"/>
          <w:szCs w:val="24"/>
        </w:rPr>
      </w:pPr>
    </w:p>
    <w:p w14:paraId="0B81079C"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Pension Fund Committee</w:t>
      </w:r>
    </w:p>
    <w:p w14:paraId="700D90C2"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The Pension Fund Committee is notified of any changes in legislation, practices within the Section and investment issues as and when these occur.  Meetings take place on a quarterly basis.</w:t>
      </w:r>
    </w:p>
    <w:p w14:paraId="53775F4E"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sz w:val="24"/>
          <w:szCs w:val="24"/>
        </w:rPr>
        <w:br w:type="page"/>
      </w:r>
      <w:r w:rsidRPr="002E00C4">
        <w:rPr>
          <w:rFonts w:ascii="Arial" w:hAnsi="Arial" w:cs="Arial"/>
          <w:b/>
          <w:sz w:val="24"/>
          <w:szCs w:val="24"/>
        </w:rPr>
        <w:lastRenderedPageBreak/>
        <w:t>FUND STAFF</w:t>
      </w:r>
    </w:p>
    <w:p w14:paraId="259024DB" w14:textId="77777777" w:rsidR="002E00C4" w:rsidRPr="002E00C4" w:rsidRDefault="002E00C4" w:rsidP="002E00C4">
      <w:pPr>
        <w:spacing w:before="60" w:after="60"/>
        <w:ind w:right="-28"/>
        <w:jc w:val="both"/>
        <w:rPr>
          <w:rFonts w:ascii="Arial" w:hAnsi="Arial" w:cs="Arial"/>
          <w:sz w:val="24"/>
          <w:szCs w:val="24"/>
        </w:rPr>
      </w:pPr>
    </w:p>
    <w:p w14:paraId="25E2A028"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There is a responsibility on all staff to ensure effective communication at all levels across the service.  </w:t>
      </w:r>
    </w:p>
    <w:p w14:paraId="0226D3A9" w14:textId="77777777" w:rsidR="002E00C4" w:rsidRPr="002E00C4" w:rsidRDefault="002E00C4" w:rsidP="002E00C4">
      <w:pPr>
        <w:spacing w:before="60" w:after="60"/>
        <w:ind w:right="-28"/>
        <w:jc w:val="both"/>
        <w:rPr>
          <w:rFonts w:ascii="Arial" w:hAnsi="Arial" w:cs="Arial"/>
          <w:sz w:val="24"/>
          <w:szCs w:val="24"/>
        </w:rPr>
      </w:pPr>
    </w:p>
    <w:p w14:paraId="2692A58E"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Induction</w:t>
      </w:r>
    </w:p>
    <w:p w14:paraId="62E6040A"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All new members of staff undergo an induction programme.  A periodic appraisal programme is also exercised to review and monitor employee performance and development.</w:t>
      </w:r>
    </w:p>
    <w:p w14:paraId="2D35E11B" w14:textId="77777777" w:rsidR="002E00C4" w:rsidRPr="002E00C4" w:rsidRDefault="002E00C4" w:rsidP="002E00C4">
      <w:pPr>
        <w:spacing w:before="60" w:after="60"/>
        <w:ind w:right="-28"/>
        <w:jc w:val="both"/>
        <w:rPr>
          <w:rFonts w:ascii="Arial" w:hAnsi="Arial" w:cs="Arial"/>
          <w:sz w:val="24"/>
          <w:szCs w:val="24"/>
        </w:rPr>
      </w:pPr>
    </w:p>
    <w:p w14:paraId="07098AC0"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b/>
          <w:sz w:val="24"/>
          <w:szCs w:val="24"/>
        </w:rPr>
        <w:t>Training and Support</w:t>
      </w:r>
    </w:p>
    <w:p w14:paraId="141C953C"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The Fund seeks to continually improve the capacity of staff to communicate effectively and to understand the importance of high-quality communication.</w:t>
      </w:r>
    </w:p>
    <w:p w14:paraId="2795DC17" w14:textId="77777777" w:rsidR="002E00C4" w:rsidRPr="002E00C4" w:rsidRDefault="002E00C4" w:rsidP="002E00C4">
      <w:pPr>
        <w:spacing w:before="60" w:after="60"/>
        <w:ind w:right="-28"/>
        <w:jc w:val="both"/>
        <w:rPr>
          <w:rFonts w:ascii="Arial" w:hAnsi="Arial" w:cs="Arial"/>
          <w:sz w:val="24"/>
          <w:szCs w:val="24"/>
        </w:rPr>
      </w:pPr>
    </w:p>
    <w:p w14:paraId="3B292829"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Both general and pension specific training is provided in-house, by the dedicated Training and Communications Officer and by specialists, where applicable, as part of the Fund’s commitment to continual improvement as well as encouraged to obtain the professional qualification of pension administration and management.</w:t>
      </w:r>
    </w:p>
    <w:p w14:paraId="34F68383" w14:textId="77777777" w:rsidR="002E00C4" w:rsidRPr="002E00C4" w:rsidRDefault="002E00C4" w:rsidP="002E00C4">
      <w:pPr>
        <w:spacing w:before="60" w:after="60"/>
        <w:ind w:right="-28"/>
        <w:jc w:val="both"/>
        <w:rPr>
          <w:rFonts w:ascii="Arial" w:hAnsi="Arial" w:cs="Arial"/>
          <w:sz w:val="24"/>
          <w:szCs w:val="24"/>
        </w:rPr>
      </w:pPr>
    </w:p>
    <w:p w14:paraId="70201187"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Fund Meetings</w:t>
      </w:r>
    </w:p>
    <w:p w14:paraId="194D5930"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Section and Team meetings are held on a regular basis.  Items arising from such meetings are escalated through to Senior Managers and Chief Officers. Due to the change to home working staff meetings will be held via Microsoft Teams.</w:t>
      </w:r>
    </w:p>
    <w:p w14:paraId="476344B4" w14:textId="77777777" w:rsidR="002E00C4" w:rsidRPr="002E00C4" w:rsidRDefault="002E00C4" w:rsidP="002E00C4">
      <w:pPr>
        <w:spacing w:before="60" w:after="60"/>
        <w:ind w:right="-28"/>
        <w:jc w:val="both"/>
        <w:rPr>
          <w:rFonts w:ascii="Arial" w:hAnsi="Arial" w:cs="Arial"/>
          <w:sz w:val="24"/>
          <w:szCs w:val="24"/>
        </w:rPr>
      </w:pPr>
    </w:p>
    <w:p w14:paraId="464F850F"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Internet</w:t>
      </w:r>
    </w:p>
    <w:p w14:paraId="73B057DA"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The Staff are enabled to use the corporate network in order to access the internet and e-mail facility and communicate with each other and other departments through Microsoft Teams.</w:t>
      </w:r>
    </w:p>
    <w:p w14:paraId="4F274A5E" w14:textId="77777777" w:rsidR="002E00C4" w:rsidRPr="002E00C4" w:rsidRDefault="002E00C4" w:rsidP="002E00C4">
      <w:pPr>
        <w:spacing w:before="60" w:after="60"/>
        <w:ind w:right="-28"/>
        <w:jc w:val="both"/>
        <w:rPr>
          <w:rFonts w:ascii="Arial" w:hAnsi="Arial" w:cs="Arial"/>
          <w:sz w:val="24"/>
          <w:szCs w:val="24"/>
        </w:rPr>
      </w:pPr>
    </w:p>
    <w:p w14:paraId="315CE1E0"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E-mails</w:t>
      </w:r>
    </w:p>
    <w:p w14:paraId="53520D2A"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Staff can be contacted via their personal Swansea Council email address or via the Fund’s central mailbox.</w:t>
      </w:r>
    </w:p>
    <w:p w14:paraId="0DCFE658" w14:textId="77777777" w:rsidR="002E00C4" w:rsidRPr="002E00C4" w:rsidRDefault="002E00C4" w:rsidP="002E00C4">
      <w:pPr>
        <w:spacing w:before="60" w:after="60"/>
        <w:ind w:right="-28"/>
        <w:jc w:val="both"/>
        <w:rPr>
          <w:rFonts w:ascii="Arial" w:hAnsi="Arial" w:cs="Arial"/>
          <w:b/>
          <w:sz w:val="24"/>
          <w:szCs w:val="24"/>
        </w:rPr>
      </w:pPr>
    </w:p>
    <w:p w14:paraId="7BC46886" w14:textId="77777777" w:rsidR="002E00C4" w:rsidRPr="002E00C4" w:rsidRDefault="002E00C4" w:rsidP="002E00C4">
      <w:pPr>
        <w:spacing w:before="60" w:after="60"/>
        <w:ind w:right="-28"/>
        <w:jc w:val="both"/>
        <w:rPr>
          <w:rFonts w:ascii="Arial" w:hAnsi="Arial" w:cs="Arial"/>
          <w:b/>
          <w:sz w:val="24"/>
          <w:szCs w:val="24"/>
        </w:rPr>
      </w:pPr>
      <w:r w:rsidRPr="002E00C4">
        <w:rPr>
          <w:rFonts w:ascii="Arial" w:hAnsi="Arial" w:cs="Arial"/>
          <w:b/>
          <w:sz w:val="24"/>
          <w:szCs w:val="24"/>
        </w:rPr>
        <w:t>The Local Government Pension Committee</w:t>
      </w:r>
    </w:p>
    <w:p w14:paraId="38EAE37A"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National Website: </w:t>
      </w:r>
      <w:hyperlink r:id="rId63" w:history="1">
        <w:r w:rsidRPr="002E00C4">
          <w:rPr>
            <w:rStyle w:val="Hyperlink"/>
            <w:rFonts w:ascii="Arial" w:hAnsi="Arial" w:cs="Arial"/>
            <w:sz w:val="24"/>
            <w:szCs w:val="24"/>
          </w:rPr>
          <w:t>www.lgps.org.uk</w:t>
        </w:r>
      </w:hyperlink>
    </w:p>
    <w:p w14:paraId="26259078"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lastRenderedPageBreak/>
        <w:t>Whilst the website is intended primarily as a means of external communication, access is helpful to staff.</w:t>
      </w:r>
    </w:p>
    <w:p w14:paraId="0A241A92" w14:textId="77777777" w:rsidR="002E00C4" w:rsidRPr="002E00C4" w:rsidRDefault="002E00C4" w:rsidP="002E00C4">
      <w:pPr>
        <w:spacing w:before="60" w:after="60"/>
        <w:ind w:right="-28"/>
        <w:jc w:val="both"/>
        <w:rPr>
          <w:rFonts w:ascii="Arial" w:hAnsi="Arial" w:cs="Arial"/>
          <w:sz w:val="24"/>
          <w:szCs w:val="24"/>
        </w:rPr>
      </w:pPr>
    </w:p>
    <w:p w14:paraId="261C17C0" w14:textId="77777777" w:rsidR="002E00C4" w:rsidRPr="002E00C4" w:rsidRDefault="002E00C4" w:rsidP="002E00C4">
      <w:pPr>
        <w:spacing w:before="60" w:after="60"/>
        <w:ind w:right="907"/>
        <w:jc w:val="both"/>
        <w:rPr>
          <w:rFonts w:ascii="Arial" w:hAnsi="Arial" w:cs="Arial"/>
          <w:b/>
          <w:sz w:val="24"/>
          <w:szCs w:val="24"/>
        </w:rPr>
      </w:pPr>
      <w:r w:rsidRPr="002E00C4">
        <w:rPr>
          <w:rFonts w:ascii="Arial" w:hAnsi="Arial" w:cs="Arial"/>
          <w:b/>
          <w:sz w:val="24"/>
          <w:szCs w:val="24"/>
        </w:rPr>
        <w:t>Seminars/Webinars</w:t>
      </w:r>
    </w:p>
    <w:p w14:paraId="1EC7E9E2" w14:textId="77777777" w:rsidR="002E00C4" w:rsidRPr="002E00C4" w:rsidRDefault="002E00C4" w:rsidP="002E00C4">
      <w:pPr>
        <w:spacing w:before="60" w:after="60"/>
        <w:ind w:right="-85"/>
        <w:jc w:val="both"/>
        <w:rPr>
          <w:rFonts w:ascii="Arial" w:hAnsi="Arial" w:cs="Arial"/>
          <w:sz w:val="24"/>
          <w:szCs w:val="24"/>
        </w:rPr>
      </w:pPr>
      <w:r w:rsidRPr="002E00C4">
        <w:rPr>
          <w:rFonts w:ascii="Arial" w:hAnsi="Arial" w:cs="Arial"/>
          <w:sz w:val="24"/>
          <w:szCs w:val="24"/>
        </w:rPr>
        <w:t>Fund Officers regularly attend seminars and conferences held by associated bodies to obtain regulatory information and to further their knowledge and understanding.</w:t>
      </w:r>
    </w:p>
    <w:p w14:paraId="7664415D" w14:textId="77777777" w:rsidR="002E00C4" w:rsidRPr="002E00C4" w:rsidRDefault="002E00C4" w:rsidP="002E00C4">
      <w:pPr>
        <w:spacing w:before="60" w:after="60"/>
        <w:ind w:right="907"/>
        <w:jc w:val="both"/>
        <w:rPr>
          <w:rFonts w:ascii="Arial" w:hAnsi="Arial" w:cs="Arial"/>
          <w:sz w:val="24"/>
          <w:szCs w:val="24"/>
        </w:rPr>
      </w:pPr>
    </w:p>
    <w:p w14:paraId="7F2C8AD0" w14:textId="77777777" w:rsidR="002E00C4" w:rsidRPr="002E00C4" w:rsidRDefault="002E00C4" w:rsidP="002E00C4">
      <w:pPr>
        <w:spacing w:before="60" w:after="60"/>
        <w:ind w:right="907"/>
        <w:jc w:val="both"/>
        <w:rPr>
          <w:rFonts w:ascii="Arial" w:hAnsi="Arial" w:cs="Arial"/>
          <w:sz w:val="24"/>
          <w:szCs w:val="24"/>
        </w:rPr>
      </w:pPr>
      <w:r w:rsidRPr="002E00C4">
        <w:rPr>
          <w:rFonts w:ascii="Arial" w:hAnsi="Arial" w:cs="Arial"/>
          <w:sz w:val="24"/>
          <w:szCs w:val="24"/>
        </w:rPr>
        <w:t>This information is later cascaded to all staff so that service delivery is improved.</w:t>
      </w:r>
    </w:p>
    <w:p w14:paraId="6AD63B7B" w14:textId="77777777" w:rsidR="002E00C4" w:rsidRPr="002E00C4" w:rsidRDefault="002E00C4" w:rsidP="002E00C4">
      <w:pPr>
        <w:spacing w:before="60" w:after="60"/>
        <w:ind w:right="907"/>
        <w:jc w:val="both"/>
        <w:rPr>
          <w:rFonts w:ascii="Arial" w:hAnsi="Arial" w:cs="Arial"/>
          <w:b/>
          <w:sz w:val="24"/>
          <w:szCs w:val="24"/>
        </w:rPr>
      </w:pPr>
      <w:r w:rsidRPr="002E00C4">
        <w:rPr>
          <w:rFonts w:ascii="Arial" w:hAnsi="Arial" w:cs="Arial"/>
          <w:sz w:val="24"/>
          <w:szCs w:val="24"/>
        </w:rPr>
        <w:br w:type="page"/>
      </w:r>
      <w:r w:rsidRPr="002E00C4">
        <w:rPr>
          <w:rFonts w:ascii="Arial" w:hAnsi="Arial" w:cs="Arial"/>
          <w:b/>
          <w:sz w:val="24"/>
          <w:szCs w:val="24"/>
        </w:rPr>
        <w:lastRenderedPageBreak/>
        <w:t>Data Protection</w:t>
      </w:r>
    </w:p>
    <w:p w14:paraId="37B4C982" w14:textId="77777777" w:rsidR="002E00C4" w:rsidRPr="002E00C4" w:rsidRDefault="002E00C4" w:rsidP="002E00C4">
      <w:pPr>
        <w:spacing w:before="60" w:after="60"/>
        <w:ind w:right="-85"/>
        <w:jc w:val="both"/>
        <w:rPr>
          <w:rFonts w:ascii="Arial" w:hAnsi="Arial" w:cs="Arial"/>
          <w:sz w:val="24"/>
          <w:szCs w:val="24"/>
        </w:rPr>
      </w:pPr>
      <w:r w:rsidRPr="002E00C4">
        <w:rPr>
          <w:rFonts w:ascii="Arial" w:hAnsi="Arial" w:cs="Arial"/>
          <w:sz w:val="24"/>
          <w:szCs w:val="24"/>
        </w:rPr>
        <w:t xml:space="preserve">To protect any personal information held on computer, the City and County of Swansea Pension Fund, as administered by Swansea Council (the Administering Authority), </w:t>
      </w:r>
      <w:r w:rsidRPr="002E00C4">
        <w:rPr>
          <w:rStyle w:val="tgc"/>
          <w:rFonts w:ascii="Arial" w:hAnsi="Arial" w:cs="Arial"/>
          <w:sz w:val="24"/>
          <w:szCs w:val="24"/>
        </w:rPr>
        <w:t>has adhered to the data protection principles in accord with the Data Protection Act 1998</w:t>
      </w:r>
    </w:p>
    <w:p w14:paraId="2DA34264" w14:textId="77777777" w:rsidR="002E00C4" w:rsidRPr="002E00C4" w:rsidRDefault="002E00C4" w:rsidP="002E00C4">
      <w:pPr>
        <w:spacing w:before="60" w:after="60"/>
        <w:ind w:right="-85"/>
        <w:jc w:val="both"/>
        <w:rPr>
          <w:rFonts w:ascii="Arial" w:hAnsi="Arial" w:cs="Arial"/>
          <w:sz w:val="24"/>
          <w:szCs w:val="24"/>
        </w:rPr>
      </w:pPr>
    </w:p>
    <w:p w14:paraId="6B36B8B6" w14:textId="77777777" w:rsidR="002E00C4" w:rsidRPr="002E00C4" w:rsidRDefault="002E00C4" w:rsidP="002E00C4">
      <w:pPr>
        <w:spacing w:before="60" w:after="60"/>
        <w:ind w:right="-85"/>
        <w:jc w:val="both"/>
        <w:rPr>
          <w:rFonts w:ascii="Arial" w:hAnsi="Arial" w:cs="Arial"/>
          <w:sz w:val="24"/>
          <w:szCs w:val="24"/>
        </w:rPr>
      </w:pPr>
      <w:r w:rsidRPr="002E00C4">
        <w:rPr>
          <w:rFonts w:ascii="Arial" w:hAnsi="Arial" w:cs="Arial"/>
          <w:sz w:val="24"/>
          <w:szCs w:val="24"/>
        </w:rPr>
        <w:t xml:space="preserve">The General Data Protection Regulation (GDPR) is a new set of European Union (EU) Regulations, which came into force on 25 May 2018. The Regulation changed how organisations process and handle data, with the key aim of giving greater protection and rights to individuals.  Please refer to the City and County of Swansea Pension Fund website </w:t>
      </w:r>
      <w:hyperlink r:id="rId64" w:history="1">
        <w:r w:rsidRPr="002E00C4">
          <w:rPr>
            <w:rStyle w:val="Hyperlink"/>
            <w:rFonts w:ascii="Arial" w:hAnsi="Arial" w:cs="Arial"/>
            <w:sz w:val="24"/>
            <w:szCs w:val="24"/>
          </w:rPr>
          <w:t>www.swanseapensionfund.org.uk</w:t>
        </w:r>
      </w:hyperlink>
      <w:r w:rsidRPr="002E00C4">
        <w:rPr>
          <w:rFonts w:ascii="Arial" w:hAnsi="Arial" w:cs="Arial"/>
          <w:sz w:val="24"/>
          <w:szCs w:val="24"/>
        </w:rPr>
        <w:t xml:space="preserve"> to view the Funds Privacy Notice.  </w:t>
      </w:r>
      <w:r w:rsidRPr="002E00C4">
        <w:rPr>
          <w:rFonts w:ascii="Arial" w:hAnsi="Arial" w:cs="Arial"/>
          <w:sz w:val="24"/>
          <w:szCs w:val="24"/>
          <w:lang w:val="en-US"/>
        </w:rPr>
        <w:t xml:space="preserve">The notice is designed to give you information about the data we hold about you, how we use it, your rights in relation to it and the safeguards that are in place to protect it.   </w:t>
      </w:r>
    </w:p>
    <w:p w14:paraId="2D591BC6" w14:textId="77777777" w:rsidR="002E00C4" w:rsidRPr="002E00C4" w:rsidRDefault="002E00C4" w:rsidP="002E00C4">
      <w:pPr>
        <w:spacing w:before="60" w:after="60"/>
        <w:ind w:right="-85"/>
        <w:jc w:val="both"/>
        <w:rPr>
          <w:rFonts w:ascii="Arial" w:hAnsi="Arial" w:cs="Arial"/>
          <w:sz w:val="24"/>
          <w:szCs w:val="24"/>
        </w:rPr>
      </w:pPr>
    </w:p>
    <w:p w14:paraId="4E8B45EF" w14:textId="77777777" w:rsidR="002E00C4" w:rsidRPr="002E00C4" w:rsidRDefault="002E00C4" w:rsidP="002E00C4">
      <w:pPr>
        <w:spacing w:before="60" w:after="60"/>
        <w:ind w:right="-85"/>
        <w:jc w:val="both"/>
        <w:rPr>
          <w:rFonts w:ascii="Arial" w:hAnsi="Arial" w:cs="Arial"/>
          <w:sz w:val="24"/>
          <w:szCs w:val="24"/>
        </w:rPr>
      </w:pPr>
      <w:r w:rsidRPr="002E00C4">
        <w:rPr>
          <w:rFonts w:ascii="Arial" w:hAnsi="Arial" w:cs="Arial"/>
          <w:sz w:val="24"/>
          <w:szCs w:val="24"/>
        </w:rPr>
        <w:t>Staff members receive online training in Data Protection every two years.</w:t>
      </w:r>
    </w:p>
    <w:p w14:paraId="5006B4D8" w14:textId="77777777" w:rsidR="002E00C4" w:rsidRPr="002E00C4" w:rsidRDefault="002E00C4" w:rsidP="002E00C4">
      <w:pPr>
        <w:spacing w:before="60" w:after="60"/>
        <w:ind w:right="-85"/>
        <w:jc w:val="both"/>
        <w:rPr>
          <w:rFonts w:ascii="Arial" w:hAnsi="Arial" w:cs="Arial"/>
          <w:sz w:val="24"/>
          <w:szCs w:val="24"/>
        </w:rPr>
      </w:pPr>
    </w:p>
    <w:p w14:paraId="2C54A633" w14:textId="77777777" w:rsidR="002E00C4" w:rsidRPr="002E00C4" w:rsidRDefault="002E00C4" w:rsidP="002E00C4">
      <w:pPr>
        <w:spacing w:before="60" w:after="60"/>
        <w:ind w:right="-85"/>
        <w:jc w:val="both"/>
        <w:rPr>
          <w:rFonts w:ascii="Arial" w:hAnsi="Arial" w:cs="Arial"/>
          <w:b/>
          <w:sz w:val="24"/>
          <w:szCs w:val="24"/>
        </w:rPr>
      </w:pPr>
      <w:r w:rsidRPr="002E00C4">
        <w:rPr>
          <w:rFonts w:ascii="Arial" w:hAnsi="Arial" w:cs="Arial"/>
          <w:b/>
          <w:sz w:val="24"/>
          <w:szCs w:val="24"/>
        </w:rPr>
        <w:t>Freedom of Information Act 2000</w:t>
      </w:r>
    </w:p>
    <w:p w14:paraId="4678C34D" w14:textId="77777777" w:rsidR="002E00C4" w:rsidRPr="002E00C4" w:rsidRDefault="002E00C4" w:rsidP="002E00C4">
      <w:pPr>
        <w:spacing w:before="60" w:after="60"/>
        <w:ind w:right="-85"/>
        <w:jc w:val="both"/>
        <w:rPr>
          <w:rFonts w:ascii="Arial" w:hAnsi="Arial" w:cs="Arial"/>
          <w:sz w:val="24"/>
          <w:szCs w:val="24"/>
        </w:rPr>
      </w:pPr>
      <w:r w:rsidRPr="002E00C4">
        <w:rPr>
          <w:rFonts w:ascii="Arial" w:hAnsi="Arial" w:cs="Arial"/>
          <w:sz w:val="24"/>
          <w:szCs w:val="24"/>
        </w:rPr>
        <w:t>The City and County of Swansea Pension Fund complies with the above Act and subsequent policy adopted by Swansea Council.</w:t>
      </w:r>
    </w:p>
    <w:p w14:paraId="21E93379" w14:textId="77777777" w:rsidR="002E00C4" w:rsidRPr="002E00C4" w:rsidRDefault="002E00C4" w:rsidP="002E00C4">
      <w:pPr>
        <w:spacing w:before="60" w:after="60"/>
        <w:ind w:right="907"/>
        <w:jc w:val="both"/>
        <w:rPr>
          <w:rFonts w:ascii="Arial" w:hAnsi="Arial" w:cs="Arial"/>
          <w:sz w:val="24"/>
          <w:szCs w:val="24"/>
        </w:rPr>
      </w:pPr>
    </w:p>
    <w:p w14:paraId="0A685BE9" w14:textId="77777777" w:rsidR="002E00C4" w:rsidRPr="002E00C4" w:rsidRDefault="002E00C4" w:rsidP="002E00C4">
      <w:pPr>
        <w:spacing w:before="60" w:after="60"/>
        <w:ind w:right="-85"/>
        <w:jc w:val="both"/>
        <w:rPr>
          <w:rFonts w:ascii="Arial" w:hAnsi="Arial" w:cs="Arial"/>
          <w:b/>
          <w:sz w:val="24"/>
          <w:szCs w:val="24"/>
        </w:rPr>
      </w:pPr>
      <w:r w:rsidRPr="002E00C4">
        <w:rPr>
          <w:rFonts w:ascii="Arial" w:hAnsi="Arial" w:cs="Arial"/>
          <w:b/>
          <w:sz w:val="24"/>
          <w:szCs w:val="24"/>
        </w:rPr>
        <w:t>National Fraud Initiative (NFI)</w:t>
      </w:r>
    </w:p>
    <w:p w14:paraId="609AC0E6" w14:textId="77777777" w:rsidR="002E00C4" w:rsidRPr="002E00C4" w:rsidRDefault="002E00C4" w:rsidP="002E00C4">
      <w:pPr>
        <w:spacing w:before="60" w:after="60"/>
        <w:ind w:right="-85"/>
        <w:jc w:val="both"/>
        <w:rPr>
          <w:rFonts w:ascii="Arial" w:hAnsi="Arial" w:cs="Arial"/>
          <w:sz w:val="24"/>
          <w:szCs w:val="24"/>
        </w:rPr>
      </w:pPr>
      <w:r w:rsidRPr="002E00C4">
        <w:rPr>
          <w:rFonts w:ascii="Arial" w:hAnsi="Arial" w:cs="Arial"/>
          <w:sz w:val="24"/>
          <w:szCs w:val="24"/>
        </w:rPr>
        <w:t>This authority is under a duty to protect the public funds it administers, and to this end may use information for the prevention and detection of fraud.  It may also share this information with other bodies administering public funds solely for these purposes.</w:t>
      </w:r>
    </w:p>
    <w:p w14:paraId="2BE72DCB" w14:textId="77777777" w:rsidR="002E00C4" w:rsidRPr="002E00C4" w:rsidRDefault="002E00C4" w:rsidP="002E00C4">
      <w:pPr>
        <w:spacing w:before="60" w:after="60"/>
        <w:ind w:right="907"/>
        <w:jc w:val="both"/>
        <w:rPr>
          <w:rFonts w:ascii="Arial" w:hAnsi="Arial" w:cs="Arial"/>
          <w:b/>
          <w:sz w:val="24"/>
          <w:szCs w:val="24"/>
        </w:rPr>
      </w:pPr>
    </w:p>
    <w:p w14:paraId="5ED49059" w14:textId="77777777" w:rsidR="002E00C4" w:rsidRPr="002E00C4" w:rsidRDefault="002E00C4" w:rsidP="002E00C4">
      <w:pPr>
        <w:spacing w:before="60" w:after="60"/>
        <w:ind w:right="-85"/>
        <w:jc w:val="both"/>
        <w:rPr>
          <w:rFonts w:ascii="Arial" w:hAnsi="Arial" w:cs="Arial"/>
          <w:b/>
          <w:sz w:val="24"/>
          <w:szCs w:val="24"/>
        </w:rPr>
      </w:pPr>
      <w:r w:rsidRPr="002E00C4">
        <w:rPr>
          <w:rFonts w:ascii="Arial" w:hAnsi="Arial" w:cs="Arial"/>
          <w:b/>
          <w:sz w:val="24"/>
          <w:szCs w:val="24"/>
        </w:rPr>
        <w:t>General</w:t>
      </w:r>
    </w:p>
    <w:p w14:paraId="1BB28ABD" w14:textId="77777777" w:rsidR="002E00C4" w:rsidRPr="002E00C4" w:rsidRDefault="002E00C4" w:rsidP="002E00C4">
      <w:pPr>
        <w:spacing w:before="60" w:after="60"/>
        <w:ind w:right="-85"/>
        <w:jc w:val="both"/>
        <w:rPr>
          <w:rFonts w:ascii="Arial" w:hAnsi="Arial" w:cs="Arial"/>
          <w:sz w:val="24"/>
          <w:szCs w:val="24"/>
        </w:rPr>
      </w:pPr>
      <w:r w:rsidRPr="002E00C4">
        <w:rPr>
          <w:rFonts w:ascii="Arial" w:hAnsi="Arial" w:cs="Arial"/>
          <w:sz w:val="24"/>
          <w:szCs w:val="24"/>
        </w:rPr>
        <w:t>While this Policy Statement outlines the communication approaches adopted by the City and County of Swansea Pension Fund, there are roles and responsibilities, which fall on Scheme members and participating Scheme Employers in ensuring that information necessary to maintain an accurate membership base is provided in a timely manner.</w:t>
      </w:r>
    </w:p>
    <w:p w14:paraId="2B81376C" w14:textId="77777777" w:rsidR="002E00C4" w:rsidRPr="002E00C4" w:rsidRDefault="002E00C4" w:rsidP="002E00C4">
      <w:pPr>
        <w:spacing w:before="60" w:after="60"/>
        <w:ind w:right="907"/>
        <w:jc w:val="both"/>
        <w:rPr>
          <w:rFonts w:ascii="Arial" w:hAnsi="Arial" w:cs="Arial"/>
          <w:b/>
          <w:sz w:val="24"/>
          <w:szCs w:val="24"/>
        </w:rPr>
      </w:pPr>
    </w:p>
    <w:p w14:paraId="1737FE02" w14:textId="77777777" w:rsidR="002E00C4" w:rsidRPr="002E00C4" w:rsidRDefault="002E00C4" w:rsidP="002E00C4">
      <w:pPr>
        <w:spacing w:before="60" w:after="60"/>
        <w:ind w:right="-85"/>
        <w:jc w:val="both"/>
        <w:rPr>
          <w:rFonts w:ascii="Arial" w:hAnsi="Arial" w:cs="Arial"/>
          <w:b/>
          <w:sz w:val="24"/>
          <w:szCs w:val="24"/>
        </w:rPr>
      </w:pPr>
      <w:r w:rsidRPr="002E00C4">
        <w:rPr>
          <w:rFonts w:ascii="Arial" w:hAnsi="Arial" w:cs="Arial"/>
          <w:b/>
          <w:sz w:val="24"/>
          <w:szCs w:val="24"/>
        </w:rPr>
        <w:t>Policy Review</w:t>
      </w:r>
    </w:p>
    <w:p w14:paraId="5A18490C" w14:textId="77777777" w:rsidR="002E00C4" w:rsidRPr="002E00C4" w:rsidRDefault="002E00C4" w:rsidP="002E00C4">
      <w:pPr>
        <w:spacing w:before="60" w:after="60"/>
        <w:ind w:right="-85"/>
        <w:jc w:val="both"/>
        <w:rPr>
          <w:rFonts w:ascii="Arial" w:hAnsi="Arial" w:cs="Arial"/>
          <w:sz w:val="24"/>
          <w:szCs w:val="24"/>
        </w:rPr>
      </w:pPr>
      <w:r w:rsidRPr="002E00C4">
        <w:rPr>
          <w:rFonts w:ascii="Arial" w:hAnsi="Arial" w:cs="Arial"/>
          <w:sz w:val="24"/>
          <w:szCs w:val="24"/>
        </w:rPr>
        <w:t>This statement will be revised if there is any material change in the City and County of Swansea Pension Fund’s Communication Policy but will be reviewed no less frequently than an annual basis.</w:t>
      </w:r>
    </w:p>
    <w:p w14:paraId="70B745A5" w14:textId="77777777" w:rsidR="002E00C4" w:rsidRPr="002E00C4" w:rsidRDefault="002E00C4" w:rsidP="002E00C4">
      <w:pPr>
        <w:spacing w:before="60" w:after="60"/>
        <w:ind w:right="907"/>
        <w:jc w:val="both"/>
        <w:rPr>
          <w:rFonts w:ascii="Arial" w:hAnsi="Arial" w:cs="Arial"/>
          <w:sz w:val="24"/>
          <w:szCs w:val="24"/>
        </w:rPr>
      </w:pPr>
    </w:p>
    <w:p w14:paraId="41F7C78C" w14:textId="77777777" w:rsidR="00F400D2" w:rsidRDefault="00F400D2" w:rsidP="002E00C4">
      <w:pPr>
        <w:spacing w:before="60" w:after="60"/>
        <w:ind w:right="907"/>
        <w:jc w:val="both"/>
        <w:rPr>
          <w:rFonts w:ascii="Arial" w:hAnsi="Arial" w:cs="Arial"/>
          <w:b/>
          <w:sz w:val="24"/>
          <w:szCs w:val="24"/>
        </w:rPr>
      </w:pPr>
    </w:p>
    <w:p w14:paraId="59AF2265" w14:textId="77777777" w:rsidR="00F400D2" w:rsidRDefault="00F400D2" w:rsidP="002E00C4">
      <w:pPr>
        <w:spacing w:before="60" w:after="60"/>
        <w:ind w:right="907"/>
        <w:jc w:val="both"/>
        <w:rPr>
          <w:rFonts w:ascii="Arial" w:hAnsi="Arial" w:cs="Arial"/>
          <w:b/>
          <w:sz w:val="24"/>
          <w:szCs w:val="24"/>
        </w:rPr>
      </w:pPr>
    </w:p>
    <w:p w14:paraId="2EC7630B" w14:textId="77777777" w:rsidR="002E00C4" w:rsidRPr="002E00C4" w:rsidRDefault="002E00C4" w:rsidP="002E00C4">
      <w:pPr>
        <w:spacing w:before="60" w:after="60"/>
        <w:ind w:right="907"/>
        <w:jc w:val="both"/>
        <w:rPr>
          <w:rFonts w:ascii="Arial" w:hAnsi="Arial" w:cs="Arial"/>
          <w:b/>
          <w:sz w:val="24"/>
          <w:szCs w:val="24"/>
        </w:rPr>
      </w:pPr>
      <w:r w:rsidRPr="002E00C4">
        <w:rPr>
          <w:rFonts w:ascii="Arial" w:hAnsi="Arial" w:cs="Arial"/>
          <w:b/>
          <w:sz w:val="24"/>
          <w:szCs w:val="24"/>
        </w:rPr>
        <w:lastRenderedPageBreak/>
        <w:t>LGPS National Insurance Database</w:t>
      </w:r>
    </w:p>
    <w:p w14:paraId="322F7B7B" w14:textId="77777777" w:rsidR="002E00C4" w:rsidRPr="002E00C4" w:rsidRDefault="002E00C4" w:rsidP="002E00C4">
      <w:pPr>
        <w:spacing w:before="60" w:after="60"/>
        <w:ind w:right="-85"/>
        <w:jc w:val="both"/>
        <w:rPr>
          <w:rFonts w:ascii="Arial" w:hAnsi="Arial" w:cs="Arial"/>
          <w:sz w:val="24"/>
          <w:szCs w:val="24"/>
        </w:rPr>
      </w:pPr>
      <w:r w:rsidRPr="002E00C4">
        <w:rPr>
          <w:rFonts w:ascii="Arial" w:hAnsi="Arial" w:cs="Arial"/>
          <w:sz w:val="24"/>
          <w:szCs w:val="24"/>
        </w:rPr>
        <w:t xml:space="preserve">The City and County of Swansea Pension Fund participates in the LGPS National Insurance (NI) Database (‘the database’).  The database has been developed in order that LGPS Administering Authorities can share data to prevent the duplicate payment of death grants.  This follows changes to Scheme Regulations by virtue of which a deceased member with multiple periods of LGPS membership will in most cases only have one death grant payable.  </w:t>
      </w:r>
    </w:p>
    <w:p w14:paraId="62A0F965" w14:textId="77777777" w:rsidR="002E00C4" w:rsidRPr="002E00C4" w:rsidRDefault="002E00C4" w:rsidP="002E00C4">
      <w:pPr>
        <w:spacing w:before="60" w:after="60"/>
        <w:ind w:right="907"/>
        <w:jc w:val="both"/>
        <w:rPr>
          <w:rFonts w:ascii="Arial" w:hAnsi="Arial" w:cs="Arial"/>
          <w:b/>
          <w:sz w:val="24"/>
          <w:szCs w:val="24"/>
          <w:u w:val="single"/>
        </w:rPr>
      </w:pPr>
      <w:r w:rsidRPr="002E00C4">
        <w:rPr>
          <w:rFonts w:ascii="Arial" w:hAnsi="Arial" w:cs="Arial"/>
          <w:b/>
          <w:sz w:val="24"/>
          <w:szCs w:val="24"/>
          <w:u w:val="single"/>
        </w:rPr>
        <w:br w:type="page"/>
      </w:r>
      <w:r w:rsidRPr="002E00C4">
        <w:rPr>
          <w:rFonts w:ascii="Arial" w:hAnsi="Arial" w:cs="Arial"/>
          <w:b/>
          <w:sz w:val="24"/>
          <w:szCs w:val="24"/>
          <w:u w:val="single"/>
        </w:rPr>
        <w:lastRenderedPageBreak/>
        <w:t>Fund Publications - publication frequency &amp; review periods</w:t>
      </w:r>
    </w:p>
    <w:p w14:paraId="548C7E1E" w14:textId="77777777" w:rsidR="002E00C4" w:rsidRPr="002E00C4" w:rsidRDefault="002E00C4" w:rsidP="002E00C4">
      <w:pPr>
        <w:spacing w:before="60" w:after="60"/>
        <w:ind w:right="907"/>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3067"/>
        <w:gridCol w:w="2231"/>
      </w:tblGrid>
      <w:tr w:rsidR="002E00C4" w:rsidRPr="002E00C4" w14:paraId="37380CB9"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2CCF2A5A" w14:textId="77777777" w:rsidR="002E00C4" w:rsidRPr="002E00C4" w:rsidRDefault="002E00C4">
            <w:pPr>
              <w:jc w:val="both"/>
              <w:rPr>
                <w:rFonts w:ascii="Arial" w:hAnsi="Arial" w:cs="Arial"/>
                <w:b/>
                <w:sz w:val="24"/>
                <w:szCs w:val="24"/>
              </w:rPr>
            </w:pPr>
            <w:r w:rsidRPr="002E00C4">
              <w:rPr>
                <w:rFonts w:ascii="Arial" w:hAnsi="Arial" w:cs="Arial"/>
                <w:b/>
                <w:sz w:val="24"/>
                <w:szCs w:val="24"/>
              </w:rPr>
              <w:t>Communication Material</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2298964A" w14:textId="77777777" w:rsidR="002E00C4" w:rsidRPr="002E00C4" w:rsidRDefault="002E00C4">
            <w:pPr>
              <w:spacing w:before="60" w:after="60"/>
              <w:ind w:right="907"/>
              <w:jc w:val="both"/>
              <w:rPr>
                <w:rFonts w:ascii="Arial" w:hAnsi="Arial" w:cs="Arial"/>
                <w:b/>
                <w:sz w:val="24"/>
                <w:szCs w:val="24"/>
              </w:rPr>
            </w:pPr>
            <w:r w:rsidRPr="002E00C4">
              <w:rPr>
                <w:rFonts w:ascii="Arial" w:hAnsi="Arial" w:cs="Arial"/>
                <w:b/>
                <w:sz w:val="24"/>
                <w:szCs w:val="24"/>
              </w:rPr>
              <w:t>When Published</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52CA5552" w14:textId="77777777" w:rsidR="002E00C4" w:rsidRPr="002E00C4" w:rsidRDefault="002E00C4">
            <w:pPr>
              <w:spacing w:before="60" w:after="60"/>
              <w:ind w:right="907"/>
              <w:jc w:val="both"/>
              <w:rPr>
                <w:rFonts w:ascii="Arial" w:hAnsi="Arial" w:cs="Arial"/>
                <w:b/>
                <w:sz w:val="24"/>
                <w:szCs w:val="24"/>
              </w:rPr>
            </w:pPr>
            <w:r w:rsidRPr="002E00C4">
              <w:rPr>
                <w:rFonts w:ascii="Arial" w:hAnsi="Arial" w:cs="Arial"/>
                <w:b/>
                <w:sz w:val="24"/>
                <w:szCs w:val="24"/>
              </w:rPr>
              <w:t>When Reviewed</w:t>
            </w:r>
          </w:p>
        </w:tc>
      </w:tr>
      <w:tr w:rsidR="002E00C4" w:rsidRPr="002E00C4" w14:paraId="076A98DD"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7C4CD831"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Scheme Booklet</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2B0EB87A"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Constantly Available</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6EC7F0B7" w14:textId="77777777" w:rsidR="002E00C4" w:rsidRPr="002E00C4" w:rsidRDefault="002E00C4">
            <w:pPr>
              <w:spacing w:before="60" w:after="60"/>
              <w:jc w:val="both"/>
              <w:rPr>
                <w:rFonts w:ascii="Arial" w:hAnsi="Arial" w:cs="Arial"/>
                <w:sz w:val="24"/>
                <w:szCs w:val="24"/>
              </w:rPr>
            </w:pPr>
            <w:r w:rsidRPr="002E00C4">
              <w:rPr>
                <w:rFonts w:ascii="Arial" w:hAnsi="Arial" w:cs="Arial"/>
                <w:sz w:val="24"/>
                <w:szCs w:val="24"/>
              </w:rPr>
              <w:t>annually</w:t>
            </w:r>
          </w:p>
        </w:tc>
      </w:tr>
      <w:tr w:rsidR="002E00C4" w:rsidRPr="002E00C4" w14:paraId="16BDBAC1"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1F771DD8"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New Starter Pack</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37C0ACDA"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Constantly Available</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75B408AD" w14:textId="77777777" w:rsidR="002E00C4" w:rsidRPr="002E00C4" w:rsidRDefault="002E00C4">
            <w:pPr>
              <w:spacing w:before="60" w:after="60"/>
              <w:jc w:val="both"/>
              <w:rPr>
                <w:rFonts w:ascii="Arial" w:hAnsi="Arial" w:cs="Arial"/>
                <w:sz w:val="24"/>
                <w:szCs w:val="24"/>
              </w:rPr>
            </w:pPr>
            <w:r w:rsidRPr="002E00C4">
              <w:rPr>
                <w:rFonts w:ascii="Arial" w:hAnsi="Arial" w:cs="Arial"/>
                <w:sz w:val="24"/>
                <w:szCs w:val="24"/>
              </w:rPr>
              <w:t>As Required</w:t>
            </w:r>
          </w:p>
        </w:tc>
      </w:tr>
      <w:tr w:rsidR="002E00C4" w:rsidRPr="002E00C4" w14:paraId="5BA02ECB"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07B232CB"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Factsheets (various)</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5A533D75"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Constantly Available</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466995AF" w14:textId="77777777" w:rsidR="002E00C4" w:rsidRPr="002E00C4" w:rsidRDefault="002E00C4">
            <w:pPr>
              <w:spacing w:before="60" w:after="60"/>
              <w:jc w:val="both"/>
              <w:rPr>
                <w:rFonts w:ascii="Arial" w:hAnsi="Arial" w:cs="Arial"/>
                <w:sz w:val="24"/>
                <w:szCs w:val="24"/>
              </w:rPr>
            </w:pPr>
            <w:r w:rsidRPr="002E00C4">
              <w:rPr>
                <w:rFonts w:ascii="Arial" w:hAnsi="Arial" w:cs="Arial"/>
                <w:sz w:val="24"/>
                <w:szCs w:val="24"/>
              </w:rPr>
              <w:t>As Required</w:t>
            </w:r>
          </w:p>
        </w:tc>
      </w:tr>
      <w:tr w:rsidR="002E00C4" w:rsidRPr="002E00C4" w14:paraId="2456A6A4"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2B3001E1"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Retirement Guide</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6BC4F04C"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Constantly Available</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7D439276" w14:textId="77777777" w:rsidR="002E00C4" w:rsidRPr="002E00C4" w:rsidRDefault="002E00C4">
            <w:pPr>
              <w:spacing w:before="60" w:after="60"/>
              <w:jc w:val="both"/>
              <w:rPr>
                <w:rFonts w:ascii="Arial" w:hAnsi="Arial" w:cs="Arial"/>
                <w:sz w:val="24"/>
                <w:szCs w:val="24"/>
              </w:rPr>
            </w:pPr>
            <w:r w:rsidRPr="002E00C4">
              <w:rPr>
                <w:rFonts w:ascii="Arial" w:hAnsi="Arial" w:cs="Arial"/>
                <w:sz w:val="24"/>
                <w:szCs w:val="24"/>
              </w:rPr>
              <w:t>As Required</w:t>
            </w:r>
          </w:p>
        </w:tc>
      </w:tr>
      <w:tr w:rsidR="002E00C4" w:rsidRPr="002E00C4" w14:paraId="2F94FFD3"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2B43991A"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Newsletter</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5B5544C6"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As required</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713C40F6" w14:textId="77777777" w:rsidR="002E00C4" w:rsidRPr="002E00C4" w:rsidRDefault="002E00C4">
            <w:pPr>
              <w:spacing w:before="60" w:after="60"/>
              <w:jc w:val="both"/>
              <w:rPr>
                <w:rFonts w:ascii="Arial" w:hAnsi="Arial" w:cs="Arial"/>
                <w:sz w:val="24"/>
                <w:szCs w:val="24"/>
              </w:rPr>
            </w:pPr>
            <w:r w:rsidRPr="002E00C4">
              <w:rPr>
                <w:rFonts w:ascii="Arial" w:hAnsi="Arial" w:cs="Arial"/>
                <w:sz w:val="24"/>
                <w:szCs w:val="24"/>
              </w:rPr>
              <w:t>As Required</w:t>
            </w:r>
          </w:p>
        </w:tc>
      </w:tr>
      <w:tr w:rsidR="002E00C4" w:rsidRPr="002E00C4" w14:paraId="6261EACF"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02270F35"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Pension Newsletter</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2F7F17A8"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Annually</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39BB52BD" w14:textId="77777777" w:rsidR="002E00C4" w:rsidRPr="002E00C4" w:rsidRDefault="002E00C4">
            <w:pPr>
              <w:spacing w:before="60" w:after="60"/>
              <w:jc w:val="both"/>
              <w:rPr>
                <w:rFonts w:ascii="Arial" w:hAnsi="Arial" w:cs="Arial"/>
                <w:sz w:val="24"/>
                <w:szCs w:val="24"/>
              </w:rPr>
            </w:pPr>
            <w:r w:rsidRPr="002E00C4">
              <w:rPr>
                <w:rFonts w:ascii="Arial" w:hAnsi="Arial" w:cs="Arial"/>
                <w:sz w:val="24"/>
                <w:szCs w:val="24"/>
              </w:rPr>
              <w:t>Annually</w:t>
            </w:r>
          </w:p>
        </w:tc>
      </w:tr>
      <w:tr w:rsidR="002E00C4" w:rsidRPr="002E00C4" w14:paraId="6278CFA2"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6179F258"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Annual Benefit Statement</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1E53106F"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Annually</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73AA2C77" w14:textId="77777777" w:rsidR="002E00C4" w:rsidRPr="002E00C4" w:rsidRDefault="002E00C4">
            <w:pPr>
              <w:spacing w:before="60" w:after="60"/>
              <w:jc w:val="both"/>
              <w:rPr>
                <w:rFonts w:ascii="Arial" w:hAnsi="Arial" w:cs="Arial"/>
                <w:sz w:val="24"/>
                <w:szCs w:val="24"/>
              </w:rPr>
            </w:pPr>
            <w:r w:rsidRPr="002E00C4">
              <w:rPr>
                <w:rFonts w:ascii="Arial" w:hAnsi="Arial" w:cs="Arial"/>
                <w:sz w:val="24"/>
                <w:szCs w:val="24"/>
              </w:rPr>
              <w:t>Annually</w:t>
            </w:r>
          </w:p>
        </w:tc>
      </w:tr>
      <w:tr w:rsidR="002E00C4" w:rsidRPr="002E00C4" w14:paraId="52D312BD"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4FC2642D" w14:textId="77777777" w:rsidR="002E00C4" w:rsidRPr="002E00C4" w:rsidRDefault="002E00C4" w:rsidP="002E00C4">
            <w:pPr>
              <w:spacing w:before="60" w:after="60"/>
              <w:ind w:right="907"/>
              <w:rPr>
                <w:rFonts w:ascii="Arial" w:hAnsi="Arial" w:cs="Arial"/>
                <w:sz w:val="24"/>
                <w:szCs w:val="24"/>
              </w:rPr>
            </w:pPr>
            <w:r w:rsidRPr="002E00C4">
              <w:rPr>
                <w:rFonts w:ascii="Arial" w:hAnsi="Arial" w:cs="Arial"/>
                <w:sz w:val="24"/>
                <w:szCs w:val="24"/>
              </w:rPr>
              <w:t>Employer’s Guide</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6F89E285"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Constantly Available</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17C3EFCC" w14:textId="77777777" w:rsidR="002E00C4" w:rsidRPr="002E00C4" w:rsidRDefault="002E00C4">
            <w:pPr>
              <w:spacing w:before="60" w:after="60"/>
              <w:jc w:val="both"/>
              <w:rPr>
                <w:rFonts w:ascii="Arial" w:hAnsi="Arial" w:cs="Arial"/>
                <w:sz w:val="24"/>
                <w:szCs w:val="24"/>
              </w:rPr>
            </w:pPr>
            <w:r w:rsidRPr="002E00C4">
              <w:rPr>
                <w:rFonts w:ascii="Arial" w:hAnsi="Arial" w:cs="Arial"/>
                <w:sz w:val="24"/>
                <w:szCs w:val="24"/>
              </w:rPr>
              <w:t>Annually</w:t>
            </w:r>
          </w:p>
        </w:tc>
      </w:tr>
      <w:tr w:rsidR="002E00C4" w:rsidRPr="002E00C4" w14:paraId="164E1C61"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0682CE41" w14:textId="77777777" w:rsidR="002E00C4" w:rsidRPr="002E00C4" w:rsidRDefault="002E00C4">
            <w:pPr>
              <w:spacing w:before="60" w:after="60"/>
              <w:ind w:right="907"/>
              <w:rPr>
                <w:rFonts w:ascii="Arial" w:hAnsi="Arial" w:cs="Arial"/>
                <w:sz w:val="24"/>
                <w:szCs w:val="24"/>
              </w:rPr>
            </w:pPr>
            <w:r w:rsidRPr="002E00C4">
              <w:rPr>
                <w:rFonts w:ascii="Arial" w:hAnsi="Arial" w:cs="Arial"/>
                <w:sz w:val="24"/>
                <w:szCs w:val="24"/>
              </w:rPr>
              <w:t>Pension Administration Strategy</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632F552C"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Constantly Available</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29E376B7" w14:textId="77777777" w:rsidR="002E00C4" w:rsidRPr="002E00C4" w:rsidRDefault="002E00C4">
            <w:pPr>
              <w:spacing w:before="60" w:after="60"/>
              <w:jc w:val="both"/>
              <w:rPr>
                <w:rFonts w:ascii="Arial" w:hAnsi="Arial" w:cs="Arial"/>
                <w:sz w:val="24"/>
                <w:szCs w:val="24"/>
              </w:rPr>
            </w:pPr>
            <w:r w:rsidRPr="002E00C4">
              <w:rPr>
                <w:rFonts w:ascii="Arial" w:hAnsi="Arial" w:cs="Arial"/>
                <w:sz w:val="24"/>
                <w:szCs w:val="24"/>
              </w:rPr>
              <w:t>Annually</w:t>
            </w:r>
          </w:p>
        </w:tc>
      </w:tr>
      <w:tr w:rsidR="002E00C4" w:rsidRPr="002E00C4" w14:paraId="6B63C687"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4DA37D2B"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Customer Charter</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1405C2D9"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Constantly Available</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3C10CBB6" w14:textId="77777777" w:rsidR="002E00C4" w:rsidRPr="002E00C4" w:rsidRDefault="002E00C4">
            <w:pPr>
              <w:spacing w:before="60" w:after="60"/>
              <w:jc w:val="both"/>
              <w:rPr>
                <w:rFonts w:ascii="Arial" w:hAnsi="Arial" w:cs="Arial"/>
                <w:sz w:val="24"/>
                <w:szCs w:val="24"/>
              </w:rPr>
            </w:pPr>
            <w:r w:rsidRPr="002E00C4">
              <w:rPr>
                <w:rFonts w:ascii="Arial" w:hAnsi="Arial" w:cs="Arial"/>
                <w:sz w:val="24"/>
                <w:szCs w:val="24"/>
              </w:rPr>
              <w:t>Annually</w:t>
            </w:r>
          </w:p>
        </w:tc>
      </w:tr>
      <w:tr w:rsidR="002E00C4" w:rsidRPr="002E00C4" w14:paraId="5BE2854B"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6DC418D5"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Annual Report &amp; Accounts</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16F9A3E2"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Annually</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0210DC5D" w14:textId="77777777" w:rsidR="002E00C4" w:rsidRPr="002E00C4" w:rsidRDefault="002E00C4">
            <w:pPr>
              <w:spacing w:before="60" w:after="60"/>
              <w:jc w:val="both"/>
              <w:rPr>
                <w:rFonts w:ascii="Arial" w:hAnsi="Arial" w:cs="Arial"/>
                <w:sz w:val="24"/>
                <w:szCs w:val="24"/>
              </w:rPr>
            </w:pPr>
            <w:r w:rsidRPr="002E00C4">
              <w:rPr>
                <w:rFonts w:ascii="Arial" w:hAnsi="Arial" w:cs="Arial"/>
                <w:sz w:val="24"/>
                <w:szCs w:val="24"/>
              </w:rPr>
              <w:t>Annually</w:t>
            </w:r>
          </w:p>
        </w:tc>
      </w:tr>
      <w:tr w:rsidR="002E00C4" w:rsidRPr="002E00C4" w14:paraId="6AB051C0"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1C208038"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Valuation Report</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25E39307"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Tri-Annually</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268C2D3D" w14:textId="77777777" w:rsidR="002E00C4" w:rsidRPr="002E00C4" w:rsidRDefault="002E00C4">
            <w:pPr>
              <w:spacing w:before="60" w:after="60"/>
              <w:jc w:val="both"/>
              <w:rPr>
                <w:rFonts w:ascii="Arial" w:hAnsi="Arial" w:cs="Arial"/>
                <w:sz w:val="24"/>
                <w:szCs w:val="24"/>
              </w:rPr>
            </w:pPr>
            <w:r w:rsidRPr="002E00C4">
              <w:rPr>
                <w:rFonts w:ascii="Arial" w:hAnsi="Arial" w:cs="Arial"/>
                <w:sz w:val="24"/>
                <w:szCs w:val="24"/>
              </w:rPr>
              <w:t>Tri-Annually</w:t>
            </w:r>
          </w:p>
        </w:tc>
      </w:tr>
      <w:tr w:rsidR="002E00C4" w:rsidRPr="002E00C4" w14:paraId="3D5171DE"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093D35BA"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Funding Strategy Statement</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0C42E788" w14:textId="77777777" w:rsidR="002E00C4" w:rsidRPr="002E00C4" w:rsidRDefault="002E00C4">
            <w:pPr>
              <w:spacing w:before="60" w:after="60"/>
              <w:ind w:right="907"/>
              <w:jc w:val="both"/>
              <w:rPr>
                <w:rFonts w:ascii="Arial" w:hAnsi="Arial" w:cs="Arial"/>
                <w:sz w:val="24"/>
                <w:szCs w:val="24"/>
              </w:rPr>
            </w:pPr>
            <w:r w:rsidRPr="002E00C4">
              <w:rPr>
                <w:rFonts w:ascii="Arial" w:hAnsi="Arial" w:cs="Arial"/>
                <w:sz w:val="24"/>
                <w:szCs w:val="24"/>
              </w:rPr>
              <w:t>Tri-Annually</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7DB90067" w14:textId="77777777" w:rsidR="002E00C4" w:rsidRPr="002E00C4" w:rsidRDefault="002E00C4">
            <w:pPr>
              <w:spacing w:before="60" w:after="60"/>
              <w:jc w:val="both"/>
              <w:rPr>
                <w:rFonts w:ascii="Arial" w:hAnsi="Arial" w:cs="Arial"/>
                <w:sz w:val="24"/>
                <w:szCs w:val="24"/>
              </w:rPr>
            </w:pPr>
            <w:r w:rsidRPr="002E00C4">
              <w:rPr>
                <w:rFonts w:ascii="Arial" w:hAnsi="Arial" w:cs="Arial"/>
                <w:sz w:val="24"/>
                <w:szCs w:val="24"/>
              </w:rPr>
              <w:t>As Required</w:t>
            </w:r>
          </w:p>
        </w:tc>
      </w:tr>
    </w:tbl>
    <w:p w14:paraId="788A34A0" w14:textId="77777777" w:rsidR="002E00C4" w:rsidRPr="002E00C4" w:rsidRDefault="002E00C4" w:rsidP="002E00C4">
      <w:pPr>
        <w:spacing w:before="60" w:after="60"/>
        <w:ind w:right="907"/>
        <w:jc w:val="both"/>
        <w:rPr>
          <w:rFonts w:ascii="Arial" w:hAnsi="Arial" w:cs="Arial"/>
          <w:sz w:val="24"/>
          <w:szCs w:val="24"/>
        </w:rPr>
      </w:pPr>
    </w:p>
    <w:p w14:paraId="6911DC4D" w14:textId="77777777" w:rsidR="002E00C4" w:rsidRPr="002E00C4" w:rsidRDefault="002E00C4" w:rsidP="002E00C4">
      <w:pPr>
        <w:spacing w:before="60" w:after="60"/>
        <w:ind w:right="907"/>
        <w:jc w:val="both"/>
        <w:rPr>
          <w:rFonts w:ascii="Arial" w:hAnsi="Arial" w:cs="Arial"/>
          <w:b/>
          <w:sz w:val="24"/>
          <w:szCs w:val="24"/>
        </w:rPr>
      </w:pPr>
      <w:r w:rsidRPr="002E00C4">
        <w:rPr>
          <w:rFonts w:ascii="Arial" w:hAnsi="Arial" w:cs="Arial"/>
          <w:b/>
          <w:sz w:val="24"/>
          <w:szCs w:val="24"/>
        </w:rPr>
        <w:t xml:space="preserve">Key Risks </w:t>
      </w:r>
    </w:p>
    <w:p w14:paraId="6D3D71AD" w14:textId="77777777" w:rsidR="002E00C4" w:rsidRPr="002E00C4" w:rsidRDefault="002E00C4" w:rsidP="002E00C4">
      <w:pPr>
        <w:spacing w:before="60" w:after="60"/>
        <w:ind w:right="907"/>
        <w:jc w:val="both"/>
        <w:rPr>
          <w:rFonts w:ascii="Arial" w:hAnsi="Arial" w:cs="Arial"/>
          <w:sz w:val="24"/>
          <w:szCs w:val="24"/>
        </w:rPr>
      </w:pPr>
      <w:r w:rsidRPr="002E00C4">
        <w:rPr>
          <w:rFonts w:ascii="Arial" w:hAnsi="Arial" w:cs="Arial"/>
          <w:sz w:val="24"/>
          <w:szCs w:val="24"/>
        </w:rPr>
        <w:t xml:space="preserve">The key risks to the delivery of this Strategy are outlined below. Fund officers will work with the Pensions Committee and Pension Board in monitoring these and other key risks and consider how to respond to them. </w:t>
      </w:r>
    </w:p>
    <w:p w14:paraId="693EF5C7" w14:textId="77777777" w:rsidR="002E00C4" w:rsidRPr="002E00C4" w:rsidRDefault="002E00C4" w:rsidP="0073304A">
      <w:pPr>
        <w:numPr>
          <w:ilvl w:val="0"/>
          <w:numId w:val="122"/>
        </w:numPr>
        <w:spacing w:before="60" w:after="60"/>
        <w:ind w:right="907"/>
        <w:jc w:val="both"/>
        <w:rPr>
          <w:rFonts w:ascii="Arial" w:hAnsi="Arial" w:cs="Arial"/>
          <w:sz w:val="24"/>
          <w:szCs w:val="24"/>
        </w:rPr>
      </w:pPr>
      <w:r w:rsidRPr="002E00C4">
        <w:rPr>
          <w:rFonts w:ascii="Arial" w:hAnsi="Arial" w:cs="Arial"/>
          <w:sz w:val="24"/>
          <w:szCs w:val="24"/>
        </w:rPr>
        <w:t xml:space="preserve">Significant external factors, such as national change, impacting on workload </w:t>
      </w:r>
    </w:p>
    <w:p w14:paraId="2F67BDEB" w14:textId="77777777" w:rsidR="002E00C4" w:rsidRPr="002E00C4" w:rsidRDefault="002E00C4" w:rsidP="0073304A">
      <w:pPr>
        <w:numPr>
          <w:ilvl w:val="0"/>
          <w:numId w:val="122"/>
        </w:numPr>
        <w:spacing w:before="60" w:after="60"/>
        <w:ind w:right="907"/>
        <w:jc w:val="both"/>
        <w:rPr>
          <w:rFonts w:ascii="Arial" w:hAnsi="Arial" w:cs="Arial"/>
          <w:sz w:val="24"/>
          <w:szCs w:val="24"/>
        </w:rPr>
      </w:pPr>
      <w:r w:rsidRPr="002E00C4">
        <w:rPr>
          <w:rFonts w:ascii="Arial" w:hAnsi="Arial" w:cs="Arial"/>
          <w:sz w:val="24"/>
          <w:szCs w:val="24"/>
        </w:rPr>
        <w:t xml:space="preserve">Lack or reduction of skilled resources due to difficulty retaining and recruiting staff members </w:t>
      </w:r>
    </w:p>
    <w:p w14:paraId="39EDA60E" w14:textId="77777777" w:rsidR="002E00C4" w:rsidRPr="002E00C4" w:rsidRDefault="002E00C4" w:rsidP="0073304A">
      <w:pPr>
        <w:numPr>
          <w:ilvl w:val="0"/>
          <w:numId w:val="122"/>
        </w:numPr>
        <w:spacing w:before="60" w:after="60"/>
        <w:ind w:right="907"/>
        <w:jc w:val="both"/>
        <w:rPr>
          <w:rFonts w:ascii="Arial" w:hAnsi="Arial" w:cs="Arial"/>
          <w:sz w:val="24"/>
          <w:szCs w:val="24"/>
        </w:rPr>
      </w:pPr>
      <w:r w:rsidRPr="002E00C4">
        <w:rPr>
          <w:rFonts w:ascii="Arial" w:hAnsi="Arial" w:cs="Arial"/>
          <w:sz w:val="24"/>
          <w:szCs w:val="24"/>
        </w:rPr>
        <w:t xml:space="preserve">Inadequate performance of software against service standards </w:t>
      </w:r>
    </w:p>
    <w:p w14:paraId="6D083E13" w14:textId="77777777" w:rsidR="002E00C4" w:rsidRPr="002E00C4" w:rsidRDefault="002E00C4" w:rsidP="0073304A">
      <w:pPr>
        <w:numPr>
          <w:ilvl w:val="0"/>
          <w:numId w:val="122"/>
        </w:numPr>
        <w:spacing w:before="60" w:after="60"/>
        <w:ind w:right="907"/>
        <w:jc w:val="both"/>
        <w:rPr>
          <w:rFonts w:ascii="Arial" w:hAnsi="Arial" w:cs="Arial"/>
          <w:sz w:val="24"/>
          <w:szCs w:val="24"/>
        </w:rPr>
      </w:pPr>
      <w:r w:rsidRPr="002E00C4">
        <w:rPr>
          <w:rFonts w:ascii="Arial" w:hAnsi="Arial" w:cs="Arial"/>
          <w:sz w:val="24"/>
          <w:szCs w:val="24"/>
        </w:rPr>
        <w:lastRenderedPageBreak/>
        <w:t xml:space="preserve">Increase in the number of employing bodies causes strain on day to day delivery </w:t>
      </w:r>
    </w:p>
    <w:p w14:paraId="70425AAE" w14:textId="77777777" w:rsidR="002E00C4" w:rsidRPr="002E00C4" w:rsidRDefault="002E00C4" w:rsidP="0073304A">
      <w:pPr>
        <w:numPr>
          <w:ilvl w:val="0"/>
          <w:numId w:val="122"/>
        </w:numPr>
        <w:spacing w:before="60" w:after="60"/>
        <w:ind w:right="907"/>
        <w:jc w:val="both"/>
        <w:rPr>
          <w:rFonts w:ascii="Arial" w:hAnsi="Arial" w:cs="Arial"/>
          <w:sz w:val="24"/>
          <w:szCs w:val="24"/>
        </w:rPr>
      </w:pPr>
      <w:r w:rsidRPr="002E00C4">
        <w:rPr>
          <w:rFonts w:ascii="Arial" w:hAnsi="Arial" w:cs="Arial"/>
          <w:sz w:val="24"/>
          <w:szCs w:val="24"/>
        </w:rPr>
        <w:t xml:space="preserve">Incorrect calculation of members' benefits, resulting in inaccurate costs </w:t>
      </w:r>
    </w:p>
    <w:p w14:paraId="3C9DC81C" w14:textId="77777777" w:rsidR="002E00C4" w:rsidRPr="002E00C4" w:rsidRDefault="002E00C4" w:rsidP="0073304A">
      <w:pPr>
        <w:numPr>
          <w:ilvl w:val="0"/>
          <w:numId w:val="122"/>
        </w:numPr>
        <w:spacing w:before="60" w:after="60"/>
        <w:ind w:right="907"/>
        <w:jc w:val="both"/>
        <w:rPr>
          <w:rFonts w:ascii="Arial" w:hAnsi="Arial" w:cs="Arial"/>
          <w:sz w:val="24"/>
          <w:szCs w:val="24"/>
        </w:rPr>
      </w:pPr>
      <w:r w:rsidRPr="002E00C4">
        <w:rPr>
          <w:rFonts w:ascii="Arial" w:hAnsi="Arial" w:cs="Arial"/>
          <w:sz w:val="24"/>
          <w:szCs w:val="24"/>
        </w:rPr>
        <w:t xml:space="preserve">Employer’s failure to provide accurate and timely information resulting in incomplete and inaccurate records. This leads to incorrect valuation results and incorrect benefit payment </w:t>
      </w:r>
    </w:p>
    <w:p w14:paraId="0C12C09A" w14:textId="77777777" w:rsidR="002E00C4" w:rsidRPr="002E00C4" w:rsidRDefault="002E00C4" w:rsidP="0073304A">
      <w:pPr>
        <w:numPr>
          <w:ilvl w:val="0"/>
          <w:numId w:val="122"/>
        </w:numPr>
        <w:spacing w:before="60" w:after="60"/>
        <w:ind w:right="907"/>
        <w:jc w:val="both"/>
        <w:rPr>
          <w:rFonts w:ascii="Arial" w:hAnsi="Arial" w:cs="Arial"/>
          <w:sz w:val="24"/>
          <w:szCs w:val="24"/>
        </w:rPr>
      </w:pPr>
      <w:r w:rsidRPr="002E00C4">
        <w:rPr>
          <w:rFonts w:ascii="Arial" w:hAnsi="Arial" w:cs="Arial"/>
          <w:sz w:val="24"/>
          <w:szCs w:val="24"/>
        </w:rPr>
        <w:t xml:space="preserve">Issues in production of annual benefits statements, e.g. wrong address and printing errors due to external supplier </w:t>
      </w:r>
    </w:p>
    <w:p w14:paraId="46739309" w14:textId="77777777" w:rsidR="002E00C4" w:rsidRPr="002E00C4" w:rsidRDefault="002E00C4" w:rsidP="0073304A">
      <w:pPr>
        <w:numPr>
          <w:ilvl w:val="0"/>
          <w:numId w:val="122"/>
        </w:numPr>
        <w:spacing w:before="60" w:after="60"/>
        <w:ind w:right="907"/>
        <w:jc w:val="both"/>
        <w:rPr>
          <w:rFonts w:ascii="Arial" w:hAnsi="Arial" w:cs="Arial"/>
          <w:sz w:val="24"/>
          <w:szCs w:val="24"/>
        </w:rPr>
      </w:pPr>
      <w:r w:rsidRPr="002E00C4">
        <w:rPr>
          <w:rFonts w:ascii="Arial" w:hAnsi="Arial" w:cs="Arial"/>
          <w:sz w:val="24"/>
          <w:szCs w:val="24"/>
        </w:rPr>
        <w:t xml:space="preserve">Failure to administer the scheme in line with regulations. This may relate to delays in enhancement to software or regulation guidance </w:t>
      </w:r>
    </w:p>
    <w:p w14:paraId="5ADC97DC" w14:textId="77777777" w:rsidR="002E00C4" w:rsidRPr="002E00C4" w:rsidRDefault="002E00C4" w:rsidP="0073304A">
      <w:pPr>
        <w:numPr>
          <w:ilvl w:val="0"/>
          <w:numId w:val="122"/>
        </w:numPr>
        <w:spacing w:before="60" w:after="60"/>
        <w:ind w:right="907"/>
        <w:jc w:val="both"/>
        <w:rPr>
          <w:rFonts w:ascii="Arial" w:hAnsi="Arial" w:cs="Arial"/>
          <w:sz w:val="24"/>
          <w:szCs w:val="24"/>
        </w:rPr>
      </w:pPr>
      <w:r w:rsidRPr="002E00C4">
        <w:rPr>
          <w:rFonts w:ascii="Arial" w:hAnsi="Arial" w:cs="Arial"/>
          <w:sz w:val="24"/>
          <w:szCs w:val="24"/>
        </w:rPr>
        <w:t xml:space="preserve">Failure to maintain records adequately resulting in inaccurate data </w:t>
      </w:r>
    </w:p>
    <w:p w14:paraId="5BBAB9B9" w14:textId="77777777" w:rsidR="002E00C4" w:rsidRPr="002E00C4" w:rsidRDefault="002E00C4" w:rsidP="0073304A">
      <w:pPr>
        <w:numPr>
          <w:ilvl w:val="0"/>
          <w:numId w:val="122"/>
        </w:numPr>
        <w:spacing w:before="60" w:after="60"/>
        <w:ind w:right="907"/>
        <w:jc w:val="both"/>
        <w:rPr>
          <w:rFonts w:ascii="Arial" w:hAnsi="Arial" w:cs="Arial"/>
          <w:sz w:val="24"/>
          <w:szCs w:val="24"/>
        </w:rPr>
      </w:pPr>
      <w:r w:rsidRPr="002E00C4">
        <w:rPr>
          <w:rFonts w:ascii="Arial" w:hAnsi="Arial" w:cs="Arial"/>
          <w:sz w:val="24"/>
          <w:szCs w:val="24"/>
        </w:rPr>
        <w:t>Unable to deliver an efficient service to pension members due to system unavailability or failure.</w:t>
      </w:r>
    </w:p>
    <w:p w14:paraId="2573D024" w14:textId="77777777" w:rsidR="002E00C4" w:rsidRPr="002E00C4" w:rsidRDefault="002E00C4" w:rsidP="002E00C4">
      <w:pPr>
        <w:spacing w:before="60" w:after="60"/>
        <w:ind w:right="907"/>
        <w:jc w:val="both"/>
        <w:rPr>
          <w:rFonts w:ascii="Arial" w:hAnsi="Arial" w:cs="Arial"/>
          <w:sz w:val="24"/>
          <w:szCs w:val="24"/>
        </w:rPr>
      </w:pPr>
    </w:p>
    <w:p w14:paraId="6704B810" w14:textId="77777777" w:rsidR="002E00C4" w:rsidRPr="002E00C4" w:rsidRDefault="002E00C4" w:rsidP="002E00C4">
      <w:pPr>
        <w:spacing w:before="60" w:after="60"/>
        <w:ind w:right="907"/>
        <w:jc w:val="both"/>
        <w:rPr>
          <w:rFonts w:ascii="Arial" w:hAnsi="Arial" w:cs="Arial"/>
          <w:sz w:val="24"/>
          <w:szCs w:val="24"/>
        </w:rPr>
      </w:pPr>
    </w:p>
    <w:p w14:paraId="3B16267D" w14:textId="77777777" w:rsidR="002E00C4" w:rsidRPr="002E00C4" w:rsidRDefault="002E00C4" w:rsidP="002E00C4">
      <w:pPr>
        <w:spacing w:before="60" w:after="60"/>
        <w:ind w:right="907"/>
        <w:jc w:val="both"/>
        <w:rPr>
          <w:rFonts w:ascii="Arial" w:hAnsi="Arial" w:cs="Arial"/>
          <w:b/>
          <w:sz w:val="24"/>
          <w:szCs w:val="24"/>
        </w:rPr>
      </w:pPr>
      <w:r w:rsidRPr="002E00C4">
        <w:rPr>
          <w:rFonts w:ascii="Arial" w:hAnsi="Arial" w:cs="Arial"/>
          <w:b/>
          <w:sz w:val="24"/>
          <w:szCs w:val="24"/>
        </w:rPr>
        <w:t>Feedback</w:t>
      </w:r>
    </w:p>
    <w:p w14:paraId="5BCF59BB" w14:textId="77777777" w:rsidR="002E00C4" w:rsidRPr="002E00C4" w:rsidRDefault="002E00C4" w:rsidP="002E00C4">
      <w:pPr>
        <w:spacing w:before="60" w:after="60"/>
        <w:ind w:right="907"/>
        <w:jc w:val="both"/>
        <w:rPr>
          <w:rFonts w:ascii="Arial" w:hAnsi="Arial" w:cs="Arial"/>
          <w:sz w:val="24"/>
          <w:szCs w:val="24"/>
        </w:rPr>
      </w:pPr>
    </w:p>
    <w:p w14:paraId="3CB25059" w14:textId="77777777" w:rsidR="002E00C4" w:rsidRPr="002E00C4" w:rsidRDefault="002E00C4" w:rsidP="002E00C4">
      <w:pPr>
        <w:spacing w:before="60" w:after="60"/>
        <w:ind w:right="907"/>
        <w:jc w:val="both"/>
        <w:rPr>
          <w:rFonts w:ascii="Arial" w:hAnsi="Arial" w:cs="Arial"/>
          <w:sz w:val="24"/>
          <w:szCs w:val="24"/>
        </w:rPr>
      </w:pPr>
      <w:r w:rsidRPr="002E00C4">
        <w:rPr>
          <w:rFonts w:ascii="Arial" w:hAnsi="Arial" w:cs="Arial"/>
          <w:sz w:val="24"/>
          <w:szCs w:val="24"/>
        </w:rPr>
        <w:t xml:space="preserve">The fund welcomes comments and feedback form scheme members, scheme employers, prospective members and other interested parties. </w:t>
      </w:r>
    </w:p>
    <w:p w14:paraId="1FC13203" w14:textId="77777777" w:rsidR="002E00C4" w:rsidRPr="002E00C4" w:rsidRDefault="002E00C4" w:rsidP="002E00C4">
      <w:pPr>
        <w:spacing w:before="60" w:after="60"/>
        <w:ind w:right="907"/>
        <w:jc w:val="both"/>
        <w:rPr>
          <w:rFonts w:ascii="Arial" w:hAnsi="Arial" w:cs="Arial"/>
          <w:sz w:val="24"/>
          <w:szCs w:val="24"/>
        </w:rPr>
      </w:pPr>
    </w:p>
    <w:p w14:paraId="51A86219" w14:textId="77777777" w:rsidR="002E00C4" w:rsidRPr="002E00C4" w:rsidRDefault="002E00C4" w:rsidP="002E00C4">
      <w:pPr>
        <w:spacing w:before="60" w:after="60"/>
        <w:ind w:right="907"/>
        <w:jc w:val="both"/>
        <w:rPr>
          <w:rFonts w:ascii="Arial" w:hAnsi="Arial" w:cs="Arial"/>
          <w:sz w:val="24"/>
          <w:szCs w:val="24"/>
        </w:rPr>
      </w:pPr>
      <w:r w:rsidRPr="002E00C4">
        <w:rPr>
          <w:rFonts w:ascii="Arial" w:hAnsi="Arial" w:cs="Arial"/>
          <w:sz w:val="24"/>
          <w:szCs w:val="24"/>
        </w:rPr>
        <w:t>The fund surveys members and employers annually and publishes results of the survey in the Annual Report. Comments provided are considered and changes are made where feasible.</w:t>
      </w:r>
    </w:p>
    <w:p w14:paraId="43C83E16" w14:textId="77777777" w:rsidR="002E00C4" w:rsidRPr="002E00C4" w:rsidRDefault="002E00C4" w:rsidP="002E00C4">
      <w:pPr>
        <w:spacing w:before="60" w:after="60"/>
        <w:ind w:right="907"/>
        <w:jc w:val="both"/>
        <w:rPr>
          <w:rFonts w:ascii="Arial" w:hAnsi="Arial" w:cs="Arial"/>
          <w:sz w:val="24"/>
          <w:szCs w:val="24"/>
        </w:rPr>
      </w:pPr>
    </w:p>
    <w:p w14:paraId="7402A622" w14:textId="77777777" w:rsidR="002E00C4" w:rsidRPr="002E00C4" w:rsidRDefault="002E00C4" w:rsidP="002E00C4">
      <w:pPr>
        <w:spacing w:before="60" w:after="60"/>
        <w:ind w:right="907"/>
        <w:jc w:val="both"/>
        <w:rPr>
          <w:rFonts w:ascii="Arial" w:hAnsi="Arial" w:cs="Arial"/>
          <w:b/>
          <w:sz w:val="24"/>
          <w:szCs w:val="24"/>
        </w:rPr>
      </w:pPr>
      <w:r w:rsidRPr="002E00C4">
        <w:rPr>
          <w:rFonts w:ascii="Arial" w:hAnsi="Arial" w:cs="Arial"/>
          <w:b/>
          <w:sz w:val="24"/>
          <w:szCs w:val="24"/>
        </w:rPr>
        <w:t>Consultation</w:t>
      </w:r>
    </w:p>
    <w:p w14:paraId="24AC65E2" w14:textId="77777777" w:rsidR="002E00C4" w:rsidRPr="002E00C4" w:rsidRDefault="002E00C4" w:rsidP="002E00C4">
      <w:pPr>
        <w:spacing w:before="60" w:after="60"/>
        <w:ind w:right="907"/>
        <w:jc w:val="both"/>
        <w:rPr>
          <w:rFonts w:ascii="Arial" w:hAnsi="Arial" w:cs="Arial"/>
          <w:sz w:val="24"/>
          <w:szCs w:val="24"/>
        </w:rPr>
      </w:pPr>
      <w:r w:rsidRPr="002E00C4">
        <w:rPr>
          <w:rFonts w:ascii="Arial" w:hAnsi="Arial" w:cs="Arial"/>
          <w:sz w:val="24"/>
          <w:szCs w:val="24"/>
        </w:rPr>
        <w:t>The fund consults with stakeholders where new policies or changes to policies are required.</w:t>
      </w:r>
    </w:p>
    <w:p w14:paraId="04CD4893" w14:textId="77777777" w:rsidR="002E00C4" w:rsidRDefault="002E00C4" w:rsidP="002E00C4">
      <w:pPr>
        <w:spacing w:before="60" w:after="60"/>
        <w:ind w:right="907"/>
        <w:jc w:val="both"/>
        <w:rPr>
          <w:rFonts w:cs="Arial"/>
        </w:rPr>
      </w:pPr>
    </w:p>
    <w:p w14:paraId="5265EF17" w14:textId="77777777" w:rsidR="002E00C4" w:rsidRDefault="002E00C4" w:rsidP="002E00C4">
      <w:pPr>
        <w:spacing w:before="60" w:after="60"/>
        <w:ind w:right="907"/>
        <w:jc w:val="both"/>
        <w:rPr>
          <w:rFonts w:cs="Arial"/>
        </w:rPr>
      </w:pPr>
    </w:p>
    <w:p w14:paraId="2B922E55" w14:textId="77777777" w:rsidR="002E00C4" w:rsidRDefault="002E00C4" w:rsidP="002E00C4">
      <w:pPr>
        <w:spacing w:before="60" w:after="60"/>
        <w:ind w:right="907"/>
        <w:jc w:val="both"/>
        <w:rPr>
          <w:rFonts w:cs="Arial"/>
        </w:rPr>
      </w:pPr>
    </w:p>
    <w:p w14:paraId="220838B7" w14:textId="77777777" w:rsidR="002E00C4" w:rsidRDefault="002E00C4" w:rsidP="002E00C4">
      <w:pPr>
        <w:spacing w:before="60" w:after="60"/>
        <w:ind w:right="907"/>
        <w:jc w:val="both"/>
        <w:rPr>
          <w:rFonts w:cs="Arial"/>
        </w:rPr>
      </w:pPr>
    </w:p>
    <w:p w14:paraId="3074830C" w14:textId="77777777" w:rsidR="002E00C4" w:rsidRDefault="002E00C4" w:rsidP="002E00C4">
      <w:pPr>
        <w:spacing w:before="60" w:after="60"/>
        <w:ind w:right="907"/>
        <w:jc w:val="both"/>
        <w:rPr>
          <w:rFonts w:cs="Arial"/>
        </w:rPr>
      </w:pPr>
    </w:p>
    <w:p w14:paraId="00D4308A" w14:textId="77777777" w:rsidR="002E00C4" w:rsidRDefault="002E00C4" w:rsidP="002E00C4">
      <w:pPr>
        <w:spacing w:before="60" w:after="60"/>
        <w:ind w:right="907"/>
        <w:jc w:val="both"/>
        <w:rPr>
          <w:rFonts w:cs="Arial"/>
        </w:rPr>
      </w:pPr>
    </w:p>
    <w:p w14:paraId="6756D50E" w14:textId="77777777" w:rsidR="002E00C4" w:rsidRDefault="002E00C4" w:rsidP="002E00C4">
      <w:pPr>
        <w:spacing w:before="60" w:after="60"/>
        <w:ind w:right="907"/>
        <w:jc w:val="both"/>
        <w:rPr>
          <w:rFonts w:cs="Arial"/>
        </w:rPr>
      </w:pPr>
    </w:p>
    <w:p w14:paraId="09385966" w14:textId="77777777" w:rsidR="002E00C4" w:rsidRDefault="002E00C4" w:rsidP="002E00C4">
      <w:pPr>
        <w:spacing w:before="60" w:after="60"/>
        <w:ind w:right="907"/>
        <w:jc w:val="both"/>
        <w:rPr>
          <w:rFonts w:cs="Arial"/>
        </w:rPr>
      </w:pPr>
    </w:p>
    <w:p w14:paraId="51CA5ECB" w14:textId="77777777" w:rsidR="000864FE" w:rsidRPr="00B47EAC" w:rsidRDefault="000864FE" w:rsidP="000864FE">
      <w:pPr>
        <w:rPr>
          <w:rFonts w:ascii="Arial" w:hAnsi="Arial" w:cs="Arial"/>
          <w:b/>
          <w:sz w:val="24"/>
          <w:szCs w:val="24"/>
        </w:rPr>
      </w:pPr>
      <w:r>
        <w:rPr>
          <w:rFonts w:ascii="Arial" w:hAnsi="Arial" w:cs="Arial"/>
          <w:b/>
          <w:sz w:val="24"/>
          <w:szCs w:val="24"/>
        </w:rPr>
        <w:t xml:space="preserve">                                                                                                              </w:t>
      </w:r>
      <w:r w:rsidRPr="00B47EAC">
        <w:rPr>
          <w:rFonts w:ascii="Arial" w:hAnsi="Arial" w:cs="Arial"/>
          <w:b/>
          <w:sz w:val="24"/>
          <w:szCs w:val="24"/>
        </w:rPr>
        <w:t>Appendix 1</w:t>
      </w:r>
      <w:r>
        <w:rPr>
          <w:rFonts w:ascii="Arial" w:hAnsi="Arial" w:cs="Arial"/>
          <w:b/>
          <w:sz w:val="24"/>
          <w:szCs w:val="24"/>
        </w:rPr>
        <w:t>1</w:t>
      </w:r>
    </w:p>
    <w:p w14:paraId="5BA36930" w14:textId="77777777" w:rsidR="000864FE" w:rsidRPr="00B47EAC" w:rsidRDefault="000864FE" w:rsidP="000864FE">
      <w:pPr>
        <w:rPr>
          <w:rFonts w:ascii="Arial" w:hAnsi="Arial" w:cs="Arial"/>
          <w:b/>
          <w:sz w:val="24"/>
          <w:szCs w:val="24"/>
        </w:rPr>
      </w:pPr>
    </w:p>
    <w:p w14:paraId="27072F4E" w14:textId="77777777" w:rsidR="000864FE" w:rsidRPr="000864FE" w:rsidRDefault="000864FE" w:rsidP="000864FE">
      <w:pPr>
        <w:rPr>
          <w:rFonts w:ascii="Arial" w:hAnsi="Arial" w:cs="Arial"/>
          <w:b/>
          <w:sz w:val="24"/>
          <w:szCs w:val="24"/>
        </w:rPr>
      </w:pPr>
      <w:r w:rsidRPr="000864FE">
        <w:rPr>
          <w:rFonts w:ascii="Arial" w:hAnsi="Arial" w:cs="Arial"/>
          <w:b/>
          <w:sz w:val="24"/>
          <w:szCs w:val="24"/>
        </w:rPr>
        <w:t xml:space="preserve">Economic and Social Governance Policy - City and Council of Swansea Pension Fund </w:t>
      </w:r>
    </w:p>
    <w:p w14:paraId="59AE8725" w14:textId="77777777" w:rsidR="000864FE" w:rsidRPr="000864FE" w:rsidRDefault="000864FE" w:rsidP="000864FE">
      <w:pPr>
        <w:rPr>
          <w:rFonts w:ascii="Arial" w:hAnsi="Arial" w:cs="Arial"/>
          <w:sz w:val="24"/>
          <w:szCs w:val="24"/>
        </w:rPr>
      </w:pPr>
    </w:p>
    <w:p w14:paraId="17837F0B" w14:textId="77777777" w:rsidR="000864FE" w:rsidRDefault="000864FE" w:rsidP="000864FE">
      <w:pPr>
        <w:pStyle w:val="Heading2"/>
        <w:rPr>
          <w:rFonts w:cs="Arial"/>
          <w:sz w:val="24"/>
          <w:szCs w:val="24"/>
        </w:rPr>
      </w:pPr>
      <w:r w:rsidRPr="000864FE">
        <w:rPr>
          <w:rFonts w:cs="Arial"/>
          <w:sz w:val="24"/>
          <w:szCs w:val="24"/>
        </w:rPr>
        <w:t>Introduction</w:t>
      </w:r>
    </w:p>
    <w:p w14:paraId="2AAD925A" w14:textId="77777777" w:rsidR="00F53845" w:rsidRPr="00F53845" w:rsidRDefault="00F53845" w:rsidP="00F53845"/>
    <w:p w14:paraId="5FD459DD" w14:textId="77777777" w:rsidR="000864FE" w:rsidRPr="000864FE" w:rsidRDefault="000864FE" w:rsidP="000864FE">
      <w:pPr>
        <w:pStyle w:val="BodyTextGrey"/>
        <w:rPr>
          <w:color w:val="auto"/>
          <w:sz w:val="24"/>
          <w:szCs w:val="24"/>
        </w:rPr>
      </w:pPr>
      <w:r w:rsidRPr="000864FE">
        <w:rPr>
          <w:color w:val="auto"/>
          <w:sz w:val="24"/>
          <w:szCs w:val="24"/>
        </w:rPr>
        <w:t xml:space="preserve">The Committee recognise that environmental, social and corporate governance (‘ESG’) issues can influence the Fund’s long-term returns and reputation.  Given this, the Committee aims to be aware of, and monitor, financially material ESG factors. </w:t>
      </w:r>
    </w:p>
    <w:p w14:paraId="708864F3" w14:textId="77777777" w:rsidR="000864FE" w:rsidRPr="000864FE" w:rsidRDefault="000864FE" w:rsidP="000864FE">
      <w:pPr>
        <w:pStyle w:val="BodyTextGrey"/>
        <w:rPr>
          <w:color w:val="auto"/>
          <w:sz w:val="24"/>
          <w:szCs w:val="24"/>
        </w:rPr>
      </w:pPr>
      <w:r w:rsidRPr="000864FE">
        <w:rPr>
          <w:color w:val="auto"/>
          <w:sz w:val="24"/>
          <w:szCs w:val="24"/>
        </w:rPr>
        <w:t xml:space="preserve">The day to day management of the Fund is delegated to professional investment managers. Regular meetings are held with the Fund’s managers where they are expected to provide a summary of actions that they have taken, or are taking, to consider ESG factors on a day to day basis. </w:t>
      </w:r>
    </w:p>
    <w:p w14:paraId="3B95AD2C" w14:textId="77777777" w:rsidR="000864FE" w:rsidRPr="000864FE" w:rsidRDefault="000864FE" w:rsidP="000864FE">
      <w:pPr>
        <w:pStyle w:val="BodyTextGrey"/>
        <w:rPr>
          <w:color w:val="auto"/>
          <w:sz w:val="24"/>
          <w:szCs w:val="24"/>
        </w:rPr>
      </w:pPr>
      <w:r w:rsidRPr="000864FE">
        <w:rPr>
          <w:color w:val="auto"/>
          <w:sz w:val="24"/>
          <w:szCs w:val="24"/>
        </w:rPr>
        <w:t xml:space="preserve">In line with investment regulations, and to guide them in the strategic management of the Fund’s assets, the Committee has adopted an Investment Strategy Statement (‘ISS’).  </w:t>
      </w:r>
    </w:p>
    <w:p w14:paraId="7821443A" w14:textId="77777777" w:rsidR="000864FE" w:rsidRPr="000864FE" w:rsidRDefault="000864FE" w:rsidP="000864FE">
      <w:pPr>
        <w:pStyle w:val="BodyTextGrey"/>
        <w:rPr>
          <w:color w:val="auto"/>
          <w:sz w:val="24"/>
          <w:szCs w:val="24"/>
        </w:rPr>
      </w:pPr>
      <w:r w:rsidRPr="000864FE">
        <w:rPr>
          <w:color w:val="auto"/>
          <w:sz w:val="24"/>
          <w:szCs w:val="24"/>
        </w:rPr>
        <w:t xml:space="preserve">The Committee commits to an ongoing development of its ESG policy to ensure it reflects latest industry developments and regulations.  The Committee together with their investment consultant will review the ESG policy annually at the same time as reviewing their ISS. </w:t>
      </w:r>
    </w:p>
    <w:p w14:paraId="2F435DB5" w14:textId="77777777" w:rsidR="000864FE" w:rsidRPr="000864FE" w:rsidRDefault="000864FE" w:rsidP="000864FE">
      <w:pPr>
        <w:pStyle w:val="BodyTextGrey"/>
        <w:rPr>
          <w:color w:val="auto"/>
          <w:sz w:val="24"/>
          <w:szCs w:val="24"/>
        </w:rPr>
      </w:pPr>
      <w:r w:rsidRPr="000864FE">
        <w:rPr>
          <w:color w:val="auto"/>
          <w:sz w:val="24"/>
          <w:szCs w:val="24"/>
        </w:rPr>
        <w:t xml:space="preserve">The Committee has agreed a series of beliefs which have been incorporated into their ISS. These beliefs strengthen their position in regard to considering ESG factors and provide a framework for their engagement through their Fund managers. </w:t>
      </w:r>
    </w:p>
    <w:p w14:paraId="466EAD50" w14:textId="77777777" w:rsidR="000864FE" w:rsidRPr="000864FE" w:rsidRDefault="000864FE" w:rsidP="000864FE">
      <w:pPr>
        <w:pStyle w:val="BodyTextGrey"/>
        <w:rPr>
          <w:color w:val="auto"/>
          <w:sz w:val="24"/>
          <w:szCs w:val="24"/>
        </w:rPr>
      </w:pPr>
      <w:r w:rsidRPr="000864FE">
        <w:rPr>
          <w:color w:val="auto"/>
          <w:sz w:val="24"/>
          <w:szCs w:val="24"/>
        </w:rPr>
        <w:t>In the appendix of this document we discuss the results of the Fund’s 2017 “carbon foot-printing” exercise, which informed some of the considerations included within this policy.</w:t>
      </w:r>
    </w:p>
    <w:p w14:paraId="1EFBB79F" w14:textId="77777777" w:rsidR="000864FE" w:rsidRPr="000864FE" w:rsidRDefault="000864FE" w:rsidP="000864FE">
      <w:pPr>
        <w:spacing w:after="20"/>
        <w:rPr>
          <w:rFonts w:ascii="Arial" w:hAnsi="Arial" w:cs="Arial"/>
          <w:sz w:val="24"/>
          <w:szCs w:val="24"/>
        </w:rPr>
      </w:pPr>
      <w:r w:rsidRPr="000864FE">
        <w:rPr>
          <w:rFonts w:ascii="Arial" w:hAnsi="Arial" w:cs="Arial"/>
          <w:sz w:val="24"/>
          <w:szCs w:val="24"/>
        </w:rPr>
        <w:br w:type="page"/>
      </w:r>
    </w:p>
    <w:p w14:paraId="39C01545" w14:textId="77777777" w:rsidR="000864FE" w:rsidRDefault="000864FE" w:rsidP="000864FE">
      <w:pPr>
        <w:pStyle w:val="Heading2"/>
        <w:rPr>
          <w:rFonts w:cs="Arial"/>
          <w:sz w:val="24"/>
          <w:szCs w:val="24"/>
        </w:rPr>
      </w:pPr>
      <w:r w:rsidRPr="000864FE">
        <w:rPr>
          <w:rFonts w:cs="Arial"/>
          <w:sz w:val="24"/>
          <w:szCs w:val="24"/>
        </w:rPr>
        <w:t>Statement of Responsible Investment</w:t>
      </w:r>
    </w:p>
    <w:p w14:paraId="18FCCEFC" w14:textId="77777777" w:rsidR="000864FE" w:rsidRPr="000864FE" w:rsidRDefault="000864FE" w:rsidP="000864FE"/>
    <w:p w14:paraId="359D67FF" w14:textId="77777777" w:rsidR="000864FE" w:rsidRPr="000864FE" w:rsidRDefault="000864FE" w:rsidP="000864FE">
      <w:pPr>
        <w:pStyle w:val="BodyTextGrey"/>
        <w:spacing w:after="60"/>
        <w:rPr>
          <w:color w:val="auto"/>
          <w:sz w:val="24"/>
          <w:szCs w:val="24"/>
        </w:rPr>
      </w:pPr>
      <w:r w:rsidRPr="000864FE">
        <w:rPr>
          <w:color w:val="auto"/>
          <w:sz w:val="24"/>
          <w:szCs w:val="24"/>
        </w:rPr>
        <w:t>The Committee considers the Fund’s approach to responsible investment in two key areas:</w:t>
      </w:r>
    </w:p>
    <w:p w14:paraId="72AB824B" w14:textId="77777777" w:rsidR="000864FE" w:rsidRPr="000864FE" w:rsidRDefault="000864FE" w:rsidP="000864FE">
      <w:pPr>
        <w:pStyle w:val="NumberHymans"/>
        <w:rPr>
          <w:color w:val="auto"/>
          <w:sz w:val="24"/>
          <w:szCs w:val="24"/>
        </w:rPr>
      </w:pPr>
      <w:r w:rsidRPr="000864FE">
        <w:rPr>
          <w:b/>
          <w:color w:val="auto"/>
          <w:sz w:val="24"/>
          <w:szCs w:val="24"/>
        </w:rPr>
        <w:t>Sustainable investment / ESG factors</w:t>
      </w:r>
      <w:r w:rsidRPr="000864FE">
        <w:rPr>
          <w:color w:val="auto"/>
          <w:sz w:val="24"/>
          <w:szCs w:val="24"/>
        </w:rPr>
        <w:t xml:space="preserve"> – considering the financial impact of environmental, social and governance (“ESG”) factors on its investments.</w:t>
      </w:r>
    </w:p>
    <w:p w14:paraId="38B25D39" w14:textId="77777777" w:rsidR="000864FE" w:rsidRPr="000864FE" w:rsidRDefault="000864FE" w:rsidP="000864FE">
      <w:pPr>
        <w:pStyle w:val="NumberHymans"/>
        <w:rPr>
          <w:color w:val="auto"/>
          <w:sz w:val="24"/>
          <w:szCs w:val="24"/>
        </w:rPr>
      </w:pPr>
      <w:r w:rsidRPr="000864FE">
        <w:rPr>
          <w:b/>
          <w:color w:val="auto"/>
          <w:sz w:val="24"/>
          <w:szCs w:val="24"/>
        </w:rPr>
        <w:t>Effective Stewardship</w:t>
      </w:r>
      <w:r w:rsidRPr="000864FE">
        <w:rPr>
          <w:color w:val="auto"/>
          <w:sz w:val="24"/>
          <w:szCs w:val="24"/>
        </w:rPr>
        <w:t xml:space="preserve"> – acting as responsible and active investors, through considered voting of shares, and engaging with investee company management as part of the investment process.</w:t>
      </w:r>
    </w:p>
    <w:p w14:paraId="2DAF35CA" w14:textId="77777777" w:rsidR="000864FE" w:rsidRPr="000864FE" w:rsidRDefault="000864FE" w:rsidP="000864FE">
      <w:pPr>
        <w:pStyle w:val="BodyTextGrey"/>
        <w:spacing w:after="60"/>
        <w:rPr>
          <w:color w:val="auto"/>
          <w:sz w:val="24"/>
          <w:szCs w:val="24"/>
        </w:rPr>
      </w:pPr>
      <w:r w:rsidRPr="000864FE">
        <w:rPr>
          <w:color w:val="auto"/>
          <w:sz w:val="24"/>
          <w:szCs w:val="24"/>
        </w:rPr>
        <w:t>The following principles set out the Fund’s approach:</w:t>
      </w:r>
    </w:p>
    <w:p w14:paraId="35AF574E" w14:textId="77777777" w:rsidR="000864FE" w:rsidRPr="000864FE" w:rsidRDefault="000864FE" w:rsidP="000864FE">
      <w:pPr>
        <w:pStyle w:val="BulletHymans"/>
        <w:rPr>
          <w:color w:val="auto"/>
          <w:sz w:val="24"/>
          <w:szCs w:val="24"/>
        </w:rPr>
      </w:pPr>
      <w:r w:rsidRPr="000864FE">
        <w:rPr>
          <w:color w:val="auto"/>
          <w:sz w:val="24"/>
          <w:szCs w:val="24"/>
        </w:rPr>
        <w:t>The Committee recognises that their duty is to act in the best financial interests of the Fund’s beneficiaries.  The Committee believes that ESG issues can have a material financial impact on the long term performance of its investments and consideration of such factors is a part of their fiduciary duty.</w:t>
      </w:r>
    </w:p>
    <w:p w14:paraId="22B52BC5" w14:textId="77777777" w:rsidR="000864FE" w:rsidRPr="000864FE" w:rsidRDefault="000864FE" w:rsidP="000864FE">
      <w:pPr>
        <w:pStyle w:val="BulletHymans"/>
        <w:rPr>
          <w:color w:val="auto"/>
          <w:sz w:val="24"/>
          <w:szCs w:val="24"/>
        </w:rPr>
      </w:pPr>
      <w:r w:rsidRPr="000864FE">
        <w:rPr>
          <w:color w:val="auto"/>
          <w:sz w:val="24"/>
          <w:szCs w:val="24"/>
        </w:rPr>
        <w:t>The Committee has a number of ESG related beliefs which are integrated into the Fund’s overall belief statement.  The Committee recognises that successful engagement can protect and enhance the long-term value of the Fund’s investments.  This engagement can apply across a range of assets.</w:t>
      </w:r>
    </w:p>
    <w:p w14:paraId="1B5CF5A4" w14:textId="77777777" w:rsidR="000864FE" w:rsidRPr="000864FE" w:rsidRDefault="000864FE" w:rsidP="000864FE">
      <w:pPr>
        <w:pStyle w:val="BulletHymans"/>
        <w:rPr>
          <w:color w:val="auto"/>
          <w:sz w:val="24"/>
          <w:szCs w:val="24"/>
        </w:rPr>
      </w:pPr>
      <w:r w:rsidRPr="000864FE">
        <w:rPr>
          <w:color w:val="auto"/>
          <w:sz w:val="24"/>
          <w:szCs w:val="24"/>
        </w:rPr>
        <w:t xml:space="preserve">The Committee endorses the principles embedded in the UK Stewardship Code.  </w:t>
      </w:r>
    </w:p>
    <w:p w14:paraId="58485C95" w14:textId="77777777" w:rsidR="000864FE" w:rsidRPr="000864FE" w:rsidRDefault="000864FE" w:rsidP="000864FE">
      <w:pPr>
        <w:pStyle w:val="BulletHymans"/>
        <w:rPr>
          <w:color w:val="auto"/>
          <w:sz w:val="24"/>
          <w:szCs w:val="24"/>
        </w:rPr>
      </w:pPr>
      <w:r w:rsidRPr="000864FE">
        <w:rPr>
          <w:color w:val="auto"/>
          <w:sz w:val="24"/>
          <w:szCs w:val="24"/>
        </w:rPr>
        <w:t>The Committee encourages engagement by their investment managers with investee companies on ESG factors to positively influence company behaviour and enhance the value of the holdings.  In addition, the Fund expects its investment managers to work collaboratively with others if this will lead to greater influence and deliver improved outcomes for shareholders and more broadly.</w:t>
      </w:r>
      <w:r w:rsidRPr="000864FE">
        <w:rPr>
          <w:color w:val="auto"/>
          <w:sz w:val="24"/>
          <w:szCs w:val="24"/>
          <w:highlight w:val="yellow"/>
        </w:rPr>
        <w:t xml:space="preserve">  </w:t>
      </w:r>
    </w:p>
    <w:p w14:paraId="6B14AF52" w14:textId="77777777" w:rsidR="000864FE" w:rsidRPr="000864FE" w:rsidRDefault="000864FE" w:rsidP="000864FE">
      <w:pPr>
        <w:pStyle w:val="BulletHymans"/>
        <w:rPr>
          <w:color w:val="auto"/>
          <w:sz w:val="24"/>
          <w:szCs w:val="24"/>
        </w:rPr>
      </w:pPr>
      <w:r w:rsidRPr="000864FE">
        <w:rPr>
          <w:color w:val="auto"/>
          <w:sz w:val="24"/>
          <w:szCs w:val="24"/>
        </w:rPr>
        <w:t xml:space="preserve">Investment managers are expected to take account of ESG factors as part of their investment analysis and decision-making process.  Further, ESG issues will be an explicit factor in considering the appointment of any new investment manager, mandate and benchmark.  </w:t>
      </w:r>
    </w:p>
    <w:p w14:paraId="1396CBE9" w14:textId="77777777" w:rsidR="000864FE" w:rsidRPr="000864FE" w:rsidRDefault="000864FE" w:rsidP="000864FE">
      <w:pPr>
        <w:pStyle w:val="BulletHymans"/>
        <w:rPr>
          <w:color w:val="auto"/>
          <w:sz w:val="24"/>
          <w:szCs w:val="24"/>
        </w:rPr>
      </w:pPr>
      <w:r w:rsidRPr="000864FE">
        <w:rPr>
          <w:color w:val="auto"/>
          <w:sz w:val="24"/>
          <w:szCs w:val="24"/>
        </w:rPr>
        <w:t xml:space="preserve">Investment managers are expected to incorporate reporting on ESG factors into their regular reporting.  This includes information on voting and engagement, in addition to details on how the investment managers assess and manage ESG factors in relation to their respective mandates.  The Committee encourages their investment managers to develop their reporting and monitoring of ESG factors over time.  </w:t>
      </w:r>
    </w:p>
    <w:p w14:paraId="1B196B82" w14:textId="77777777" w:rsidR="000864FE" w:rsidRPr="000864FE" w:rsidRDefault="000864FE" w:rsidP="000864FE">
      <w:pPr>
        <w:pStyle w:val="BulletHymans"/>
        <w:rPr>
          <w:color w:val="auto"/>
          <w:sz w:val="24"/>
          <w:szCs w:val="24"/>
        </w:rPr>
      </w:pPr>
      <w:r w:rsidRPr="000864FE">
        <w:rPr>
          <w:color w:val="auto"/>
          <w:sz w:val="24"/>
          <w:szCs w:val="24"/>
        </w:rPr>
        <w:t xml:space="preserve">The Committee believes that they will have greater influence on the future direction of companies if they remain invested. Overall engagement activities are viewed by the Committee as a key element of the broader approach to responsible investing. Remaining invested provides the Fund with a voice on how </w:t>
      </w:r>
      <w:r w:rsidRPr="000864FE">
        <w:rPr>
          <w:color w:val="auto"/>
          <w:sz w:val="24"/>
          <w:szCs w:val="24"/>
        </w:rPr>
        <w:lastRenderedPageBreak/>
        <w:t xml:space="preserve">companies are generating their revenues and how they will change in the future.  The Committee view divestment as being the ultimate sanction.  </w:t>
      </w:r>
    </w:p>
    <w:p w14:paraId="393E271B" w14:textId="77777777" w:rsidR="000864FE" w:rsidRPr="000864FE" w:rsidRDefault="000864FE" w:rsidP="000864FE">
      <w:pPr>
        <w:pStyle w:val="BulletHymans"/>
        <w:rPr>
          <w:color w:val="auto"/>
          <w:sz w:val="24"/>
          <w:szCs w:val="24"/>
        </w:rPr>
      </w:pPr>
      <w:r w:rsidRPr="000864FE">
        <w:rPr>
          <w:color w:val="auto"/>
          <w:sz w:val="24"/>
          <w:szCs w:val="24"/>
        </w:rPr>
        <w:t xml:space="preserve">The Committee intends to make use of collaboration with other funds to pursue their engagement policy.  To help with this, the Fund is a member of the Local Authority Pension Fund Forum (“LAPFF”), one of the UK’s leading collaborative shareholder engagement group.  </w:t>
      </w:r>
    </w:p>
    <w:p w14:paraId="206EF839" w14:textId="77777777" w:rsidR="000864FE" w:rsidRPr="000864FE" w:rsidRDefault="000864FE" w:rsidP="000864FE">
      <w:pPr>
        <w:pStyle w:val="BulletHymans"/>
        <w:rPr>
          <w:color w:val="auto"/>
          <w:sz w:val="24"/>
          <w:szCs w:val="24"/>
        </w:rPr>
      </w:pPr>
      <w:r w:rsidRPr="000864FE">
        <w:rPr>
          <w:color w:val="auto"/>
          <w:sz w:val="24"/>
          <w:szCs w:val="24"/>
        </w:rPr>
        <w:t>The Committee seeks greater transparency of the ESG relative aspects associated with their underlying investments.  This includes the extent of the Fund’s equity investments’ carbon exposure and the Fund’s exposure to stocks that may gain from a change in industry carbon policy.</w:t>
      </w:r>
    </w:p>
    <w:p w14:paraId="5C356C23" w14:textId="77777777" w:rsidR="000864FE" w:rsidRPr="000864FE" w:rsidRDefault="000864FE" w:rsidP="000864FE">
      <w:pPr>
        <w:pStyle w:val="BulletHymans"/>
        <w:rPr>
          <w:color w:val="auto"/>
          <w:sz w:val="24"/>
          <w:szCs w:val="24"/>
        </w:rPr>
      </w:pPr>
      <w:r w:rsidRPr="000864FE">
        <w:rPr>
          <w:color w:val="auto"/>
          <w:sz w:val="24"/>
          <w:szCs w:val="24"/>
        </w:rPr>
        <w:t>The Committee has made a commitment to reduce the Fund’s listed equity portfolio’s carbon exposure, as part of this, it has set a target of the Fund’s equities being 50% lower when compared to the global stockmarket by 2022 (MSCI AC World index, measured in terms of carbon emissions per $m invested).</w:t>
      </w:r>
    </w:p>
    <w:p w14:paraId="088254DB" w14:textId="77777777" w:rsidR="000864FE" w:rsidRPr="000864FE" w:rsidRDefault="000864FE" w:rsidP="000864FE">
      <w:pPr>
        <w:pStyle w:val="BulletHymans"/>
        <w:rPr>
          <w:color w:val="auto"/>
          <w:sz w:val="24"/>
          <w:szCs w:val="24"/>
        </w:rPr>
      </w:pPr>
      <w:r w:rsidRPr="000864FE">
        <w:rPr>
          <w:color w:val="auto"/>
          <w:sz w:val="24"/>
          <w:szCs w:val="24"/>
        </w:rPr>
        <w:t xml:space="preserve">The Committee may consider portfolio ‘tilts’ in line with ESG or responsible investment objectives. </w:t>
      </w:r>
    </w:p>
    <w:p w14:paraId="0AFE1CBE" w14:textId="77777777" w:rsidR="000864FE" w:rsidRPr="000864FE" w:rsidRDefault="000864FE" w:rsidP="000864FE">
      <w:pPr>
        <w:pStyle w:val="BulletHymans"/>
        <w:rPr>
          <w:color w:val="auto"/>
          <w:sz w:val="24"/>
          <w:szCs w:val="24"/>
        </w:rPr>
      </w:pPr>
      <w:r w:rsidRPr="000864FE">
        <w:rPr>
          <w:color w:val="auto"/>
          <w:sz w:val="24"/>
          <w:szCs w:val="24"/>
        </w:rPr>
        <w:t>Training and education is likely to form a key element in developing the Fund and its Committee position on ESG related matters.</w:t>
      </w:r>
    </w:p>
    <w:p w14:paraId="51A16DEE" w14:textId="77777777" w:rsidR="000864FE" w:rsidRDefault="000864FE" w:rsidP="000864FE">
      <w:pPr>
        <w:pStyle w:val="Heading2"/>
        <w:rPr>
          <w:rFonts w:cs="Arial"/>
          <w:sz w:val="24"/>
          <w:szCs w:val="24"/>
        </w:rPr>
      </w:pPr>
      <w:r w:rsidRPr="000864FE">
        <w:rPr>
          <w:rFonts w:cs="Arial"/>
          <w:sz w:val="24"/>
          <w:szCs w:val="24"/>
        </w:rPr>
        <w:t>Voting policy</w:t>
      </w:r>
    </w:p>
    <w:p w14:paraId="3903132F" w14:textId="77777777" w:rsidR="000864FE" w:rsidRPr="000864FE" w:rsidRDefault="000864FE" w:rsidP="000864FE"/>
    <w:p w14:paraId="4603D61A" w14:textId="77777777" w:rsidR="000864FE" w:rsidRPr="000864FE" w:rsidRDefault="000864FE" w:rsidP="000864FE">
      <w:pPr>
        <w:pStyle w:val="BodyTextGrey"/>
        <w:rPr>
          <w:color w:val="auto"/>
          <w:sz w:val="24"/>
          <w:szCs w:val="24"/>
        </w:rPr>
      </w:pPr>
      <w:r w:rsidRPr="000864FE">
        <w:rPr>
          <w:color w:val="auto"/>
          <w:sz w:val="24"/>
          <w:szCs w:val="24"/>
        </w:rPr>
        <w:t xml:space="preserve">The Committee and the Officers work closely with the Fund’s investment managers to support good corporate behaviour.  </w:t>
      </w:r>
    </w:p>
    <w:p w14:paraId="1C399018" w14:textId="77777777" w:rsidR="000864FE" w:rsidRPr="000864FE" w:rsidRDefault="000864FE" w:rsidP="000864FE">
      <w:pPr>
        <w:pStyle w:val="BodyTextGrey"/>
        <w:rPr>
          <w:color w:val="auto"/>
          <w:sz w:val="24"/>
          <w:szCs w:val="24"/>
        </w:rPr>
      </w:pPr>
      <w:r w:rsidRPr="000864FE">
        <w:rPr>
          <w:color w:val="auto"/>
          <w:sz w:val="24"/>
          <w:szCs w:val="24"/>
        </w:rPr>
        <w:t>The managers are required to exercise their voting rights on behalf of the Fund when it is in the best interests of the Fund.  Voting will be in accordance with the managers’ corporate governance policies.  The Committee also retains the right to instruct managers at any time to vote according to the Committee’s wishes on a particular resolution (acknowledging that there may be limitations as to how this would work for pooled investments).</w:t>
      </w:r>
    </w:p>
    <w:p w14:paraId="6759AABA" w14:textId="77777777" w:rsidR="000864FE" w:rsidRPr="000864FE" w:rsidRDefault="000864FE" w:rsidP="000864FE">
      <w:pPr>
        <w:pStyle w:val="BodyTextGrey"/>
        <w:rPr>
          <w:color w:val="auto"/>
          <w:sz w:val="24"/>
          <w:szCs w:val="24"/>
        </w:rPr>
      </w:pPr>
      <w:r w:rsidRPr="000864FE">
        <w:rPr>
          <w:color w:val="auto"/>
          <w:sz w:val="24"/>
          <w:szCs w:val="24"/>
        </w:rPr>
        <w:t>The Committee review their managers’ voting guidelines on a regular basis (at least biannual) to determine their appropriateness for the Fund.</w:t>
      </w:r>
    </w:p>
    <w:p w14:paraId="75F7A2BE" w14:textId="77777777" w:rsidR="000864FE" w:rsidRPr="000864FE" w:rsidRDefault="000864FE" w:rsidP="000864FE">
      <w:pPr>
        <w:pStyle w:val="BodyTextGrey"/>
        <w:rPr>
          <w:color w:val="auto"/>
          <w:sz w:val="24"/>
          <w:szCs w:val="24"/>
        </w:rPr>
      </w:pPr>
      <w:r w:rsidRPr="000864FE">
        <w:rPr>
          <w:color w:val="auto"/>
          <w:sz w:val="24"/>
          <w:szCs w:val="24"/>
        </w:rPr>
        <w:t xml:space="preserve">All managers are expected to report their voting records on a quarterly basis.  The Committee is committed to disclose voting records to the Fund’s membership on an annual basis through the Fund’s website. </w:t>
      </w:r>
    </w:p>
    <w:p w14:paraId="382B58EC" w14:textId="77777777" w:rsidR="000864FE" w:rsidRPr="000864FE" w:rsidRDefault="000864FE" w:rsidP="000864FE">
      <w:pPr>
        <w:pStyle w:val="BodyTextGrey"/>
        <w:rPr>
          <w:color w:val="auto"/>
          <w:sz w:val="24"/>
          <w:szCs w:val="24"/>
        </w:rPr>
      </w:pPr>
      <w:r w:rsidRPr="000864FE">
        <w:rPr>
          <w:color w:val="auto"/>
          <w:sz w:val="24"/>
          <w:szCs w:val="24"/>
        </w:rPr>
        <w:t>In making any future manager appointments, the Committee will assess the managers’ voting policy as part of the due diligence process and will instruct the appointed manager accordingly.  The Committee will also liaise closely with the Wales Pool Operator to ensure that they also adopt this approach.</w:t>
      </w:r>
    </w:p>
    <w:p w14:paraId="71FF1FFC" w14:textId="77777777" w:rsidR="000864FE" w:rsidRDefault="000864FE" w:rsidP="000864FE">
      <w:pPr>
        <w:pStyle w:val="Heading2"/>
        <w:rPr>
          <w:rFonts w:cs="Arial"/>
          <w:sz w:val="24"/>
          <w:szCs w:val="24"/>
        </w:rPr>
      </w:pPr>
      <w:r w:rsidRPr="000864FE">
        <w:rPr>
          <w:rFonts w:cs="Arial"/>
          <w:sz w:val="24"/>
          <w:szCs w:val="24"/>
        </w:rPr>
        <w:lastRenderedPageBreak/>
        <w:t xml:space="preserve">Engagement policy </w:t>
      </w:r>
    </w:p>
    <w:p w14:paraId="637B06F9" w14:textId="77777777" w:rsidR="000864FE" w:rsidRPr="000864FE" w:rsidRDefault="000864FE" w:rsidP="000864FE"/>
    <w:p w14:paraId="01C76530" w14:textId="77777777" w:rsidR="000864FE" w:rsidRPr="000864FE" w:rsidRDefault="000864FE" w:rsidP="000864FE">
      <w:pPr>
        <w:pStyle w:val="NumberHymans"/>
        <w:numPr>
          <w:ilvl w:val="0"/>
          <w:numId w:val="0"/>
        </w:numPr>
        <w:rPr>
          <w:color w:val="auto"/>
          <w:sz w:val="24"/>
          <w:szCs w:val="24"/>
        </w:rPr>
      </w:pPr>
      <w:r w:rsidRPr="000864FE">
        <w:rPr>
          <w:color w:val="auto"/>
          <w:sz w:val="24"/>
          <w:szCs w:val="24"/>
        </w:rPr>
        <w:t xml:space="preserve">The Committee believe that engagement is a positive activity and encourage the Fund’s investment managers to engage where they believe that value can be added or risk can be reduced.  </w:t>
      </w:r>
    </w:p>
    <w:p w14:paraId="59819709" w14:textId="77777777" w:rsidR="000864FE" w:rsidRPr="000864FE" w:rsidRDefault="000864FE" w:rsidP="000864FE">
      <w:pPr>
        <w:pStyle w:val="NumberHymans"/>
        <w:numPr>
          <w:ilvl w:val="0"/>
          <w:numId w:val="0"/>
        </w:numPr>
        <w:rPr>
          <w:color w:val="auto"/>
          <w:sz w:val="24"/>
          <w:szCs w:val="24"/>
        </w:rPr>
      </w:pPr>
      <w:r w:rsidRPr="000864FE">
        <w:rPr>
          <w:color w:val="auto"/>
          <w:sz w:val="24"/>
          <w:szCs w:val="24"/>
        </w:rPr>
        <w:t>The Committee believes that all engagements should have well-defined objectives. The Fund’s investment managers are to report on the objectives of any engagement activity, along with the consequent success or failure of any actions taken on, at least, an annual basis.  The Committee will publish a summary of engagement activity undertaken by their managers on an annual basis.  The Committee will also publish other collaborative activity carried out over the year e.g. as part of the membership with LAPFF.</w:t>
      </w:r>
    </w:p>
    <w:p w14:paraId="5B8C21BE" w14:textId="77777777" w:rsidR="000864FE" w:rsidRPr="000864FE" w:rsidRDefault="000864FE" w:rsidP="000864FE">
      <w:pPr>
        <w:pStyle w:val="NumberHymans"/>
        <w:numPr>
          <w:ilvl w:val="0"/>
          <w:numId w:val="0"/>
        </w:numPr>
        <w:spacing w:before="200" w:after="60"/>
        <w:rPr>
          <w:color w:val="auto"/>
          <w:sz w:val="24"/>
          <w:szCs w:val="24"/>
        </w:rPr>
      </w:pPr>
      <w:r w:rsidRPr="000864FE">
        <w:rPr>
          <w:color w:val="auto"/>
          <w:sz w:val="24"/>
          <w:szCs w:val="24"/>
        </w:rPr>
        <w:t>The Committee supports engagement activity that seeks to achieve:</w:t>
      </w:r>
    </w:p>
    <w:p w14:paraId="29F74EF7" w14:textId="77777777" w:rsidR="000864FE" w:rsidRPr="000864FE" w:rsidRDefault="000864FE" w:rsidP="000864FE">
      <w:pPr>
        <w:pStyle w:val="BulletHymans"/>
        <w:spacing w:after="20"/>
        <w:rPr>
          <w:color w:val="auto"/>
          <w:sz w:val="24"/>
          <w:szCs w:val="24"/>
        </w:rPr>
      </w:pPr>
      <w:r w:rsidRPr="000864FE">
        <w:rPr>
          <w:color w:val="auto"/>
          <w:sz w:val="24"/>
          <w:szCs w:val="24"/>
        </w:rPr>
        <w:t>Greater disclosure of information on the ESG related risks that could affect the value of an investment;</w:t>
      </w:r>
    </w:p>
    <w:p w14:paraId="0F9D2483" w14:textId="77777777" w:rsidR="000864FE" w:rsidRPr="000864FE" w:rsidRDefault="000864FE" w:rsidP="000864FE">
      <w:pPr>
        <w:pStyle w:val="BulletHymans"/>
        <w:rPr>
          <w:color w:val="auto"/>
          <w:sz w:val="24"/>
          <w:szCs w:val="24"/>
        </w:rPr>
      </w:pPr>
      <w:r w:rsidRPr="000864FE">
        <w:rPr>
          <w:color w:val="auto"/>
          <w:sz w:val="24"/>
          <w:szCs w:val="24"/>
        </w:rPr>
        <w:t>Transparency of an investments’ carbon exposure and how such companies are preparing for the transition to a low carbon economy.</w:t>
      </w:r>
      <w:r w:rsidRPr="000864FE">
        <w:rPr>
          <w:rStyle w:val="FootnoteReference"/>
          <w:color w:val="auto"/>
          <w:sz w:val="24"/>
          <w:szCs w:val="24"/>
        </w:rPr>
        <w:footnoteReference w:id="1"/>
      </w:r>
    </w:p>
    <w:p w14:paraId="1A8E73B5" w14:textId="77777777" w:rsidR="000864FE" w:rsidRPr="000864FE" w:rsidRDefault="000864FE" w:rsidP="000864FE">
      <w:pPr>
        <w:pStyle w:val="NumberHymans"/>
        <w:numPr>
          <w:ilvl w:val="0"/>
          <w:numId w:val="0"/>
        </w:numPr>
        <w:rPr>
          <w:color w:val="auto"/>
          <w:sz w:val="24"/>
          <w:szCs w:val="24"/>
        </w:rPr>
      </w:pPr>
      <w:r w:rsidRPr="000864FE">
        <w:rPr>
          <w:color w:val="auto"/>
          <w:sz w:val="24"/>
          <w:szCs w:val="24"/>
        </w:rPr>
        <w:t xml:space="preserve">The Committee encourage their investment managers to actively participate in collaborative engagements with other investors where this is deemed to be in the best interests of the Fund.  Managers are to report on their collaborations on an annual basis. </w:t>
      </w:r>
    </w:p>
    <w:p w14:paraId="65F9B07B" w14:textId="77777777" w:rsidR="000864FE" w:rsidRPr="000864FE" w:rsidRDefault="000864FE" w:rsidP="000864FE">
      <w:pPr>
        <w:pStyle w:val="NumberHymans"/>
        <w:numPr>
          <w:ilvl w:val="0"/>
          <w:numId w:val="0"/>
        </w:numPr>
        <w:rPr>
          <w:color w:val="auto"/>
          <w:sz w:val="24"/>
          <w:szCs w:val="24"/>
        </w:rPr>
      </w:pPr>
      <w:r w:rsidRPr="000864FE">
        <w:rPr>
          <w:color w:val="auto"/>
          <w:sz w:val="24"/>
          <w:szCs w:val="24"/>
        </w:rPr>
        <w:t>The Committees’ investment consultant is required to provide input and analysis to assist the Committee in assessing the Fund’s investment managers’ performance from an ESG engagement perspective.  This includes working closely with the Officers to develop the appropriate training arrangements.</w:t>
      </w:r>
    </w:p>
    <w:p w14:paraId="36F454B2" w14:textId="77777777" w:rsidR="000864FE" w:rsidRPr="000864FE" w:rsidRDefault="000864FE" w:rsidP="000864FE">
      <w:pPr>
        <w:pStyle w:val="NumberHymans"/>
        <w:numPr>
          <w:ilvl w:val="0"/>
          <w:numId w:val="0"/>
        </w:numPr>
        <w:rPr>
          <w:i/>
          <w:color w:val="auto"/>
          <w:sz w:val="24"/>
          <w:szCs w:val="24"/>
        </w:rPr>
      </w:pPr>
      <w:r w:rsidRPr="000864FE">
        <w:rPr>
          <w:color w:val="auto"/>
          <w:sz w:val="24"/>
          <w:szCs w:val="24"/>
        </w:rPr>
        <w:t>The Committee liaise closely with the Wales Pool Operator to ensure that they also adopt the approaches set in this policy.  The Fund’s investment managers are encouraged to sign up to the appropriate industry initiatives, including the UK Stewardship Code, LGPS Cost Transparency and the Principles of Responsible Investment.  The Fund is not currently signed up to the UK Stewardship Code or the PRI but is investigating the possibility.</w:t>
      </w:r>
      <w:r w:rsidRPr="000864FE">
        <w:rPr>
          <w:i/>
          <w:color w:val="auto"/>
          <w:sz w:val="24"/>
          <w:szCs w:val="24"/>
        </w:rPr>
        <w:t xml:space="preserve"> </w:t>
      </w:r>
    </w:p>
    <w:p w14:paraId="56620DB9" w14:textId="77777777" w:rsidR="000864FE" w:rsidRPr="000864FE" w:rsidRDefault="000864FE" w:rsidP="000864FE">
      <w:pPr>
        <w:pStyle w:val="Heading1"/>
        <w:rPr>
          <w:rFonts w:cs="Arial"/>
          <w:szCs w:val="24"/>
        </w:rPr>
      </w:pPr>
      <w:r w:rsidRPr="000864FE">
        <w:rPr>
          <w:rFonts w:cs="Arial"/>
          <w:szCs w:val="24"/>
        </w:rPr>
        <w:t>Appendix 1: Carbon exposure – 2017 review</w:t>
      </w:r>
    </w:p>
    <w:p w14:paraId="0AB562FA" w14:textId="77777777" w:rsidR="000864FE" w:rsidRPr="000864FE" w:rsidRDefault="000864FE" w:rsidP="000864FE">
      <w:pPr>
        <w:pStyle w:val="BodyTextGrey"/>
        <w:rPr>
          <w:i/>
          <w:color w:val="auto"/>
          <w:sz w:val="24"/>
          <w:szCs w:val="24"/>
        </w:rPr>
      </w:pPr>
      <w:r w:rsidRPr="000864FE">
        <w:rPr>
          <w:i/>
          <w:color w:val="auto"/>
          <w:sz w:val="24"/>
          <w:szCs w:val="24"/>
        </w:rPr>
        <w:t>Paper issued by Hymans Robertson in March 2018</w:t>
      </w:r>
    </w:p>
    <w:p w14:paraId="6BA2D275" w14:textId="77777777" w:rsidR="000864FE" w:rsidRDefault="000864FE" w:rsidP="000864FE">
      <w:pPr>
        <w:pStyle w:val="Heading2"/>
        <w:rPr>
          <w:rFonts w:cs="Arial"/>
          <w:sz w:val="24"/>
          <w:szCs w:val="24"/>
        </w:rPr>
      </w:pPr>
      <w:r w:rsidRPr="000864FE">
        <w:rPr>
          <w:rFonts w:cs="Arial"/>
          <w:sz w:val="24"/>
          <w:szCs w:val="24"/>
        </w:rPr>
        <w:lastRenderedPageBreak/>
        <w:t>Background</w:t>
      </w:r>
    </w:p>
    <w:p w14:paraId="6070B0D6" w14:textId="77777777" w:rsidR="000864FE" w:rsidRPr="000864FE" w:rsidRDefault="000864FE" w:rsidP="000864FE"/>
    <w:p w14:paraId="5E3CF5F4" w14:textId="77777777" w:rsidR="000864FE" w:rsidRPr="000864FE" w:rsidRDefault="000864FE" w:rsidP="000864FE">
      <w:pPr>
        <w:pStyle w:val="Heading3"/>
        <w:jc w:val="left"/>
        <w:rPr>
          <w:rFonts w:cs="Arial"/>
          <w:szCs w:val="24"/>
        </w:rPr>
      </w:pPr>
      <w:r w:rsidRPr="000864FE">
        <w:rPr>
          <w:rFonts w:cs="Arial"/>
          <w:szCs w:val="24"/>
        </w:rPr>
        <w:t>Environmental Social and Governance (“ESG”)</w:t>
      </w:r>
    </w:p>
    <w:p w14:paraId="63B48747" w14:textId="77777777" w:rsidR="000864FE" w:rsidRPr="000864FE" w:rsidRDefault="000864FE" w:rsidP="000864FE">
      <w:pPr>
        <w:pStyle w:val="BodyTextGrey"/>
        <w:rPr>
          <w:color w:val="auto"/>
          <w:sz w:val="24"/>
          <w:szCs w:val="24"/>
        </w:rPr>
      </w:pPr>
      <w:r w:rsidRPr="000864FE">
        <w:rPr>
          <w:color w:val="auto"/>
          <w:sz w:val="24"/>
          <w:szCs w:val="24"/>
        </w:rPr>
        <w:t>The Committee has taken a number of steps to understand the impact of ESG issues on the Fund.  In November 2017, Hymans Robertson delivered a detailed training session covering responsible investing, ESG and climate change. Hermes Equity</w:t>
      </w:r>
      <w:r w:rsidRPr="000864FE">
        <w:rPr>
          <w:sz w:val="24"/>
          <w:szCs w:val="24"/>
        </w:rPr>
        <w:t xml:space="preserve"> </w:t>
      </w:r>
      <w:r w:rsidRPr="000864FE">
        <w:rPr>
          <w:color w:val="auto"/>
          <w:sz w:val="24"/>
          <w:szCs w:val="24"/>
        </w:rPr>
        <w:t>Ownership Service also delivered a presentation highlighting examples of the positive change they had delivered through engaging with companies’ management and placing shareholder votes on their clients’ behalf.  The Committee and Board considered their “investment beliefs” in the context of ESG matters and the results have recently been used to develop the ESG policy outlined in this paper</w:t>
      </w:r>
    </w:p>
    <w:p w14:paraId="1FB68F61" w14:textId="77777777" w:rsidR="000864FE" w:rsidRPr="000864FE" w:rsidRDefault="000864FE" w:rsidP="000864FE">
      <w:pPr>
        <w:pStyle w:val="Heading3"/>
        <w:jc w:val="left"/>
        <w:rPr>
          <w:rFonts w:cs="Arial"/>
          <w:szCs w:val="24"/>
        </w:rPr>
      </w:pPr>
      <w:r w:rsidRPr="000864FE">
        <w:rPr>
          <w:rFonts w:cs="Arial"/>
          <w:szCs w:val="24"/>
        </w:rPr>
        <w:t>Carbon</w:t>
      </w:r>
    </w:p>
    <w:p w14:paraId="39A734E3" w14:textId="77777777" w:rsidR="000864FE" w:rsidRPr="000864FE" w:rsidRDefault="000864FE" w:rsidP="000864FE">
      <w:pPr>
        <w:pStyle w:val="BodyTextGrey"/>
        <w:rPr>
          <w:color w:val="auto"/>
          <w:sz w:val="24"/>
          <w:szCs w:val="24"/>
        </w:rPr>
      </w:pPr>
      <w:r w:rsidRPr="000864FE">
        <w:rPr>
          <w:color w:val="auto"/>
          <w:sz w:val="24"/>
          <w:szCs w:val="24"/>
        </w:rPr>
        <w:t>As part of the Fund’s ESG focus, the Committee commissioned MSCI to undertake an analysis of the portfolio’s carbon exposure.  MSCI has information on each global stocks’ carbon related exposure (or is in a position to make an assumption</w:t>
      </w:r>
      <w:r w:rsidRPr="000864FE">
        <w:rPr>
          <w:rStyle w:val="FootnoteReference"/>
          <w:color w:val="auto"/>
          <w:sz w:val="24"/>
          <w:szCs w:val="24"/>
        </w:rPr>
        <w:footnoteReference w:id="2"/>
      </w:r>
      <w:r w:rsidRPr="000864FE">
        <w:rPr>
          <w:color w:val="auto"/>
          <w:sz w:val="24"/>
          <w:szCs w:val="24"/>
        </w:rPr>
        <w:t>).  Using this information, MSCI is able to compare the carbon exposure of the Fund’s holdings with a range of reference benchmarks.</w:t>
      </w:r>
    </w:p>
    <w:p w14:paraId="5EA4A83A" w14:textId="77777777" w:rsidR="000864FE" w:rsidRPr="000864FE" w:rsidRDefault="000864FE" w:rsidP="000864FE">
      <w:pPr>
        <w:pStyle w:val="BodyTextGrey"/>
        <w:rPr>
          <w:color w:val="auto"/>
          <w:sz w:val="24"/>
          <w:szCs w:val="24"/>
        </w:rPr>
      </w:pPr>
      <w:r w:rsidRPr="000864FE">
        <w:rPr>
          <w:color w:val="auto"/>
          <w:sz w:val="24"/>
          <w:szCs w:val="24"/>
        </w:rPr>
        <w:t>MSCI was provided with the individual holdings data from each of the Fund’s equity managers (ex-Aberdeen’s’ frontier markets mandate due to lack of comparable industry benchmark data) and with specific details on each of the mandates in terms of their benchmarks and allocations</w:t>
      </w:r>
      <w:r w:rsidRPr="000864FE">
        <w:rPr>
          <w:rStyle w:val="FootnoteReference"/>
          <w:color w:val="auto"/>
          <w:sz w:val="24"/>
          <w:szCs w:val="24"/>
        </w:rPr>
        <w:footnoteReference w:id="3"/>
      </w:r>
      <w:r w:rsidRPr="000864FE">
        <w:rPr>
          <w:color w:val="auto"/>
          <w:sz w:val="24"/>
          <w:szCs w:val="24"/>
        </w:rPr>
        <w:t>.   MSCI then compared the portfolio versus the broad global market capitalisation index (e.g. the MSCI ACWI as a proxy for the global stockmarket) and versus a low carbon version of the global index (this index has the same performance objective of the broad market capitalisation index, but has a general aim of being overweight to companies with low emissions relative to sales and low potential emissions).</w:t>
      </w:r>
    </w:p>
    <w:p w14:paraId="6DD6A903" w14:textId="77777777" w:rsidR="000864FE" w:rsidRPr="000864FE" w:rsidRDefault="000864FE" w:rsidP="000864FE">
      <w:pPr>
        <w:pStyle w:val="BodyTextGrey"/>
        <w:rPr>
          <w:color w:val="auto"/>
          <w:sz w:val="24"/>
          <w:szCs w:val="24"/>
        </w:rPr>
      </w:pPr>
      <w:r w:rsidRPr="000864FE">
        <w:rPr>
          <w:color w:val="auto"/>
          <w:sz w:val="24"/>
          <w:szCs w:val="24"/>
        </w:rPr>
        <w:t>In the remainder of this paper, we consider the results from this analysis and set out potential next steps for the Fund.</w:t>
      </w:r>
    </w:p>
    <w:p w14:paraId="5F1EC02A" w14:textId="77777777" w:rsidR="000864FE" w:rsidRPr="000864FE" w:rsidRDefault="000864FE" w:rsidP="000864FE">
      <w:pPr>
        <w:pStyle w:val="Heading2"/>
        <w:rPr>
          <w:rFonts w:cs="Arial"/>
          <w:sz w:val="24"/>
          <w:szCs w:val="24"/>
        </w:rPr>
      </w:pPr>
      <w:r w:rsidRPr="000864FE">
        <w:rPr>
          <w:rFonts w:cs="Arial"/>
          <w:sz w:val="24"/>
          <w:szCs w:val="24"/>
        </w:rPr>
        <w:t>Output of the analysis</w:t>
      </w:r>
    </w:p>
    <w:p w14:paraId="39BEF0A3" w14:textId="77777777" w:rsidR="000864FE" w:rsidRPr="000864FE" w:rsidRDefault="000864FE" w:rsidP="000864FE">
      <w:pPr>
        <w:pStyle w:val="Heading3"/>
        <w:jc w:val="left"/>
        <w:rPr>
          <w:rFonts w:cs="Arial"/>
          <w:szCs w:val="24"/>
        </w:rPr>
      </w:pPr>
      <w:r w:rsidRPr="000864FE">
        <w:rPr>
          <w:rFonts w:cs="Arial"/>
          <w:szCs w:val="24"/>
        </w:rPr>
        <w:t>Overview</w:t>
      </w:r>
    </w:p>
    <w:p w14:paraId="6D226DD6" w14:textId="77777777" w:rsidR="000864FE" w:rsidRPr="000864FE" w:rsidRDefault="000864FE" w:rsidP="000864FE">
      <w:pPr>
        <w:pStyle w:val="BodyTextGrey"/>
        <w:rPr>
          <w:color w:val="auto"/>
          <w:sz w:val="24"/>
          <w:szCs w:val="24"/>
        </w:rPr>
      </w:pPr>
      <w:r w:rsidRPr="000864FE">
        <w:rPr>
          <w:color w:val="auto"/>
          <w:sz w:val="24"/>
          <w:szCs w:val="24"/>
        </w:rPr>
        <w:t xml:space="preserve">The analysis focuses on the Fund’s equity exposure at 31 March 2017.  This date was shown as it ties in with Fund’s year end.  </w:t>
      </w:r>
    </w:p>
    <w:p w14:paraId="5CDC95AA" w14:textId="77777777" w:rsidR="000864FE" w:rsidRPr="000864FE" w:rsidRDefault="000864FE" w:rsidP="000864FE">
      <w:pPr>
        <w:pStyle w:val="BodyTextGrey"/>
        <w:rPr>
          <w:color w:val="auto"/>
          <w:sz w:val="24"/>
          <w:szCs w:val="24"/>
        </w:rPr>
      </w:pPr>
      <w:r w:rsidRPr="000864FE">
        <w:rPr>
          <w:color w:val="auto"/>
          <w:sz w:val="24"/>
          <w:szCs w:val="24"/>
        </w:rPr>
        <w:t xml:space="preserve">The main objective was to get an understanding of the Fund’s carbon exposure.  However, it also created an opportunity to consider the positions being taken by the Fund’s active managers, relative to their benchmark.  The Fund’s passive manager’s exposure will be broadly in line with the underlying benchmark.  However, the analysis </w:t>
      </w:r>
      <w:r w:rsidRPr="000864FE">
        <w:rPr>
          <w:color w:val="auto"/>
          <w:sz w:val="24"/>
          <w:szCs w:val="24"/>
        </w:rPr>
        <w:lastRenderedPageBreak/>
        <w:t>gives the opportunity to compare the carbon exposure of the standard global benchmark versus its low carbon equivalent.</w:t>
      </w:r>
    </w:p>
    <w:p w14:paraId="15667C64" w14:textId="77777777" w:rsidR="000864FE" w:rsidRPr="000864FE" w:rsidRDefault="000864FE" w:rsidP="000864FE">
      <w:pPr>
        <w:pStyle w:val="BodyTextGrey"/>
        <w:rPr>
          <w:b/>
          <w:color w:val="auto"/>
          <w:sz w:val="24"/>
          <w:szCs w:val="24"/>
        </w:rPr>
      </w:pPr>
      <w:r w:rsidRPr="000864FE">
        <w:rPr>
          <w:color w:val="auto"/>
          <w:sz w:val="24"/>
          <w:szCs w:val="24"/>
        </w:rPr>
        <w:t>The analysis also includes some information regarding the Fund’s exposure to clean technology, which are expected to benefit from any move towards a more low carbon economy.</w:t>
      </w:r>
    </w:p>
    <w:p w14:paraId="17BED5CF" w14:textId="77777777" w:rsidR="000864FE" w:rsidRDefault="000864FE" w:rsidP="000864FE">
      <w:pPr>
        <w:pStyle w:val="Heading3"/>
        <w:jc w:val="left"/>
        <w:rPr>
          <w:rFonts w:cs="Arial"/>
          <w:szCs w:val="24"/>
        </w:rPr>
      </w:pPr>
      <w:r w:rsidRPr="000864FE">
        <w:rPr>
          <w:rFonts w:cs="Arial"/>
          <w:szCs w:val="24"/>
        </w:rPr>
        <w:t>Key carbon metrics</w:t>
      </w:r>
    </w:p>
    <w:p w14:paraId="0F1D12A3" w14:textId="77777777" w:rsidR="000864FE" w:rsidRPr="000864FE" w:rsidRDefault="000864FE" w:rsidP="000864FE"/>
    <w:p w14:paraId="69609FAD" w14:textId="77777777" w:rsidR="000864FE" w:rsidRPr="000864FE" w:rsidRDefault="000864FE" w:rsidP="000864FE">
      <w:pPr>
        <w:pStyle w:val="BodyTextGrey"/>
        <w:rPr>
          <w:color w:val="auto"/>
          <w:sz w:val="24"/>
          <w:szCs w:val="24"/>
        </w:rPr>
      </w:pPr>
      <w:r w:rsidRPr="000864FE">
        <w:rPr>
          <w:color w:val="auto"/>
          <w:sz w:val="24"/>
          <w:szCs w:val="24"/>
        </w:rPr>
        <w:t>The key metrics can be defined as:</w:t>
      </w:r>
    </w:p>
    <w:p w14:paraId="3ADA8CFC" w14:textId="77777777" w:rsidR="000864FE" w:rsidRPr="000864FE" w:rsidRDefault="000864FE" w:rsidP="000864FE">
      <w:pPr>
        <w:pStyle w:val="BulletHymans"/>
        <w:rPr>
          <w:color w:val="auto"/>
          <w:sz w:val="24"/>
          <w:szCs w:val="24"/>
        </w:rPr>
      </w:pPr>
      <w:r w:rsidRPr="000864FE">
        <w:rPr>
          <w:b/>
          <w:color w:val="auto"/>
          <w:sz w:val="24"/>
          <w:szCs w:val="24"/>
        </w:rPr>
        <w:t xml:space="preserve">Carbon emissions </w:t>
      </w:r>
      <w:r w:rsidRPr="000864FE">
        <w:rPr>
          <w:color w:val="auto"/>
          <w:sz w:val="24"/>
          <w:szCs w:val="24"/>
        </w:rPr>
        <w:t>-</w:t>
      </w:r>
      <w:r w:rsidRPr="000864FE">
        <w:rPr>
          <w:b/>
          <w:color w:val="auto"/>
          <w:sz w:val="24"/>
          <w:szCs w:val="24"/>
        </w:rPr>
        <w:t xml:space="preserve"> </w:t>
      </w:r>
      <w:r w:rsidRPr="000864FE">
        <w:rPr>
          <w:color w:val="auto"/>
          <w:sz w:val="24"/>
          <w:szCs w:val="24"/>
        </w:rPr>
        <w:t xml:space="preserve">the carbon emission (tonnes of CO2) per $million invested.   </w:t>
      </w:r>
      <w:r w:rsidRPr="000864FE">
        <w:rPr>
          <w:i/>
          <w:color w:val="auto"/>
          <w:sz w:val="24"/>
          <w:szCs w:val="24"/>
        </w:rPr>
        <w:t xml:space="preserve">Sum of (($investment in issuer/issuers’ market cap) * issuer’s emissions) – </w:t>
      </w:r>
      <w:r w:rsidRPr="000864FE">
        <w:rPr>
          <w:color w:val="auto"/>
          <w:sz w:val="24"/>
          <w:szCs w:val="24"/>
        </w:rPr>
        <w:t>results shown as per $m invested</w:t>
      </w:r>
    </w:p>
    <w:p w14:paraId="6D5F70EB" w14:textId="77777777" w:rsidR="000864FE" w:rsidRPr="000864FE" w:rsidRDefault="000864FE" w:rsidP="000864FE">
      <w:pPr>
        <w:pStyle w:val="BulletHymans"/>
        <w:rPr>
          <w:color w:val="auto"/>
          <w:sz w:val="24"/>
          <w:szCs w:val="24"/>
        </w:rPr>
      </w:pPr>
      <w:r w:rsidRPr="000864FE">
        <w:rPr>
          <w:b/>
          <w:color w:val="auto"/>
          <w:sz w:val="24"/>
          <w:szCs w:val="24"/>
        </w:rPr>
        <w:t>Carbon intensity</w:t>
      </w:r>
      <w:r w:rsidRPr="000864FE">
        <w:rPr>
          <w:color w:val="auto"/>
          <w:sz w:val="24"/>
          <w:szCs w:val="24"/>
        </w:rPr>
        <w:t xml:space="preserve"> – a measure of a portfolio’s carbon efficiency and is defined as the total carbon emissions of the portfolio as a proportion of portfolio sales. This is a useful metric in allowing the comparison of emissions across companies of different sizes and industries. </w:t>
      </w:r>
      <w:r w:rsidRPr="000864FE">
        <w:rPr>
          <w:i/>
          <w:color w:val="auto"/>
          <w:sz w:val="24"/>
          <w:szCs w:val="24"/>
        </w:rPr>
        <w:t xml:space="preserve">Sum of issuers’ carbon emissions/ Sum of issuers’ </w:t>
      </w:r>
      <w:r w:rsidRPr="000864FE">
        <w:rPr>
          <w:color w:val="auto"/>
          <w:sz w:val="24"/>
          <w:szCs w:val="24"/>
        </w:rPr>
        <w:t>$m sales</w:t>
      </w:r>
    </w:p>
    <w:p w14:paraId="017BCB41" w14:textId="77777777" w:rsidR="000864FE" w:rsidRPr="000864FE" w:rsidRDefault="000864FE" w:rsidP="000864FE">
      <w:pPr>
        <w:pStyle w:val="BulletHymans"/>
        <w:rPr>
          <w:color w:val="auto"/>
          <w:sz w:val="24"/>
          <w:szCs w:val="24"/>
        </w:rPr>
      </w:pPr>
      <w:r w:rsidRPr="000864FE">
        <w:rPr>
          <w:b/>
          <w:color w:val="auto"/>
          <w:sz w:val="24"/>
          <w:szCs w:val="24"/>
        </w:rPr>
        <w:t>Weighted average carbon</w:t>
      </w:r>
      <w:r w:rsidRPr="000864FE">
        <w:rPr>
          <w:color w:val="auto"/>
          <w:sz w:val="24"/>
          <w:szCs w:val="24"/>
        </w:rPr>
        <w:t xml:space="preserve"> </w:t>
      </w:r>
      <w:r w:rsidRPr="000864FE">
        <w:rPr>
          <w:b/>
          <w:color w:val="auto"/>
          <w:sz w:val="24"/>
          <w:szCs w:val="24"/>
        </w:rPr>
        <w:t>intensity</w:t>
      </w:r>
      <w:r w:rsidRPr="000864FE">
        <w:rPr>
          <w:color w:val="auto"/>
          <w:sz w:val="24"/>
          <w:szCs w:val="24"/>
        </w:rPr>
        <w:t xml:space="preserve"> – the sum product of the constituent weights and carbon intensity. </w:t>
      </w:r>
      <w:r w:rsidRPr="000864FE">
        <w:rPr>
          <w:i/>
          <w:color w:val="auto"/>
          <w:sz w:val="24"/>
          <w:szCs w:val="24"/>
        </w:rPr>
        <w:t xml:space="preserve">Sum of portfolio weights*carbon intensity </w:t>
      </w:r>
    </w:p>
    <w:p w14:paraId="0531350A" w14:textId="77777777" w:rsidR="00D60C26" w:rsidRDefault="000864FE" w:rsidP="00D60C26">
      <w:pPr>
        <w:pStyle w:val="BodyTextGrey"/>
        <w:rPr>
          <w:szCs w:val="24"/>
        </w:rPr>
      </w:pPr>
      <w:r w:rsidRPr="000864FE">
        <w:rPr>
          <w:color w:val="auto"/>
          <w:sz w:val="24"/>
          <w:szCs w:val="24"/>
        </w:rPr>
        <w:t>Each of these metrics have merit.  For the purpose of this paper, we define carbon emissions as the “carbon footprint”, but the other metrics could also have been defined in this way.</w:t>
      </w:r>
    </w:p>
    <w:p w14:paraId="4BCC6B7E" w14:textId="77777777" w:rsidR="00D60C26" w:rsidRDefault="00D60C26" w:rsidP="00BE174D">
      <w:pPr>
        <w:pStyle w:val="Heading3"/>
        <w:jc w:val="left"/>
        <w:rPr>
          <w:rFonts w:cs="Arial"/>
          <w:szCs w:val="24"/>
        </w:rPr>
      </w:pPr>
    </w:p>
    <w:p w14:paraId="7C44A236" w14:textId="77777777" w:rsidR="000864FE" w:rsidRDefault="000864FE" w:rsidP="00BE174D">
      <w:pPr>
        <w:pStyle w:val="Heading3"/>
        <w:jc w:val="left"/>
        <w:rPr>
          <w:rFonts w:cs="Arial"/>
          <w:szCs w:val="24"/>
        </w:rPr>
      </w:pPr>
      <w:r w:rsidRPr="000864FE">
        <w:rPr>
          <w:rFonts w:cs="Arial"/>
          <w:szCs w:val="24"/>
        </w:rPr>
        <w:t>Results</w:t>
      </w:r>
    </w:p>
    <w:p w14:paraId="700FDF9C" w14:textId="77777777" w:rsidR="00BE174D" w:rsidRPr="00BE174D" w:rsidRDefault="00BE174D" w:rsidP="00BE174D"/>
    <w:p w14:paraId="2C025663" w14:textId="77777777" w:rsidR="000864FE" w:rsidRPr="000864FE" w:rsidRDefault="000864FE" w:rsidP="000864FE">
      <w:pPr>
        <w:pStyle w:val="Heading4"/>
        <w:rPr>
          <w:rFonts w:cs="Arial"/>
          <w:sz w:val="24"/>
          <w:szCs w:val="24"/>
        </w:rPr>
      </w:pPr>
      <w:r w:rsidRPr="000864FE">
        <w:rPr>
          <w:rFonts w:cs="Arial"/>
          <w:sz w:val="24"/>
          <w:szCs w:val="24"/>
        </w:rPr>
        <w:t>Carbon focused</w:t>
      </w:r>
    </w:p>
    <w:p w14:paraId="70B8F166" w14:textId="77777777" w:rsidR="000864FE" w:rsidRPr="000864FE" w:rsidRDefault="000864FE" w:rsidP="000864FE">
      <w:pPr>
        <w:pStyle w:val="BodyTextGrey"/>
        <w:rPr>
          <w:color w:val="auto"/>
          <w:sz w:val="24"/>
          <w:szCs w:val="24"/>
        </w:rPr>
      </w:pPr>
      <w:r w:rsidRPr="000864FE">
        <w:rPr>
          <w:color w:val="auto"/>
          <w:sz w:val="24"/>
          <w:szCs w:val="24"/>
        </w:rPr>
        <w:t>Overall, the results are encouraging. As shown in chart 1, the Fund’s total equity holdings had a carbon footprint 9% lower than the MSCI ACWI and the weighted average carbon intensity is 16% lower.  However, Chart 1, also highlights that the MSCI Low Carbon benchmark has an 80% smaller carbon footprint than the MSCI ACWI index highlighting that the choice of the underlying benchmark can have a significant impact on investors’ carbon emissions.</w:t>
      </w:r>
      <w:r w:rsidRPr="000864FE">
        <w:rPr>
          <w:color w:val="auto"/>
          <w:sz w:val="24"/>
          <w:szCs w:val="24"/>
        </w:rPr>
        <w:tab/>
      </w:r>
    </w:p>
    <w:tbl>
      <w:tblPr>
        <w:tblW w:w="10201" w:type="dxa"/>
        <w:tblLayout w:type="fixed"/>
        <w:tblLook w:val="04A0" w:firstRow="1" w:lastRow="0" w:firstColumn="1" w:lastColumn="0" w:noHBand="0" w:noVBand="1"/>
      </w:tblPr>
      <w:tblGrid>
        <w:gridCol w:w="4815"/>
        <w:gridCol w:w="5386"/>
      </w:tblGrid>
      <w:tr w:rsidR="000864FE" w:rsidRPr="00FB1AA0" w14:paraId="605AB1DA" w14:textId="77777777" w:rsidTr="00FB1AA0">
        <w:tc>
          <w:tcPr>
            <w:tcW w:w="4815" w:type="dxa"/>
            <w:shd w:val="clear" w:color="auto" w:fill="auto"/>
          </w:tcPr>
          <w:p w14:paraId="0211C34E" w14:textId="15A74FFE" w:rsidR="000864FE" w:rsidRPr="00FB1AA0" w:rsidRDefault="00516E75" w:rsidP="00FB1AA0">
            <w:pPr>
              <w:pStyle w:val="Heading4"/>
              <w:ind w:left="504" w:hanging="504"/>
              <w:rPr>
                <w:rFonts w:cs="Arial"/>
                <w:sz w:val="24"/>
                <w:szCs w:val="24"/>
              </w:rPr>
            </w:pPr>
            <w:r>
              <w:rPr>
                <w:noProof/>
                <w:lang w:eastAsia="en-GB"/>
              </w:rPr>
              <w:lastRenderedPageBreak/>
              <w:drawing>
                <wp:inline distT="0" distB="0" distL="0" distR="0" wp14:anchorId="52D94E08" wp14:editId="63DFA419">
                  <wp:extent cx="3084195" cy="25025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4195" cy="2502535"/>
                          </a:xfrm>
                          <a:prstGeom prst="rect">
                            <a:avLst/>
                          </a:prstGeom>
                          <a:noFill/>
                          <a:ln>
                            <a:noFill/>
                          </a:ln>
                        </pic:spPr>
                      </pic:pic>
                    </a:graphicData>
                  </a:graphic>
                </wp:inline>
              </w:drawing>
            </w:r>
          </w:p>
        </w:tc>
        <w:tc>
          <w:tcPr>
            <w:tcW w:w="5386" w:type="dxa"/>
            <w:shd w:val="clear" w:color="auto" w:fill="auto"/>
          </w:tcPr>
          <w:p w14:paraId="7E7E3484" w14:textId="77777777" w:rsidR="000864FE" w:rsidRPr="00FB1AA0" w:rsidRDefault="000864FE" w:rsidP="00BE174D">
            <w:pPr>
              <w:pStyle w:val="Heading4"/>
              <w:ind w:left="504" w:hanging="504"/>
              <w:rPr>
                <w:rFonts w:cs="Arial"/>
                <w:sz w:val="24"/>
                <w:szCs w:val="24"/>
              </w:rPr>
            </w:pPr>
          </w:p>
          <w:p w14:paraId="4AB19A1A" w14:textId="01CA3321" w:rsidR="00BE174D" w:rsidRDefault="00516E75" w:rsidP="00BE174D">
            <w:r>
              <w:rPr>
                <w:noProof/>
                <w:lang w:eastAsia="en-GB"/>
              </w:rPr>
              <w:drawing>
                <wp:inline distT="0" distB="0" distL="0" distR="0" wp14:anchorId="75937121" wp14:editId="70582D2E">
                  <wp:extent cx="3390900" cy="23945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90900" cy="2394585"/>
                          </a:xfrm>
                          <a:prstGeom prst="rect">
                            <a:avLst/>
                          </a:prstGeom>
                          <a:noFill/>
                          <a:ln>
                            <a:noFill/>
                          </a:ln>
                        </pic:spPr>
                      </pic:pic>
                    </a:graphicData>
                  </a:graphic>
                </wp:inline>
              </w:drawing>
            </w:r>
          </w:p>
          <w:p w14:paraId="1A71A273" w14:textId="77777777" w:rsidR="00BE174D" w:rsidRDefault="00BE174D" w:rsidP="00BE174D"/>
          <w:p w14:paraId="1471E8CD" w14:textId="77777777" w:rsidR="00BE174D" w:rsidRDefault="00BE174D" w:rsidP="00BE174D"/>
          <w:p w14:paraId="70FCBDD6" w14:textId="77777777" w:rsidR="00BE174D" w:rsidRDefault="00BE174D" w:rsidP="00BE174D"/>
          <w:p w14:paraId="2B0BB1E1" w14:textId="77777777" w:rsidR="00BE174D" w:rsidRDefault="00BE174D" w:rsidP="00BE174D"/>
          <w:p w14:paraId="7AB3D762" w14:textId="77777777" w:rsidR="00BE174D" w:rsidRPr="00BE174D" w:rsidRDefault="00BE174D" w:rsidP="00FB1AA0"/>
        </w:tc>
      </w:tr>
    </w:tbl>
    <w:p w14:paraId="1265DDBA" w14:textId="77777777" w:rsidR="000864FE" w:rsidRPr="000864FE" w:rsidRDefault="000864FE" w:rsidP="000864FE">
      <w:pPr>
        <w:pStyle w:val="BodyTextGrey"/>
        <w:rPr>
          <w:color w:val="auto"/>
          <w:sz w:val="24"/>
          <w:szCs w:val="24"/>
        </w:rPr>
      </w:pPr>
      <w:r w:rsidRPr="000864FE">
        <w:rPr>
          <w:color w:val="auto"/>
          <w:sz w:val="24"/>
          <w:szCs w:val="24"/>
        </w:rPr>
        <w:t>Details of each of the Fund’s active managers’ weighted average are shown in Chart 2.  Each manager has delivered a portfolio with a lower position than their respective market capitalisation benchmark.  Interestingly, although the Fund’s two global managers (Aberdeen and JP Morgan) have similar weighted average exposure, there were notable differences in the carbon emissions (with JP Morgan notable higher due (c80% higher) to a number of their underlying Materials holdings, including Posco and Alco Corporation).  Aberdeen’s weighted average results were negatively impacted by the manager’s Real Estate exposure (most notably Swire Pacific) and Materials exposure, including Praxair and Potash Corp.</w:t>
      </w:r>
    </w:p>
    <w:p w14:paraId="68F7E0C4" w14:textId="77777777" w:rsidR="000864FE" w:rsidRPr="000864FE" w:rsidRDefault="000864FE" w:rsidP="000864FE">
      <w:pPr>
        <w:pStyle w:val="BodyTextGrey"/>
        <w:rPr>
          <w:color w:val="auto"/>
          <w:sz w:val="24"/>
          <w:szCs w:val="24"/>
        </w:rPr>
      </w:pPr>
      <w:r w:rsidRPr="000864FE">
        <w:rPr>
          <w:color w:val="auto"/>
          <w:sz w:val="24"/>
          <w:szCs w:val="24"/>
        </w:rPr>
        <w:t>Schroder’s carbon footprint is lower than the benchmark index, albeit the holdings in Royal Dutch Shell and Carnival were notable contributors to the mandate’s carbon intensity.</w:t>
      </w:r>
    </w:p>
    <w:p w14:paraId="0876A1E3" w14:textId="77777777" w:rsidR="000864FE" w:rsidRPr="000864FE" w:rsidRDefault="000864FE" w:rsidP="000864FE">
      <w:pPr>
        <w:pStyle w:val="BodyTextGrey"/>
        <w:rPr>
          <w:color w:val="auto"/>
          <w:sz w:val="24"/>
          <w:szCs w:val="24"/>
        </w:rPr>
      </w:pPr>
      <w:r w:rsidRPr="000864FE">
        <w:rPr>
          <w:color w:val="auto"/>
          <w:sz w:val="24"/>
          <w:szCs w:val="24"/>
        </w:rPr>
        <w:t>Considering the analysis at a sector level, the Fund’s exposure to the materials, energy and utilities sectors contribute to the majority of the Fund’s carbon footprint. Together, these sectors contribute to 75% of the Fund’s carbon emissions despite only comprising 16% of the Fund’s equity portfolio. This is illustrated in Charts 3 and 4 below.</w:t>
      </w:r>
    </w:p>
    <w:tbl>
      <w:tblPr>
        <w:tblW w:w="10201" w:type="dxa"/>
        <w:tblLayout w:type="fixed"/>
        <w:tblLook w:val="04A0" w:firstRow="1" w:lastRow="0" w:firstColumn="1" w:lastColumn="0" w:noHBand="0" w:noVBand="1"/>
      </w:tblPr>
      <w:tblGrid>
        <w:gridCol w:w="4815"/>
        <w:gridCol w:w="5386"/>
      </w:tblGrid>
      <w:tr w:rsidR="000864FE" w:rsidRPr="00FB1AA0" w14:paraId="7B288F25" w14:textId="77777777" w:rsidTr="00FB1AA0">
        <w:tc>
          <w:tcPr>
            <w:tcW w:w="4815" w:type="dxa"/>
            <w:shd w:val="clear" w:color="auto" w:fill="auto"/>
          </w:tcPr>
          <w:p w14:paraId="4A2D3D68" w14:textId="77777777" w:rsidR="000864FE" w:rsidRPr="00FB1AA0" w:rsidRDefault="000864FE" w:rsidP="00FB1AA0">
            <w:pPr>
              <w:pStyle w:val="Heading4"/>
              <w:ind w:left="504" w:hanging="504"/>
              <w:rPr>
                <w:rFonts w:cs="Arial"/>
                <w:sz w:val="24"/>
                <w:szCs w:val="24"/>
              </w:rPr>
            </w:pPr>
            <w:r w:rsidRPr="00FB1AA0">
              <w:rPr>
                <w:rFonts w:cs="Arial"/>
                <w:sz w:val="24"/>
                <w:szCs w:val="24"/>
              </w:rPr>
              <w:lastRenderedPageBreak/>
              <w:t>Chart 3: Market value by sector</w:t>
            </w:r>
          </w:p>
          <w:p w14:paraId="4499A49C" w14:textId="15AB1414" w:rsidR="000864FE" w:rsidRPr="00FB1AA0" w:rsidRDefault="00516E75" w:rsidP="00FB1AA0">
            <w:pPr>
              <w:pStyle w:val="BodyTextGrey"/>
              <w:spacing w:before="14" w:after="140"/>
              <w:rPr>
                <w:sz w:val="24"/>
                <w:szCs w:val="24"/>
              </w:rPr>
            </w:pPr>
            <w:r>
              <w:rPr>
                <w:noProof/>
                <w:sz w:val="24"/>
                <w:szCs w:val="24"/>
                <w:lang w:eastAsia="en-GB"/>
              </w:rPr>
              <w:drawing>
                <wp:inline distT="0" distB="0" distL="0" distR="0" wp14:anchorId="3467F23B" wp14:editId="51E6933B">
                  <wp:extent cx="2920365" cy="2192020"/>
                  <wp:effectExtent l="0" t="0" r="0" b="0"/>
                  <wp:docPr id="29"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5386" w:type="dxa"/>
            <w:shd w:val="clear" w:color="auto" w:fill="auto"/>
          </w:tcPr>
          <w:p w14:paraId="554CC8BE" w14:textId="77777777" w:rsidR="000864FE" w:rsidRPr="00FB1AA0" w:rsidRDefault="000864FE" w:rsidP="00FB1AA0">
            <w:pPr>
              <w:pStyle w:val="Heading4"/>
              <w:ind w:left="504" w:hanging="504"/>
              <w:rPr>
                <w:rFonts w:cs="Arial"/>
                <w:sz w:val="24"/>
                <w:szCs w:val="24"/>
              </w:rPr>
            </w:pPr>
            <w:r w:rsidRPr="00FB1AA0">
              <w:rPr>
                <w:rFonts w:cs="Arial"/>
                <w:sz w:val="24"/>
                <w:szCs w:val="24"/>
              </w:rPr>
              <w:t>Chart 4:</w:t>
            </w:r>
            <w:r w:rsidRPr="00FB1AA0">
              <w:rPr>
                <w:rFonts w:cs="Arial"/>
                <w:noProof/>
                <w:sz w:val="24"/>
                <w:szCs w:val="24"/>
              </w:rPr>
              <w:t xml:space="preserve"> </w:t>
            </w:r>
            <w:r w:rsidRPr="00FB1AA0">
              <w:rPr>
                <w:rFonts w:cs="Arial"/>
                <w:sz w:val="24"/>
                <w:szCs w:val="24"/>
              </w:rPr>
              <w:t>Contribution to carbon emissions</w:t>
            </w:r>
          </w:p>
          <w:p w14:paraId="7DBDF337" w14:textId="5A86FA54" w:rsidR="000864FE" w:rsidRPr="00FB1AA0" w:rsidRDefault="00516E75" w:rsidP="00FB1AA0">
            <w:pPr>
              <w:pStyle w:val="Heading4"/>
              <w:ind w:left="504" w:hanging="504"/>
              <w:rPr>
                <w:rFonts w:cs="Arial"/>
                <w:sz w:val="24"/>
                <w:szCs w:val="24"/>
              </w:rPr>
            </w:pPr>
            <w:r>
              <w:rPr>
                <w:rFonts w:cs="Arial"/>
                <w:noProof/>
                <w:sz w:val="24"/>
                <w:szCs w:val="24"/>
                <w:lang w:eastAsia="en-GB"/>
              </w:rPr>
              <w:drawing>
                <wp:inline distT="0" distB="0" distL="0" distR="0" wp14:anchorId="12C48300" wp14:editId="57C2781E">
                  <wp:extent cx="3023870" cy="2267585"/>
                  <wp:effectExtent l="0" t="0" r="0" b="0"/>
                  <wp:docPr id="30"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0864FE" w:rsidRPr="00FB1AA0">
              <w:rPr>
                <w:rFonts w:cs="Arial"/>
                <w:sz w:val="24"/>
                <w:szCs w:val="24"/>
              </w:rPr>
              <w:t xml:space="preserve"> </w:t>
            </w:r>
          </w:p>
        </w:tc>
      </w:tr>
    </w:tbl>
    <w:p w14:paraId="5E087C8B" w14:textId="77777777" w:rsidR="000864FE" w:rsidRPr="000864FE" w:rsidRDefault="000864FE" w:rsidP="000864FE">
      <w:pPr>
        <w:pStyle w:val="BodyTextGrey"/>
        <w:rPr>
          <w:color w:val="auto"/>
          <w:sz w:val="24"/>
          <w:szCs w:val="24"/>
        </w:rPr>
      </w:pPr>
      <w:r w:rsidRPr="000864FE">
        <w:rPr>
          <w:color w:val="auto"/>
          <w:sz w:val="24"/>
          <w:szCs w:val="24"/>
        </w:rPr>
        <w:t>In such exercises, the energy, materials and utilities sectors are typically those with the highest carbon intensity although a company is not “bad” simply because it happens to operate within a carbon intensive sector.  It is important to recognise that some sub-sectors will have very low carbon intensity. For example the utilities sector includes both water companies (low carbon intensity) and electricity companies (high carbon intensity).</w:t>
      </w:r>
    </w:p>
    <w:p w14:paraId="069ED550" w14:textId="77777777" w:rsidR="000864FE" w:rsidRPr="000864FE" w:rsidRDefault="000864FE" w:rsidP="000864FE">
      <w:pPr>
        <w:pStyle w:val="Heading4"/>
        <w:rPr>
          <w:rFonts w:cs="Arial"/>
          <w:sz w:val="24"/>
          <w:szCs w:val="24"/>
        </w:rPr>
      </w:pPr>
      <w:r w:rsidRPr="000864FE">
        <w:rPr>
          <w:rFonts w:cs="Arial"/>
          <w:sz w:val="24"/>
          <w:szCs w:val="24"/>
        </w:rPr>
        <w:t>Scope 1 and Scope 2</w:t>
      </w:r>
    </w:p>
    <w:p w14:paraId="166A185C" w14:textId="77777777" w:rsidR="000864FE" w:rsidRPr="000864FE" w:rsidRDefault="000864FE" w:rsidP="000864FE">
      <w:pPr>
        <w:pStyle w:val="BodyTextGrey"/>
        <w:rPr>
          <w:color w:val="auto"/>
          <w:sz w:val="24"/>
          <w:szCs w:val="24"/>
        </w:rPr>
      </w:pPr>
      <w:r w:rsidRPr="000864FE">
        <w:rPr>
          <w:color w:val="auto"/>
          <w:sz w:val="24"/>
          <w:szCs w:val="24"/>
        </w:rPr>
        <w:t>Carbon emissions are typically shown in three main “scopes”</w:t>
      </w:r>
    </w:p>
    <w:p w14:paraId="7F354108" w14:textId="77777777" w:rsidR="000864FE" w:rsidRPr="000864FE" w:rsidRDefault="000864FE" w:rsidP="00E0571E">
      <w:pPr>
        <w:pStyle w:val="BodyTextGrey"/>
        <w:numPr>
          <w:ilvl w:val="0"/>
          <w:numId w:val="70"/>
        </w:numPr>
        <w:rPr>
          <w:color w:val="auto"/>
          <w:sz w:val="24"/>
          <w:szCs w:val="24"/>
        </w:rPr>
      </w:pPr>
      <w:r w:rsidRPr="000864FE">
        <w:rPr>
          <w:color w:val="auto"/>
          <w:sz w:val="24"/>
          <w:szCs w:val="24"/>
        </w:rPr>
        <w:t>Scope 1: Direct “emissions from sources owned or controlled by the organisation”</w:t>
      </w:r>
    </w:p>
    <w:p w14:paraId="390CD847" w14:textId="77777777" w:rsidR="000864FE" w:rsidRPr="000864FE" w:rsidRDefault="000864FE" w:rsidP="00E0571E">
      <w:pPr>
        <w:pStyle w:val="BodyTextGrey"/>
        <w:numPr>
          <w:ilvl w:val="0"/>
          <w:numId w:val="70"/>
        </w:numPr>
        <w:rPr>
          <w:color w:val="auto"/>
          <w:sz w:val="24"/>
          <w:szCs w:val="24"/>
        </w:rPr>
      </w:pPr>
      <w:r w:rsidRPr="000864FE">
        <w:rPr>
          <w:color w:val="auto"/>
          <w:sz w:val="24"/>
          <w:szCs w:val="24"/>
        </w:rPr>
        <w:t>Scope 2: Indirect “emissions from the consumption of purchased electricity, steam or other energy generated upstream”</w:t>
      </w:r>
    </w:p>
    <w:p w14:paraId="3CD1E5BF" w14:textId="77777777" w:rsidR="000864FE" w:rsidRPr="000864FE" w:rsidRDefault="000864FE" w:rsidP="00E0571E">
      <w:pPr>
        <w:pStyle w:val="BodyTextGrey"/>
        <w:numPr>
          <w:ilvl w:val="0"/>
          <w:numId w:val="70"/>
        </w:numPr>
        <w:rPr>
          <w:color w:val="auto"/>
          <w:sz w:val="24"/>
          <w:szCs w:val="24"/>
        </w:rPr>
      </w:pPr>
      <w:r w:rsidRPr="000864FE">
        <w:rPr>
          <w:color w:val="auto"/>
          <w:sz w:val="24"/>
          <w:szCs w:val="24"/>
        </w:rPr>
        <w:t>Scope 3: Other indirect e.g. employee commuting.</w:t>
      </w:r>
    </w:p>
    <w:p w14:paraId="5B67B4F0" w14:textId="77777777" w:rsidR="000864FE" w:rsidRPr="000864FE" w:rsidRDefault="000864FE" w:rsidP="000864FE">
      <w:pPr>
        <w:pStyle w:val="BodyTextGrey"/>
        <w:rPr>
          <w:color w:val="auto"/>
          <w:sz w:val="24"/>
          <w:szCs w:val="24"/>
        </w:rPr>
      </w:pPr>
      <w:r w:rsidRPr="000864FE">
        <w:rPr>
          <w:color w:val="auto"/>
          <w:sz w:val="24"/>
          <w:szCs w:val="24"/>
        </w:rPr>
        <w:t>To date, the majority of the industry focus is on Scopes 1 and 2 (as was the results of MSCI’s analysis).  The Fund’s exposure is c 80% from Scope 1, which is slightly less than the MSCI ACWI, which is 84%.  Only 58% of the MSCI ACWI Low carbon index comes from Scope 1.  This notable change in the benchmark splits between scopes 1 and 2 reflects some of the main sector differences between the two benchmarks.</w:t>
      </w:r>
    </w:p>
    <w:p w14:paraId="34955240" w14:textId="77777777" w:rsidR="000864FE" w:rsidRPr="000864FE" w:rsidRDefault="000864FE" w:rsidP="000864FE">
      <w:pPr>
        <w:pStyle w:val="Heading4"/>
        <w:rPr>
          <w:rFonts w:cs="Arial"/>
          <w:sz w:val="24"/>
          <w:szCs w:val="24"/>
        </w:rPr>
      </w:pPr>
      <w:r w:rsidRPr="000864FE">
        <w:rPr>
          <w:rFonts w:cs="Arial"/>
          <w:sz w:val="24"/>
          <w:szCs w:val="24"/>
        </w:rPr>
        <w:t>Carbon risk management relative to industry</w:t>
      </w:r>
    </w:p>
    <w:p w14:paraId="5F812CC7" w14:textId="77777777" w:rsidR="000864FE" w:rsidRPr="000864FE" w:rsidRDefault="000864FE" w:rsidP="000864FE">
      <w:pPr>
        <w:pStyle w:val="BodyTextGrey"/>
        <w:rPr>
          <w:color w:val="auto"/>
          <w:sz w:val="24"/>
          <w:szCs w:val="24"/>
        </w:rPr>
      </w:pPr>
      <w:r w:rsidRPr="000864FE">
        <w:rPr>
          <w:color w:val="auto"/>
          <w:sz w:val="24"/>
          <w:szCs w:val="24"/>
        </w:rPr>
        <w:t>MSCI also included their views on companies’ position relative to their industry in dealing with managing carbon risk (MSCI rates companies as Leaders, Average or Laggards).  In terms of the top ten contributors to each active managers’ weighted carbon intensity:</w:t>
      </w:r>
    </w:p>
    <w:p w14:paraId="799FABBA" w14:textId="77777777" w:rsidR="000864FE" w:rsidRPr="000864FE" w:rsidRDefault="000864FE" w:rsidP="000864FE">
      <w:pPr>
        <w:pStyle w:val="BulletHymans"/>
        <w:rPr>
          <w:color w:val="auto"/>
          <w:sz w:val="24"/>
          <w:szCs w:val="24"/>
        </w:rPr>
      </w:pPr>
      <w:r w:rsidRPr="000864FE">
        <w:rPr>
          <w:color w:val="auto"/>
          <w:sz w:val="24"/>
          <w:szCs w:val="24"/>
        </w:rPr>
        <w:t>Two of Aberdeen’s Materials holdings (Maple Leaf and Tenaris) are viewed as being a laggards.  We recommend that you follow up on these holdings with the manager.</w:t>
      </w:r>
    </w:p>
    <w:p w14:paraId="7D8BEBD0" w14:textId="77777777" w:rsidR="000864FE" w:rsidRPr="000864FE" w:rsidRDefault="000864FE" w:rsidP="000864FE">
      <w:pPr>
        <w:pStyle w:val="BulletHymans"/>
        <w:rPr>
          <w:color w:val="auto"/>
          <w:sz w:val="24"/>
          <w:szCs w:val="24"/>
        </w:rPr>
      </w:pPr>
      <w:r w:rsidRPr="000864FE">
        <w:rPr>
          <w:color w:val="auto"/>
          <w:sz w:val="24"/>
          <w:szCs w:val="24"/>
        </w:rPr>
        <w:t>None of JP Morgan’s or Schroders were viewed as laggards.</w:t>
      </w:r>
    </w:p>
    <w:p w14:paraId="7BE28478" w14:textId="77777777" w:rsidR="000864FE" w:rsidRPr="000864FE" w:rsidRDefault="000864FE" w:rsidP="000864FE">
      <w:pPr>
        <w:pStyle w:val="Heading4"/>
        <w:rPr>
          <w:rFonts w:cs="Arial"/>
          <w:sz w:val="24"/>
          <w:szCs w:val="24"/>
        </w:rPr>
      </w:pPr>
      <w:r w:rsidRPr="000864FE">
        <w:rPr>
          <w:rFonts w:cs="Arial"/>
          <w:sz w:val="24"/>
          <w:szCs w:val="24"/>
        </w:rPr>
        <w:lastRenderedPageBreak/>
        <w:t>Thermal coal, oil and gas reserves</w:t>
      </w:r>
    </w:p>
    <w:p w14:paraId="3C00DDD0" w14:textId="77777777" w:rsidR="000864FE" w:rsidRPr="000864FE" w:rsidRDefault="000864FE" w:rsidP="000864FE">
      <w:pPr>
        <w:pStyle w:val="BodyTextGrey"/>
        <w:rPr>
          <w:color w:val="auto"/>
          <w:sz w:val="24"/>
          <w:szCs w:val="24"/>
        </w:rPr>
      </w:pPr>
      <w:r w:rsidRPr="000864FE">
        <w:rPr>
          <w:color w:val="auto"/>
          <w:sz w:val="24"/>
          <w:szCs w:val="24"/>
        </w:rPr>
        <w:t>MSCI also considered the proportion of the portfolio which is made up by companies that own thermal coal, oil and gas reserves, three areas that are thought to be most at risk of being “stranded” assets.  Chart 5 (left hand side) below shows that the Fund’s portfolio is 0.2% overweight, relative to the MSCI ACWI, in companies that own Fossil Fuel Reserves.  The key contributors to this are the Fund’s holdings in Shell, BP, Lukoil and Rosneft (JP Morgan are notable investors in the latter two stocks).</w:t>
      </w:r>
    </w:p>
    <w:p w14:paraId="084A55E6" w14:textId="77777777" w:rsidR="000864FE" w:rsidRPr="000864FE" w:rsidRDefault="000864FE" w:rsidP="000864FE">
      <w:pPr>
        <w:pStyle w:val="Heading4"/>
        <w:rPr>
          <w:rFonts w:cs="Arial"/>
          <w:sz w:val="24"/>
          <w:szCs w:val="24"/>
        </w:rPr>
      </w:pPr>
      <w:r w:rsidRPr="000864FE">
        <w:rPr>
          <w:rFonts w:cs="Arial"/>
          <w:sz w:val="24"/>
          <w:szCs w:val="24"/>
        </w:rPr>
        <w:t>Chart 5: Proportion of companies held in fossil fuels and clean technology</w:t>
      </w:r>
    </w:p>
    <w:p w14:paraId="26CE0A29" w14:textId="77777777" w:rsidR="000864FE" w:rsidRDefault="000864FE" w:rsidP="000864FE">
      <w:pPr>
        <w:pStyle w:val="BodyTextGrey"/>
        <w:rPr>
          <w:noProof/>
          <w:sz w:val="24"/>
          <w:szCs w:val="24"/>
          <w:lang w:eastAsia="en-GB"/>
        </w:rPr>
      </w:pPr>
    </w:p>
    <w:p w14:paraId="496883D0" w14:textId="5FF67330" w:rsidR="00ED39B9" w:rsidRDefault="00516E75" w:rsidP="000864FE">
      <w:pPr>
        <w:pStyle w:val="BodyTextGrey"/>
        <w:rPr>
          <w:noProof/>
          <w:sz w:val="24"/>
          <w:szCs w:val="24"/>
          <w:lang w:eastAsia="en-GB"/>
        </w:rPr>
      </w:pPr>
      <w:r>
        <w:rPr>
          <w:noProof/>
          <w:lang w:eastAsia="en-GB"/>
        </w:rPr>
        <w:drawing>
          <wp:inline distT="0" distB="0" distL="0" distR="0" wp14:anchorId="17E24802" wp14:editId="0AA46655">
            <wp:extent cx="5861685" cy="3066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61685" cy="3066415"/>
                    </a:xfrm>
                    <a:prstGeom prst="rect">
                      <a:avLst/>
                    </a:prstGeom>
                    <a:noFill/>
                    <a:ln>
                      <a:noFill/>
                    </a:ln>
                  </pic:spPr>
                </pic:pic>
              </a:graphicData>
            </a:graphic>
          </wp:inline>
        </w:drawing>
      </w:r>
    </w:p>
    <w:p w14:paraId="49958FE3" w14:textId="77777777" w:rsidR="00ED39B9" w:rsidRDefault="00ED39B9" w:rsidP="000864FE">
      <w:pPr>
        <w:pStyle w:val="BodyTextGrey"/>
        <w:rPr>
          <w:noProof/>
          <w:sz w:val="24"/>
          <w:szCs w:val="24"/>
          <w:lang w:eastAsia="en-GB"/>
        </w:rPr>
      </w:pPr>
    </w:p>
    <w:p w14:paraId="09BDE2B1" w14:textId="77777777" w:rsidR="000864FE" w:rsidRPr="000864FE" w:rsidRDefault="000864FE" w:rsidP="000864FE">
      <w:pPr>
        <w:pStyle w:val="Heading4"/>
        <w:rPr>
          <w:rFonts w:cs="Arial"/>
          <w:sz w:val="24"/>
          <w:szCs w:val="24"/>
        </w:rPr>
      </w:pPr>
      <w:r w:rsidRPr="000864FE">
        <w:rPr>
          <w:rFonts w:cs="Arial"/>
          <w:sz w:val="24"/>
          <w:szCs w:val="24"/>
        </w:rPr>
        <w:t>Clean technology</w:t>
      </w:r>
    </w:p>
    <w:p w14:paraId="54AE5101" w14:textId="77777777" w:rsidR="000864FE" w:rsidRPr="000864FE" w:rsidRDefault="000864FE" w:rsidP="000864FE">
      <w:pPr>
        <w:pStyle w:val="BodyTextGrey"/>
        <w:rPr>
          <w:color w:val="auto"/>
          <w:sz w:val="24"/>
          <w:szCs w:val="24"/>
        </w:rPr>
      </w:pPr>
      <w:r w:rsidRPr="000864FE">
        <w:rPr>
          <w:color w:val="auto"/>
          <w:sz w:val="24"/>
          <w:szCs w:val="24"/>
        </w:rPr>
        <w:t xml:space="preserve">In terms of focusing on stocks that may benefit from a change in industry carbon policy, chart 5 (right hand side) also analyses companies involved in “clean technology” solutions based on their sales in the following categories: Alternative Energy, Energy Efficiency, Green Building, Pollution Prevention, and Sustainable Water.  Relative to the global index, the Fund has less exposure to stocks that generate revenue from these categories (of the Fund’s 27% exposure, the majority is in stocks with 0-20% of their revenue is from these categories).   </w:t>
      </w:r>
    </w:p>
    <w:p w14:paraId="3E666FC0" w14:textId="77777777" w:rsidR="000864FE" w:rsidRPr="000864FE" w:rsidRDefault="000864FE" w:rsidP="000864FE">
      <w:pPr>
        <w:spacing w:after="20"/>
        <w:rPr>
          <w:rFonts w:ascii="Arial" w:hAnsi="Arial" w:cs="Arial"/>
          <w:b/>
          <w:color w:val="70AD47"/>
          <w:sz w:val="24"/>
          <w:szCs w:val="24"/>
        </w:rPr>
      </w:pPr>
      <w:r w:rsidRPr="000864FE">
        <w:rPr>
          <w:rFonts w:ascii="Arial" w:hAnsi="Arial" w:cs="Arial"/>
          <w:sz w:val="24"/>
          <w:szCs w:val="24"/>
        </w:rPr>
        <w:br w:type="page"/>
      </w:r>
    </w:p>
    <w:p w14:paraId="7AD9F12A" w14:textId="77777777" w:rsidR="000864FE" w:rsidRDefault="000864FE" w:rsidP="000864FE">
      <w:pPr>
        <w:pStyle w:val="Heading2"/>
        <w:rPr>
          <w:rFonts w:cs="Arial"/>
          <w:sz w:val="24"/>
          <w:szCs w:val="24"/>
        </w:rPr>
      </w:pPr>
      <w:r w:rsidRPr="000864FE">
        <w:rPr>
          <w:rFonts w:cs="Arial"/>
          <w:sz w:val="24"/>
          <w:szCs w:val="24"/>
        </w:rPr>
        <w:t>Summary and next steps</w:t>
      </w:r>
    </w:p>
    <w:p w14:paraId="1605BEFD" w14:textId="77777777" w:rsidR="00ED39B9" w:rsidRPr="00ED39B9" w:rsidRDefault="00ED39B9" w:rsidP="00ED39B9"/>
    <w:p w14:paraId="757CA495" w14:textId="77777777" w:rsidR="000864FE" w:rsidRPr="000864FE" w:rsidRDefault="000864FE" w:rsidP="000864FE">
      <w:pPr>
        <w:pStyle w:val="BodyTextGrey"/>
        <w:rPr>
          <w:color w:val="auto"/>
          <w:sz w:val="24"/>
          <w:szCs w:val="24"/>
        </w:rPr>
      </w:pPr>
      <w:r w:rsidRPr="000864FE">
        <w:rPr>
          <w:color w:val="auto"/>
          <w:sz w:val="24"/>
          <w:szCs w:val="24"/>
        </w:rPr>
        <w:t>The information from MSCI acts as a useful guide to the Fund’s carbon exposure.  There are a number of potential next steps for the Committee to consider, which should be considered alongside the Fund’s engagement policy and investment beliefs, in particular:</w:t>
      </w:r>
    </w:p>
    <w:p w14:paraId="49C2DC91" w14:textId="77777777" w:rsidR="000864FE" w:rsidRDefault="000864FE" w:rsidP="00ED39B9">
      <w:pPr>
        <w:pStyle w:val="Heading3"/>
        <w:jc w:val="left"/>
        <w:rPr>
          <w:rFonts w:cs="Arial"/>
          <w:szCs w:val="24"/>
        </w:rPr>
      </w:pPr>
      <w:r w:rsidRPr="000864FE">
        <w:rPr>
          <w:rFonts w:cs="Arial"/>
          <w:szCs w:val="24"/>
        </w:rPr>
        <w:t>Agree objectives</w:t>
      </w:r>
    </w:p>
    <w:p w14:paraId="53948B01" w14:textId="77777777" w:rsidR="00ED39B9" w:rsidRPr="00ED39B9" w:rsidRDefault="00ED39B9" w:rsidP="00ED39B9"/>
    <w:p w14:paraId="04A58786" w14:textId="77777777" w:rsidR="000864FE" w:rsidRPr="000864FE" w:rsidRDefault="000864FE" w:rsidP="000864FE">
      <w:pPr>
        <w:pStyle w:val="BodyTextGrey"/>
        <w:rPr>
          <w:color w:val="auto"/>
          <w:sz w:val="24"/>
          <w:szCs w:val="24"/>
        </w:rPr>
      </w:pPr>
      <w:r w:rsidRPr="000864FE">
        <w:rPr>
          <w:color w:val="auto"/>
          <w:sz w:val="24"/>
          <w:szCs w:val="24"/>
        </w:rPr>
        <w:t xml:space="preserve">By carrying out this process, the Committee has achieve one of its objectives of understanding the Fund’s carbon exposure (this puts the Fund ahead of any many other funds in doing such an exercise, a recent Greenwich Associates survey suggested that just 5% of UK pension funds had considered such an exercise).  </w:t>
      </w:r>
    </w:p>
    <w:p w14:paraId="5D4CD135" w14:textId="77777777" w:rsidR="000864FE" w:rsidRPr="000864FE" w:rsidRDefault="000864FE" w:rsidP="000864FE">
      <w:pPr>
        <w:pStyle w:val="BodyTextGrey"/>
        <w:rPr>
          <w:color w:val="auto"/>
          <w:sz w:val="24"/>
          <w:szCs w:val="24"/>
        </w:rPr>
      </w:pPr>
      <w:r w:rsidRPr="000864FE">
        <w:rPr>
          <w:color w:val="auto"/>
          <w:sz w:val="24"/>
          <w:szCs w:val="24"/>
        </w:rPr>
        <w:t xml:space="preserve">Based on previous discussions, we understand that there is a desire to reduce the Fund’s carbon exposure, albeit no specific targets have been discussed, or specifics e.g. emissions, carbon intensity or fossil fuel exposure.  </w:t>
      </w:r>
    </w:p>
    <w:p w14:paraId="6702BA90" w14:textId="77777777" w:rsidR="000864FE" w:rsidRPr="000864FE" w:rsidRDefault="000864FE" w:rsidP="000864FE">
      <w:pPr>
        <w:pStyle w:val="BodyTextGrey"/>
        <w:rPr>
          <w:b/>
          <w:color w:val="auto"/>
          <w:sz w:val="24"/>
          <w:szCs w:val="24"/>
        </w:rPr>
      </w:pPr>
      <w:r w:rsidRPr="000864FE">
        <w:rPr>
          <w:b/>
          <w:color w:val="auto"/>
          <w:sz w:val="24"/>
          <w:szCs w:val="24"/>
        </w:rPr>
        <w:t>Details of the specific measures can be considered in more detail over the course of 2018, what is key is that if a target is introduced a consistent method is adopted to allow the Fund’s progress to be considered over time.</w:t>
      </w:r>
    </w:p>
    <w:p w14:paraId="6EBC1E1F" w14:textId="77777777" w:rsidR="000864FE" w:rsidRDefault="000864FE" w:rsidP="000864FE">
      <w:pPr>
        <w:pStyle w:val="Heading4"/>
        <w:rPr>
          <w:rFonts w:cs="Arial"/>
          <w:sz w:val="24"/>
          <w:szCs w:val="24"/>
        </w:rPr>
      </w:pPr>
      <w:r w:rsidRPr="000864FE">
        <w:rPr>
          <w:rFonts w:cs="Arial"/>
          <w:sz w:val="24"/>
          <w:szCs w:val="24"/>
        </w:rPr>
        <w:t>Reference index</w:t>
      </w:r>
    </w:p>
    <w:p w14:paraId="41DC761C" w14:textId="77777777" w:rsidR="00ED39B9" w:rsidRPr="00ED39B9" w:rsidRDefault="00ED39B9" w:rsidP="00ED39B9"/>
    <w:p w14:paraId="41ABEAE9" w14:textId="77777777" w:rsidR="000864FE" w:rsidRPr="000864FE" w:rsidRDefault="000864FE" w:rsidP="000864FE">
      <w:pPr>
        <w:pStyle w:val="BodyTextGrey"/>
        <w:rPr>
          <w:color w:val="auto"/>
          <w:sz w:val="24"/>
          <w:szCs w:val="24"/>
        </w:rPr>
      </w:pPr>
      <w:r w:rsidRPr="000864FE">
        <w:rPr>
          <w:color w:val="auto"/>
          <w:sz w:val="24"/>
          <w:szCs w:val="24"/>
        </w:rPr>
        <w:t xml:space="preserve">We propose that the MSCI AC World index is used as the reference index.  This is a commonly used index to represent “global stockmarkets” and is commonly used as a benchmark for global equity portfolios. </w:t>
      </w:r>
    </w:p>
    <w:p w14:paraId="7B5FC535" w14:textId="77777777" w:rsidR="000864FE" w:rsidRDefault="000864FE" w:rsidP="000864FE">
      <w:pPr>
        <w:pStyle w:val="Heading4"/>
        <w:rPr>
          <w:rFonts w:cs="Arial"/>
          <w:sz w:val="24"/>
          <w:szCs w:val="24"/>
        </w:rPr>
      </w:pPr>
      <w:r w:rsidRPr="000864FE">
        <w:rPr>
          <w:rFonts w:cs="Arial"/>
          <w:sz w:val="24"/>
          <w:szCs w:val="24"/>
        </w:rPr>
        <w:t>Target levels</w:t>
      </w:r>
    </w:p>
    <w:p w14:paraId="241D76EB" w14:textId="77777777" w:rsidR="00ED39B9" w:rsidRPr="00ED39B9" w:rsidRDefault="00ED39B9" w:rsidP="00ED39B9"/>
    <w:p w14:paraId="1967E82B" w14:textId="77777777" w:rsidR="000864FE" w:rsidRPr="000864FE" w:rsidRDefault="000864FE" w:rsidP="000864FE">
      <w:pPr>
        <w:pStyle w:val="BodyTextGrey"/>
        <w:rPr>
          <w:color w:val="auto"/>
          <w:sz w:val="24"/>
          <w:szCs w:val="24"/>
        </w:rPr>
      </w:pPr>
      <w:r w:rsidRPr="000864FE">
        <w:rPr>
          <w:color w:val="auto"/>
          <w:sz w:val="24"/>
          <w:szCs w:val="24"/>
        </w:rPr>
        <w:t>If we focus on carbon emissions, the analysis discussed in this paper indicates that Fund already has c9% less carbon intensity than the index.  The extent of your desire to put a target in place (exposure relative to the reference index), and if so, the size of this target should be subject to further discussion with you.  However, we anticipate it being in the region of 20%-50% (amount to be defined following discussions with you) of the reference index achieved over an appropriate timescale (e.g. 5 years).</w:t>
      </w:r>
    </w:p>
    <w:p w14:paraId="42428872" w14:textId="77777777" w:rsidR="000864FE" w:rsidRDefault="000864FE" w:rsidP="00ED39B9">
      <w:pPr>
        <w:pStyle w:val="Heading3"/>
        <w:jc w:val="left"/>
        <w:rPr>
          <w:rFonts w:cs="Arial"/>
          <w:szCs w:val="24"/>
        </w:rPr>
      </w:pPr>
      <w:r w:rsidRPr="000864FE">
        <w:rPr>
          <w:rFonts w:cs="Arial"/>
          <w:szCs w:val="24"/>
        </w:rPr>
        <w:t>Review Fund benchmarks</w:t>
      </w:r>
    </w:p>
    <w:p w14:paraId="0D795A8E" w14:textId="77777777" w:rsidR="00ED39B9" w:rsidRPr="00ED39B9" w:rsidRDefault="00ED39B9" w:rsidP="00ED39B9"/>
    <w:p w14:paraId="0393A499" w14:textId="77777777" w:rsidR="000864FE" w:rsidRPr="000864FE" w:rsidRDefault="000864FE" w:rsidP="000864FE">
      <w:pPr>
        <w:pStyle w:val="BodyTextGrey"/>
        <w:rPr>
          <w:color w:val="auto"/>
          <w:sz w:val="24"/>
          <w:szCs w:val="24"/>
        </w:rPr>
      </w:pPr>
      <w:r w:rsidRPr="000864FE">
        <w:rPr>
          <w:color w:val="auto"/>
          <w:sz w:val="24"/>
          <w:szCs w:val="24"/>
        </w:rPr>
        <w:t xml:space="preserve">The impact of benchmark choice is most notable for the Fund’s passive mandates, where the manager’s objective is to replicate the underlying index.  MSCI’s analysis shows the significant difference in the MSCI ACWI and the MSCI Low Carbon benchmarks.  There are now a range of low carbon/ESG benchmarks that the Fund could consider.  We recommend further training takes place on these during 2018, with </w:t>
      </w:r>
      <w:r w:rsidRPr="000864FE">
        <w:rPr>
          <w:color w:val="auto"/>
          <w:sz w:val="24"/>
          <w:szCs w:val="24"/>
        </w:rPr>
        <w:lastRenderedPageBreak/>
        <w:t>the potential that a proportion (potentially all) of the Fund’s passive assets are benchmarked against such a benchmark.</w:t>
      </w:r>
    </w:p>
    <w:p w14:paraId="521E3F19" w14:textId="77777777" w:rsidR="000864FE" w:rsidRDefault="000864FE" w:rsidP="00ED39B9">
      <w:pPr>
        <w:pStyle w:val="Heading3"/>
        <w:jc w:val="left"/>
        <w:rPr>
          <w:rFonts w:cs="Arial"/>
          <w:szCs w:val="24"/>
        </w:rPr>
      </w:pPr>
      <w:r w:rsidRPr="000864FE">
        <w:rPr>
          <w:rFonts w:cs="Arial"/>
          <w:szCs w:val="24"/>
        </w:rPr>
        <w:t>Challenge active managers</w:t>
      </w:r>
    </w:p>
    <w:p w14:paraId="6D6780CA" w14:textId="77777777" w:rsidR="00ED39B9" w:rsidRPr="00ED39B9" w:rsidRDefault="00ED39B9" w:rsidP="00ED39B9"/>
    <w:p w14:paraId="36C4B600" w14:textId="77777777" w:rsidR="000864FE" w:rsidRPr="000864FE" w:rsidRDefault="000864FE" w:rsidP="000864FE">
      <w:pPr>
        <w:pStyle w:val="BodyTextGrey"/>
        <w:rPr>
          <w:color w:val="auto"/>
          <w:sz w:val="24"/>
          <w:szCs w:val="24"/>
        </w:rPr>
      </w:pPr>
      <w:r w:rsidRPr="000864FE">
        <w:rPr>
          <w:color w:val="auto"/>
          <w:sz w:val="24"/>
          <w:szCs w:val="24"/>
        </w:rPr>
        <w:t>The results have flagged the Fund’s exposure to specific higher carbon stocks.  The Fund’s managers should be asked to explain their rationale for holding such stocks, most notably</w:t>
      </w:r>
    </w:p>
    <w:p w14:paraId="3386F824" w14:textId="77777777" w:rsidR="000864FE" w:rsidRPr="000864FE" w:rsidRDefault="000864FE" w:rsidP="00E0571E">
      <w:pPr>
        <w:pStyle w:val="ListParagraph"/>
        <w:numPr>
          <w:ilvl w:val="0"/>
          <w:numId w:val="71"/>
        </w:numPr>
        <w:spacing w:before="20" w:after="20" w:line="280" w:lineRule="atLeast"/>
        <w:ind w:left="357" w:hanging="357"/>
        <w:jc w:val="both"/>
        <w:rPr>
          <w:rFonts w:cs="Arial"/>
          <w:sz w:val="24"/>
          <w:lang w:eastAsia="en-US"/>
        </w:rPr>
      </w:pPr>
      <w:r w:rsidRPr="000864FE">
        <w:rPr>
          <w:rFonts w:cs="Arial"/>
          <w:sz w:val="24"/>
          <w:lang w:eastAsia="en-US"/>
        </w:rPr>
        <w:t>Aberdeen: Challenge on engagement with Maple Leaf and Tenaris and understand how firm takes carbon risks into account for Swire Pacific.</w:t>
      </w:r>
    </w:p>
    <w:p w14:paraId="5BEA4442" w14:textId="77777777" w:rsidR="000864FE" w:rsidRPr="000864FE" w:rsidRDefault="000864FE" w:rsidP="00E0571E">
      <w:pPr>
        <w:pStyle w:val="ListParagraph"/>
        <w:numPr>
          <w:ilvl w:val="0"/>
          <w:numId w:val="71"/>
        </w:numPr>
        <w:spacing w:before="20" w:after="200" w:line="280" w:lineRule="atLeast"/>
        <w:ind w:left="360"/>
        <w:jc w:val="both"/>
        <w:rPr>
          <w:rFonts w:cs="Arial"/>
          <w:sz w:val="24"/>
          <w:lang w:eastAsia="en-US"/>
        </w:rPr>
      </w:pPr>
      <w:r w:rsidRPr="000864FE">
        <w:rPr>
          <w:rFonts w:cs="Arial"/>
          <w:sz w:val="24"/>
          <w:lang w:eastAsia="en-US"/>
        </w:rPr>
        <w:t xml:space="preserve">JP Morgan: Challenge on stock selection in energy and materials.  How are carbon risks being priced into stock selection decisions.  </w:t>
      </w:r>
    </w:p>
    <w:p w14:paraId="4549873F" w14:textId="77777777" w:rsidR="000864FE" w:rsidRDefault="000864FE" w:rsidP="00ED39B9">
      <w:pPr>
        <w:pStyle w:val="Heading3"/>
        <w:jc w:val="left"/>
        <w:rPr>
          <w:rFonts w:cs="Arial"/>
          <w:szCs w:val="24"/>
        </w:rPr>
      </w:pPr>
      <w:r w:rsidRPr="000864FE">
        <w:rPr>
          <w:rFonts w:cs="Arial"/>
          <w:szCs w:val="24"/>
        </w:rPr>
        <w:t>Feed into pooling</w:t>
      </w:r>
    </w:p>
    <w:p w14:paraId="30D64B9D" w14:textId="77777777" w:rsidR="00ED39B9" w:rsidRPr="00ED39B9" w:rsidRDefault="00ED39B9" w:rsidP="00ED39B9"/>
    <w:p w14:paraId="281F83B4" w14:textId="77777777" w:rsidR="000864FE" w:rsidRPr="000864FE" w:rsidRDefault="000864FE" w:rsidP="000864FE">
      <w:pPr>
        <w:pStyle w:val="BodyTextGrey"/>
        <w:rPr>
          <w:color w:val="auto"/>
          <w:sz w:val="24"/>
          <w:szCs w:val="24"/>
        </w:rPr>
      </w:pPr>
      <w:r w:rsidRPr="000864FE">
        <w:rPr>
          <w:color w:val="auto"/>
          <w:sz w:val="24"/>
          <w:szCs w:val="24"/>
        </w:rPr>
        <w:t>Post pooling the Pool’s operator will be responsible for appointing the underlying active managers.  The Committee should seek details as to their process for assessing manager’s ESG capabilities and willingness to provide carbon reporting.</w:t>
      </w:r>
    </w:p>
    <w:p w14:paraId="5C0C56AC" w14:textId="77777777" w:rsidR="000864FE" w:rsidRDefault="000864FE" w:rsidP="00ED39B9">
      <w:pPr>
        <w:pStyle w:val="Heading3"/>
        <w:jc w:val="left"/>
        <w:rPr>
          <w:rFonts w:cs="Arial"/>
          <w:szCs w:val="24"/>
        </w:rPr>
      </w:pPr>
      <w:r w:rsidRPr="000864FE">
        <w:rPr>
          <w:rFonts w:cs="Arial"/>
          <w:szCs w:val="24"/>
        </w:rPr>
        <w:t>Repeat exercise</w:t>
      </w:r>
    </w:p>
    <w:p w14:paraId="6065ECDC" w14:textId="77777777" w:rsidR="00ED39B9" w:rsidRPr="00ED39B9" w:rsidRDefault="00ED39B9" w:rsidP="00ED39B9"/>
    <w:p w14:paraId="413C8EBC" w14:textId="77777777" w:rsidR="000864FE" w:rsidRPr="000864FE" w:rsidRDefault="000864FE" w:rsidP="000864FE">
      <w:pPr>
        <w:pStyle w:val="BodyTextGrey"/>
        <w:rPr>
          <w:color w:val="auto"/>
          <w:sz w:val="24"/>
          <w:szCs w:val="24"/>
        </w:rPr>
      </w:pPr>
      <w:r w:rsidRPr="000864FE">
        <w:rPr>
          <w:color w:val="auto"/>
          <w:sz w:val="24"/>
          <w:szCs w:val="24"/>
        </w:rPr>
        <w:t>It is important that you assess what progress is made relative to any objectives.  However, there needs to be a balance between frequency of analysis, and cost of doing the analysis.  We believe every two years should be broadly sufficient, albeit you may wish to receive more frequent updates from your active managers.</w:t>
      </w:r>
    </w:p>
    <w:p w14:paraId="4B3CA1D5" w14:textId="77777777" w:rsidR="000864FE" w:rsidRDefault="000864FE" w:rsidP="00ED39B9">
      <w:pPr>
        <w:pStyle w:val="Heading3"/>
        <w:jc w:val="left"/>
        <w:rPr>
          <w:rFonts w:cs="Arial"/>
          <w:szCs w:val="24"/>
        </w:rPr>
      </w:pPr>
      <w:r w:rsidRPr="000864FE">
        <w:rPr>
          <w:rFonts w:cs="Arial"/>
          <w:szCs w:val="24"/>
        </w:rPr>
        <w:t>Consider broader assessment</w:t>
      </w:r>
    </w:p>
    <w:p w14:paraId="7019328E" w14:textId="77777777" w:rsidR="00ED39B9" w:rsidRPr="00ED39B9" w:rsidRDefault="00ED39B9" w:rsidP="00ED39B9"/>
    <w:p w14:paraId="11B56B0C" w14:textId="77777777" w:rsidR="000864FE" w:rsidRPr="000864FE" w:rsidRDefault="000864FE" w:rsidP="000864FE">
      <w:pPr>
        <w:pStyle w:val="BodyTextGrey"/>
        <w:rPr>
          <w:color w:val="auto"/>
          <w:sz w:val="24"/>
          <w:szCs w:val="24"/>
        </w:rPr>
      </w:pPr>
      <w:r w:rsidRPr="000864FE">
        <w:rPr>
          <w:color w:val="auto"/>
          <w:sz w:val="24"/>
          <w:szCs w:val="24"/>
        </w:rPr>
        <w:t>Carbon is just one ESG element.  There is scope to consider broadening this review to include other ESG related aspects e.g. human rights, labour rights, governance.  This would work in a similar way to the process for carbon monitoring i.e. the Fund’s underlying holdings compared to a broader universe using a providers underlying scoring.</w:t>
      </w:r>
    </w:p>
    <w:p w14:paraId="77D86FC4" w14:textId="77777777" w:rsidR="000864FE" w:rsidRPr="000864FE" w:rsidRDefault="000864FE" w:rsidP="000864FE">
      <w:pPr>
        <w:pStyle w:val="BodyTextGrey"/>
        <w:rPr>
          <w:color w:val="auto"/>
          <w:sz w:val="24"/>
          <w:szCs w:val="24"/>
        </w:rPr>
      </w:pPr>
      <w:r w:rsidRPr="000864FE">
        <w:rPr>
          <w:color w:val="auto"/>
          <w:sz w:val="24"/>
          <w:szCs w:val="24"/>
        </w:rPr>
        <w:t>Where possible this assessment should also be broadened out to the Fund’s other asset classes i.e. not just equities.</w:t>
      </w:r>
    </w:p>
    <w:p w14:paraId="4544AC30" w14:textId="77777777" w:rsidR="000864FE" w:rsidRPr="000864FE" w:rsidRDefault="000864FE" w:rsidP="000864FE">
      <w:pPr>
        <w:pStyle w:val="BodyTextGrey"/>
        <w:rPr>
          <w:color w:val="auto"/>
          <w:sz w:val="24"/>
          <w:szCs w:val="24"/>
        </w:rPr>
      </w:pPr>
      <w:bookmarkStart w:id="13" w:name="StartOfDocument"/>
      <w:bookmarkStart w:id="14" w:name="MainHeading"/>
      <w:bookmarkEnd w:id="13"/>
      <w:bookmarkEnd w:id="14"/>
      <w:r w:rsidRPr="000864FE">
        <w:rPr>
          <w:color w:val="auto"/>
          <w:sz w:val="24"/>
          <w:szCs w:val="24"/>
        </w:rPr>
        <w:t>Prepared by:-</w:t>
      </w:r>
    </w:p>
    <w:p w14:paraId="768E7C2F" w14:textId="77777777" w:rsidR="000864FE" w:rsidRPr="000864FE" w:rsidRDefault="000864FE" w:rsidP="000864FE">
      <w:pPr>
        <w:pStyle w:val="BodyTextGrey"/>
        <w:rPr>
          <w:color w:val="auto"/>
          <w:sz w:val="24"/>
          <w:szCs w:val="24"/>
        </w:rPr>
      </w:pPr>
      <w:r w:rsidRPr="000864FE">
        <w:rPr>
          <w:color w:val="auto"/>
          <w:sz w:val="24"/>
          <w:szCs w:val="24"/>
        </w:rPr>
        <w:t>Jordan Irvine, Associate Investment Consultant</w:t>
      </w:r>
      <w:r w:rsidRPr="000864FE">
        <w:rPr>
          <w:color w:val="auto"/>
          <w:sz w:val="24"/>
          <w:szCs w:val="24"/>
        </w:rPr>
        <w:tab/>
      </w:r>
      <w:r w:rsidRPr="000864FE">
        <w:rPr>
          <w:color w:val="auto"/>
          <w:sz w:val="24"/>
          <w:szCs w:val="24"/>
        </w:rPr>
        <w:tab/>
      </w:r>
      <w:r w:rsidRPr="000864FE">
        <w:rPr>
          <w:color w:val="auto"/>
          <w:sz w:val="24"/>
          <w:szCs w:val="24"/>
        </w:rPr>
        <w:tab/>
      </w:r>
      <w:r w:rsidRPr="000864FE">
        <w:rPr>
          <w:color w:val="auto"/>
          <w:sz w:val="24"/>
          <w:szCs w:val="24"/>
        </w:rPr>
        <w:tab/>
      </w:r>
    </w:p>
    <w:p w14:paraId="533F139B" w14:textId="77777777" w:rsidR="000864FE" w:rsidRPr="000864FE" w:rsidRDefault="000864FE" w:rsidP="000864FE">
      <w:pPr>
        <w:pStyle w:val="BodyTextGrey"/>
        <w:rPr>
          <w:color w:val="auto"/>
          <w:sz w:val="24"/>
          <w:szCs w:val="24"/>
        </w:rPr>
      </w:pPr>
      <w:r w:rsidRPr="000864FE">
        <w:rPr>
          <w:color w:val="auto"/>
          <w:sz w:val="24"/>
          <w:szCs w:val="24"/>
        </w:rPr>
        <w:t xml:space="preserve">William Marshall, Partner </w:t>
      </w:r>
    </w:p>
    <w:p w14:paraId="35DFF6F4" w14:textId="77777777" w:rsidR="000864FE" w:rsidRPr="000864FE" w:rsidRDefault="000864FE" w:rsidP="000864FE">
      <w:pPr>
        <w:pStyle w:val="BodyTextGrey"/>
        <w:rPr>
          <w:color w:val="auto"/>
          <w:sz w:val="24"/>
          <w:szCs w:val="24"/>
        </w:rPr>
      </w:pPr>
      <w:r w:rsidRPr="000864FE">
        <w:rPr>
          <w:color w:val="auto"/>
          <w:sz w:val="24"/>
          <w:szCs w:val="24"/>
        </w:rPr>
        <w:t>For and on behalf of Hymans Robertson LLP</w:t>
      </w:r>
    </w:p>
    <w:p w14:paraId="6C11B9B7" w14:textId="77777777" w:rsidR="000864FE" w:rsidRPr="000864FE" w:rsidRDefault="000864FE" w:rsidP="000864FE">
      <w:pPr>
        <w:pStyle w:val="BodyTextGrey"/>
        <w:rPr>
          <w:color w:val="auto"/>
          <w:sz w:val="24"/>
          <w:szCs w:val="24"/>
        </w:rPr>
      </w:pPr>
    </w:p>
    <w:p w14:paraId="7F0EA1D4" w14:textId="77777777" w:rsidR="000864FE" w:rsidRPr="000864FE" w:rsidRDefault="000864FE" w:rsidP="000864FE">
      <w:pPr>
        <w:pStyle w:val="Heading4"/>
        <w:rPr>
          <w:rFonts w:cs="Arial"/>
          <w:sz w:val="24"/>
          <w:szCs w:val="24"/>
        </w:rPr>
      </w:pPr>
      <w:r w:rsidRPr="000864FE">
        <w:rPr>
          <w:rFonts w:cs="Arial"/>
          <w:sz w:val="24"/>
          <w:szCs w:val="24"/>
        </w:rPr>
        <w:lastRenderedPageBreak/>
        <w:t xml:space="preserve">General Risk Warning </w:t>
      </w:r>
    </w:p>
    <w:p w14:paraId="6F63480F" w14:textId="77777777" w:rsidR="000864FE" w:rsidRPr="000864FE" w:rsidRDefault="000864FE" w:rsidP="000864FE">
      <w:pPr>
        <w:pStyle w:val="BodyTextGrey"/>
        <w:rPr>
          <w:color w:val="auto"/>
          <w:sz w:val="24"/>
          <w:szCs w:val="24"/>
        </w:rPr>
      </w:pPr>
      <w:r w:rsidRPr="000864FE">
        <w:rPr>
          <w:color w:val="auto"/>
          <w:sz w:val="24"/>
          <w:szCs w:val="24"/>
        </w:rPr>
        <w:t>Please note the value of investments, and income from them, may fall as well as rise. This includes equities, government or corporate bonds, and property, whether held directly or in a pooled or collective investment vehicle. Further, investments in developing or emerging markets may be more volatile and less marketable than in mature markets. Exchange rates may also affect the value of an overseas investment. As a result, an investor may not get back the amount originally invested. Past performance is not necessarily a guide to future performance.</w:t>
      </w:r>
    </w:p>
    <w:p w14:paraId="4ED06601" w14:textId="77777777" w:rsidR="000864FE" w:rsidRPr="000864FE" w:rsidRDefault="000864FE" w:rsidP="000864FE">
      <w:pPr>
        <w:pStyle w:val="BodyTextGrey"/>
        <w:rPr>
          <w:color w:val="auto"/>
          <w:sz w:val="24"/>
          <w:szCs w:val="24"/>
        </w:rPr>
      </w:pPr>
    </w:p>
    <w:p w14:paraId="2BE60643" w14:textId="77777777" w:rsidR="000864FE" w:rsidRPr="000864FE" w:rsidRDefault="000864FE" w:rsidP="000864FE">
      <w:pPr>
        <w:pStyle w:val="BulletHymans"/>
        <w:numPr>
          <w:ilvl w:val="0"/>
          <w:numId w:val="0"/>
        </w:numPr>
        <w:rPr>
          <w:color w:val="4472C4"/>
          <w:sz w:val="24"/>
          <w:szCs w:val="24"/>
        </w:rPr>
      </w:pPr>
    </w:p>
    <w:p w14:paraId="328B0046" w14:textId="77777777" w:rsidR="000864FE" w:rsidRPr="000864FE" w:rsidRDefault="000864FE" w:rsidP="000864FE">
      <w:pPr>
        <w:pStyle w:val="NumberHymans"/>
        <w:numPr>
          <w:ilvl w:val="0"/>
          <w:numId w:val="0"/>
        </w:numPr>
        <w:rPr>
          <w:sz w:val="24"/>
          <w:szCs w:val="24"/>
          <w:highlight w:val="yellow"/>
        </w:rPr>
      </w:pPr>
    </w:p>
    <w:p w14:paraId="19963F4B" w14:textId="77777777" w:rsidR="000864FE" w:rsidRPr="000864FE" w:rsidRDefault="000864FE" w:rsidP="000864FE">
      <w:pPr>
        <w:pStyle w:val="NumberHymans"/>
        <w:numPr>
          <w:ilvl w:val="0"/>
          <w:numId w:val="0"/>
        </w:numPr>
        <w:rPr>
          <w:sz w:val="24"/>
          <w:szCs w:val="24"/>
        </w:rPr>
      </w:pPr>
    </w:p>
    <w:p w14:paraId="3406ED20" w14:textId="77777777" w:rsidR="000864FE" w:rsidRPr="000864FE" w:rsidRDefault="000864FE" w:rsidP="000864FE">
      <w:pPr>
        <w:jc w:val="both"/>
        <w:rPr>
          <w:rFonts w:ascii="Arial" w:hAnsi="Arial" w:cs="Arial"/>
          <w:sz w:val="24"/>
          <w:szCs w:val="24"/>
        </w:rPr>
      </w:pPr>
    </w:p>
    <w:p w14:paraId="08C3A60B" w14:textId="77777777" w:rsidR="00DA752D" w:rsidRDefault="00DA752D" w:rsidP="00DA752D">
      <w:pPr>
        <w:ind w:left="3600" w:hanging="3600"/>
        <w:rPr>
          <w:rFonts w:ascii="Arial" w:hAnsi="Arial" w:cs="Arial"/>
          <w:sz w:val="24"/>
          <w:szCs w:val="24"/>
        </w:rPr>
      </w:pPr>
    </w:p>
    <w:p w14:paraId="54C59710" w14:textId="77777777" w:rsidR="00372D3D" w:rsidRDefault="00372D3D" w:rsidP="00DA752D">
      <w:pPr>
        <w:ind w:left="3600" w:hanging="3600"/>
        <w:rPr>
          <w:rFonts w:ascii="Arial" w:hAnsi="Arial" w:cs="Arial"/>
          <w:sz w:val="24"/>
          <w:szCs w:val="24"/>
        </w:rPr>
      </w:pPr>
    </w:p>
    <w:p w14:paraId="3B411AF4" w14:textId="77777777" w:rsidR="00372D3D" w:rsidRDefault="00372D3D" w:rsidP="00DA752D">
      <w:pPr>
        <w:ind w:left="3600" w:hanging="3600"/>
        <w:rPr>
          <w:rFonts w:ascii="Arial" w:hAnsi="Arial" w:cs="Arial"/>
          <w:sz w:val="24"/>
          <w:szCs w:val="24"/>
        </w:rPr>
      </w:pPr>
    </w:p>
    <w:p w14:paraId="4BB3C9D2" w14:textId="77777777" w:rsidR="00372D3D" w:rsidRDefault="00372D3D" w:rsidP="00DA752D">
      <w:pPr>
        <w:ind w:left="3600" w:hanging="3600"/>
        <w:rPr>
          <w:rFonts w:ascii="Arial" w:hAnsi="Arial" w:cs="Arial"/>
          <w:sz w:val="24"/>
          <w:szCs w:val="24"/>
        </w:rPr>
      </w:pPr>
    </w:p>
    <w:p w14:paraId="4B526C8F" w14:textId="77777777" w:rsidR="00372D3D" w:rsidRDefault="00372D3D" w:rsidP="00DA752D">
      <w:pPr>
        <w:ind w:left="3600" w:hanging="3600"/>
        <w:rPr>
          <w:rFonts w:ascii="Arial" w:hAnsi="Arial" w:cs="Arial"/>
          <w:sz w:val="24"/>
          <w:szCs w:val="24"/>
        </w:rPr>
      </w:pPr>
    </w:p>
    <w:p w14:paraId="341B79AD" w14:textId="77777777" w:rsidR="00372D3D" w:rsidRDefault="00372D3D" w:rsidP="00DA752D">
      <w:pPr>
        <w:ind w:left="3600" w:hanging="3600"/>
        <w:rPr>
          <w:rFonts w:ascii="Arial" w:hAnsi="Arial" w:cs="Arial"/>
          <w:sz w:val="24"/>
          <w:szCs w:val="24"/>
        </w:rPr>
      </w:pPr>
    </w:p>
    <w:p w14:paraId="1D179F84" w14:textId="77777777" w:rsidR="00372D3D" w:rsidRDefault="00372D3D" w:rsidP="00DA752D">
      <w:pPr>
        <w:ind w:left="3600" w:hanging="3600"/>
        <w:rPr>
          <w:rFonts w:ascii="Arial" w:hAnsi="Arial" w:cs="Arial"/>
          <w:sz w:val="24"/>
          <w:szCs w:val="24"/>
        </w:rPr>
      </w:pPr>
    </w:p>
    <w:p w14:paraId="2E4F513D" w14:textId="77777777" w:rsidR="00372D3D" w:rsidRDefault="00372D3D" w:rsidP="00DA752D">
      <w:pPr>
        <w:ind w:left="3600" w:hanging="3600"/>
        <w:rPr>
          <w:rFonts w:ascii="Arial" w:hAnsi="Arial" w:cs="Arial"/>
          <w:sz w:val="24"/>
          <w:szCs w:val="24"/>
        </w:rPr>
      </w:pPr>
    </w:p>
    <w:p w14:paraId="33EC532C" w14:textId="77777777" w:rsidR="00372D3D" w:rsidRDefault="00372D3D" w:rsidP="00DA752D">
      <w:pPr>
        <w:ind w:left="3600" w:hanging="3600"/>
        <w:rPr>
          <w:rFonts w:ascii="Arial" w:hAnsi="Arial" w:cs="Arial"/>
          <w:sz w:val="24"/>
          <w:szCs w:val="24"/>
        </w:rPr>
      </w:pPr>
    </w:p>
    <w:p w14:paraId="0C3F99CD" w14:textId="77777777" w:rsidR="00372D3D" w:rsidRDefault="00372D3D" w:rsidP="00DA752D">
      <w:pPr>
        <w:ind w:left="3600" w:hanging="3600"/>
        <w:rPr>
          <w:rFonts w:ascii="Arial" w:hAnsi="Arial" w:cs="Arial"/>
          <w:sz w:val="24"/>
          <w:szCs w:val="24"/>
        </w:rPr>
      </w:pPr>
    </w:p>
    <w:p w14:paraId="7EFC06A4" w14:textId="77777777" w:rsidR="00372D3D" w:rsidRDefault="00372D3D" w:rsidP="00DA752D">
      <w:pPr>
        <w:ind w:left="3600" w:hanging="3600"/>
        <w:rPr>
          <w:rFonts w:ascii="Arial" w:hAnsi="Arial" w:cs="Arial"/>
          <w:sz w:val="24"/>
          <w:szCs w:val="24"/>
        </w:rPr>
      </w:pPr>
    </w:p>
    <w:p w14:paraId="2597B21F" w14:textId="77777777" w:rsidR="00372D3D" w:rsidRDefault="00372D3D" w:rsidP="00DA752D">
      <w:pPr>
        <w:ind w:left="3600" w:hanging="3600"/>
        <w:rPr>
          <w:rFonts w:ascii="Arial" w:hAnsi="Arial" w:cs="Arial"/>
          <w:sz w:val="24"/>
          <w:szCs w:val="24"/>
        </w:rPr>
      </w:pPr>
    </w:p>
    <w:p w14:paraId="47992282" w14:textId="77777777" w:rsidR="00372D3D" w:rsidRDefault="00372D3D" w:rsidP="00DA752D">
      <w:pPr>
        <w:ind w:left="3600" w:hanging="3600"/>
        <w:rPr>
          <w:rFonts w:ascii="Arial" w:hAnsi="Arial" w:cs="Arial"/>
          <w:sz w:val="24"/>
          <w:szCs w:val="24"/>
        </w:rPr>
      </w:pPr>
    </w:p>
    <w:p w14:paraId="58CDA77F" w14:textId="77777777" w:rsidR="00372D3D" w:rsidRDefault="00372D3D" w:rsidP="00DA752D">
      <w:pPr>
        <w:ind w:left="3600" w:hanging="3600"/>
        <w:rPr>
          <w:rFonts w:ascii="Arial" w:hAnsi="Arial" w:cs="Arial"/>
          <w:sz w:val="24"/>
          <w:szCs w:val="24"/>
        </w:rPr>
      </w:pPr>
    </w:p>
    <w:p w14:paraId="649F9DE8" w14:textId="77777777" w:rsidR="00372D3D" w:rsidRDefault="00372D3D" w:rsidP="00DA752D">
      <w:pPr>
        <w:ind w:left="3600" w:hanging="3600"/>
        <w:rPr>
          <w:rFonts w:ascii="Arial" w:hAnsi="Arial" w:cs="Arial"/>
          <w:sz w:val="24"/>
          <w:szCs w:val="24"/>
        </w:rPr>
      </w:pPr>
    </w:p>
    <w:p w14:paraId="5A79C743" w14:textId="77777777" w:rsidR="00372D3D" w:rsidRDefault="00372D3D" w:rsidP="00DA752D">
      <w:pPr>
        <w:ind w:left="3600" w:hanging="3600"/>
        <w:rPr>
          <w:rFonts w:ascii="Arial" w:hAnsi="Arial" w:cs="Arial"/>
          <w:sz w:val="24"/>
          <w:szCs w:val="24"/>
        </w:rPr>
      </w:pPr>
    </w:p>
    <w:p w14:paraId="0CDE4A75" w14:textId="77777777" w:rsidR="00372D3D" w:rsidRDefault="00372D3D" w:rsidP="00DA752D">
      <w:pPr>
        <w:ind w:left="3600" w:hanging="3600"/>
        <w:rPr>
          <w:rFonts w:ascii="Arial" w:hAnsi="Arial" w:cs="Arial"/>
          <w:sz w:val="24"/>
          <w:szCs w:val="24"/>
        </w:rPr>
      </w:pPr>
    </w:p>
    <w:p w14:paraId="46DB1A4F" w14:textId="77777777" w:rsidR="00372D3D" w:rsidRDefault="00372D3D" w:rsidP="00DA752D">
      <w:pPr>
        <w:ind w:left="3600" w:hanging="3600"/>
        <w:rPr>
          <w:rFonts w:ascii="Arial" w:hAnsi="Arial" w:cs="Arial"/>
          <w:sz w:val="24"/>
          <w:szCs w:val="24"/>
        </w:rPr>
      </w:pPr>
    </w:p>
    <w:p w14:paraId="5E8D1E31" w14:textId="77777777" w:rsidR="00372D3D" w:rsidRDefault="00372D3D" w:rsidP="00DA752D">
      <w:pPr>
        <w:ind w:left="3600" w:hanging="3600"/>
        <w:rPr>
          <w:rFonts w:ascii="Arial" w:hAnsi="Arial" w:cs="Arial"/>
          <w:sz w:val="24"/>
          <w:szCs w:val="24"/>
        </w:rPr>
      </w:pPr>
    </w:p>
    <w:p w14:paraId="66CC214E" w14:textId="77777777" w:rsidR="00372D3D" w:rsidRDefault="00372D3D" w:rsidP="00DA752D">
      <w:pPr>
        <w:ind w:left="3600" w:hanging="3600"/>
        <w:rPr>
          <w:rFonts w:ascii="Arial" w:hAnsi="Arial" w:cs="Arial"/>
          <w:sz w:val="24"/>
          <w:szCs w:val="24"/>
        </w:rPr>
      </w:pPr>
    </w:p>
    <w:p w14:paraId="40268F91" w14:textId="77777777" w:rsidR="00372D3D" w:rsidRDefault="00372D3D" w:rsidP="00DA752D">
      <w:pPr>
        <w:ind w:left="3600" w:hanging="3600"/>
        <w:rPr>
          <w:rFonts w:ascii="Arial" w:hAnsi="Arial" w:cs="Arial"/>
          <w:sz w:val="24"/>
          <w:szCs w:val="24"/>
        </w:rPr>
      </w:pPr>
    </w:p>
    <w:p w14:paraId="225E8C8A" w14:textId="77777777" w:rsidR="00372D3D" w:rsidRDefault="00372D3D" w:rsidP="00DA752D">
      <w:pPr>
        <w:ind w:left="3600" w:hanging="3600"/>
        <w:rPr>
          <w:rFonts w:ascii="Arial" w:hAnsi="Arial" w:cs="Arial"/>
          <w:sz w:val="24"/>
          <w:szCs w:val="24"/>
        </w:rPr>
      </w:pPr>
    </w:p>
    <w:p w14:paraId="20423BF6" w14:textId="77777777" w:rsidR="00372D3D" w:rsidRDefault="00372D3D" w:rsidP="00DA752D">
      <w:pPr>
        <w:ind w:left="3600" w:hanging="3600"/>
        <w:rPr>
          <w:rFonts w:ascii="Arial" w:hAnsi="Arial" w:cs="Arial"/>
          <w:sz w:val="24"/>
          <w:szCs w:val="24"/>
        </w:rPr>
      </w:pPr>
    </w:p>
    <w:p w14:paraId="28031E31" w14:textId="77777777" w:rsidR="00372D3D" w:rsidRDefault="00372D3D" w:rsidP="00DA752D">
      <w:pPr>
        <w:ind w:left="3600" w:hanging="3600"/>
        <w:rPr>
          <w:rFonts w:ascii="Arial" w:hAnsi="Arial" w:cs="Arial"/>
          <w:sz w:val="24"/>
          <w:szCs w:val="24"/>
        </w:rPr>
      </w:pPr>
    </w:p>
    <w:p w14:paraId="1AA9FEC4" w14:textId="77777777" w:rsidR="00372D3D" w:rsidRDefault="00372D3D" w:rsidP="00DA752D">
      <w:pPr>
        <w:ind w:left="3600" w:hanging="3600"/>
        <w:rPr>
          <w:rFonts w:ascii="Arial" w:hAnsi="Arial" w:cs="Arial"/>
          <w:sz w:val="24"/>
          <w:szCs w:val="24"/>
        </w:rPr>
      </w:pPr>
    </w:p>
    <w:p w14:paraId="069F6B31" w14:textId="77777777" w:rsidR="00372D3D" w:rsidRDefault="00372D3D" w:rsidP="00DA752D">
      <w:pPr>
        <w:ind w:left="3600" w:hanging="3600"/>
        <w:rPr>
          <w:rFonts w:ascii="Arial" w:hAnsi="Arial" w:cs="Arial"/>
          <w:sz w:val="24"/>
          <w:szCs w:val="24"/>
        </w:rPr>
      </w:pPr>
    </w:p>
    <w:p w14:paraId="2CDFDCF1" w14:textId="77777777" w:rsidR="00372D3D" w:rsidRDefault="00372D3D" w:rsidP="00DA752D">
      <w:pPr>
        <w:ind w:left="3600" w:hanging="3600"/>
        <w:rPr>
          <w:rFonts w:ascii="Arial" w:hAnsi="Arial" w:cs="Arial"/>
          <w:sz w:val="24"/>
          <w:szCs w:val="24"/>
        </w:rPr>
      </w:pPr>
    </w:p>
    <w:p w14:paraId="232BCE7D" w14:textId="77777777" w:rsidR="00372D3D" w:rsidRDefault="00372D3D" w:rsidP="00DA752D">
      <w:pPr>
        <w:ind w:left="3600" w:hanging="3600"/>
        <w:rPr>
          <w:rFonts w:ascii="Arial" w:hAnsi="Arial" w:cs="Arial"/>
          <w:sz w:val="24"/>
          <w:szCs w:val="24"/>
        </w:rPr>
      </w:pPr>
    </w:p>
    <w:p w14:paraId="629D4915" w14:textId="77777777" w:rsidR="00372D3D" w:rsidRDefault="00372D3D" w:rsidP="00DA752D">
      <w:pPr>
        <w:ind w:left="3600" w:hanging="3600"/>
        <w:rPr>
          <w:rFonts w:ascii="Arial" w:hAnsi="Arial" w:cs="Arial"/>
          <w:sz w:val="24"/>
          <w:szCs w:val="24"/>
        </w:rPr>
      </w:pPr>
    </w:p>
    <w:p w14:paraId="470982E5" w14:textId="77777777" w:rsidR="00372D3D" w:rsidRDefault="00372D3D" w:rsidP="00DA752D">
      <w:pPr>
        <w:ind w:left="3600" w:hanging="3600"/>
        <w:rPr>
          <w:rFonts w:ascii="Arial" w:hAnsi="Arial" w:cs="Arial"/>
          <w:sz w:val="24"/>
          <w:szCs w:val="24"/>
        </w:rPr>
      </w:pPr>
    </w:p>
    <w:p w14:paraId="52EF63FB" w14:textId="77777777" w:rsidR="00372D3D" w:rsidRDefault="00372D3D" w:rsidP="00DA752D">
      <w:pPr>
        <w:ind w:left="3600" w:hanging="3600"/>
        <w:rPr>
          <w:rFonts w:ascii="Arial" w:hAnsi="Arial" w:cs="Arial"/>
          <w:sz w:val="24"/>
          <w:szCs w:val="24"/>
        </w:rPr>
      </w:pPr>
    </w:p>
    <w:p w14:paraId="44DB7764" w14:textId="77777777" w:rsidR="00372D3D" w:rsidRDefault="00372D3D" w:rsidP="00DA752D">
      <w:pPr>
        <w:ind w:left="3600" w:hanging="3600"/>
        <w:rPr>
          <w:rFonts w:ascii="Arial" w:hAnsi="Arial" w:cs="Arial"/>
          <w:sz w:val="24"/>
          <w:szCs w:val="24"/>
        </w:rPr>
      </w:pPr>
    </w:p>
    <w:p w14:paraId="327FFDB0" w14:textId="77777777" w:rsidR="00372D3D" w:rsidRPr="00F33C99" w:rsidRDefault="00372D3D" w:rsidP="00DA752D">
      <w:pPr>
        <w:ind w:left="3600" w:hanging="3600"/>
        <w:rPr>
          <w:rFonts w:ascii="Arial" w:hAnsi="Arial" w:cs="Arial"/>
          <w:b/>
          <w:szCs w:val="28"/>
        </w:rPr>
      </w:pPr>
      <w:r w:rsidRPr="00F33C99">
        <w:rPr>
          <w:rFonts w:ascii="Arial" w:hAnsi="Arial" w:cs="Arial"/>
          <w:b/>
          <w:szCs w:val="28"/>
        </w:rPr>
        <w:t>Glossary</w:t>
      </w:r>
    </w:p>
    <w:p w14:paraId="733411EA" w14:textId="77777777" w:rsidR="00372D3D" w:rsidRDefault="00372D3D" w:rsidP="00DA752D">
      <w:pPr>
        <w:ind w:left="3600" w:hanging="3600"/>
        <w:rPr>
          <w:rFonts w:ascii="Arial" w:hAnsi="Arial" w:cs="Arial"/>
          <w:sz w:val="24"/>
          <w:szCs w:val="24"/>
        </w:rPr>
      </w:pPr>
    </w:p>
    <w:p w14:paraId="2FA03B11" w14:textId="77777777" w:rsidR="00FD37F4" w:rsidRPr="00F33C99" w:rsidRDefault="00FD37F4" w:rsidP="00F33C99">
      <w:pPr>
        <w:autoSpaceDE w:val="0"/>
        <w:autoSpaceDN w:val="0"/>
        <w:adjustRightInd w:val="0"/>
        <w:rPr>
          <w:rFonts w:ascii="Arial" w:hAnsi="Arial" w:cs="Arial"/>
          <w:sz w:val="24"/>
          <w:szCs w:val="24"/>
          <w:lang w:eastAsia="en-GB"/>
        </w:rPr>
      </w:pPr>
      <w:r w:rsidRPr="00F33C99">
        <w:rPr>
          <w:rFonts w:ascii="Arial" w:hAnsi="Arial" w:cs="Arial"/>
          <w:b/>
          <w:sz w:val="24"/>
          <w:szCs w:val="24"/>
          <w:lang w:eastAsia="en-GB"/>
        </w:rPr>
        <w:t>Active Management</w:t>
      </w:r>
      <w:r w:rsidRPr="00F33C99">
        <w:rPr>
          <w:rFonts w:ascii="Arial" w:hAnsi="Arial" w:cs="Arial"/>
          <w:sz w:val="24"/>
          <w:szCs w:val="24"/>
          <w:lang w:eastAsia="en-GB"/>
        </w:rPr>
        <w:t xml:space="preserve"> - A mark through either Asset Allocation,</w:t>
      </w:r>
      <w:r w:rsidR="00F33C99">
        <w:rPr>
          <w:rFonts w:ascii="Arial" w:hAnsi="Arial" w:cs="Arial"/>
          <w:sz w:val="24"/>
          <w:szCs w:val="24"/>
          <w:lang w:eastAsia="en-GB"/>
        </w:rPr>
        <w:t xml:space="preserve"> </w:t>
      </w:r>
      <w:r w:rsidRPr="00F33C99">
        <w:rPr>
          <w:rFonts w:ascii="Arial" w:hAnsi="Arial" w:cs="Arial"/>
          <w:sz w:val="24"/>
          <w:szCs w:val="24"/>
          <w:lang w:eastAsia="en-GB"/>
        </w:rPr>
        <w:t>Market Timing or Stock Selection (or a combination of these).</w:t>
      </w:r>
      <w:r w:rsidR="00F33C99">
        <w:rPr>
          <w:rFonts w:ascii="Arial" w:hAnsi="Arial" w:cs="Arial"/>
          <w:sz w:val="24"/>
          <w:szCs w:val="24"/>
          <w:lang w:eastAsia="en-GB"/>
        </w:rPr>
        <w:t xml:space="preserve"> </w:t>
      </w:r>
      <w:r w:rsidRPr="00F33C99">
        <w:rPr>
          <w:rFonts w:ascii="Arial" w:hAnsi="Arial" w:cs="Arial"/>
          <w:sz w:val="24"/>
          <w:szCs w:val="24"/>
          <w:lang w:eastAsia="en-GB"/>
        </w:rPr>
        <w:t>Directly contrasted with Passive Management.</w:t>
      </w:r>
    </w:p>
    <w:p w14:paraId="3106B4CC"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6952C3BC"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Actuary</w:t>
      </w:r>
      <w:r w:rsidRPr="00F33C99">
        <w:rPr>
          <w:rFonts w:ascii="Arial" w:hAnsi="Arial" w:cs="Arial"/>
          <w:sz w:val="24"/>
          <w:szCs w:val="24"/>
          <w:lang w:eastAsia="en-GB"/>
        </w:rPr>
        <w:t xml:space="preserve"> - An independent consultant who advises on the viability</w:t>
      </w:r>
      <w:r w:rsidR="00F33C99">
        <w:rPr>
          <w:rFonts w:ascii="Arial" w:hAnsi="Arial" w:cs="Arial"/>
          <w:sz w:val="24"/>
          <w:szCs w:val="24"/>
          <w:lang w:eastAsia="en-GB"/>
        </w:rPr>
        <w:t xml:space="preserve"> </w:t>
      </w:r>
      <w:r w:rsidRPr="00F33C99">
        <w:rPr>
          <w:rFonts w:ascii="Arial" w:hAnsi="Arial" w:cs="Arial"/>
          <w:sz w:val="24"/>
          <w:szCs w:val="24"/>
          <w:lang w:eastAsia="en-GB"/>
        </w:rPr>
        <w:t>of the Fund. every three years the actuary reviews the assets and</w:t>
      </w:r>
      <w:r w:rsidR="00F33C99">
        <w:rPr>
          <w:rFonts w:ascii="Arial" w:hAnsi="Arial" w:cs="Arial"/>
          <w:sz w:val="24"/>
          <w:szCs w:val="24"/>
          <w:lang w:eastAsia="en-GB"/>
        </w:rPr>
        <w:t xml:space="preserve"> </w:t>
      </w:r>
      <w:r w:rsidRPr="00F33C99">
        <w:rPr>
          <w:rFonts w:ascii="Arial" w:hAnsi="Arial" w:cs="Arial"/>
          <w:sz w:val="24"/>
          <w:szCs w:val="24"/>
          <w:lang w:eastAsia="en-GB"/>
        </w:rPr>
        <w:t>liabilities of the Fund and reports to the County Council as</w:t>
      </w:r>
      <w:r w:rsidR="00F33C99">
        <w:rPr>
          <w:rFonts w:ascii="Arial" w:hAnsi="Arial" w:cs="Arial"/>
          <w:sz w:val="24"/>
          <w:szCs w:val="24"/>
          <w:lang w:eastAsia="en-GB"/>
        </w:rPr>
        <w:t xml:space="preserve"> </w:t>
      </w:r>
      <w:r w:rsidRPr="00F33C99">
        <w:rPr>
          <w:rFonts w:ascii="Arial" w:hAnsi="Arial" w:cs="Arial"/>
          <w:sz w:val="24"/>
          <w:szCs w:val="24"/>
          <w:lang w:eastAsia="en-GB"/>
        </w:rPr>
        <w:t>administering authority on the financial position and the</w:t>
      </w:r>
      <w:r w:rsidR="00F33C99">
        <w:rPr>
          <w:rFonts w:ascii="Arial" w:hAnsi="Arial" w:cs="Arial"/>
          <w:sz w:val="24"/>
          <w:szCs w:val="24"/>
          <w:lang w:eastAsia="en-GB"/>
        </w:rPr>
        <w:t xml:space="preserve"> </w:t>
      </w:r>
      <w:r w:rsidRPr="00F33C99">
        <w:rPr>
          <w:rFonts w:ascii="Arial" w:hAnsi="Arial" w:cs="Arial"/>
          <w:sz w:val="24"/>
          <w:szCs w:val="24"/>
          <w:lang w:eastAsia="en-GB"/>
        </w:rPr>
        <w:t>recommended employers contribution rates. This is known as</w:t>
      </w:r>
      <w:r w:rsidR="00F33C99">
        <w:rPr>
          <w:rFonts w:ascii="Arial" w:hAnsi="Arial" w:cs="Arial"/>
          <w:sz w:val="24"/>
          <w:szCs w:val="24"/>
          <w:lang w:eastAsia="en-GB"/>
        </w:rPr>
        <w:t xml:space="preserve"> </w:t>
      </w:r>
      <w:r w:rsidRPr="00F33C99">
        <w:rPr>
          <w:rFonts w:ascii="Arial" w:hAnsi="Arial" w:cs="Arial"/>
          <w:sz w:val="24"/>
          <w:szCs w:val="24"/>
          <w:lang w:eastAsia="en-GB"/>
        </w:rPr>
        <w:t>the actuarial valuation.</w:t>
      </w:r>
    </w:p>
    <w:p w14:paraId="272BE408" w14:textId="77777777" w:rsidR="00FD37F4" w:rsidRPr="00F33C99" w:rsidRDefault="00FD37F4" w:rsidP="00FD37F4">
      <w:pPr>
        <w:autoSpaceDE w:val="0"/>
        <w:autoSpaceDN w:val="0"/>
        <w:adjustRightInd w:val="0"/>
        <w:rPr>
          <w:rFonts w:ascii="Arial" w:hAnsi="Arial" w:cs="Arial"/>
          <w:sz w:val="24"/>
          <w:szCs w:val="24"/>
          <w:lang w:eastAsia="en-GB"/>
        </w:rPr>
      </w:pPr>
    </w:p>
    <w:p w14:paraId="59D7CD7D"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Asset Class</w:t>
      </w:r>
      <w:r w:rsidRPr="00F33C99">
        <w:rPr>
          <w:rFonts w:ascii="Arial" w:hAnsi="Arial" w:cs="Arial"/>
          <w:sz w:val="24"/>
          <w:szCs w:val="24"/>
          <w:lang w:eastAsia="en-GB"/>
        </w:rPr>
        <w:t xml:space="preserve"> - A specific area/type of Investment e.g. uK equities,</w:t>
      </w:r>
      <w:r w:rsidR="00F33C99">
        <w:rPr>
          <w:rFonts w:ascii="Arial" w:hAnsi="Arial" w:cs="Arial"/>
          <w:sz w:val="24"/>
          <w:szCs w:val="24"/>
          <w:lang w:eastAsia="en-GB"/>
        </w:rPr>
        <w:t xml:space="preserve"> </w:t>
      </w:r>
      <w:r w:rsidRPr="00F33C99">
        <w:rPr>
          <w:rFonts w:ascii="Arial" w:hAnsi="Arial" w:cs="Arial"/>
          <w:sz w:val="24"/>
          <w:szCs w:val="24"/>
          <w:lang w:eastAsia="en-GB"/>
        </w:rPr>
        <w:t>overseas equities, Fixed Income, Cash.</w:t>
      </w:r>
    </w:p>
    <w:p w14:paraId="46F3124C" w14:textId="77777777" w:rsidR="00FD37F4" w:rsidRPr="00F33C99" w:rsidRDefault="00FD37F4" w:rsidP="00FD37F4">
      <w:pPr>
        <w:autoSpaceDE w:val="0"/>
        <w:autoSpaceDN w:val="0"/>
        <w:adjustRightInd w:val="0"/>
        <w:rPr>
          <w:rFonts w:ascii="Arial" w:hAnsi="Arial" w:cs="Arial"/>
          <w:sz w:val="24"/>
          <w:szCs w:val="24"/>
          <w:lang w:eastAsia="en-GB"/>
        </w:rPr>
      </w:pPr>
    </w:p>
    <w:p w14:paraId="7611B7EF"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Benchmark Return</w:t>
      </w:r>
      <w:r w:rsidRPr="00F33C99">
        <w:rPr>
          <w:rFonts w:ascii="Arial" w:hAnsi="Arial" w:cs="Arial"/>
          <w:sz w:val="24"/>
          <w:szCs w:val="24"/>
          <w:lang w:eastAsia="en-GB"/>
        </w:rPr>
        <w:t xml:space="preserve"> - The benchmark return is the return that</w:t>
      </w:r>
      <w:r w:rsidR="00F33C99">
        <w:rPr>
          <w:rFonts w:ascii="Arial" w:hAnsi="Arial" w:cs="Arial"/>
          <w:sz w:val="24"/>
          <w:szCs w:val="24"/>
          <w:lang w:eastAsia="en-GB"/>
        </w:rPr>
        <w:t xml:space="preserve"> </w:t>
      </w:r>
      <w:r w:rsidRPr="00F33C99">
        <w:rPr>
          <w:rFonts w:ascii="Arial" w:hAnsi="Arial" w:cs="Arial"/>
          <w:sz w:val="24"/>
          <w:szCs w:val="24"/>
          <w:lang w:eastAsia="en-GB"/>
        </w:rPr>
        <w:t>would be achieved if the Fund Manager had not deviated from</w:t>
      </w:r>
      <w:r w:rsidR="00F33C99">
        <w:rPr>
          <w:rFonts w:ascii="Arial" w:hAnsi="Arial" w:cs="Arial"/>
          <w:sz w:val="24"/>
          <w:szCs w:val="24"/>
          <w:lang w:eastAsia="en-GB"/>
        </w:rPr>
        <w:t xml:space="preserve"> </w:t>
      </w:r>
      <w:r w:rsidRPr="00F33C99">
        <w:rPr>
          <w:rFonts w:ascii="Arial" w:hAnsi="Arial" w:cs="Arial"/>
          <w:sz w:val="24"/>
          <w:szCs w:val="24"/>
          <w:lang w:eastAsia="en-GB"/>
        </w:rPr>
        <w:t>the weightings of each asset class given to them by the</w:t>
      </w:r>
      <w:r w:rsidR="00F33C99">
        <w:rPr>
          <w:rFonts w:ascii="Arial" w:hAnsi="Arial" w:cs="Arial"/>
          <w:sz w:val="24"/>
          <w:szCs w:val="24"/>
          <w:lang w:eastAsia="en-GB"/>
        </w:rPr>
        <w:t xml:space="preserve"> </w:t>
      </w:r>
      <w:r w:rsidRPr="00F33C99">
        <w:rPr>
          <w:rFonts w:ascii="Arial" w:hAnsi="Arial" w:cs="Arial"/>
          <w:sz w:val="24"/>
          <w:szCs w:val="24"/>
          <w:lang w:eastAsia="en-GB"/>
        </w:rPr>
        <w:t>Investment Panel, and had achieved returns in each of these</w:t>
      </w:r>
      <w:r w:rsidR="00F33C99">
        <w:rPr>
          <w:rFonts w:ascii="Arial" w:hAnsi="Arial" w:cs="Arial"/>
          <w:sz w:val="24"/>
          <w:szCs w:val="24"/>
          <w:lang w:eastAsia="en-GB"/>
        </w:rPr>
        <w:t xml:space="preserve"> </w:t>
      </w:r>
      <w:r w:rsidRPr="00F33C99">
        <w:rPr>
          <w:rFonts w:ascii="Arial" w:hAnsi="Arial" w:cs="Arial"/>
          <w:sz w:val="24"/>
          <w:szCs w:val="24"/>
          <w:lang w:eastAsia="en-GB"/>
        </w:rPr>
        <w:t>asset classes consistent with the average return of all local</w:t>
      </w:r>
      <w:r w:rsidR="00F33C99">
        <w:rPr>
          <w:rFonts w:ascii="Arial" w:hAnsi="Arial" w:cs="Arial"/>
          <w:sz w:val="24"/>
          <w:szCs w:val="24"/>
          <w:lang w:eastAsia="en-GB"/>
        </w:rPr>
        <w:t xml:space="preserve"> </w:t>
      </w:r>
      <w:r w:rsidRPr="00F33C99">
        <w:rPr>
          <w:rFonts w:ascii="Arial" w:hAnsi="Arial" w:cs="Arial"/>
          <w:sz w:val="24"/>
          <w:szCs w:val="24"/>
          <w:lang w:eastAsia="en-GB"/>
        </w:rPr>
        <w:t xml:space="preserve">Authority Funds for that class. The </w:t>
      </w:r>
      <w:r w:rsidR="00F33C99">
        <w:rPr>
          <w:rFonts w:ascii="Arial" w:hAnsi="Arial" w:cs="Arial"/>
          <w:sz w:val="24"/>
          <w:szCs w:val="24"/>
          <w:lang w:eastAsia="en-GB"/>
        </w:rPr>
        <w:t xml:space="preserve"> B</w:t>
      </w:r>
      <w:r w:rsidRPr="00F33C99">
        <w:rPr>
          <w:rFonts w:ascii="Arial" w:hAnsi="Arial" w:cs="Arial"/>
          <w:sz w:val="24"/>
          <w:szCs w:val="24"/>
          <w:lang w:eastAsia="en-GB"/>
        </w:rPr>
        <w:t>enchmark weightings of</w:t>
      </w:r>
      <w:r w:rsidR="00F33C99">
        <w:rPr>
          <w:rFonts w:ascii="Arial" w:hAnsi="Arial" w:cs="Arial"/>
          <w:sz w:val="24"/>
          <w:szCs w:val="24"/>
          <w:lang w:eastAsia="en-GB"/>
        </w:rPr>
        <w:t xml:space="preserve"> </w:t>
      </w:r>
      <w:r w:rsidRPr="00F33C99">
        <w:rPr>
          <w:rFonts w:ascii="Arial" w:hAnsi="Arial" w:cs="Arial"/>
          <w:sz w:val="24"/>
          <w:szCs w:val="24"/>
          <w:lang w:eastAsia="en-GB"/>
        </w:rPr>
        <w:t>asset classes is outlined within the Investment Strategy</w:t>
      </w:r>
    </w:p>
    <w:p w14:paraId="20CA5339"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sz w:val="24"/>
          <w:szCs w:val="24"/>
          <w:lang w:eastAsia="en-GB"/>
        </w:rPr>
        <w:t>Statement.</w:t>
      </w:r>
    </w:p>
    <w:p w14:paraId="0CE76DE1" w14:textId="77777777" w:rsidR="00FD37F4" w:rsidRPr="00F33C99" w:rsidRDefault="00FD37F4" w:rsidP="00F33C99">
      <w:pPr>
        <w:autoSpaceDE w:val="0"/>
        <w:autoSpaceDN w:val="0"/>
        <w:adjustRightInd w:val="0"/>
        <w:jc w:val="both"/>
        <w:rPr>
          <w:rFonts w:ascii="Arial" w:hAnsi="Arial" w:cs="Arial"/>
          <w:b/>
          <w:sz w:val="24"/>
          <w:szCs w:val="24"/>
          <w:lang w:eastAsia="en-GB"/>
        </w:rPr>
      </w:pPr>
    </w:p>
    <w:p w14:paraId="256EFEBF"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Corporate Governance</w:t>
      </w:r>
      <w:r w:rsidRPr="00F33C99">
        <w:rPr>
          <w:rFonts w:ascii="Arial" w:hAnsi="Arial" w:cs="Arial"/>
          <w:sz w:val="24"/>
          <w:szCs w:val="24"/>
          <w:lang w:eastAsia="en-GB"/>
        </w:rPr>
        <w:t xml:space="preserve"> - Issues relating to the way in which a</w:t>
      </w:r>
      <w:r w:rsidR="00F33C99">
        <w:rPr>
          <w:rFonts w:ascii="Arial" w:hAnsi="Arial" w:cs="Arial"/>
          <w:sz w:val="24"/>
          <w:szCs w:val="24"/>
          <w:lang w:eastAsia="en-GB"/>
        </w:rPr>
        <w:t xml:space="preserve"> </w:t>
      </w:r>
      <w:r w:rsidRPr="00F33C99">
        <w:rPr>
          <w:rFonts w:ascii="Arial" w:hAnsi="Arial" w:cs="Arial"/>
          <w:sz w:val="24"/>
          <w:szCs w:val="24"/>
          <w:lang w:eastAsia="en-GB"/>
        </w:rPr>
        <w:t>company ensures that it is attaching maximum importance to</w:t>
      </w:r>
      <w:r w:rsidR="00F33C99">
        <w:rPr>
          <w:rFonts w:ascii="Arial" w:hAnsi="Arial" w:cs="Arial"/>
          <w:sz w:val="24"/>
          <w:szCs w:val="24"/>
          <w:lang w:eastAsia="en-GB"/>
        </w:rPr>
        <w:t xml:space="preserve"> </w:t>
      </w:r>
      <w:r w:rsidRPr="00F33C99">
        <w:rPr>
          <w:rFonts w:ascii="Arial" w:hAnsi="Arial" w:cs="Arial"/>
          <w:sz w:val="24"/>
          <w:szCs w:val="24"/>
          <w:lang w:eastAsia="en-GB"/>
        </w:rPr>
        <w:t xml:space="preserve">the interests of its shareholders and how </w:t>
      </w:r>
      <w:r w:rsidR="00F33C99">
        <w:rPr>
          <w:rFonts w:ascii="Arial" w:hAnsi="Arial" w:cs="Arial"/>
          <w:sz w:val="24"/>
          <w:szCs w:val="24"/>
          <w:lang w:eastAsia="en-GB"/>
        </w:rPr>
        <w:t xml:space="preserve"> s</w:t>
      </w:r>
      <w:r w:rsidRPr="00F33C99">
        <w:rPr>
          <w:rFonts w:ascii="Arial" w:hAnsi="Arial" w:cs="Arial"/>
          <w:sz w:val="24"/>
          <w:szCs w:val="24"/>
          <w:lang w:eastAsia="en-GB"/>
        </w:rPr>
        <w:t>hareholders can</w:t>
      </w:r>
      <w:r w:rsidR="00F33C99">
        <w:rPr>
          <w:rFonts w:ascii="Arial" w:hAnsi="Arial" w:cs="Arial"/>
          <w:sz w:val="24"/>
          <w:szCs w:val="24"/>
          <w:lang w:eastAsia="en-GB"/>
        </w:rPr>
        <w:t xml:space="preserve"> </w:t>
      </w:r>
      <w:r w:rsidRPr="00F33C99">
        <w:rPr>
          <w:rFonts w:ascii="Arial" w:hAnsi="Arial" w:cs="Arial"/>
          <w:sz w:val="24"/>
          <w:szCs w:val="24"/>
          <w:lang w:eastAsia="en-GB"/>
        </w:rPr>
        <w:t>influence management.</w:t>
      </w:r>
    </w:p>
    <w:p w14:paraId="2E2FAD18"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76104509"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 xml:space="preserve">Equities </w:t>
      </w:r>
      <w:r w:rsidRPr="00F33C99">
        <w:rPr>
          <w:rFonts w:ascii="Arial" w:hAnsi="Arial" w:cs="Arial"/>
          <w:sz w:val="24"/>
          <w:szCs w:val="24"/>
          <w:lang w:eastAsia="en-GB"/>
        </w:rPr>
        <w:t xml:space="preserve">- ordinary shares in </w:t>
      </w:r>
      <w:r w:rsidR="002B0909">
        <w:rPr>
          <w:rFonts w:ascii="Arial" w:hAnsi="Arial" w:cs="Arial"/>
          <w:sz w:val="24"/>
          <w:szCs w:val="24"/>
          <w:lang w:eastAsia="en-GB"/>
        </w:rPr>
        <w:t>U</w:t>
      </w:r>
      <w:r w:rsidRPr="00F33C99">
        <w:rPr>
          <w:rFonts w:ascii="Arial" w:hAnsi="Arial" w:cs="Arial"/>
          <w:sz w:val="24"/>
          <w:szCs w:val="24"/>
          <w:lang w:eastAsia="en-GB"/>
        </w:rPr>
        <w:t>K and overseas companies traded</w:t>
      </w:r>
      <w:r w:rsidR="00F33C99">
        <w:rPr>
          <w:rFonts w:ascii="Arial" w:hAnsi="Arial" w:cs="Arial"/>
          <w:sz w:val="24"/>
          <w:szCs w:val="24"/>
          <w:lang w:eastAsia="en-GB"/>
        </w:rPr>
        <w:t xml:space="preserve"> </w:t>
      </w:r>
      <w:r w:rsidRPr="00F33C99">
        <w:rPr>
          <w:rFonts w:ascii="Arial" w:hAnsi="Arial" w:cs="Arial"/>
          <w:sz w:val="24"/>
          <w:szCs w:val="24"/>
          <w:lang w:eastAsia="en-GB"/>
        </w:rPr>
        <w:t>on a recognised stock exchange. Shareholders have an interest</w:t>
      </w:r>
      <w:r w:rsidR="00F33C99">
        <w:rPr>
          <w:rFonts w:ascii="Arial" w:hAnsi="Arial" w:cs="Arial"/>
          <w:sz w:val="24"/>
          <w:szCs w:val="24"/>
          <w:lang w:eastAsia="en-GB"/>
        </w:rPr>
        <w:t xml:space="preserve"> </w:t>
      </w:r>
      <w:r w:rsidRPr="00F33C99">
        <w:rPr>
          <w:rFonts w:ascii="Arial" w:hAnsi="Arial" w:cs="Arial"/>
          <w:sz w:val="24"/>
          <w:szCs w:val="24"/>
          <w:lang w:eastAsia="en-GB"/>
        </w:rPr>
        <w:t>in the profits of the company and are normally entitled to vote</w:t>
      </w:r>
      <w:r w:rsidR="00F33C99">
        <w:rPr>
          <w:rFonts w:ascii="Arial" w:hAnsi="Arial" w:cs="Arial"/>
          <w:sz w:val="24"/>
          <w:szCs w:val="24"/>
          <w:lang w:eastAsia="en-GB"/>
        </w:rPr>
        <w:t xml:space="preserve"> </w:t>
      </w:r>
      <w:r w:rsidRPr="00F33C99">
        <w:rPr>
          <w:rFonts w:ascii="Arial" w:hAnsi="Arial" w:cs="Arial"/>
          <w:sz w:val="24"/>
          <w:szCs w:val="24"/>
          <w:lang w:eastAsia="en-GB"/>
        </w:rPr>
        <w:t>at shareholders’ meetings.</w:t>
      </w:r>
    </w:p>
    <w:p w14:paraId="693569DF" w14:textId="77777777" w:rsidR="00FD37F4" w:rsidRPr="00F33C99" w:rsidRDefault="00FD37F4" w:rsidP="00F33C99">
      <w:pPr>
        <w:autoSpaceDE w:val="0"/>
        <w:autoSpaceDN w:val="0"/>
        <w:adjustRightInd w:val="0"/>
        <w:jc w:val="both"/>
        <w:rPr>
          <w:rFonts w:ascii="Arial" w:hAnsi="Arial" w:cs="Arial"/>
          <w:b/>
          <w:sz w:val="24"/>
          <w:szCs w:val="24"/>
          <w:lang w:eastAsia="en-GB"/>
        </w:rPr>
      </w:pPr>
    </w:p>
    <w:p w14:paraId="412B76BD"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Fixed Interest Securities -</w:t>
      </w:r>
      <w:r w:rsidRPr="00F33C99">
        <w:rPr>
          <w:rFonts w:ascii="Arial" w:hAnsi="Arial" w:cs="Arial"/>
          <w:sz w:val="24"/>
          <w:szCs w:val="24"/>
          <w:lang w:eastAsia="en-GB"/>
        </w:rPr>
        <w:t xml:space="preserve"> Investments in mainly government</w:t>
      </w:r>
      <w:r w:rsidR="00F33C99">
        <w:rPr>
          <w:rFonts w:ascii="Arial" w:hAnsi="Arial" w:cs="Arial"/>
          <w:sz w:val="24"/>
          <w:szCs w:val="24"/>
          <w:lang w:eastAsia="en-GB"/>
        </w:rPr>
        <w:t xml:space="preserve"> </w:t>
      </w:r>
      <w:r w:rsidRPr="00F33C99">
        <w:rPr>
          <w:rFonts w:ascii="Arial" w:hAnsi="Arial" w:cs="Arial"/>
          <w:sz w:val="24"/>
          <w:szCs w:val="24"/>
          <w:lang w:eastAsia="en-GB"/>
        </w:rPr>
        <w:t>stocks, which guarantee a fixed rate of interest. The securities</w:t>
      </w:r>
      <w:r w:rsidR="00F33C99">
        <w:rPr>
          <w:rFonts w:ascii="Arial" w:hAnsi="Arial" w:cs="Arial"/>
          <w:sz w:val="24"/>
          <w:szCs w:val="24"/>
          <w:lang w:eastAsia="en-GB"/>
        </w:rPr>
        <w:t xml:space="preserve"> </w:t>
      </w:r>
      <w:r w:rsidRPr="00F33C99">
        <w:rPr>
          <w:rFonts w:ascii="Arial" w:hAnsi="Arial" w:cs="Arial"/>
          <w:sz w:val="24"/>
          <w:szCs w:val="24"/>
          <w:lang w:eastAsia="en-GB"/>
        </w:rPr>
        <w:t>represent loans which are repayable at a stated future date but</w:t>
      </w:r>
      <w:r w:rsidR="00F33C99">
        <w:rPr>
          <w:rFonts w:ascii="Arial" w:hAnsi="Arial" w:cs="Arial"/>
          <w:sz w:val="24"/>
          <w:szCs w:val="24"/>
          <w:lang w:eastAsia="en-GB"/>
        </w:rPr>
        <w:t xml:space="preserve"> </w:t>
      </w:r>
      <w:r w:rsidRPr="00F33C99">
        <w:rPr>
          <w:rFonts w:ascii="Arial" w:hAnsi="Arial" w:cs="Arial"/>
          <w:sz w:val="24"/>
          <w:szCs w:val="24"/>
          <w:lang w:eastAsia="en-GB"/>
        </w:rPr>
        <w:t>which can be traded on the Stock exchange in the meantime.</w:t>
      </w:r>
    </w:p>
    <w:p w14:paraId="3B770BA0"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6105C03B"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Fund Manager</w:t>
      </w:r>
      <w:r w:rsidRPr="00F33C99">
        <w:rPr>
          <w:rFonts w:ascii="Arial" w:hAnsi="Arial" w:cs="Arial"/>
          <w:sz w:val="24"/>
          <w:szCs w:val="24"/>
          <w:lang w:eastAsia="en-GB"/>
        </w:rPr>
        <w:t xml:space="preserve"> - A person or company to whom the Investment</w:t>
      </w:r>
      <w:r w:rsidR="00F33C99">
        <w:rPr>
          <w:rFonts w:ascii="Arial" w:hAnsi="Arial" w:cs="Arial"/>
          <w:sz w:val="24"/>
          <w:szCs w:val="24"/>
          <w:lang w:eastAsia="en-GB"/>
        </w:rPr>
        <w:t xml:space="preserve"> </w:t>
      </w:r>
      <w:r w:rsidRPr="00F33C99">
        <w:rPr>
          <w:rFonts w:ascii="Arial" w:hAnsi="Arial" w:cs="Arial"/>
          <w:sz w:val="24"/>
          <w:szCs w:val="24"/>
          <w:lang w:eastAsia="en-GB"/>
        </w:rPr>
        <w:t>of the whole or part of the assets of a fund is delegated by the</w:t>
      </w:r>
      <w:r w:rsidR="00F33C99">
        <w:rPr>
          <w:rFonts w:ascii="Arial" w:hAnsi="Arial" w:cs="Arial"/>
          <w:sz w:val="24"/>
          <w:szCs w:val="24"/>
          <w:lang w:eastAsia="en-GB"/>
        </w:rPr>
        <w:t xml:space="preserve"> </w:t>
      </w:r>
      <w:r w:rsidRPr="00F33C99">
        <w:rPr>
          <w:rFonts w:ascii="Arial" w:hAnsi="Arial" w:cs="Arial"/>
          <w:sz w:val="24"/>
          <w:szCs w:val="24"/>
          <w:lang w:eastAsia="en-GB"/>
        </w:rPr>
        <w:t>Trustees.</w:t>
      </w:r>
    </w:p>
    <w:p w14:paraId="34AC7FBC"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58AD2324"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Investment -</w:t>
      </w:r>
      <w:r w:rsidRPr="00F33C99">
        <w:rPr>
          <w:rFonts w:ascii="Arial" w:hAnsi="Arial" w:cs="Arial"/>
          <w:sz w:val="24"/>
          <w:szCs w:val="24"/>
          <w:lang w:eastAsia="en-GB"/>
        </w:rPr>
        <w:t xml:space="preserve"> An asset acquired for the purpose of producing</w:t>
      </w:r>
      <w:r w:rsidR="00F33C99">
        <w:rPr>
          <w:rFonts w:ascii="Arial" w:hAnsi="Arial" w:cs="Arial"/>
          <w:sz w:val="24"/>
          <w:szCs w:val="24"/>
          <w:lang w:eastAsia="en-GB"/>
        </w:rPr>
        <w:t xml:space="preserve"> </w:t>
      </w:r>
      <w:r w:rsidRPr="00F33C99">
        <w:rPr>
          <w:rFonts w:ascii="Arial" w:hAnsi="Arial" w:cs="Arial"/>
          <w:sz w:val="24"/>
          <w:szCs w:val="24"/>
          <w:lang w:eastAsia="en-GB"/>
        </w:rPr>
        <w:t>income and Capital Gain for its owner.</w:t>
      </w:r>
    </w:p>
    <w:p w14:paraId="0529FFBD"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3744991A"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Independent Investment Adviser</w:t>
      </w:r>
      <w:r w:rsidRPr="00F33C99">
        <w:rPr>
          <w:rFonts w:ascii="Arial" w:hAnsi="Arial" w:cs="Arial"/>
          <w:sz w:val="24"/>
          <w:szCs w:val="24"/>
          <w:lang w:eastAsia="en-GB"/>
        </w:rPr>
        <w:t xml:space="preserve"> - A professionally qualified</w:t>
      </w:r>
      <w:r w:rsidR="00F33C99">
        <w:rPr>
          <w:rFonts w:ascii="Arial" w:hAnsi="Arial" w:cs="Arial"/>
          <w:sz w:val="24"/>
          <w:szCs w:val="24"/>
          <w:lang w:eastAsia="en-GB"/>
        </w:rPr>
        <w:t xml:space="preserve"> </w:t>
      </w:r>
      <w:r w:rsidRPr="00F33C99">
        <w:rPr>
          <w:rFonts w:ascii="Arial" w:hAnsi="Arial" w:cs="Arial"/>
          <w:sz w:val="24"/>
          <w:szCs w:val="24"/>
          <w:lang w:eastAsia="en-GB"/>
        </w:rPr>
        <w:t>individual or company whose main livelihood is derived from</w:t>
      </w:r>
      <w:r w:rsidR="00F33C99">
        <w:rPr>
          <w:rFonts w:ascii="Arial" w:hAnsi="Arial" w:cs="Arial"/>
          <w:sz w:val="24"/>
          <w:szCs w:val="24"/>
          <w:lang w:eastAsia="en-GB"/>
        </w:rPr>
        <w:t xml:space="preserve"> </w:t>
      </w:r>
      <w:r w:rsidRPr="00F33C99">
        <w:rPr>
          <w:rFonts w:ascii="Arial" w:hAnsi="Arial" w:cs="Arial"/>
          <w:sz w:val="24"/>
          <w:szCs w:val="24"/>
          <w:lang w:eastAsia="en-GB"/>
        </w:rPr>
        <w:t>providing objective, impartial Investment advice to companies,</w:t>
      </w:r>
      <w:r w:rsidR="00F33C99">
        <w:rPr>
          <w:rFonts w:ascii="Arial" w:hAnsi="Arial" w:cs="Arial"/>
          <w:sz w:val="24"/>
          <w:szCs w:val="24"/>
          <w:lang w:eastAsia="en-GB"/>
        </w:rPr>
        <w:t xml:space="preserve"> </w:t>
      </w:r>
      <w:r w:rsidRPr="00F33C99">
        <w:rPr>
          <w:rFonts w:ascii="Arial" w:hAnsi="Arial" w:cs="Arial"/>
          <w:sz w:val="24"/>
          <w:szCs w:val="24"/>
          <w:lang w:eastAsia="en-GB"/>
        </w:rPr>
        <w:t>pension funds or individuals, for a stated fee.</w:t>
      </w:r>
    </w:p>
    <w:p w14:paraId="5DB25110"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1CDCABC1" w14:textId="77777777" w:rsidR="00F33C99" w:rsidRPr="00F33C99" w:rsidRDefault="00F33C99" w:rsidP="00F33C99">
      <w:pPr>
        <w:autoSpaceDE w:val="0"/>
        <w:autoSpaceDN w:val="0"/>
        <w:adjustRightInd w:val="0"/>
        <w:jc w:val="both"/>
        <w:rPr>
          <w:rFonts w:ascii="Arial" w:hAnsi="Arial" w:cs="Arial"/>
          <w:sz w:val="24"/>
          <w:szCs w:val="24"/>
          <w:lang w:eastAsia="en-GB"/>
        </w:rPr>
      </w:pPr>
    </w:p>
    <w:p w14:paraId="58B5D5E4" w14:textId="77777777" w:rsidR="00F33C99" w:rsidRPr="00F33C99" w:rsidRDefault="00F33C99" w:rsidP="00F33C99">
      <w:pPr>
        <w:autoSpaceDE w:val="0"/>
        <w:autoSpaceDN w:val="0"/>
        <w:adjustRightInd w:val="0"/>
        <w:jc w:val="both"/>
        <w:rPr>
          <w:rFonts w:ascii="Arial" w:hAnsi="Arial" w:cs="Arial"/>
          <w:sz w:val="24"/>
          <w:szCs w:val="24"/>
          <w:lang w:eastAsia="en-GB"/>
        </w:rPr>
      </w:pPr>
    </w:p>
    <w:p w14:paraId="52DB704E" w14:textId="77777777" w:rsidR="00FD37F4" w:rsidRPr="00F33C99" w:rsidRDefault="00FD37F4" w:rsidP="00F33C99">
      <w:pPr>
        <w:autoSpaceDE w:val="0"/>
        <w:autoSpaceDN w:val="0"/>
        <w:adjustRightInd w:val="0"/>
        <w:jc w:val="both"/>
        <w:rPr>
          <w:rFonts w:ascii="Arial" w:hAnsi="Arial" w:cs="Arial"/>
          <w:b/>
          <w:sz w:val="24"/>
          <w:szCs w:val="24"/>
          <w:lang w:eastAsia="en-GB"/>
        </w:rPr>
      </w:pPr>
      <w:r w:rsidRPr="00F33C99">
        <w:rPr>
          <w:rFonts w:ascii="Arial" w:hAnsi="Arial" w:cs="Arial"/>
          <w:b/>
          <w:sz w:val="24"/>
          <w:szCs w:val="24"/>
          <w:lang w:eastAsia="en-GB"/>
        </w:rPr>
        <w:t>Market Indicators –</w:t>
      </w:r>
    </w:p>
    <w:p w14:paraId="4770506E" w14:textId="77777777" w:rsid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sz w:val="24"/>
          <w:szCs w:val="24"/>
          <w:lang w:eastAsia="en-GB"/>
        </w:rPr>
        <w:t xml:space="preserve"> (i) The movement in Stock market are</w:t>
      </w:r>
      <w:r w:rsidR="00F33C99">
        <w:rPr>
          <w:rFonts w:ascii="Arial" w:hAnsi="Arial" w:cs="Arial"/>
          <w:sz w:val="24"/>
          <w:szCs w:val="24"/>
          <w:lang w:eastAsia="en-GB"/>
        </w:rPr>
        <w:t xml:space="preserve"> </w:t>
      </w:r>
      <w:r w:rsidRPr="00F33C99">
        <w:rPr>
          <w:rFonts w:ascii="Arial" w:hAnsi="Arial" w:cs="Arial"/>
          <w:sz w:val="24"/>
          <w:szCs w:val="24"/>
          <w:lang w:eastAsia="en-GB"/>
        </w:rPr>
        <w:t>monitored continuously by means of an Index made up of the</w:t>
      </w:r>
      <w:r w:rsidR="00F33C99">
        <w:rPr>
          <w:rFonts w:ascii="Arial" w:hAnsi="Arial" w:cs="Arial"/>
          <w:sz w:val="24"/>
          <w:szCs w:val="24"/>
          <w:lang w:eastAsia="en-GB"/>
        </w:rPr>
        <w:t xml:space="preserve"> </w:t>
      </w:r>
      <w:r w:rsidRPr="00F33C99">
        <w:rPr>
          <w:rFonts w:ascii="Arial" w:hAnsi="Arial" w:cs="Arial"/>
          <w:sz w:val="24"/>
          <w:szCs w:val="24"/>
          <w:lang w:eastAsia="en-GB"/>
        </w:rPr>
        <w:t>current prices of a representative sample of stock.</w:t>
      </w:r>
      <w:r w:rsidR="00F33C99">
        <w:rPr>
          <w:rFonts w:ascii="Arial" w:hAnsi="Arial" w:cs="Arial"/>
          <w:sz w:val="24"/>
          <w:szCs w:val="24"/>
          <w:lang w:eastAsia="en-GB"/>
        </w:rPr>
        <w:t xml:space="preserve"> </w:t>
      </w:r>
    </w:p>
    <w:p w14:paraId="3ACA5B9C" w14:textId="77777777" w:rsidR="00FD37F4" w:rsidRPr="00F33C99" w:rsidRDefault="00F33C99" w:rsidP="00F33C99">
      <w:pPr>
        <w:autoSpaceDE w:val="0"/>
        <w:autoSpaceDN w:val="0"/>
        <w:adjustRightInd w:val="0"/>
        <w:jc w:val="both"/>
        <w:rPr>
          <w:rFonts w:ascii="Arial" w:hAnsi="Arial" w:cs="Arial"/>
          <w:sz w:val="24"/>
          <w:szCs w:val="24"/>
          <w:lang w:eastAsia="en-GB"/>
        </w:rPr>
      </w:pPr>
      <w:r>
        <w:rPr>
          <w:rFonts w:ascii="Arial" w:hAnsi="Arial" w:cs="Arial"/>
          <w:sz w:val="24"/>
          <w:szCs w:val="24"/>
          <w:lang w:eastAsia="en-GB"/>
        </w:rPr>
        <w:t xml:space="preserve"> (</w:t>
      </w:r>
      <w:r w:rsidR="00FD37F4" w:rsidRPr="00F33C99">
        <w:rPr>
          <w:rFonts w:ascii="Arial" w:hAnsi="Arial" w:cs="Arial"/>
          <w:sz w:val="24"/>
          <w:szCs w:val="24"/>
          <w:lang w:eastAsia="en-GB"/>
        </w:rPr>
        <w:t>ii) Change in the rates at which currencies can be exchanged.</w:t>
      </w:r>
    </w:p>
    <w:p w14:paraId="00294CBD"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4B7192B3"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Market Value</w:t>
      </w:r>
      <w:r w:rsidRPr="00F33C99">
        <w:rPr>
          <w:rFonts w:ascii="Arial" w:hAnsi="Arial" w:cs="Arial"/>
          <w:sz w:val="24"/>
          <w:szCs w:val="24"/>
          <w:lang w:eastAsia="en-GB"/>
        </w:rPr>
        <w:t xml:space="preserve"> -The price at which an investment can be sold at</w:t>
      </w:r>
      <w:r w:rsidR="00F33C99">
        <w:rPr>
          <w:rFonts w:ascii="Arial" w:hAnsi="Arial" w:cs="Arial"/>
          <w:sz w:val="24"/>
          <w:szCs w:val="24"/>
          <w:lang w:eastAsia="en-GB"/>
        </w:rPr>
        <w:t xml:space="preserve"> </w:t>
      </w:r>
      <w:r w:rsidRPr="00F33C99">
        <w:rPr>
          <w:rFonts w:ascii="Arial" w:hAnsi="Arial" w:cs="Arial"/>
          <w:sz w:val="24"/>
          <w:szCs w:val="24"/>
          <w:lang w:eastAsia="en-GB"/>
        </w:rPr>
        <w:t>a given date.</w:t>
      </w:r>
    </w:p>
    <w:p w14:paraId="5F15C507"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61348A43"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sz w:val="24"/>
          <w:szCs w:val="24"/>
          <w:lang w:eastAsia="en-GB"/>
        </w:rPr>
        <w:t>Out performance/Under performance - The difference in</w:t>
      </w:r>
      <w:r w:rsidR="00F33C99">
        <w:rPr>
          <w:rFonts w:ascii="Arial" w:hAnsi="Arial" w:cs="Arial"/>
          <w:sz w:val="24"/>
          <w:szCs w:val="24"/>
          <w:lang w:eastAsia="en-GB"/>
        </w:rPr>
        <w:t xml:space="preserve"> r</w:t>
      </w:r>
      <w:r w:rsidRPr="00F33C99">
        <w:rPr>
          <w:rFonts w:ascii="Arial" w:hAnsi="Arial" w:cs="Arial"/>
          <w:sz w:val="24"/>
          <w:szCs w:val="24"/>
          <w:lang w:eastAsia="en-GB"/>
        </w:rPr>
        <w:t>eturns gained by a particular fund against an ‘Average’ Fund or</w:t>
      </w:r>
      <w:r w:rsidR="00F33C99">
        <w:rPr>
          <w:rFonts w:ascii="Arial" w:hAnsi="Arial" w:cs="Arial"/>
          <w:sz w:val="24"/>
          <w:szCs w:val="24"/>
          <w:lang w:eastAsia="en-GB"/>
        </w:rPr>
        <w:t xml:space="preserve"> </w:t>
      </w:r>
      <w:r w:rsidRPr="00F33C99">
        <w:rPr>
          <w:rFonts w:ascii="Arial" w:hAnsi="Arial" w:cs="Arial"/>
          <w:sz w:val="24"/>
          <w:szCs w:val="24"/>
          <w:lang w:eastAsia="en-GB"/>
        </w:rPr>
        <w:t>an Index over a specified time period ie a Target for a fund may</w:t>
      </w:r>
      <w:r w:rsidR="00F33C99">
        <w:rPr>
          <w:rFonts w:ascii="Arial" w:hAnsi="Arial" w:cs="Arial"/>
          <w:sz w:val="24"/>
          <w:szCs w:val="24"/>
          <w:lang w:eastAsia="en-GB"/>
        </w:rPr>
        <w:t xml:space="preserve"> </w:t>
      </w:r>
      <w:r w:rsidRPr="00F33C99">
        <w:rPr>
          <w:rFonts w:ascii="Arial" w:hAnsi="Arial" w:cs="Arial"/>
          <w:sz w:val="24"/>
          <w:szCs w:val="24"/>
          <w:lang w:eastAsia="en-GB"/>
        </w:rPr>
        <w:t>be out performance of a Benchmark over a 3-year period.</w:t>
      </w:r>
    </w:p>
    <w:p w14:paraId="37A91BAF" w14:textId="77777777" w:rsidR="00FD37F4" w:rsidRPr="00F33C99" w:rsidRDefault="00FD37F4" w:rsidP="00F33C99">
      <w:pPr>
        <w:autoSpaceDE w:val="0"/>
        <w:autoSpaceDN w:val="0"/>
        <w:adjustRightInd w:val="0"/>
        <w:jc w:val="both"/>
        <w:rPr>
          <w:rFonts w:ascii="Arial" w:hAnsi="Arial" w:cs="Arial"/>
          <w:b/>
          <w:sz w:val="24"/>
          <w:szCs w:val="24"/>
          <w:lang w:eastAsia="en-GB"/>
        </w:rPr>
      </w:pPr>
    </w:p>
    <w:p w14:paraId="6D97DF44"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Passive Management</w:t>
      </w:r>
      <w:r w:rsidRPr="00F33C99">
        <w:rPr>
          <w:rFonts w:ascii="Arial" w:hAnsi="Arial" w:cs="Arial"/>
          <w:sz w:val="24"/>
          <w:szCs w:val="24"/>
          <w:lang w:eastAsia="en-GB"/>
        </w:rPr>
        <w:t xml:space="preserve"> - (also called Indexation/Index Tracking)</w:t>
      </w:r>
      <w:r w:rsidR="00F33C99">
        <w:rPr>
          <w:rFonts w:ascii="Arial" w:hAnsi="Arial" w:cs="Arial"/>
          <w:sz w:val="24"/>
          <w:szCs w:val="24"/>
          <w:lang w:eastAsia="en-GB"/>
        </w:rPr>
        <w:t xml:space="preserve"> </w:t>
      </w:r>
      <w:r w:rsidRPr="00F33C99">
        <w:rPr>
          <w:rFonts w:ascii="Arial" w:hAnsi="Arial" w:cs="Arial"/>
          <w:sz w:val="24"/>
          <w:szCs w:val="24"/>
          <w:lang w:eastAsia="en-GB"/>
        </w:rPr>
        <w:t>A style of Investment Management which aims to construct a</w:t>
      </w:r>
      <w:r w:rsidR="00F33C99">
        <w:rPr>
          <w:rFonts w:ascii="Arial" w:hAnsi="Arial" w:cs="Arial"/>
          <w:sz w:val="24"/>
          <w:szCs w:val="24"/>
          <w:lang w:eastAsia="en-GB"/>
        </w:rPr>
        <w:t xml:space="preserve"> </w:t>
      </w:r>
      <w:r w:rsidRPr="00F33C99">
        <w:rPr>
          <w:rFonts w:ascii="Arial" w:hAnsi="Arial" w:cs="Arial"/>
          <w:sz w:val="24"/>
          <w:szCs w:val="24"/>
          <w:lang w:eastAsia="en-GB"/>
        </w:rPr>
        <w:t>Portfolio in such a way as to provide the same Return as that of</w:t>
      </w:r>
      <w:r w:rsidR="00F33C99">
        <w:rPr>
          <w:rFonts w:ascii="Arial" w:hAnsi="Arial" w:cs="Arial"/>
          <w:sz w:val="24"/>
          <w:szCs w:val="24"/>
          <w:lang w:eastAsia="en-GB"/>
        </w:rPr>
        <w:t xml:space="preserve"> </w:t>
      </w:r>
      <w:r w:rsidRPr="00F33C99">
        <w:rPr>
          <w:rFonts w:ascii="Arial" w:hAnsi="Arial" w:cs="Arial"/>
          <w:sz w:val="24"/>
          <w:szCs w:val="24"/>
          <w:lang w:eastAsia="en-GB"/>
        </w:rPr>
        <w:t>a chosen Index i.e. Stocks are purchased to be as representative</w:t>
      </w:r>
    </w:p>
    <w:p w14:paraId="765D139C"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sz w:val="24"/>
          <w:szCs w:val="24"/>
          <w:lang w:eastAsia="en-GB"/>
        </w:rPr>
        <w:t>as possible of the make-up of the Index. Contrasts with Active</w:t>
      </w:r>
      <w:r w:rsidR="00F33C99">
        <w:rPr>
          <w:rFonts w:ascii="Arial" w:hAnsi="Arial" w:cs="Arial"/>
          <w:sz w:val="24"/>
          <w:szCs w:val="24"/>
          <w:lang w:eastAsia="en-GB"/>
        </w:rPr>
        <w:t xml:space="preserve"> </w:t>
      </w:r>
      <w:r w:rsidRPr="00F33C99">
        <w:rPr>
          <w:rFonts w:ascii="Arial" w:hAnsi="Arial" w:cs="Arial"/>
          <w:sz w:val="24"/>
          <w:szCs w:val="24"/>
          <w:lang w:eastAsia="en-GB"/>
        </w:rPr>
        <w:t>Management.</w:t>
      </w:r>
    </w:p>
    <w:p w14:paraId="6BC634B1"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2DE04F3B"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 xml:space="preserve">Performance </w:t>
      </w:r>
      <w:r w:rsidRPr="00F33C99">
        <w:rPr>
          <w:rFonts w:ascii="Arial" w:hAnsi="Arial" w:cs="Arial"/>
          <w:sz w:val="24"/>
          <w:szCs w:val="24"/>
          <w:lang w:eastAsia="en-GB"/>
        </w:rPr>
        <w:t>- A measure, usually expressed in percentage</w:t>
      </w:r>
      <w:r w:rsidR="00F33C99">
        <w:rPr>
          <w:rFonts w:ascii="Arial" w:hAnsi="Arial" w:cs="Arial"/>
          <w:sz w:val="24"/>
          <w:szCs w:val="24"/>
          <w:lang w:eastAsia="en-GB"/>
        </w:rPr>
        <w:t xml:space="preserve"> </w:t>
      </w:r>
      <w:r w:rsidRPr="00F33C99">
        <w:rPr>
          <w:rFonts w:ascii="Arial" w:hAnsi="Arial" w:cs="Arial"/>
          <w:sz w:val="24"/>
          <w:szCs w:val="24"/>
          <w:lang w:eastAsia="en-GB"/>
        </w:rPr>
        <w:t>terms, of how well a fund has done over a particular time period</w:t>
      </w:r>
      <w:r w:rsidR="00F33C99">
        <w:rPr>
          <w:rFonts w:ascii="Arial" w:hAnsi="Arial" w:cs="Arial"/>
          <w:sz w:val="24"/>
          <w:szCs w:val="24"/>
          <w:lang w:eastAsia="en-GB"/>
        </w:rPr>
        <w:t xml:space="preserve"> </w:t>
      </w:r>
      <w:r w:rsidRPr="00F33C99">
        <w:rPr>
          <w:rFonts w:ascii="Arial" w:hAnsi="Arial" w:cs="Arial"/>
          <w:sz w:val="24"/>
          <w:szCs w:val="24"/>
          <w:lang w:eastAsia="en-GB"/>
        </w:rPr>
        <w:t>- either in absolute terms or as measured against the ‘Average’</w:t>
      </w:r>
      <w:r w:rsidR="00F33C99">
        <w:rPr>
          <w:rFonts w:ascii="Arial" w:hAnsi="Arial" w:cs="Arial"/>
          <w:sz w:val="24"/>
          <w:szCs w:val="24"/>
          <w:lang w:eastAsia="en-GB"/>
        </w:rPr>
        <w:t xml:space="preserve"> </w:t>
      </w:r>
      <w:r w:rsidRPr="00F33C99">
        <w:rPr>
          <w:rFonts w:ascii="Arial" w:hAnsi="Arial" w:cs="Arial"/>
          <w:sz w:val="24"/>
          <w:szCs w:val="24"/>
          <w:lang w:eastAsia="en-GB"/>
        </w:rPr>
        <w:t>Fund or a particular Benchmark.</w:t>
      </w:r>
    </w:p>
    <w:p w14:paraId="114C57B0" w14:textId="77777777" w:rsidR="00FD37F4" w:rsidRPr="00F33C99" w:rsidRDefault="00FD37F4" w:rsidP="00FD37F4">
      <w:pPr>
        <w:autoSpaceDE w:val="0"/>
        <w:autoSpaceDN w:val="0"/>
        <w:adjustRightInd w:val="0"/>
        <w:rPr>
          <w:rFonts w:ascii="Arial" w:hAnsi="Arial" w:cs="Arial"/>
          <w:sz w:val="24"/>
          <w:szCs w:val="24"/>
          <w:lang w:eastAsia="en-GB"/>
        </w:rPr>
      </w:pPr>
    </w:p>
    <w:p w14:paraId="38CCB8D4"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Performance Measurement</w:t>
      </w:r>
      <w:r w:rsidRPr="00F33C99">
        <w:rPr>
          <w:rFonts w:ascii="Arial" w:hAnsi="Arial" w:cs="Arial"/>
          <w:sz w:val="24"/>
          <w:szCs w:val="24"/>
          <w:lang w:eastAsia="en-GB"/>
        </w:rPr>
        <w:t xml:space="preserve"> - A service designed to help</w:t>
      </w:r>
      <w:r w:rsidR="00F33C99">
        <w:rPr>
          <w:rFonts w:ascii="Arial" w:hAnsi="Arial" w:cs="Arial"/>
          <w:sz w:val="24"/>
          <w:szCs w:val="24"/>
          <w:lang w:eastAsia="en-GB"/>
        </w:rPr>
        <w:t xml:space="preserve"> </w:t>
      </w:r>
      <w:r w:rsidRPr="00F33C99">
        <w:rPr>
          <w:rFonts w:ascii="Arial" w:hAnsi="Arial" w:cs="Arial"/>
          <w:sz w:val="24"/>
          <w:szCs w:val="24"/>
          <w:lang w:eastAsia="en-GB"/>
        </w:rPr>
        <w:t>investors evaluate the performance of their investments. This</w:t>
      </w:r>
      <w:r w:rsidR="00F33C99">
        <w:rPr>
          <w:rFonts w:ascii="Arial" w:hAnsi="Arial" w:cs="Arial"/>
          <w:sz w:val="24"/>
          <w:szCs w:val="24"/>
          <w:lang w:eastAsia="en-GB"/>
        </w:rPr>
        <w:t xml:space="preserve"> </w:t>
      </w:r>
      <w:r w:rsidRPr="00F33C99">
        <w:rPr>
          <w:rFonts w:ascii="Arial" w:hAnsi="Arial" w:cs="Arial"/>
          <w:sz w:val="24"/>
          <w:szCs w:val="24"/>
          <w:lang w:eastAsia="en-GB"/>
        </w:rPr>
        <w:t>usually involves the comparison of a fund’s performance with a</w:t>
      </w:r>
      <w:r w:rsidR="00F33C99">
        <w:rPr>
          <w:rFonts w:ascii="Arial" w:hAnsi="Arial" w:cs="Arial"/>
          <w:sz w:val="24"/>
          <w:szCs w:val="24"/>
          <w:lang w:eastAsia="en-GB"/>
        </w:rPr>
        <w:t xml:space="preserve"> </w:t>
      </w:r>
      <w:r w:rsidRPr="00F33C99">
        <w:rPr>
          <w:rFonts w:ascii="Arial" w:hAnsi="Arial" w:cs="Arial"/>
          <w:sz w:val="24"/>
          <w:szCs w:val="24"/>
          <w:lang w:eastAsia="en-GB"/>
        </w:rPr>
        <w:t>selected Benchmark and/or with a universe of similar funds. The</w:t>
      </w:r>
    </w:p>
    <w:p w14:paraId="20DB7835"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sz w:val="24"/>
          <w:szCs w:val="24"/>
          <w:lang w:eastAsia="en-GB"/>
        </w:rPr>
        <w:t>main Performance Measurement Companies are The WM</w:t>
      </w:r>
      <w:r w:rsidR="00F33C99">
        <w:rPr>
          <w:rFonts w:ascii="Arial" w:hAnsi="Arial" w:cs="Arial"/>
          <w:sz w:val="24"/>
          <w:szCs w:val="24"/>
          <w:lang w:eastAsia="en-GB"/>
        </w:rPr>
        <w:t xml:space="preserve"> </w:t>
      </w:r>
      <w:r w:rsidRPr="00F33C99">
        <w:rPr>
          <w:rFonts w:ascii="Arial" w:hAnsi="Arial" w:cs="Arial"/>
          <w:sz w:val="24"/>
          <w:szCs w:val="24"/>
          <w:lang w:eastAsia="en-GB"/>
        </w:rPr>
        <w:t>Company, which the Dyfed Pension Fund uses, and CAPS.</w:t>
      </w:r>
    </w:p>
    <w:p w14:paraId="1E9F3EE8"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5E3CFFDA"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 xml:space="preserve">Portfolio </w:t>
      </w:r>
      <w:r w:rsidRPr="00F33C99">
        <w:rPr>
          <w:rFonts w:ascii="Arial" w:hAnsi="Arial" w:cs="Arial"/>
          <w:sz w:val="24"/>
          <w:szCs w:val="24"/>
          <w:lang w:eastAsia="en-GB"/>
        </w:rPr>
        <w:t>- A collective term for all the investments held in a</w:t>
      </w:r>
      <w:r w:rsidR="00F33C99">
        <w:rPr>
          <w:rFonts w:ascii="Arial" w:hAnsi="Arial" w:cs="Arial"/>
          <w:sz w:val="24"/>
          <w:szCs w:val="24"/>
          <w:lang w:eastAsia="en-GB"/>
        </w:rPr>
        <w:t xml:space="preserve"> </w:t>
      </w:r>
      <w:r w:rsidRPr="00F33C99">
        <w:rPr>
          <w:rFonts w:ascii="Arial" w:hAnsi="Arial" w:cs="Arial"/>
          <w:sz w:val="24"/>
          <w:szCs w:val="24"/>
          <w:lang w:eastAsia="en-GB"/>
        </w:rPr>
        <w:t>fund, market or sector.</w:t>
      </w:r>
    </w:p>
    <w:p w14:paraId="65304986"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08819923"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Preserved Benefits</w:t>
      </w:r>
      <w:r w:rsidRPr="00F33C99">
        <w:rPr>
          <w:rFonts w:ascii="Arial" w:hAnsi="Arial" w:cs="Arial"/>
          <w:sz w:val="24"/>
          <w:szCs w:val="24"/>
          <w:lang w:eastAsia="en-GB"/>
        </w:rPr>
        <w:t xml:space="preserve"> - The pension benefits payable from normal</w:t>
      </w:r>
      <w:r w:rsidR="00F33C99">
        <w:rPr>
          <w:rFonts w:ascii="Arial" w:hAnsi="Arial" w:cs="Arial"/>
          <w:sz w:val="24"/>
          <w:szCs w:val="24"/>
          <w:lang w:eastAsia="en-GB"/>
        </w:rPr>
        <w:t xml:space="preserve"> </w:t>
      </w:r>
      <w:r w:rsidRPr="00F33C99">
        <w:rPr>
          <w:rFonts w:ascii="Arial" w:hAnsi="Arial" w:cs="Arial"/>
          <w:sz w:val="24"/>
          <w:szCs w:val="24"/>
          <w:lang w:eastAsia="en-GB"/>
        </w:rPr>
        <w:t>retirement age to a member of the Fund who has ceased to</w:t>
      </w:r>
      <w:r w:rsidR="00F33C99">
        <w:rPr>
          <w:rFonts w:ascii="Arial" w:hAnsi="Arial" w:cs="Arial"/>
          <w:sz w:val="24"/>
          <w:szCs w:val="24"/>
          <w:lang w:eastAsia="en-GB"/>
        </w:rPr>
        <w:t xml:space="preserve"> </w:t>
      </w:r>
      <w:r w:rsidRPr="00F33C99">
        <w:rPr>
          <w:rFonts w:ascii="Arial" w:hAnsi="Arial" w:cs="Arial"/>
          <w:sz w:val="24"/>
          <w:szCs w:val="24"/>
          <w:lang w:eastAsia="en-GB"/>
        </w:rPr>
        <w:t>contribute as a result of leaving employment or opting out of</w:t>
      </w:r>
      <w:r w:rsidR="00F33C99">
        <w:rPr>
          <w:rFonts w:ascii="Arial" w:hAnsi="Arial" w:cs="Arial"/>
          <w:sz w:val="24"/>
          <w:szCs w:val="24"/>
          <w:lang w:eastAsia="en-GB"/>
        </w:rPr>
        <w:t xml:space="preserve"> </w:t>
      </w:r>
      <w:r w:rsidRPr="00F33C99">
        <w:rPr>
          <w:rFonts w:ascii="Arial" w:hAnsi="Arial" w:cs="Arial"/>
          <w:sz w:val="24"/>
          <w:szCs w:val="24"/>
          <w:lang w:eastAsia="en-GB"/>
        </w:rPr>
        <w:t>the Pension scheme before normal retirement age.</w:t>
      </w:r>
    </w:p>
    <w:p w14:paraId="6EDC8610"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1D10166A"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Return -</w:t>
      </w:r>
      <w:r w:rsidRPr="00F33C99">
        <w:rPr>
          <w:rFonts w:ascii="Arial" w:hAnsi="Arial" w:cs="Arial"/>
          <w:sz w:val="24"/>
          <w:szCs w:val="24"/>
          <w:lang w:eastAsia="en-GB"/>
        </w:rPr>
        <w:t xml:space="preserve"> The total gain from holding an investment over a given</w:t>
      </w:r>
      <w:r w:rsidR="00F33C99">
        <w:rPr>
          <w:rFonts w:ascii="Arial" w:hAnsi="Arial" w:cs="Arial"/>
          <w:sz w:val="24"/>
          <w:szCs w:val="24"/>
          <w:lang w:eastAsia="en-GB"/>
        </w:rPr>
        <w:t xml:space="preserve"> </w:t>
      </w:r>
      <w:r w:rsidRPr="00F33C99">
        <w:rPr>
          <w:rFonts w:ascii="Arial" w:hAnsi="Arial" w:cs="Arial"/>
          <w:sz w:val="24"/>
          <w:szCs w:val="24"/>
          <w:lang w:eastAsia="en-GB"/>
        </w:rPr>
        <w:t>period, including income and increase (decrease) in market</w:t>
      </w:r>
      <w:r w:rsidR="00F33C99">
        <w:rPr>
          <w:rFonts w:ascii="Arial" w:hAnsi="Arial" w:cs="Arial"/>
          <w:sz w:val="24"/>
          <w:szCs w:val="24"/>
          <w:lang w:eastAsia="en-GB"/>
        </w:rPr>
        <w:t xml:space="preserve"> </w:t>
      </w:r>
      <w:r w:rsidRPr="00F33C99">
        <w:rPr>
          <w:rFonts w:ascii="Arial" w:hAnsi="Arial" w:cs="Arial"/>
          <w:sz w:val="24"/>
          <w:szCs w:val="24"/>
          <w:lang w:eastAsia="en-GB"/>
        </w:rPr>
        <w:t>value.</w:t>
      </w:r>
    </w:p>
    <w:p w14:paraId="0D38AB11"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52075463"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 xml:space="preserve">Risk </w:t>
      </w:r>
      <w:r w:rsidRPr="00F33C99">
        <w:rPr>
          <w:rFonts w:ascii="Arial" w:hAnsi="Arial" w:cs="Arial"/>
          <w:sz w:val="24"/>
          <w:szCs w:val="24"/>
          <w:lang w:eastAsia="en-GB"/>
        </w:rPr>
        <w:t>- Generally taken to mean the Variability of Returns.</w:t>
      </w:r>
      <w:r w:rsidR="00F33C99">
        <w:rPr>
          <w:rFonts w:ascii="Arial" w:hAnsi="Arial" w:cs="Arial"/>
          <w:sz w:val="24"/>
          <w:szCs w:val="24"/>
          <w:lang w:eastAsia="en-GB"/>
        </w:rPr>
        <w:t xml:space="preserve"> </w:t>
      </w:r>
      <w:r w:rsidRPr="00F33C99">
        <w:rPr>
          <w:rFonts w:ascii="Arial" w:hAnsi="Arial" w:cs="Arial"/>
          <w:sz w:val="24"/>
          <w:szCs w:val="24"/>
          <w:lang w:eastAsia="en-GB"/>
        </w:rPr>
        <w:t>Investments with greater risk must usually promise higher</w:t>
      </w:r>
      <w:r w:rsidR="00F33C99">
        <w:rPr>
          <w:rFonts w:ascii="Arial" w:hAnsi="Arial" w:cs="Arial"/>
          <w:sz w:val="24"/>
          <w:szCs w:val="24"/>
          <w:lang w:eastAsia="en-GB"/>
        </w:rPr>
        <w:t xml:space="preserve"> </w:t>
      </w:r>
      <w:r w:rsidRPr="00F33C99">
        <w:rPr>
          <w:rFonts w:ascii="Arial" w:hAnsi="Arial" w:cs="Arial"/>
          <w:sz w:val="24"/>
          <w:szCs w:val="24"/>
          <w:lang w:eastAsia="en-GB"/>
        </w:rPr>
        <w:t>returns than more ‘stable’ investments before investors will buy</w:t>
      </w:r>
    </w:p>
    <w:p w14:paraId="7E3D300E"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sz w:val="24"/>
          <w:szCs w:val="24"/>
          <w:lang w:eastAsia="en-GB"/>
        </w:rPr>
        <w:t>them.</w:t>
      </w:r>
    </w:p>
    <w:p w14:paraId="0C697DFA"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4612A115" w14:textId="77777777" w:rsidR="00FD37F4" w:rsidRPr="00F33C99" w:rsidRDefault="00FD37F4" w:rsidP="00F33C99">
      <w:pPr>
        <w:autoSpaceDE w:val="0"/>
        <w:autoSpaceDN w:val="0"/>
        <w:adjustRightInd w:val="0"/>
        <w:jc w:val="both"/>
        <w:rPr>
          <w:rFonts w:ascii="Arial" w:hAnsi="Arial" w:cs="Arial"/>
          <w:sz w:val="24"/>
          <w:szCs w:val="24"/>
          <w:lang w:eastAsia="en-GB"/>
        </w:rPr>
      </w:pPr>
      <w:r w:rsidRPr="00F33C99">
        <w:rPr>
          <w:rFonts w:ascii="Arial" w:hAnsi="Arial" w:cs="Arial"/>
          <w:b/>
          <w:sz w:val="24"/>
          <w:szCs w:val="24"/>
          <w:lang w:eastAsia="en-GB"/>
        </w:rPr>
        <w:t>Transfer Value</w:t>
      </w:r>
      <w:r w:rsidRPr="00F33C99">
        <w:rPr>
          <w:rFonts w:ascii="Arial" w:hAnsi="Arial" w:cs="Arial"/>
          <w:sz w:val="24"/>
          <w:szCs w:val="24"/>
          <w:lang w:eastAsia="en-GB"/>
        </w:rPr>
        <w:t xml:space="preserve"> - Payments made between funds when</w:t>
      </w:r>
      <w:r w:rsidR="00F33C99">
        <w:rPr>
          <w:rFonts w:ascii="Arial" w:hAnsi="Arial" w:cs="Arial"/>
          <w:sz w:val="24"/>
          <w:szCs w:val="24"/>
          <w:lang w:eastAsia="en-GB"/>
        </w:rPr>
        <w:t xml:space="preserve"> </w:t>
      </w:r>
      <w:r w:rsidRPr="00F33C99">
        <w:rPr>
          <w:rFonts w:ascii="Arial" w:hAnsi="Arial" w:cs="Arial"/>
          <w:sz w:val="24"/>
          <w:szCs w:val="24"/>
          <w:lang w:eastAsia="en-GB"/>
        </w:rPr>
        <w:t>contributors leave service with one employer and decide to take</w:t>
      </w:r>
      <w:r w:rsidR="00F33C99">
        <w:rPr>
          <w:rFonts w:ascii="Arial" w:hAnsi="Arial" w:cs="Arial"/>
          <w:sz w:val="24"/>
          <w:szCs w:val="24"/>
          <w:lang w:eastAsia="en-GB"/>
        </w:rPr>
        <w:t xml:space="preserve"> </w:t>
      </w:r>
      <w:r w:rsidRPr="00F33C99">
        <w:rPr>
          <w:rFonts w:ascii="Arial" w:hAnsi="Arial" w:cs="Arial"/>
          <w:sz w:val="24"/>
          <w:szCs w:val="24"/>
          <w:lang w:eastAsia="en-GB"/>
        </w:rPr>
        <w:t>the value of their contributions to their new fund.</w:t>
      </w:r>
    </w:p>
    <w:p w14:paraId="53BA847C"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35796B6E" w14:textId="77777777" w:rsidR="00372D3D" w:rsidRPr="00F33C99" w:rsidRDefault="00FD37F4" w:rsidP="00F33C99">
      <w:pPr>
        <w:autoSpaceDE w:val="0"/>
        <w:autoSpaceDN w:val="0"/>
        <w:adjustRightInd w:val="0"/>
        <w:jc w:val="both"/>
        <w:rPr>
          <w:rFonts w:ascii="Arial" w:hAnsi="Arial" w:cs="Arial"/>
          <w:sz w:val="24"/>
          <w:szCs w:val="24"/>
        </w:rPr>
      </w:pPr>
      <w:r w:rsidRPr="00F33C99">
        <w:rPr>
          <w:rFonts w:ascii="Arial" w:hAnsi="Arial" w:cs="Arial"/>
          <w:b/>
          <w:sz w:val="24"/>
          <w:szCs w:val="24"/>
          <w:lang w:eastAsia="en-GB"/>
        </w:rPr>
        <w:t>Unrealised Increase/Decrease</w:t>
      </w:r>
      <w:r w:rsidR="00F33C99" w:rsidRPr="00F33C99">
        <w:rPr>
          <w:rFonts w:ascii="Arial" w:hAnsi="Arial" w:cs="Arial"/>
          <w:b/>
          <w:sz w:val="24"/>
          <w:szCs w:val="24"/>
          <w:lang w:eastAsia="en-GB"/>
        </w:rPr>
        <w:t xml:space="preserve"> </w:t>
      </w:r>
      <w:r w:rsidRPr="00F33C99">
        <w:rPr>
          <w:rFonts w:ascii="Arial" w:hAnsi="Arial" w:cs="Arial"/>
          <w:b/>
          <w:sz w:val="24"/>
          <w:szCs w:val="24"/>
          <w:lang w:eastAsia="en-GB"/>
        </w:rPr>
        <w:t>In Market Value</w:t>
      </w:r>
      <w:r w:rsidRPr="00F33C99">
        <w:rPr>
          <w:rFonts w:ascii="Arial" w:hAnsi="Arial" w:cs="Arial"/>
          <w:sz w:val="24"/>
          <w:szCs w:val="24"/>
          <w:lang w:eastAsia="en-GB"/>
        </w:rPr>
        <w:t xml:space="preserve"> </w:t>
      </w:r>
      <w:r w:rsidR="00F33C99">
        <w:rPr>
          <w:rFonts w:ascii="Arial" w:hAnsi="Arial" w:cs="Arial"/>
          <w:sz w:val="24"/>
          <w:szCs w:val="24"/>
          <w:lang w:eastAsia="en-GB"/>
        </w:rPr>
        <w:t>–</w:t>
      </w:r>
      <w:r w:rsidRPr="00F33C99">
        <w:rPr>
          <w:rFonts w:ascii="Arial" w:hAnsi="Arial" w:cs="Arial"/>
          <w:sz w:val="24"/>
          <w:szCs w:val="24"/>
          <w:lang w:eastAsia="en-GB"/>
        </w:rPr>
        <w:t xml:space="preserve"> The</w:t>
      </w:r>
      <w:r w:rsidR="00F33C99">
        <w:rPr>
          <w:rFonts w:ascii="Arial" w:hAnsi="Arial" w:cs="Arial"/>
          <w:sz w:val="24"/>
          <w:szCs w:val="24"/>
          <w:lang w:eastAsia="en-GB"/>
        </w:rPr>
        <w:t xml:space="preserve"> </w:t>
      </w:r>
      <w:r w:rsidRPr="00F33C99">
        <w:rPr>
          <w:rFonts w:ascii="Arial" w:hAnsi="Arial" w:cs="Arial"/>
          <w:sz w:val="24"/>
          <w:szCs w:val="24"/>
          <w:lang w:eastAsia="en-GB"/>
        </w:rPr>
        <w:t>increase/(decrease) in market value, since the purchase date,</w:t>
      </w:r>
      <w:r w:rsidR="00F33C99">
        <w:rPr>
          <w:rFonts w:ascii="Arial" w:hAnsi="Arial" w:cs="Arial"/>
          <w:sz w:val="24"/>
          <w:szCs w:val="24"/>
          <w:lang w:eastAsia="en-GB"/>
        </w:rPr>
        <w:t xml:space="preserve"> </w:t>
      </w:r>
      <w:r w:rsidRPr="00F33C99">
        <w:rPr>
          <w:rFonts w:ascii="Arial" w:hAnsi="Arial" w:cs="Arial"/>
          <w:sz w:val="24"/>
          <w:szCs w:val="24"/>
          <w:lang w:eastAsia="en-GB"/>
        </w:rPr>
        <w:t>of those investments held at the year end.</w:t>
      </w:r>
    </w:p>
    <w:sectPr w:rsidR="00372D3D" w:rsidRPr="00F33C99" w:rsidSect="00113FA8">
      <w:headerReference w:type="default" r:id="rId70"/>
      <w:footerReference w:type="even" r:id="rId71"/>
      <w:footerReference w:type="default" r:id="rId72"/>
      <w:pgSz w:w="12240" w:h="15840"/>
      <w:pgMar w:top="1440" w:right="1361" w:bottom="1440" w:left="164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9E009" w14:textId="77777777" w:rsidR="006019E1" w:rsidRDefault="006019E1">
      <w:r>
        <w:separator/>
      </w:r>
    </w:p>
  </w:endnote>
  <w:endnote w:type="continuationSeparator" w:id="0">
    <w:p w14:paraId="3E76A4F4" w14:textId="77777777" w:rsidR="006019E1" w:rsidRDefault="00601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S Lol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TE530B250t00">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34984" w14:textId="77777777" w:rsidR="00F3354E" w:rsidRDefault="00F3354E">
    <w:pPr>
      <w:pStyle w:val="Footer"/>
      <w:jc w:val="center"/>
    </w:pPr>
    <w:r>
      <w:fldChar w:fldCharType="begin"/>
    </w:r>
    <w:r>
      <w:instrText xml:space="preserve"> PAGE   \* MERGEFORMAT </w:instrText>
    </w:r>
    <w:r>
      <w:fldChar w:fldCharType="separate"/>
    </w:r>
    <w:r w:rsidR="00E46EE7">
      <w:rPr>
        <w:noProof/>
      </w:rPr>
      <w:t>1</w:t>
    </w:r>
    <w:r>
      <w:rPr>
        <w:noProof/>
      </w:rPr>
      <w:fldChar w:fldCharType="end"/>
    </w:r>
  </w:p>
  <w:p w14:paraId="4438133C" w14:textId="77777777" w:rsidR="00F3354E" w:rsidRPr="009337E6" w:rsidRDefault="00F3354E" w:rsidP="0085515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D9D4" w14:textId="77777777" w:rsidR="008206CA" w:rsidRDefault="008206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92C0" w14:textId="77777777" w:rsidR="008206CA" w:rsidRDefault="008206CA">
    <w:pPr>
      <w:pStyle w:val="Footer"/>
      <w:jc w:val="center"/>
    </w:pPr>
    <w:r>
      <w:fldChar w:fldCharType="begin"/>
    </w:r>
    <w:r>
      <w:instrText xml:space="preserve"> PAGE   \* MERGEFORMAT </w:instrText>
    </w:r>
    <w:r>
      <w:fldChar w:fldCharType="separate"/>
    </w:r>
    <w:r w:rsidR="00E46EE7">
      <w:rPr>
        <w:noProof/>
      </w:rPr>
      <w:t>41</w:t>
    </w:r>
    <w:r>
      <w:rPr>
        <w:noProof/>
      </w:rPr>
      <w:fldChar w:fldCharType="end"/>
    </w:r>
  </w:p>
  <w:p w14:paraId="3EBFA5EB" w14:textId="77777777" w:rsidR="008206CA" w:rsidRPr="009337E6" w:rsidRDefault="008206CA" w:rsidP="00DE37F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04AF8" w14:textId="77777777" w:rsidR="008206CA" w:rsidRDefault="008206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F35D4" w14:textId="77777777" w:rsidR="008206CA" w:rsidRPr="00773FEA" w:rsidRDefault="008206CA">
    <w:pPr>
      <w:pStyle w:val="Footer"/>
      <w:jc w:val="center"/>
      <w:rPr>
        <w:caps/>
        <w:noProof/>
      </w:rPr>
    </w:pPr>
    <w:r w:rsidRPr="00773FEA">
      <w:rPr>
        <w:caps/>
      </w:rPr>
      <w:fldChar w:fldCharType="begin"/>
    </w:r>
    <w:r w:rsidRPr="00773FEA">
      <w:rPr>
        <w:caps/>
      </w:rPr>
      <w:instrText xml:space="preserve"> PAGE   \* MERGEFORMAT </w:instrText>
    </w:r>
    <w:r w:rsidRPr="00773FEA">
      <w:rPr>
        <w:caps/>
      </w:rPr>
      <w:fldChar w:fldCharType="separate"/>
    </w:r>
    <w:r w:rsidR="00E46EE7">
      <w:rPr>
        <w:caps/>
        <w:noProof/>
      </w:rPr>
      <w:t>48</w:t>
    </w:r>
    <w:r w:rsidRPr="00773FEA">
      <w:rPr>
        <w:caps/>
        <w:noProof/>
      </w:rPr>
      <w:fldChar w:fldCharType="end"/>
    </w:r>
  </w:p>
  <w:p w14:paraId="7070CEEB" w14:textId="77777777" w:rsidR="008206CA" w:rsidRDefault="008206CA">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031BB" w14:textId="77777777" w:rsidR="00F3354E" w:rsidRPr="00773FEA" w:rsidRDefault="00F3354E">
    <w:pPr>
      <w:pStyle w:val="Footer"/>
      <w:jc w:val="center"/>
      <w:rPr>
        <w:caps/>
        <w:noProof/>
      </w:rPr>
    </w:pPr>
    <w:r w:rsidRPr="00773FEA">
      <w:rPr>
        <w:caps/>
      </w:rPr>
      <w:fldChar w:fldCharType="begin"/>
    </w:r>
    <w:r w:rsidRPr="00773FEA">
      <w:rPr>
        <w:caps/>
      </w:rPr>
      <w:instrText xml:space="preserve"> PAGE   \* MERGEFORMAT </w:instrText>
    </w:r>
    <w:r w:rsidRPr="00773FEA">
      <w:rPr>
        <w:caps/>
      </w:rPr>
      <w:fldChar w:fldCharType="separate"/>
    </w:r>
    <w:r w:rsidR="00E46EE7">
      <w:rPr>
        <w:caps/>
        <w:noProof/>
      </w:rPr>
      <w:t>59</w:t>
    </w:r>
    <w:r w:rsidRPr="00773FEA">
      <w:rPr>
        <w:caps/>
        <w:noProof/>
      </w:rPr>
      <w:fldChar w:fldCharType="end"/>
    </w:r>
  </w:p>
  <w:p w14:paraId="24F076C0" w14:textId="77777777" w:rsidR="00F3354E" w:rsidRDefault="00F3354E">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5D86" w14:textId="77777777" w:rsidR="00F3354E" w:rsidRDefault="00F335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14:paraId="46B9C9CD" w14:textId="77777777" w:rsidR="00F3354E" w:rsidRDefault="00F335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AC2A0" w14:textId="77777777" w:rsidR="00F3354E" w:rsidRDefault="00F3354E">
    <w:pPr>
      <w:pStyle w:val="Footer"/>
      <w:jc w:val="center"/>
    </w:pPr>
    <w:r>
      <w:fldChar w:fldCharType="begin"/>
    </w:r>
    <w:r>
      <w:instrText xml:space="preserve"> PAGE   \* MERGEFORMAT </w:instrText>
    </w:r>
    <w:r>
      <w:fldChar w:fldCharType="separate"/>
    </w:r>
    <w:r w:rsidR="00E46EE7">
      <w:rPr>
        <w:noProof/>
      </w:rPr>
      <w:t>252</w:t>
    </w:r>
    <w:r>
      <w:rPr>
        <w:noProof/>
      </w:rPr>
      <w:fldChar w:fldCharType="end"/>
    </w:r>
  </w:p>
  <w:p w14:paraId="72892AAC" w14:textId="77777777" w:rsidR="00F3354E" w:rsidRDefault="00F3354E" w:rsidP="00542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12042" w14:textId="77777777" w:rsidR="006019E1" w:rsidRDefault="006019E1">
      <w:r>
        <w:separator/>
      </w:r>
    </w:p>
  </w:footnote>
  <w:footnote w:type="continuationSeparator" w:id="0">
    <w:p w14:paraId="457FA94B" w14:textId="77777777" w:rsidR="006019E1" w:rsidRDefault="006019E1">
      <w:r>
        <w:continuationSeparator/>
      </w:r>
    </w:p>
  </w:footnote>
  <w:footnote w:id="1">
    <w:p w14:paraId="7C362A23" w14:textId="77777777" w:rsidR="00F3354E" w:rsidRPr="000864FE" w:rsidRDefault="00F3354E" w:rsidP="000864FE">
      <w:pPr>
        <w:pStyle w:val="BulletHymans"/>
        <w:numPr>
          <w:ilvl w:val="0"/>
          <w:numId w:val="0"/>
        </w:numPr>
        <w:rPr>
          <w:color w:val="auto"/>
        </w:rPr>
      </w:pPr>
      <w:r w:rsidRPr="000864FE">
        <w:rPr>
          <w:rStyle w:val="FootnoteReference"/>
          <w:color w:val="auto"/>
          <w:sz w:val="16"/>
        </w:rPr>
        <w:footnoteRef/>
      </w:r>
      <w:r w:rsidRPr="000864FE">
        <w:rPr>
          <w:color w:val="auto"/>
          <w:sz w:val="16"/>
        </w:rPr>
        <w:t xml:space="preserve"> As stated, the Committee has a desire to reduce the Fund’s listed equity portfolio’s carbon exposure and, as part of this, it has set a target of the Fund’s equities being 50% lower when compared to the global stockmarket by 2022 (MSCI AC World index, measured in terms of carbon emissions per $m invested).  The Committee will aim to carry out a carbon foot-printing exercise of their equities at least on a triennial basis.  The first of these reviews took place in 2017 (the results are discussed in the appendix to this paper).</w:t>
      </w:r>
    </w:p>
  </w:footnote>
  <w:footnote w:id="2">
    <w:p w14:paraId="44FB8749" w14:textId="77777777" w:rsidR="00F3354E" w:rsidRDefault="00F3354E" w:rsidP="000864FE">
      <w:pPr>
        <w:pStyle w:val="FootnoteText"/>
      </w:pPr>
      <w:r>
        <w:rPr>
          <w:rStyle w:val="FootnoteReference"/>
        </w:rPr>
        <w:footnoteRef/>
      </w:r>
      <w:r>
        <w:t xml:space="preserve"> </w:t>
      </w:r>
      <w:r w:rsidRPr="00014B58">
        <w:rPr>
          <w:b w:val="0"/>
          <w:sz w:val="18"/>
        </w:rPr>
        <w:t>Further details on the assumptions made are included in MSCI’s reports.</w:t>
      </w:r>
    </w:p>
  </w:footnote>
  <w:footnote w:id="3">
    <w:p w14:paraId="0081DE0E" w14:textId="77777777" w:rsidR="00F3354E" w:rsidRPr="00014B58" w:rsidRDefault="00F3354E" w:rsidP="000864FE">
      <w:pPr>
        <w:pStyle w:val="FootnoteText"/>
        <w:rPr>
          <w:b w:val="0"/>
        </w:rPr>
      </w:pPr>
      <w:r w:rsidRPr="00014B58">
        <w:rPr>
          <w:rStyle w:val="FootnoteReference"/>
          <w:sz w:val="18"/>
        </w:rPr>
        <w:footnoteRef/>
      </w:r>
      <w:r w:rsidRPr="00014B58">
        <w:rPr>
          <w:sz w:val="18"/>
        </w:rPr>
        <w:t xml:space="preserve"> </w:t>
      </w:r>
      <w:r w:rsidRPr="00014B58">
        <w:rPr>
          <w:b w:val="0"/>
          <w:sz w:val="18"/>
        </w:rPr>
        <w:t xml:space="preserve">To tie in with MSCI’s benchmark range a number of pragmatic compromises were made, including comparing the Aberdeen and JP Morgan portfolios versus the global index, rather than </w:t>
      </w:r>
      <w:r>
        <w:rPr>
          <w:b w:val="0"/>
          <w:sz w:val="18"/>
        </w:rPr>
        <w:t>a</w:t>
      </w:r>
      <w:r w:rsidRPr="00014B58">
        <w:rPr>
          <w:b w:val="0"/>
          <w:sz w:val="18"/>
        </w:rPr>
        <w:t xml:space="preserve"> global ex UK index and Schroders’ UK mandate versus a European benchmark</w:t>
      </w:r>
      <w:r>
        <w:rPr>
          <w:b w:val="0"/>
          <w:sz w:val="18"/>
        </w:rPr>
        <w:t>.  These compromises will impact the relative position of the results, but they should have no impact on the absolute results, not the key themes coming out the analysis.  The date was based on the Fund’s holdings at 31 March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C68F" w14:textId="5AC3B286" w:rsidR="00F3354E" w:rsidRDefault="00516E75" w:rsidP="00855150">
    <w:pPr>
      <w:pStyle w:val="Header"/>
      <w:jc w:val="center"/>
    </w:pPr>
    <w:r>
      <w:rPr>
        <w:noProof/>
      </w:rPr>
      <mc:AlternateContent>
        <mc:Choice Requires="wps">
          <w:drawing>
            <wp:anchor distT="0" distB="0" distL="118745" distR="118745" simplePos="0" relativeHeight="251655680" behindDoc="1" locked="0" layoutInCell="1" allowOverlap="0" wp14:anchorId="1CF509CB" wp14:editId="53360752">
              <wp:simplePos x="0" y="0"/>
              <wp:positionH relativeFrom="page">
                <wp:posOffset>0</wp:posOffset>
              </wp:positionH>
              <wp:positionV relativeFrom="page">
                <wp:posOffset>0</wp:posOffset>
              </wp:positionV>
              <wp:extent cx="5949950" cy="295910"/>
              <wp:effectExtent l="0" t="0" r="0" b="0"/>
              <wp:wrapSquare wrapText="bothSides"/>
              <wp:docPr id="5"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0" cy="295910"/>
                      </a:xfrm>
                      <a:prstGeom prst="rect">
                        <a:avLst/>
                      </a:prstGeom>
                      <a:noFill/>
                      <a:ln>
                        <a:noFill/>
                      </a:ln>
                      <a:extLst>
                        <a:ext uri="{909E8E84-426E-40DD-AFC4-6F175D3DCCD1}">
                          <a14:hiddenFill xmlns:a14="http://schemas.microsoft.com/office/drawing/2010/main">
                            <a:solidFill>
                              <a:srgbClr val="91CBDB"/>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518754C" w14:textId="77777777" w:rsidR="00F3354E" w:rsidRPr="00CF161A" w:rsidRDefault="00F3354E">
                          <w:pPr>
                            <w:pStyle w:val="Header"/>
                            <w:jc w:val="center"/>
                            <w:rPr>
                              <w:caps/>
                              <w:color w:val="FFFFFF"/>
                            </w:rPr>
                          </w:pP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1CF509CB" id="Rectangle 352" o:spid="_x0000_s1093" style="position:absolute;left:0;text-align:left;margin-left:0;margin-top:0;width:468.5pt;height:23.3pt;z-index:-251660800;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" o:allowoverlap="f" filled="f" fillcolor="#91cbdb" stroked="f" strokeweight="1pt">
              <v:textbox style="mso-fit-shape-to-text:t">
                <w:txbxContent>
                  <w:p w14:paraId="7518754C" w14:textId="77777777" w:rsidR="00F3354E" w:rsidRPr="00CF161A" w:rsidRDefault="00F3354E">
                    <w:pPr>
                      <w:pStyle w:val="Header"/>
                      <w:jc w:val="center"/>
                      <w:rPr>
                        <w:caps/>
                        <w:color w:val="FFFFFF"/>
                      </w:rPr>
                    </w:pPr>
                  </w:p>
                </w:txbxContent>
              </v:textbox>
              <w10:wrap type="square"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EBCC" w14:textId="77777777" w:rsidR="008206CA" w:rsidRDefault="008206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141E" w14:textId="0B72AB34" w:rsidR="008206CA" w:rsidRDefault="00516E75" w:rsidP="00DE37F4">
    <w:pPr>
      <w:pStyle w:val="Header"/>
      <w:jc w:val="center"/>
    </w:pPr>
    <w:r>
      <w:rPr>
        <w:noProof/>
      </w:rPr>
      <mc:AlternateContent>
        <mc:Choice Requires="wps">
          <w:drawing>
            <wp:anchor distT="0" distB="0" distL="118745" distR="118745" simplePos="0" relativeHeight="251656704" behindDoc="1" locked="0" layoutInCell="1" allowOverlap="0" wp14:anchorId="7F858171" wp14:editId="1D381462">
              <wp:simplePos x="0" y="0"/>
              <wp:positionH relativeFrom="page">
                <wp:posOffset>914400</wp:posOffset>
              </wp:positionH>
              <wp:positionV relativeFrom="page">
                <wp:posOffset>481330</wp:posOffset>
              </wp:positionV>
              <wp:extent cx="5728970" cy="325120"/>
              <wp:effectExtent l="0" t="0" r="0" b="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8970" cy="325120"/>
                      </a:xfrm>
                      <a:prstGeom prst="rect">
                        <a:avLst/>
                      </a:prstGeom>
                      <a:solidFill>
                        <a:srgbClr val="91CBDB"/>
                      </a:solidFill>
                      <a:ln w="12700" cap="flat" cmpd="sng" algn="ctr">
                        <a:noFill/>
                        <a:prstDash val="solid"/>
                        <a:miter lim="800000"/>
                      </a:ln>
                      <a:effectLst/>
                    </wps:spPr>
                    <wps:txbx>
                      <w:txbxContent>
                        <w:p w14:paraId="59D36261" w14:textId="77777777" w:rsidR="008206CA" w:rsidRPr="008206CA" w:rsidRDefault="008206CA">
                          <w:pPr>
                            <w:pStyle w:val="Header"/>
                            <w:jc w:val="center"/>
                            <w:rPr>
                              <w:caps/>
                              <w:color w:val="FFFFFF"/>
                            </w:rPr>
                          </w:pPr>
                          <w:r w:rsidRPr="008206CA">
                            <w:rPr>
                              <w:rFonts w:ascii="Arial" w:hAnsi="Arial" w:cs="Arial"/>
                              <w:b/>
                              <w:i/>
                              <w:caps/>
                              <w:color w:val="808080"/>
                              <w:sz w:val="32"/>
                              <w:szCs w:val="32"/>
                            </w:rPr>
                            <w:t>A</w:t>
                          </w:r>
                          <w:r w:rsidRPr="008206CA">
                            <w:rPr>
                              <w:rFonts w:ascii="Arial" w:hAnsi="Arial" w:cs="Arial"/>
                              <w:b/>
                              <w:i/>
                              <w:color w:val="808080"/>
                              <w:sz w:val="32"/>
                              <w:szCs w:val="32"/>
                            </w:rPr>
                            <w:t>nnual</w:t>
                          </w:r>
                          <w:r w:rsidRPr="008206CA">
                            <w:rPr>
                              <w:rFonts w:ascii="Arial" w:hAnsi="Arial" w:cs="Arial"/>
                              <w:b/>
                              <w:i/>
                              <w:caps/>
                              <w:color w:val="808080"/>
                              <w:sz w:val="32"/>
                              <w:szCs w:val="32"/>
                            </w:rPr>
                            <w:t xml:space="preserve"> G</w:t>
                          </w:r>
                          <w:r w:rsidRPr="008206CA">
                            <w:rPr>
                              <w:rFonts w:ascii="Arial" w:hAnsi="Arial" w:cs="Arial"/>
                              <w:b/>
                              <w:i/>
                              <w:color w:val="808080"/>
                              <w:sz w:val="32"/>
                              <w:szCs w:val="32"/>
                            </w:rPr>
                            <w:t>overnance</w:t>
                          </w:r>
                          <w:r w:rsidRPr="008206CA">
                            <w:rPr>
                              <w:rFonts w:ascii="Arial" w:hAnsi="Arial" w:cs="Arial"/>
                              <w:b/>
                              <w:i/>
                              <w:caps/>
                              <w:color w:val="808080"/>
                              <w:sz w:val="32"/>
                              <w:szCs w:val="32"/>
                            </w:rPr>
                            <w:t xml:space="preserve"> S</w:t>
                          </w:r>
                          <w:r w:rsidRPr="008206CA">
                            <w:rPr>
                              <w:rFonts w:ascii="Arial" w:hAnsi="Arial" w:cs="Arial"/>
                              <w:b/>
                              <w:i/>
                              <w:color w:val="808080"/>
                              <w:sz w:val="32"/>
                              <w:szCs w:val="32"/>
                            </w:rPr>
                            <w:t>tatement</w:t>
                          </w:r>
                          <w:r w:rsidRPr="008206CA">
                            <w:rPr>
                              <w:rFonts w:ascii="Arial" w:hAnsi="Arial" w:cs="Arial"/>
                              <w:b/>
                              <w:i/>
                              <w:caps/>
                              <w:color w:val="808080"/>
                              <w:sz w:val="32"/>
                              <w:szCs w:val="32"/>
                            </w:rPr>
                            <w:t xml:space="preserve"> 2021/22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ect w14:anchorId="7F858171" id="Rectangle 4" o:spid="_x0000_s1094" style="position:absolute;left:0;text-align:left;margin-left:1in;margin-top:37.9pt;width:451.1pt;height:25.6pt;z-index:-251659776;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" o:allowoverlap="f" fillcolor="#91cbdb" stroked="f" strokeweight="1pt">
              <v:textbox style="mso-fit-shape-to-text:t">
                <w:txbxContent>
                  <w:p w14:paraId="59D36261" w14:textId="77777777" w:rsidR="008206CA" w:rsidRPr="008206CA" w:rsidRDefault="008206CA">
                    <w:pPr>
                      <w:pStyle w:val="Header"/>
                      <w:jc w:val="center"/>
                      <w:rPr>
                        <w:caps/>
                        <w:color w:val="FFFFFF"/>
                      </w:rPr>
                    </w:pPr>
                    <w:r w:rsidRPr="008206CA">
                      <w:rPr>
                        <w:rFonts w:ascii="Arial" w:hAnsi="Arial" w:cs="Arial"/>
                        <w:b/>
                        <w:i/>
                        <w:caps/>
                        <w:color w:val="808080"/>
                        <w:sz w:val="32"/>
                        <w:szCs w:val="32"/>
                      </w:rPr>
                      <w:t>A</w:t>
                    </w:r>
                    <w:r w:rsidRPr="008206CA">
                      <w:rPr>
                        <w:rFonts w:ascii="Arial" w:hAnsi="Arial" w:cs="Arial"/>
                        <w:b/>
                        <w:i/>
                        <w:color w:val="808080"/>
                        <w:sz w:val="32"/>
                        <w:szCs w:val="32"/>
                      </w:rPr>
                      <w:t>nnual</w:t>
                    </w:r>
                    <w:r w:rsidRPr="008206CA">
                      <w:rPr>
                        <w:rFonts w:ascii="Arial" w:hAnsi="Arial" w:cs="Arial"/>
                        <w:b/>
                        <w:i/>
                        <w:caps/>
                        <w:color w:val="808080"/>
                        <w:sz w:val="32"/>
                        <w:szCs w:val="32"/>
                      </w:rPr>
                      <w:t xml:space="preserve"> G</w:t>
                    </w:r>
                    <w:r w:rsidRPr="008206CA">
                      <w:rPr>
                        <w:rFonts w:ascii="Arial" w:hAnsi="Arial" w:cs="Arial"/>
                        <w:b/>
                        <w:i/>
                        <w:color w:val="808080"/>
                        <w:sz w:val="32"/>
                        <w:szCs w:val="32"/>
                      </w:rPr>
                      <w:t>overnance</w:t>
                    </w:r>
                    <w:r w:rsidRPr="008206CA">
                      <w:rPr>
                        <w:rFonts w:ascii="Arial" w:hAnsi="Arial" w:cs="Arial"/>
                        <w:b/>
                        <w:i/>
                        <w:caps/>
                        <w:color w:val="808080"/>
                        <w:sz w:val="32"/>
                        <w:szCs w:val="32"/>
                      </w:rPr>
                      <w:t xml:space="preserve"> S</w:t>
                    </w:r>
                    <w:r w:rsidRPr="008206CA">
                      <w:rPr>
                        <w:rFonts w:ascii="Arial" w:hAnsi="Arial" w:cs="Arial"/>
                        <w:b/>
                        <w:i/>
                        <w:color w:val="808080"/>
                        <w:sz w:val="32"/>
                        <w:szCs w:val="32"/>
                      </w:rPr>
                      <w:t>tatement</w:t>
                    </w:r>
                    <w:r w:rsidRPr="008206CA">
                      <w:rPr>
                        <w:rFonts w:ascii="Arial" w:hAnsi="Arial" w:cs="Arial"/>
                        <w:b/>
                        <w:i/>
                        <w:caps/>
                        <w:color w:val="808080"/>
                        <w:sz w:val="32"/>
                        <w:szCs w:val="32"/>
                      </w:rPr>
                      <w:t xml:space="preserve"> 2021/22</w:t>
                    </w:r>
                  </w:p>
                </w:txbxContent>
              </v:textbox>
              <w10:wrap type="square"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EAC9" w14:textId="77777777" w:rsidR="008206CA" w:rsidRDefault="008206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5EA50" w14:textId="30A8725D" w:rsidR="008206CA" w:rsidRDefault="00516E75" w:rsidP="00DE37F4">
    <w:pPr>
      <w:pStyle w:val="Header"/>
      <w:jc w:val="center"/>
    </w:pPr>
    <w:r>
      <w:rPr>
        <w:noProof/>
      </w:rPr>
      <mc:AlternateContent>
        <mc:Choice Requires="wps">
          <w:drawing>
            <wp:anchor distT="0" distB="0" distL="118745" distR="118745" simplePos="0" relativeHeight="251658752" behindDoc="1" locked="0" layoutInCell="1" allowOverlap="0" wp14:anchorId="3FC3BDF1" wp14:editId="4DBB974E">
              <wp:simplePos x="0" y="0"/>
              <wp:positionH relativeFrom="page">
                <wp:posOffset>914400</wp:posOffset>
              </wp:positionH>
              <wp:positionV relativeFrom="page">
                <wp:posOffset>340360</wp:posOffset>
              </wp:positionV>
              <wp:extent cx="8860790" cy="325120"/>
              <wp:effectExtent l="0" t="0" r="0" b="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60790" cy="325120"/>
                      </a:xfrm>
                      <a:prstGeom prst="rect">
                        <a:avLst/>
                      </a:prstGeom>
                      <a:solidFill>
                        <a:srgbClr val="91CBDB"/>
                      </a:solidFill>
                      <a:ln w="12700" cap="flat" cmpd="sng" algn="ctr">
                        <a:noFill/>
                        <a:prstDash val="solid"/>
                        <a:miter lim="800000"/>
                      </a:ln>
                      <a:effectLst/>
                    </wps:spPr>
                    <wps:txbx>
                      <w:txbxContent>
                        <w:p w14:paraId="3B0942CA" w14:textId="77777777" w:rsidR="008206CA" w:rsidRPr="008206CA" w:rsidRDefault="008206CA">
                          <w:pPr>
                            <w:pStyle w:val="Header"/>
                            <w:jc w:val="center"/>
                            <w:rPr>
                              <w:caps/>
                              <w:color w:val="FFFFFF"/>
                            </w:rPr>
                          </w:pPr>
                          <w:r w:rsidRPr="008206CA">
                            <w:rPr>
                              <w:rFonts w:ascii="Arial" w:hAnsi="Arial" w:cs="Arial"/>
                              <w:b/>
                              <w:i/>
                              <w:caps/>
                              <w:color w:val="808080"/>
                              <w:sz w:val="32"/>
                              <w:szCs w:val="32"/>
                            </w:rPr>
                            <w:t>A</w:t>
                          </w:r>
                          <w:r w:rsidRPr="008206CA">
                            <w:rPr>
                              <w:rFonts w:ascii="Arial" w:hAnsi="Arial" w:cs="Arial"/>
                              <w:b/>
                              <w:i/>
                              <w:color w:val="808080"/>
                              <w:sz w:val="32"/>
                              <w:szCs w:val="32"/>
                            </w:rPr>
                            <w:t>nnual</w:t>
                          </w:r>
                          <w:r w:rsidRPr="008206CA">
                            <w:rPr>
                              <w:rFonts w:ascii="Arial" w:hAnsi="Arial" w:cs="Arial"/>
                              <w:b/>
                              <w:i/>
                              <w:caps/>
                              <w:color w:val="808080"/>
                              <w:sz w:val="32"/>
                              <w:szCs w:val="32"/>
                            </w:rPr>
                            <w:t xml:space="preserve"> G</w:t>
                          </w:r>
                          <w:r w:rsidRPr="008206CA">
                            <w:rPr>
                              <w:rFonts w:ascii="Arial" w:hAnsi="Arial" w:cs="Arial"/>
                              <w:b/>
                              <w:i/>
                              <w:color w:val="808080"/>
                              <w:sz w:val="32"/>
                              <w:szCs w:val="32"/>
                            </w:rPr>
                            <w:t>overnance</w:t>
                          </w:r>
                          <w:r w:rsidRPr="008206CA">
                            <w:rPr>
                              <w:rFonts w:ascii="Arial" w:hAnsi="Arial" w:cs="Arial"/>
                              <w:b/>
                              <w:i/>
                              <w:caps/>
                              <w:color w:val="808080"/>
                              <w:sz w:val="32"/>
                              <w:szCs w:val="32"/>
                            </w:rPr>
                            <w:t xml:space="preserve"> S</w:t>
                          </w:r>
                          <w:r w:rsidRPr="008206CA">
                            <w:rPr>
                              <w:rFonts w:ascii="Arial" w:hAnsi="Arial" w:cs="Arial"/>
                              <w:b/>
                              <w:i/>
                              <w:color w:val="808080"/>
                              <w:sz w:val="32"/>
                              <w:szCs w:val="32"/>
                            </w:rPr>
                            <w:t>tatement</w:t>
                          </w:r>
                          <w:r w:rsidRPr="008206CA">
                            <w:rPr>
                              <w:rFonts w:ascii="Arial" w:hAnsi="Arial" w:cs="Arial"/>
                              <w:b/>
                              <w:i/>
                              <w:caps/>
                              <w:color w:val="808080"/>
                              <w:sz w:val="32"/>
                              <w:szCs w:val="32"/>
                            </w:rPr>
                            <w:t xml:space="preserve"> 2021/22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ect w14:anchorId="3FC3BDF1" id="Rectangle 3" o:spid="_x0000_s1095" style="position:absolute;left:0;text-align:left;margin-left:1in;margin-top:26.8pt;width:697.7pt;height:25.6pt;z-index:-251657728;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" o:allowoverlap="f" fillcolor="#91cbdb" stroked="f" strokeweight="1pt">
              <v:textbox style="mso-fit-shape-to-text:t">
                <w:txbxContent>
                  <w:p w14:paraId="3B0942CA" w14:textId="77777777" w:rsidR="008206CA" w:rsidRPr="008206CA" w:rsidRDefault="008206CA">
                    <w:pPr>
                      <w:pStyle w:val="Header"/>
                      <w:jc w:val="center"/>
                      <w:rPr>
                        <w:caps/>
                        <w:color w:val="FFFFFF"/>
                      </w:rPr>
                    </w:pPr>
                    <w:r w:rsidRPr="008206CA">
                      <w:rPr>
                        <w:rFonts w:ascii="Arial" w:hAnsi="Arial" w:cs="Arial"/>
                        <w:b/>
                        <w:i/>
                        <w:caps/>
                        <w:color w:val="808080"/>
                        <w:sz w:val="32"/>
                        <w:szCs w:val="32"/>
                      </w:rPr>
                      <w:t>A</w:t>
                    </w:r>
                    <w:r w:rsidRPr="008206CA">
                      <w:rPr>
                        <w:rFonts w:ascii="Arial" w:hAnsi="Arial" w:cs="Arial"/>
                        <w:b/>
                        <w:i/>
                        <w:color w:val="808080"/>
                        <w:sz w:val="32"/>
                        <w:szCs w:val="32"/>
                      </w:rPr>
                      <w:t>nnual</w:t>
                    </w:r>
                    <w:r w:rsidRPr="008206CA">
                      <w:rPr>
                        <w:rFonts w:ascii="Arial" w:hAnsi="Arial" w:cs="Arial"/>
                        <w:b/>
                        <w:i/>
                        <w:caps/>
                        <w:color w:val="808080"/>
                        <w:sz w:val="32"/>
                        <w:szCs w:val="32"/>
                      </w:rPr>
                      <w:t xml:space="preserve"> G</w:t>
                    </w:r>
                    <w:r w:rsidRPr="008206CA">
                      <w:rPr>
                        <w:rFonts w:ascii="Arial" w:hAnsi="Arial" w:cs="Arial"/>
                        <w:b/>
                        <w:i/>
                        <w:color w:val="808080"/>
                        <w:sz w:val="32"/>
                        <w:szCs w:val="32"/>
                      </w:rPr>
                      <w:t>overnance</w:t>
                    </w:r>
                    <w:r w:rsidRPr="008206CA">
                      <w:rPr>
                        <w:rFonts w:ascii="Arial" w:hAnsi="Arial" w:cs="Arial"/>
                        <w:b/>
                        <w:i/>
                        <w:caps/>
                        <w:color w:val="808080"/>
                        <w:sz w:val="32"/>
                        <w:szCs w:val="32"/>
                      </w:rPr>
                      <w:t xml:space="preserve"> S</w:t>
                    </w:r>
                    <w:r w:rsidRPr="008206CA">
                      <w:rPr>
                        <w:rFonts w:ascii="Arial" w:hAnsi="Arial" w:cs="Arial"/>
                        <w:b/>
                        <w:i/>
                        <w:color w:val="808080"/>
                        <w:sz w:val="32"/>
                        <w:szCs w:val="32"/>
                      </w:rPr>
                      <w:t>tatement</w:t>
                    </w:r>
                    <w:r w:rsidRPr="008206CA">
                      <w:rPr>
                        <w:rFonts w:ascii="Arial" w:hAnsi="Arial" w:cs="Arial"/>
                        <w:b/>
                        <w:i/>
                        <w:caps/>
                        <w:color w:val="808080"/>
                        <w:sz w:val="32"/>
                        <w:szCs w:val="32"/>
                      </w:rPr>
                      <w:t xml:space="preserve"> 2021/22</w:t>
                    </w:r>
                  </w:p>
                </w:txbxContent>
              </v:textbox>
              <w10:wrap type="square"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8F89" w14:textId="54C5C76A" w:rsidR="008206CA" w:rsidRDefault="00516E75" w:rsidP="00DE37F4">
    <w:pPr>
      <w:pStyle w:val="Header"/>
      <w:jc w:val="center"/>
    </w:pPr>
    <w:r>
      <w:rPr>
        <w:noProof/>
      </w:rPr>
      <mc:AlternateContent>
        <mc:Choice Requires="wps">
          <w:drawing>
            <wp:anchor distT="0" distB="0" distL="118745" distR="118745" simplePos="0" relativeHeight="251657728" behindDoc="1" locked="0" layoutInCell="1" allowOverlap="0" wp14:anchorId="535AA3FC" wp14:editId="495ECC05">
              <wp:simplePos x="0" y="0"/>
              <wp:positionH relativeFrom="page">
                <wp:posOffset>914400</wp:posOffset>
              </wp:positionH>
              <wp:positionV relativeFrom="page">
                <wp:posOffset>340360</wp:posOffset>
              </wp:positionV>
              <wp:extent cx="8863330" cy="325120"/>
              <wp:effectExtent l="0" t="0" r="0" b="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63330" cy="325120"/>
                      </a:xfrm>
                      <a:prstGeom prst="rect">
                        <a:avLst/>
                      </a:prstGeom>
                      <a:solidFill>
                        <a:srgbClr val="91CBDB"/>
                      </a:solidFill>
                      <a:ln w="12700" cap="flat" cmpd="sng" algn="ctr">
                        <a:noFill/>
                        <a:prstDash val="solid"/>
                        <a:miter lim="800000"/>
                      </a:ln>
                      <a:effectLst/>
                    </wps:spPr>
                    <wps:txbx>
                      <w:txbxContent>
                        <w:p w14:paraId="4CF6E149" w14:textId="77777777" w:rsidR="008206CA" w:rsidRPr="008206CA" w:rsidRDefault="008206CA">
                          <w:pPr>
                            <w:pStyle w:val="Header"/>
                            <w:jc w:val="center"/>
                            <w:rPr>
                              <w:caps/>
                              <w:color w:val="FFFFFF"/>
                            </w:rPr>
                          </w:pPr>
                          <w:r w:rsidRPr="00D36D26">
                            <w:rPr>
                              <w:rFonts w:ascii="Arial" w:eastAsia="Calibri" w:hAnsi="Arial" w:cs="Arial"/>
                              <w:b/>
                              <w:i/>
                              <w:caps/>
                              <w:color w:val="808080"/>
                              <w:sz w:val="32"/>
                              <w:szCs w:val="32"/>
                            </w:rPr>
                            <w:t>A</w:t>
                          </w:r>
                          <w:r w:rsidRPr="00D36D26">
                            <w:rPr>
                              <w:rFonts w:ascii="Arial" w:eastAsia="Calibri" w:hAnsi="Arial" w:cs="Arial"/>
                              <w:b/>
                              <w:i/>
                              <w:color w:val="808080"/>
                              <w:sz w:val="32"/>
                              <w:szCs w:val="32"/>
                            </w:rPr>
                            <w:t>nnual</w:t>
                          </w:r>
                          <w:r w:rsidRPr="00D36D26">
                            <w:rPr>
                              <w:rFonts w:ascii="Arial" w:eastAsia="Calibri" w:hAnsi="Arial" w:cs="Arial"/>
                              <w:b/>
                              <w:i/>
                              <w:caps/>
                              <w:color w:val="808080"/>
                              <w:sz w:val="32"/>
                              <w:szCs w:val="32"/>
                            </w:rPr>
                            <w:t xml:space="preserve"> G</w:t>
                          </w:r>
                          <w:r w:rsidRPr="00D36D26">
                            <w:rPr>
                              <w:rFonts w:ascii="Arial" w:eastAsia="Calibri" w:hAnsi="Arial" w:cs="Arial"/>
                              <w:b/>
                              <w:i/>
                              <w:color w:val="808080"/>
                              <w:sz w:val="32"/>
                              <w:szCs w:val="32"/>
                            </w:rPr>
                            <w:t>overnance</w:t>
                          </w:r>
                          <w:r w:rsidRPr="00D36D26">
                            <w:rPr>
                              <w:rFonts w:ascii="Arial" w:eastAsia="Calibri" w:hAnsi="Arial" w:cs="Arial"/>
                              <w:b/>
                              <w:i/>
                              <w:caps/>
                              <w:color w:val="808080"/>
                              <w:sz w:val="32"/>
                              <w:szCs w:val="32"/>
                            </w:rPr>
                            <w:t xml:space="preserve"> S</w:t>
                          </w:r>
                          <w:r w:rsidRPr="00D36D26">
                            <w:rPr>
                              <w:rFonts w:ascii="Arial" w:eastAsia="Calibri" w:hAnsi="Arial" w:cs="Arial"/>
                              <w:b/>
                              <w:i/>
                              <w:color w:val="808080"/>
                              <w:sz w:val="32"/>
                              <w:szCs w:val="32"/>
                            </w:rPr>
                            <w:t>tatement</w:t>
                          </w:r>
                          <w:r w:rsidRPr="00D36D26">
                            <w:rPr>
                              <w:rFonts w:ascii="Arial" w:eastAsia="Calibri" w:hAnsi="Arial" w:cs="Arial"/>
                              <w:b/>
                              <w:i/>
                              <w:caps/>
                              <w:color w:val="808080"/>
                              <w:sz w:val="32"/>
                              <w:szCs w:val="32"/>
                            </w:rPr>
                            <w:t xml:space="preserve"> 20</w:t>
                          </w:r>
                          <w:r>
                            <w:rPr>
                              <w:rFonts w:ascii="Arial" w:eastAsia="Calibri" w:hAnsi="Arial" w:cs="Arial"/>
                              <w:b/>
                              <w:i/>
                              <w:caps/>
                              <w:color w:val="808080"/>
                              <w:sz w:val="32"/>
                              <w:szCs w:val="32"/>
                            </w:rPr>
                            <w:t>21</w:t>
                          </w:r>
                          <w:r w:rsidRPr="00D36D26">
                            <w:rPr>
                              <w:rFonts w:ascii="Arial" w:eastAsia="Calibri" w:hAnsi="Arial" w:cs="Arial"/>
                              <w:b/>
                              <w:i/>
                              <w:caps/>
                              <w:color w:val="808080"/>
                              <w:sz w:val="32"/>
                              <w:szCs w:val="32"/>
                            </w:rPr>
                            <w:t>/</w:t>
                          </w:r>
                          <w:r>
                            <w:rPr>
                              <w:rFonts w:ascii="Arial" w:eastAsia="Calibri" w:hAnsi="Arial" w:cs="Arial"/>
                              <w:b/>
                              <w:i/>
                              <w:caps/>
                              <w:color w:val="808080"/>
                              <w:sz w:val="32"/>
                              <w:szCs w:val="3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ect w14:anchorId="535AA3FC" id="Rectangle 2" o:spid="_x0000_s1096" style="position:absolute;left:0;text-align:left;margin-left:1in;margin-top:26.8pt;width:697.9pt;height:25.6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" o:allowoverlap="f" fillcolor="#91cbdb" stroked="f" strokeweight="1pt">
              <v:textbox style="mso-fit-shape-to-text:t">
                <w:txbxContent>
                  <w:p w14:paraId="4CF6E149" w14:textId="77777777" w:rsidR="008206CA" w:rsidRPr="008206CA" w:rsidRDefault="008206CA">
                    <w:pPr>
                      <w:pStyle w:val="Header"/>
                      <w:jc w:val="center"/>
                      <w:rPr>
                        <w:caps/>
                        <w:color w:val="FFFFFF"/>
                      </w:rPr>
                    </w:pPr>
                    <w:r w:rsidRPr="00D36D26">
                      <w:rPr>
                        <w:rFonts w:ascii="Arial" w:eastAsia="Calibri" w:hAnsi="Arial" w:cs="Arial"/>
                        <w:b/>
                        <w:i/>
                        <w:caps/>
                        <w:color w:val="808080"/>
                        <w:sz w:val="32"/>
                        <w:szCs w:val="32"/>
                      </w:rPr>
                      <w:t>A</w:t>
                    </w:r>
                    <w:r w:rsidRPr="00D36D26">
                      <w:rPr>
                        <w:rFonts w:ascii="Arial" w:eastAsia="Calibri" w:hAnsi="Arial" w:cs="Arial"/>
                        <w:b/>
                        <w:i/>
                        <w:color w:val="808080"/>
                        <w:sz w:val="32"/>
                        <w:szCs w:val="32"/>
                      </w:rPr>
                      <w:t>nnual</w:t>
                    </w:r>
                    <w:r w:rsidRPr="00D36D26">
                      <w:rPr>
                        <w:rFonts w:ascii="Arial" w:eastAsia="Calibri" w:hAnsi="Arial" w:cs="Arial"/>
                        <w:b/>
                        <w:i/>
                        <w:caps/>
                        <w:color w:val="808080"/>
                        <w:sz w:val="32"/>
                        <w:szCs w:val="32"/>
                      </w:rPr>
                      <w:t xml:space="preserve"> G</w:t>
                    </w:r>
                    <w:r w:rsidRPr="00D36D26">
                      <w:rPr>
                        <w:rFonts w:ascii="Arial" w:eastAsia="Calibri" w:hAnsi="Arial" w:cs="Arial"/>
                        <w:b/>
                        <w:i/>
                        <w:color w:val="808080"/>
                        <w:sz w:val="32"/>
                        <w:szCs w:val="32"/>
                      </w:rPr>
                      <w:t>overnance</w:t>
                    </w:r>
                    <w:r w:rsidRPr="00D36D26">
                      <w:rPr>
                        <w:rFonts w:ascii="Arial" w:eastAsia="Calibri" w:hAnsi="Arial" w:cs="Arial"/>
                        <w:b/>
                        <w:i/>
                        <w:caps/>
                        <w:color w:val="808080"/>
                        <w:sz w:val="32"/>
                        <w:szCs w:val="32"/>
                      </w:rPr>
                      <w:t xml:space="preserve"> S</w:t>
                    </w:r>
                    <w:r w:rsidRPr="00D36D26">
                      <w:rPr>
                        <w:rFonts w:ascii="Arial" w:eastAsia="Calibri" w:hAnsi="Arial" w:cs="Arial"/>
                        <w:b/>
                        <w:i/>
                        <w:color w:val="808080"/>
                        <w:sz w:val="32"/>
                        <w:szCs w:val="32"/>
                      </w:rPr>
                      <w:t>tatement</w:t>
                    </w:r>
                    <w:r w:rsidRPr="00D36D26">
                      <w:rPr>
                        <w:rFonts w:ascii="Arial" w:eastAsia="Calibri" w:hAnsi="Arial" w:cs="Arial"/>
                        <w:b/>
                        <w:i/>
                        <w:caps/>
                        <w:color w:val="808080"/>
                        <w:sz w:val="32"/>
                        <w:szCs w:val="32"/>
                      </w:rPr>
                      <w:t xml:space="preserve"> 20</w:t>
                    </w:r>
                    <w:r>
                      <w:rPr>
                        <w:rFonts w:ascii="Arial" w:eastAsia="Calibri" w:hAnsi="Arial" w:cs="Arial"/>
                        <w:b/>
                        <w:i/>
                        <w:caps/>
                        <w:color w:val="808080"/>
                        <w:sz w:val="32"/>
                        <w:szCs w:val="32"/>
                      </w:rPr>
                      <w:t>21</w:t>
                    </w:r>
                    <w:r w:rsidRPr="00D36D26">
                      <w:rPr>
                        <w:rFonts w:ascii="Arial" w:eastAsia="Calibri" w:hAnsi="Arial" w:cs="Arial"/>
                        <w:b/>
                        <w:i/>
                        <w:caps/>
                        <w:color w:val="808080"/>
                        <w:sz w:val="32"/>
                        <w:szCs w:val="32"/>
                      </w:rPr>
                      <w:t>/</w:t>
                    </w:r>
                    <w:r>
                      <w:rPr>
                        <w:rFonts w:ascii="Arial" w:eastAsia="Calibri" w:hAnsi="Arial" w:cs="Arial"/>
                        <w:b/>
                        <w:i/>
                        <w:caps/>
                        <w:color w:val="808080"/>
                        <w:sz w:val="32"/>
                        <w:szCs w:val="32"/>
                      </w:rPr>
                      <w:t>22</w:t>
                    </w:r>
                  </w:p>
                </w:txbxContent>
              </v:textbox>
              <w10:wrap type="square"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8388" w14:textId="5274AA9D" w:rsidR="00F3354E" w:rsidRDefault="00516E75">
    <w:pPr>
      <w:pStyle w:val="Header"/>
    </w:pPr>
    <w:r>
      <w:rPr>
        <w:noProof/>
        <w:lang w:eastAsia="en-GB"/>
      </w:rPr>
      <mc:AlternateContent>
        <mc:Choice Requires="wps">
          <w:drawing>
            <wp:anchor distT="0" distB="0" distL="118745" distR="118745" simplePos="0" relativeHeight="251659776" behindDoc="1" locked="0" layoutInCell="1" allowOverlap="0" wp14:anchorId="5751E7CB" wp14:editId="080C1455">
              <wp:simplePos x="0" y="0"/>
              <wp:positionH relativeFrom="page">
                <wp:posOffset>914400</wp:posOffset>
              </wp:positionH>
              <wp:positionV relativeFrom="page">
                <wp:posOffset>481330</wp:posOffset>
              </wp:positionV>
              <wp:extent cx="5728970" cy="32512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8970" cy="325120"/>
                      </a:xfrm>
                      <a:prstGeom prst="rect">
                        <a:avLst/>
                      </a:prstGeom>
                      <a:solidFill>
                        <a:srgbClr val="91CBDB"/>
                      </a:solidFill>
                      <a:ln w="12700" cap="flat" cmpd="sng" algn="ctr">
                        <a:noFill/>
                        <a:prstDash val="solid"/>
                        <a:miter lim="800000"/>
                      </a:ln>
                      <a:effectLst/>
                    </wps:spPr>
                    <wps:txbx>
                      <w:txbxContent>
                        <w:p w14:paraId="0CD998A6" w14:textId="77777777" w:rsidR="0022260A" w:rsidRPr="008206CA" w:rsidRDefault="0022260A" w:rsidP="0022260A">
                          <w:pPr>
                            <w:pStyle w:val="Header"/>
                            <w:jc w:val="center"/>
                            <w:rPr>
                              <w:caps/>
                              <w:color w:val="FFFFFF"/>
                            </w:rPr>
                          </w:pPr>
                          <w:r w:rsidRPr="008206CA">
                            <w:rPr>
                              <w:rFonts w:ascii="Arial" w:hAnsi="Arial" w:cs="Arial"/>
                              <w:b/>
                              <w:i/>
                              <w:caps/>
                              <w:color w:val="808080"/>
                              <w:sz w:val="32"/>
                              <w:szCs w:val="32"/>
                            </w:rPr>
                            <w:t>A</w:t>
                          </w:r>
                          <w:r w:rsidRPr="008206CA">
                            <w:rPr>
                              <w:rFonts w:ascii="Arial" w:hAnsi="Arial" w:cs="Arial"/>
                              <w:b/>
                              <w:i/>
                              <w:color w:val="808080"/>
                              <w:sz w:val="32"/>
                              <w:szCs w:val="32"/>
                            </w:rPr>
                            <w:t>nnual</w:t>
                          </w:r>
                          <w:r w:rsidRPr="008206CA">
                            <w:rPr>
                              <w:rFonts w:ascii="Arial" w:hAnsi="Arial" w:cs="Arial"/>
                              <w:b/>
                              <w:i/>
                              <w:caps/>
                              <w:color w:val="808080"/>
                              <w:sz w:val="32"/>
                              <w:szCs w:val="32"/>
                            </w:rPr>
                            <w:t xml:space="preserve"> G</w:t>
                          </w:r>
                          <w:r w:rsidRPr="008206CA">
                            <w:rPr>
                              <w:rFonts w:ascii="Arial" w:hAnsi="Arial" w:cs="Arial"/>
                              <w:b/>
                              <w:i/>
                              <w:color w:val="808080"/>
                              <w:sz w:val="32"/>
                              <w:szCs w:val="32"/>
                            </w:rPr>
                            <w:t>overnance</w:t>
                          </w:r>
                          <w:r w:rsidRPr="008206CA">
                            <w:rPr>
                              <w:rFonts w:ascii="Arial" w:hAnsi="Arial" w:cs="Arial"/>
                              <w:b/>
                              <w:i/>
                              <w:caps/>
                              <w:color w:val="808080"/>
                              <w:sz w:val="32"/>
                              <w:szCs w:val="32"/>
                            </w:rPr>
                            <w:t xml:space="preserve"> S</w:t>
                          </w:r>
                          <w:r w:rsidRPr="008206CA">
                            <w:rPr>
                              <w:rFonts w:ascii="Arial" w:hAnsi="Arial" w:cs="Arial"/>
                              <w:b/>
                              <w:i/>
                              <w:color w:val="808080"/>
                              <w:sz w:val="32"/>
                              <w:szCs w:val="32"/>
                            </w:rPr>
                            <w:t>tatement</w:t>
                          </w:r>
                          <w:r w:rsidRPr="008206CA">
                            <w:rPr>
                              <w:rFonts w:ascii="Arial" w:hAnsi="Arial" w:cs="Arial"/>
                              <w:b/>
                              <w:i/>
                              <w:caps/>
                              <w:color w:val="808080"/>
                              <w:sz w:val="32"/>
                              <w:szCs w:val="32"/>
                            </w:rPr>
                            <w:t xml:space="preserve"> 2021/22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ect w14:anchorId="5751E7CB" id="Rectangle 1" o:spid="_x0000_s1097" style="position:absolute;margin-left:1in;margin-top:37.9pt;width:451.1pt;height:25.6pt;z-index:-251656704;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" o:allowoverlap="f" fillcolor="#91cbdb" stroked="f" strokeweight="1pt">
              <v:textbox style="mso-fit-shape-to-text:t">
                <w:txbxContent>
                  <w:p w14:paraId="0CD998A6" w14:textId="77777777" w:rsidR="0022260A" w:rsidRPr="008206CA" w:rsidRDefault="0022260A" w:rsidP="0022260A">
                    <w:pPr>
                      <w:pStyle w:val="Header"/>
                      <w:jc w:val="center"/>
                      <w:rPr>
                        <w:caps/>
                        <w:color w:val="FFFFFF"/>
                      </w:rPr>
                    </w:pPr>
                    <w:r w:rsidRPr="008206CA">
                      <w:rPr>
                        <w:rFonts w:ascii="Arial" w:hAnsi="Arial" w:cs="Arial"/>
                        <w:b/>
                        <w:i/>
                        <w:caps/>
                        <w:color w:val="808080"/>
                        <w:sz w:val="32"/>
                        <w:szCs w:val="32"/>
                      </w:rPr>
                      <w:t>A</w:t>
                    </w:r>
                    <w:r w:rsidRPr="008206CA">
                      <w:rPr>
                        <w:rFonts w:ascii="Arial" w:hAnsi="Arial" w:cs="Arial"/>
                        <w:b/>
                        <w:i/>
                        <w:color w:val="808080"/>
                        <w:sz w:val="32"/>
                        <w:szCs w:val="32"/>
                      </w:rPr>
                      <w:t>nnual</w:t>
                    </w:r>
                    <w:r w:rsidRPr="008206CA">
                      <w:rPr>
                        <w:rFonts w:ascii="Arial" w:hAnsi="Arial" w:cs="Arial"/>
                        <w:b/>
                        <w:i/>
                        <w:caps/>
                        <w:color w:val="808080"/>
                        <w:sz w:val="32"/>
                        <w:szCs w:val="32"/>
                      </w:rPr>
                      <w:t xml:space="preserve"> G</w:t>
                    </w:r>
                    <w:r w:rsidRPr="008206CA">
                      <w:rPr>
                        <w:rFonts w:ascii="Arial" w:hAnsi="Arial" w:cs="Arial"/>
                        <w:b/>
                        <w:i/>
                        <w:color w:val="808080"/>
                        <w:sz w:val="32"/>
                        <w:szCs w:val="32"/>
                      </w:rPr>
                      <w:t>overnance</w:t>
                    </w:r>
                    <w:r w:rsidRPr="008206CA">
                      <w:rPr>
                        <w:rFonts w:ascii="Arial" w:hAnsi="Arial" w:cs="Arial"/>
                        <w:b/>
                        <w:i/>
                        <w:caps/>
                        <w:color w:val="808080"/>
                        <w:sz w:val="32"/>
                        <w:szCs w:val="32"/>
                      </w:rPr>
                      <w:t xml:space="preserve"> S</w:t>
                    </w:r>
                    <w:r w:rsidRPr="008206CA">
                      <w:rPr>
                        <w:rFonts w:ascii="Arial" w:hAnsi="Arial" w:cs="Arial"/>
                        <w:b/>
                        <w:i/>
                        <w:color w:val="808080"/>
                        <w:sz w:val="32"/>
                        <w:szCs w:val="32"/>
                      </w:rPr>
                      <w:t>tatement</w:t>
                    </w:r>
                    <w:r w:rsidRPr="008206CA">
                      <w:rPr>
                        <w:rFonts w:ascii="Arial" w:hAnsi="Arial" w:cs="Arial"/>
                        <w:b/>
                        <w:i/>
                        <w:caps/>
                        <w:color w:val="808080"/>
                        <w:sz w:val="32"/>
                        <w:szCs w:val="32"/>
                      </w:rPr>
                      <w:t xml:space="preserve"> 2021/22</w:t>
                    </w:r>
                  </w:p>
                </w:txbxContent>
              </v:textbox>
              <w10:wrap type="square" anchorx="page" anchory="page"/>
            </v:rect>
          </w:pict>
        </mc:Fallback>
      </mc:AlternateContent>
    </w:r>
  </w:p>
  <w:p w14:paraId="1366E50E" w14:textId="77777777" w:rsidR="00F3354E" w:rsidRDefault="00F3354E" w:rsidP="00545AF9">
    <w:pPr>
      <w:pStyle w:val="Header"/>
      <w:tabs>
        <w:tab w:val="clear" w:pos="8306"/>
        <w:tab w:val="center" w:pos="4961"/>
        <w:tab w:val="left" w:pos="8100"/>
        <w:tab w:val="left" w:pos="8820"/>
      </w:tabs>
    </w:pPr>
  </w:p>
  <w:p w14:paraId="6D6E0C18" w14:textId="77777777" w:rsidR="00F3354E" w:rsidRDefault="00F3354E">
    <w:r w:rsidRPr="0082388C">
      <w:rPr>
        <w:rFonts w:ascii="Arial" w:hAnsi="Arial" w:cs="Arial"/>
        <w:b/>
        <w:sz w:val="32"/>
        <w:szCs w:val="3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272B" w14:textId="77777777" w:rsidR="00255871" w:rsidRDefault="00255871">
    <w:pPr>
      <w:pStyle w:val="Header"/>
    </w:pPr>
  </w:p>
  <w:p w14:paraId="7B1F6945" w14:textId="77777777" w:rsidR="00255871" w:rsidRDefault="00255871" w:rsidP="00255871">
    <w:pPr>
      <w:pStyle w:val="Header"/>
      <w:tabs>
        <w:tab w:val="clear" w:pos="8306"/>
        <w:tab w:val="center" w:pos="4961"/>
        <w:tab w:val="left" w:pos="8100"/>
        <w:tab w:val="left" w:pos="8820"/>
      </w:tabs>
      <w:ind w:firstLine="720"/>
    </w:pPr>
  </w:p>
  <w:p w14:paraId="7F16754C" w14:textId="77777777" w:rsidR="00255871" w:rsidRDefault="00255871">
    <w:r w:rsidRPr="0082388C">
      <w:rPr>
        <w:rFonts w:ascii="Arial" w:hAnsi="Arial" w:cs="Arial"/>
        <w:b/>
        <w:sz w:val="32"/>
        <w:szCs w:val="3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75809" w14:textId="77777777" w:rsidR="00F3354E" w:rsidRDefault="00F3354E" w:rsidP="00493CA9">
    <w:pPr>
      <w:pStyle w:val="Header"/>
      <w:jc w:val="center"/>
    </w:pPr>
  </w:p>
  <w:p w14:paraId="356921BE" w14:textId="77777777" w:rsidR="00F3354E" w:rsidRDefault="00F335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6CC9"/>
    <w:multiLevelType w:val="hybridMultilevel"/>
    <w:tmpl w:val="5DAE3CB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B4782"/>
    <w:multiLevelType w:val="hybridMultilevel"/>
    <w:tmpl w:val="2DAA4B14"/>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2" w15:restartNumberingAfterBreak="0">
    <w:nsid w:val="042E060E"/>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52047AB"/>
    <w:multiLevelType w:val="hybridMultilevel"/>
    <w:tmpl w:val="75D87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CA3DE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0D5A88"/>
    <w:multiLevelType w:val="hybridMultilevel"/>
    <w:tmpl w:val="CF569D0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9D5A87"/>
    <w:multiLevelType w:val="hybridMultilevel"/>
    <w:tmpl w:val="7478B73A"/>
    <w:lvl w:ilvl="0" w:tplc="08090001">
      <w:start w:val="1"/>
      <w:numFmt w:val="bullet"/>
      <w:lvlText w:val=""/>
      <w:lvlJc w:val="left"/>
      <w:pPr>
        <w:tabs>
          <w:tab w:val="num" w:pos="720"/>
        </w:tabs>
        <w:ind w:left="720" w:hanging="72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08305C7F"/>
    <w:multiLevelType w:val="hybridMultilevel"/>
    <w:tmpl w:val="8954D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804207"/>
    <w:multiLevelType w:val="hybridMultilevel"/>
    <w:tmpl w:val="F16E8D34"/>
    <w:lvl w:ilvl="0" w:tplc="CC6A8C66">
      <w:start w:val="4"/>
      <w:numFmt w:val="lowerLetter"/>
      <w:lvlText w:val="(%1)"/>
      <w:lvlJc w:val="left"/>
      <w:pPr>
        <w:tabs>
          <w:tab w:val="num" w:pos="1080"/>
        </w:tabs>
        <w:ind w:left="1080" w:hanging="720"/>
      </w:pPr>
      <w:rPr>
        <w:rFonts w:hint="default"/>
      </w:rPr>
    </w:lvl>
    <w:lvl w:ilvl="1" w:tplc="7B142F58">
      <w:start w:val="7"/>
      <w:numFmt w:val="lowerRoman"/>
      <w:lvlText w:val="%2)"/>
      <w:lvlJc w:val="left"/>
      <w:pPr>
        <w:tabs>
          <w:tab w:val="num" w:pos="1800"/>
        </w:tabs>
        <w:ind w:left="1800" w:hanging="720"/>
      </w:pPr>
      <w:rPr>
        <w:rFonts w:hint="default"/>
      </w:rPr>
    </w:lvl>
    <w:lvl w:ilvl="2" w:tplc="8D2A0DBE">
      <w:start w:val="1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08FE2B09"/>
    <w:multiLevelType w:val="hybridMultilevel"/>
    <w:tmpl w:val="6FD24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D3620E"/>
    <w:multiLevelType w:val="hybridMultilevel"/>
    <w:tmpl w:val="1A102FA6"/>
    <w:lvl w:ilvl="0" w:tplc="16A645B0">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31322E"/>
    <w:multiLevelType w:val="multilevel"/>
    <w:tmpl w:val="73505976"/>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ED11860"/>
    <w:multiLevelType w:val="multilevel"/>
    <w:tmpl w:val="56C082C4"/>
    <w:lvl w:ilvl="0">
      <w:start w:val="1"/>
      <w:numFmt w:val="decimal"/>
      <w:lvlText w:val="%1."/>
      <w:lvlJc w:val="left"/>
      <w:pPr>
        <w:ind w:left="1074" w:hanging="360"/>
      </w:pPr>
      <w:rPr>
        <w:rFonts w:hint="default"/>
      </w:rPr>
    </w:lvl>
    <w:lvl w:ilvl="1">
      <w:start w:val="1"/>
      <w:numFmt w:val="decimal"/>
      <w:isLgl/>
      <w:lvlText w:val="%1.%2"/>
      <w:lvlJc w:val="left"/>
      <w:pPr>
        <w:ind w:left="1074" w:hanging="360"/>
      </w:pPr>
      <w:rPr>
        <w:rFonts w:hint="default"/>
        <w:b w:val="0"/>
      </w:rPr>
    </w:lvl>
    <w:lvl w:ilvl="2">
      <w:start w:val="1"/>
      <w:numFmt w:val="decimal"/>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13" w15:restartNumberingAfterBreak="0">
    <w:nsid w:val="0EEE7D6C"/>
    <w:multiLevelType w:val="hybridMultilevel"/>
    <w:tmpl w:val="CF8CC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04549B7"/>
    <w:multiLevelType w:val="hybridMultilevel"/>
    <w:tmpl w:val="82FA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CC6096"/>
    <w:multiLevelType w:val="hybridMultilevel"/>
    <w:tmpl w:val="614C022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24F18E6"/>
    <w:multiLevelType w:val="multilevel"/>
    <w:tmpl w:val="8D42B22E"/>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14151ADF"/>
    <w:multiLevelType w:val="hybridMultilevel"/>
    <w:tmpl w:val="D68EAED8"/>
    <w:lvl w:ilvl="0" w:tplc="B1EC1D9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41B0246"/>
    <w:multiLevelType w:val="hybridMultilevel"/>
    <w:tmpl w:val="AD88E7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499769E"/>
    <w:multiLevelType w:val="hybridMultilevel"/>
    <w:tmpl w:val="01346BEA"/>
    <w:lvl w:ilvl="0" w:tplc="BF0230D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730813"/>
    <w:multiLevelType w:val="hybridMultilevel"/>
    <w:tmpl w:val="BEB255B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7A67C9B"/>
    <w:multiLevelType w:val="hybridMultilevel"/>
    <w:tmpl w:val="232815E0"/>
    <w:lvl w:ilvl="0" w:tplc="08090013">
      <w:start w:val="1"/>
      <w:numFmt w:val="upperRoman"/>
      <w:lvlText w:val="%1."/>
      <w:lvlJc w:val="right"/>
      <w:pPr>
        <w:ind w:left="862" w:hanging="720"/>
      </w:p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22" w15:restartNumberingAfterBreak="0">
    <w:nsid w:val="183A1ED4"/>
    <w:multiLevelType w:val="hybridMultilevel"/>
    <w:tmpl w:val="D242C64C"/>
    <w:lvl w:ilvl="0" w:tplc="B09A87D8">
      <w:start w:val="1"/>
      <w:numFmt w:val="bullet"/>
      <w:lvlText w:val=""/>
      <w:lvlJc w:val="left"/>
      <w:pPr>
        <w:tabs>
          <w:tab w:val="num" w:pos="1455"/>
        </w:tabs>
        <w:ind w:left="1455" w:hanging="360"/>
      </w:pPr>
      <w:rPr>
        <w:rFonts w:ascii="Wingdings" w:hAnsi="Wingdings" w:hint="default"/>
        <w:color w:val="auto"/>
      </w:rPr>
    </w:lvl>
    <w:lvl w:ilvl="1" w:tplc="08090003" w:tentative="1">
      <w:start w:val="1"/>
      <w:numFmt w:val="bullet"/>
      <w:lvlText w:val="o"/>
      <w:lvlJc w:val="left"/>
      <w:pPr>
        <w:tabs>
          <w:tab w:val="num" w:pos="2175"/>
        </w:tabs>
        <w:ind w:left="2175" w:hanging="360"/>
      </w:pPr>
      <w:rPr>
        <w:rFonts w:ascii="Courier New" w:hAnsi="Courier New" w:cs="Courier New" w:hint="default"/>
      </w:rPr>
    </w:lvl>
    <w:lvl w:ilvl="2" w:tplc="08090005" w:tentative="1">
      <w:start w:val="1"/>
      <w:numFmt w:val="bullet"/>
      <w:lvlText w:val=""/>
      <w:lvlJc w:val="left"/>
      <w:pPr>
        <w:tabs>
          <w:tab w:val="num" w:pos="2895"/>
        </w:tabs>
        <w:ind w:left="2895" w:hanging="360"/>
      </w:pPr>
      <w:rPr>
        <w:rFonts w:ascii="Wingdings" w:hAnsi="Wingdings" w:hint="default"/>
      </w:rPr>
    </w:lvl>
    <w:lvl w:ilvl="3" w:tplc="08090001" w:tentative="1">
      <w:start w:val="1"/>
      <w:numFmt w:val="bullet"/>
      <w:lvlText w:val=""/>
      <w:lvlJc w:val="left"/>
      <w:pPr>
        <w:tabs>
          <w:tab w:val="num" w:pos="3615"/>
        </w:tabs>
        <w:ind w:left="3615" w:hanging="360"/>
      </w:pPr>
      <w:rPr>
        <w:rFonts w:ascii="Symbol" w:hAnsi="Symbol" w:hint="default"/>
      </w:rPr>
    </w:lvl>
    <w:lvl w:ilvl="4" w:tplc="08090003" w:tentative="1">
      <w:start w:val="1"/>
      <w:numFmt w:val="bullet"/>
      <w:lvlText w:val="o"/>
      <w:lvlJc w:val="left"/>
      <w:pPr>
        <w:tabs>
          <w:tab w:val="num" w:pos="4335"/>
        </w:tabs>
        <w:ind w:left="4335" w:hanging="360"/>
      </w:pPr>
      <w:rPr>
        <w:rFonts w:ascii="Courier New" w:hAnsi="Courier New" w:cs="Courier New" w:hint="default"/>
      </w:rPr>
    </w:lvl>
    <w:lvl w:ilvl="5" w:tplc="08090005" w:tentative="1">
      <w:start w:val="1"/>
      <w:numFmt w:val="bullet"/>
      <w:lvlText w:val=""/>
      <w:lvlJc w:val="left"/>
      <w:pPr>
        <w:tabs>
          <w:tab w:val="num" w:pos="5055"/>
        </w:tabs>
        <w:ind w:left="5055" w:hanging="360"/>
      </w:pPr>
      <w:rPr>
        <w:rFonts w:ascii="Wingdings" w:hAnsi="Wingdings" w:hint="default"/>
      </w:rPr>
    </w:lvl>
    <w:lvl w:ilvl="6" w:tplc="08090001" w:tentative="1">
      <w:start w:val="1"/>
      <w:numFmt w:val="bullet"/>
      <w:lvlText w:val=""/>
      <w:lvlJc w:val="left"/>
      <w:pPr>
        <w:tabs>
          <w:tab w:val="num" w:pos="5775"/>
        </w:tabs>
        <w:ind w:left="5775" w:hanging="360"/>
      </w:pPr>
      <w:rPr>
        <w:rFonts w:ascii="Symbol" w:hAnsi="Symbol" w:hint="default"/>
      </w:rPr>
    </w:lvl>
    <w:lvl w:ilvl="7" w:tplc="08090003" w:tentative="1">
      <w:start w:val="1"/>
      <w:numFmt w:val="bullet"/>
      <w:lvlText w:val="o"/>
      <w:lvlJc w:val="left"/>
      <w:pPr>
        <w:tabs>
          <w:tab w:val="num" w:pos="6495"/>
        </w:tabs>
        <w:ind w:left="6495" w:hanging="360"/>
      </w:pPr>
      <w:rPr>
        <w:rFonts w:ascii="Courier New" w:hAnsi="Courier New" w:cs="Courier New" w:hint="default"/>
      </w:rPr>
    </w:lvl>
    <w:lvl w:ilvl="8" w:tplc="08090005" w:tentative="1">
      <w:start w:val="1"/>
      <w:numFmt w:val="bullet"/>
      <w:lvlText w:val=""/>
      <w:lvlJc w:val="left"/>
      <w:pPr>
        <w:tabs>
          <w:tab w:val="num" w:pos="7215"/>
        </w:tabs>
        <w:ind w:left="7215" w:hanging="360"/>
      </w:pPr>
      <w:rPr>
        <w:rFonts w:ascii="Wingdings" w:hAnsi="Wingdings" w:hint="default"/>
      </w:rPr>
    </w:lvl>
  </w:abstractNum>
  <w:abstractNum w:abstractNumId="23" w15:restartNumberingAfterBreak="0">
    <w:nsid w:val="187A3C56"/>
    <w:multiLevelType w:val="hybridMultilevel"/>
    <w:tmpl w:val="4E72BC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FC09DE"/>
    <w:multiLevelType w:val="hybridMultilevel"/>
    <w:tmpl w:val="27EE2566"/>
    <w:lvl w:ilvl="0" w:tplc="2D5A4E84">
      <w:start w:val="1"/>
      <w:numFmt w:val="bullet"/>
      <w:lvlText w:val=""/>
      <w:lvlJc w:val="left"/>
      <w:pPr>
        <w:ind w:left="720" w:hanging="360"/>
      </w:pPr>
      <w:rPr>
        <w:rFonts w:ascii="Symbol" w:hAnsi="Symbol" w:hint="default"/>
        <w:color w:val="832C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BE2AA0"/>
    <w:multiLevelType w:val="hybridMultilevel"/>
    <w:tmpl w:val="F3F0F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EC088F"/>
    <w:multiLevelType w:val="multilevel"/>
    <w:tmpl w:val="5E7060DE"/>
    <w:lvl w:ilvl="0">
      <w:start w:val="4"/>
      <w:numFmt w:val="decimal"/>
      <w:lvlText w:val="%1."/>
      <w:lvlJc w:val="left"/>
      <w:pPr>
        <w:ind w:left="1070" w:hanging="360"/>
      </w:pPr>
      <w:rPr>
        <w:rFonts w:hint="default"/>
      </w:rPr>
    </w:lvl>
    <w:lvl w:ilvl="1">
      <w:start w:val="1"/>
      <w:numFmt w:val="decimal"/>
      <w:isLgl/>
      <w:lvlText w:val="%1.%2"/>
      <w:lvlJc w:val="left"/>
      <w:pPr>
        <w:ind w:left="450" w:hanging="450"/>
      </w:pPr>
      <w:rPr>
        <w:rFonts w:hint="default"/>
        <w:b w:val="0"/>
      </w:rPr>
    </w:lvl>
    <w:lvl w:ilvl="2">
      <w:start w:val="1"/>
      <w:numFmt w:val="decimal"/>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27" w15:restartNumberingAfterBreak="0">
    <w:nsid w:val="1C0C2E3B"/>
    <w:multiLevelType w:val="singleLevel"/>
    <w:tmpl w:val="08090001"/>
    <w:lvl w:ilvl="0">
      <w:start w:val="1"/>
      <w:numFmt w:val="bullet"/>
      <w:lvlText w:val=""/>
      <w:lvlJc w:val="left"/>
      <w:pPr>
        <w:ind w:left="720" w:hanging="360"/>
      </w:pPr>
      <w:rPr>
        <w:rFonts w:ascii="Symbol" w:hAnsi="Symbol" w:hint="default"/>
      </w:rPr>
    </w:lvl>
  </w:abstractNum>
  <w:abstractNum w:abstractNumId="28" w15:restartNumberingAfterBreak="0">
    <w:nsid w:val="1C274BF0"/>
    <w:multiLevelType w:val="hybridMultilevel"/>
    <w:tmpl w:val="2E70F846"/>
    <w:lvl w:ilvl="0" w:tplc="69C64ECA">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1C7437B6"/>
    <w:multiLevelType w:val="hybridMultilevel"/>
    <w:tmpl w:val="BF2EC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EB65CC4"/>
    <w:multiLevelType w:val="hybridMultilevel"/>
    <w:tmpl w:val="51720F08"/>
    <w:lvl w:ilvl="0" w:tplc="56627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210573C2"/>
    <w:multiLevelType w:val="hybridMultilevel"/>
    <w:tmpl w:val="3272C89E"/>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13A78D4"/>
    <w:multiLevelType w:val="multilevel"/>
    <w:tmpl w:val="A642D374"/>
    <w:styleLink w:val="HRNumber"/>
    <w:lvl w:ilvl="0">
      <w:start w:val="1"/>
      <w:numFmt w:val="decimal"/>
      <w:pStyle w:val="NumberHymans"/>
      <w:lvlText w:val="%1"/>
      <w:lvlJc w:val="left"/>
      <w:pPr>
        <w:ind w:left="567" w:hanging="567"/>
      </w:pPr>
      <w:rPr>
        <w:rFonts w:ascii="Arial" w:hAnsi="Arial" w:hint="default"/>
        <w:color w:val="4B4B4B"/>
        <w:sz w:val="20"/>
      </w:rPr>
    </w:lvl>
    <w:lvl w:ilvl="1">
      <w:start w:val="1"/>
      <w:numFmt w:val="decimal"/>
      <w:lvlText w:val="%1.%2"/>
      <w:lvlJc w:val="left"/>
      <w:pPr>
        <w:ind w:left="1134" w:hanging="567"/>
      </w:pPr>
      <w:rPr>
        <w:rFonts w:ascii="Arial" w:hAnsi="Arial" w:hint="default"/>
        <w:color w:val="4B4B4B"/>
        <w:sz w:val="20"/>
      </w:rPr>
    </w:lvl>
    <w:lvl w:ilvl="2">
      <w:start w:val="1"/>
      <w:numFmt w:val="decimal"/>
      <w:lvlText w:val="%1.%2.%3"/>
      <w:lvlJc w:val="left"/>
      <w:pPr>
        <w:ind w:left="1701" w:hanging="567"/>
      </w:pPr>
      <w:rPr>
        <w:rFonts w:ascii="Arial" w:hAnsi="Arial" w:hint="default"/>
        <w:color w:val="4B4B4B"/>
        <w:sz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ascii="Arial" w:hAnsi="Arial" w:hint="default"/>
        <w:color w:val="auto"/>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1AD2B55"/>
    <w:multiLevelType w:val="hybridMultilevel"/>
    <w:tmpl w:val="0596A80C"/>
    <w:lvl w:ilvl="0" w:tplc="4B3CCD8E">
      <w:start w:val="13"/>
      <w:numFmt w:val="decimal"/>
      <w:lvlText w:val="%1."/>
      <w:lvlJc w:val="left"/>
      <w:pPr>
        <w:tabs>
          <w:tab w:val="num" w:pos="720"/>
        </w:tabs>
        <w:ind w:left="720" w:hanging="360"/>
      </w:pPr>
      <w:rPr>
        <w:rFonts w:hint="default"/>
        <w:b/>
        <w:i w:val="0"/>
        <w:sz w:val="24"/>
        <w:szCs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 w15:restartNumberingAfterBreak="0">
    <w:nsid w:val="22706352"/>
    <w:multiLevelType w:val="hybridMultilevel"/>
    <w:tmpl w:val="3CA29B1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2BF20F1"/>
    <w:multiLevelType w:val="hybridMultilevel"/>
    <w:tmpl w:val="DDE88BF8"/>
    <w:lvl w:ilvl="0" w:tplc="16A645B0">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3944C8"/>
    <w:multiLevelType w:val="hybridMultilevel"/>
    <w:tmpl w:val="9F40D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4795C25"/>
    <w:multiLevelType w:val="hybridMultilevel"/>
    <w:tmpl w:val="A7E0E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25572435"/>
    <w:multiLevelType w:val="hybridMultilevel"/>
    <w:tmpl w:val="695685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5A14068"/>
    <w:multiLevelType w:val="hybridMultilevel"/>
    <w:tmpl w:val="1082CF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7761226"/>
    <w:multiLevelType w:val="hybridMultilevel"/>
    <w:tmpl w:val="BE30E9C0"/>
    <w:lvl w:ilvl="0" w:tplc="16A645B0">
      <w:start w:val="1"/>
      <w:numFmt w:val="bullet"/>
      <w:lvlText w:val=""/>
      <w:lvlJc w:val="left"/>
      <w:pPr>
        <w:tabs>
          <w:tab w:val="num" w:pos="1080"/>
        </w:tabs>
        <w:ind w:left="1080" w:hanging="360"/>
      </w:pPr>
      <w:rPr>
        <w:rFonts w:ascii="Symbol" w:hAnsi="Symbol" w:hint="default"/>
        <w:sz w:val="28"/>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283F36E5"/>
    <w:multiLevelType w:val="hybridMultilevel"/>
    <w:tmpl w:val="4EB04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931650F"/>
    <w:multiLevelType w:val="hybridMultilevel"/>
    <w:tmpl w:val="04823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2AE56148"/>
    <w:multiLevelType w:val="hybridMultilevel"/>
    <w:tmpl w:val="E0C0E304"/>
    <w:lvl w:ilvl="0" w:tplc="D9B0E1FA">
      <w:numFmt w:val="bullet"/>
      <w:lvlText w:val="-"/>
      <w:lvlJc w:val="left"/>
      <w:pPr>
        <w:ind w:left="750" w:hanging="360"/>
      </w:pPr>
      <w:rPr>
        <w:rFonts w:ascii="Arial" w:eastAsia="Calibri" w:hAnsi="Arial" w:cs="Aria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4" w15:restartNumberingAfterBreak="0">
    <w:nsid w:val="2D9F5FFC"/>
    <w:multiLevelType w:val="hybridMultilevel"/>
    <w:tmpl w:val="96FA98EC"/>
    <w:lvl w:ilvl="0" w:tplc="03A2BA2A">
      <w:start w:val="1"/>
      <w:numFmt w:val="bullet"/>
      <w:lvlText w:val="-"/>
      <w:lvlJc w:val="left"/>
      <w:pPr>
        <w:ind w:left="2160" w:hanging="360"/>
      </w:pPr>
      <w:rPr>
        <w:rFonts w:ascii="Arial" w:eastAsia="Times New Roman"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5" w15:restartNumberingAfterBreak="0">
    <w:nsid w:val="2E8E33CF"/>
    <w:multiLevelType w:val="hybridMultilevel"/>
    <w:tmpl w:val="91CA6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EEF5511"/>
    <w:multiLevelType w:val="hybridMultilevel"/>
    <w:tmpl w:val="68AE72D0"/>
    <w:lvl w:ilvl="0" w:tplc="8C82F526">
      <w:start w:val="1"/>
      <w:numFmt w:val="bullet"/>
      <w:suff w:val="space"/>
      <w:lvlText w:val=""/>
      <w:lvlJc w:val="left"/>
      <w:pPr>
        <w:ind w:left="720" w:hanging="360"/>
      </w:pPr>
      <w:rPr>
        <w:rFonts w:ascii="Symbol" w:hAnsi="Symbol" w:hint="default"/>
      </w:rPr>
    </w:lvl>
    <w:lvl w:ilvl="1" w:tplc="47A639D8">
      <w:start w:val="1"/>
      <w:numFmt w:val="bullet"/>
      <w:suff w:val="space"/>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078365B"/>
    <w:multiLevelType w:val="hybridMultilevel"/>
    <w:tmpl w:val="1B841F50"/>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313C0E63"/>
    <w:multiLevelType w:val="hybridMultilevel"/>
    <w:tmpl w:val="4C62B6C4"/>
    <w:lvl w:ilvl="0" w:tplc="348C676E">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31454F0B"/>
    <w:multiLevelType w:val="hybridMultilevel"/>
    <w:tmpl w:val="7A2430F8"/>
    <w:lvl w:ilvl="0" w:tplc="116CE212">
      <w:start w:val="1"/>
      <w:numFmt w:val="bullet"/>
      <w:lvlText w:val=""/>
      <w:lvlJc w:val="left"/>
      <w:pPr>
        <w:ind w:left="360" w:hanging="360"/>
      </w:pPr>
      <w:rPr>
        <w:rFonts w:ascii="Wingdings" w:hAnsi="Wingdings" w:hint="default"/>
        <w:color w:val="333333"/>
        <w:position w:val="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1C21F4F"/>
    <w:multiLevelType w:val="hybridMultilevel"/>
    <w:tmpl w:val="8C5C4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313140D"/>
    <w:multiLevelType w:val="hybridMultilevel"/>
    <w:tmpl w:val="B4767F9E"/>
    <w:lvl w:ilvl="0" w:tplc="08090005">
      <w:start w:val="1"/>
      <w:numFmt w:val="bullet"/>
      <w:lvlText w:val=""/>
      <w:lvlJc w:val="left"/>
      <w:pPr>
        <w:ind w:left="360" w:hanging="360"/>
      </w:pPr>
      <w:rPr>
        <w:rFonts w:ascii="Wingdings" w:hAnsi="Wingdings" w:hint="default"/>
      </w:rPr>
    </w:lvl>
    <w:lvl w:ilvl="1" w:tplc="08090003" w:tentative="1">
      <w:start w:val="1"/>
      <w:numFmt w:val="bullet"/>
      <w:pStyle w:val="EmDashplus"/>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4404873"/>
    <w:multiLevelType w:val="multilevel"/>
    <w:tmpl w:val="B79E9F7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35025E3F"/>
    <w:multiLevelType w:val="hybridMultilevel"/>
    <w:tmpl w:val="95B0F104"/>
    <w:lvl w:ilvl="0" w:tplc="74DEFD16">
      <w:numFmt w:val="bullet"/>
      <w:lvlText w:val="-"/>
      <w:lvlJc w:val="left"/>
      <w:pPr>
        <w:ind w:left="786" w:hanging="360"/>
      </w:pPr>
      <w:rPr>
        <w:rFonts w:ascii="Arial" w:eastAsia="Times New Roman" w:hAnsi="Arial" w:cs="Arial" w:hint="default"/>
        <w:color w:val="auto"/>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4" w15:restartNumberingAfterBreak="0">
    <w:nsid w:val="35640902"/>
    <w:multiLevelType w:val="hybridMultilevel"/>
    <w:tmpl w:val="79F4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5E26798"/>
    <w:multiLevelType w:val="hybridMultilevel"/>
    <w:tmpl w:val="F0384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6CE3FE2"/>
    <w:multiLevelType w:val="multilevel"/>
    <w:tmpl w:val="0F963B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375215BB"/>
    <w:multiLevelType w:val="hybridMultilevel"/>
    <w:tmpl w:val="DCF08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81009BC"/>
    <w:multiLevelType w:val="multilevel"/>
    <w:tmpl w:val="25C0C470"/>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81F41E6"/>
    <w:multiLevelType w:val="multilevel"/>
    <w:tmpl w:val="4D8A0410"/>
    <w:styleLink w:val="HRBullet"/>
    <w:lvl w:ilvl="0">
      <w:start w:val="1"/>
      <w:numFmt w:val="bullet"/>
      <w:pStyle w:val="BulletHymans"/>
      <w:lvlText w:val=""/>
      <w:lvlJc w:val="left"/>
      <w:pPr>
        <w:ind w:left="567" w:hanging="567"/>
      </w:pPr>
      <w:rPr>
        <w:rFonts w:ascii="Symbol" w:hAnsi="Symbol"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8A95A5B"/>
    <w:multiLevelType w:val="hybridMultilevel"/>
    <w:tmpl w:val="35FEB36E"/>
    <w:lvl w:ilvl="0" w:tplc="6A3AD150">
      <w:numFmt w:val="bullet"/>
      <w:lvlText w:val="-"/>
      <w:lvlJc w:val="left"/>
      <w:pPr>
        <w:ind w:left="677" w:hanging="360"/>
      </w:pPr>
      <w:rPr>
        <w:rFonts w:ascii="Arial" w:eastAsia="Calibri" w:hAnsi="Arial" w:cs="Aria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61" w15:restartNumberingAfterBreak="0">
    <w:nsid w:val="39204965"/>
    <w:multiLevelType w:val="hybridMultilevel"/>
    <w:tmpl w:val="E490F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98D0600"/>
    <w:multiLevelType w:val="hybridMultilevel"/>
    <w:tmpl w:val="D2EAF50A"/>
    <w:lvl w:ilvl="0" w:tplc="FFFFFFFF">
      <w:start w:val="1"/>
      <w:numFmt w:val="decimal"/>
      <w:lvlText w:val="%1."/>
      <w:lvlJc w:val="left"/>
      <w:pPr>
        <w:tabs>
          <w:tab w:val="num" w:pos="1440"/>
        </w:tabs>
        <w:ind w:left="1440" w:hanging="720"/>
      </w:pPr>
      <w:rPr>
        <w:rFonts w:hint="default"/>
        <w:b/>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3" w15:restartNumberingAfterBreak="0">
    <w:nsid w:val="39BE74C1"/>
    <w:multiLevelType w:val="hybridMultilevel"/>
    <w:tmpl w:val="B0C4E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A9772B9"/>
    <w:multiLevelType w:val="singleLevel"/>
    <w:tmpl w:val="A7F2A17C"/>
    <w:lvl w:ilvl="0">
      <w:start w:val="4"/>
      <w:numFmt w:val="decimal"/>
      <w:lvlText w:val="%1."/>
      <w:lvlJc w:val="left"/>
      <w:pPr>
        <w:tabs>
          <w:tab w:val="num" w:pos="660"/>
        </w:tabs>
        <w:ind w:left="660" w:hanging="660"/>
      </w:pPr>
      <w:rPr>
        <w:rFonts w:ascii="Arial" w:hAnsi="Arial" w:hint="default"/>
        <w:b/>
        <w:i w:val="0"/>
        <w:sz w:val="24"/>
        <w:u w:val="none"/>
      </w:rPr>
    </w:lvl>
  </w:abstractNum>
  <w:abstractNum w:abstractNumId="65" w15:restartNumberingAfterBreak="0">
    <w:nsid w:val="3BEB6343"/>
    <w:multiLevelType w:val="hybridMultilevel"/>
    <w:tmpl w:val="A15854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CDB640C"/>
    <w:multiLevelType w:val="hybridMultilevel"/>
    <w:tmpl w:val="D43473C8"/>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67" w15:restartNumberingAfterBreak="0">
    <w:nsid w:val="3CEC5A20"/>
    <w:multiLevelType w:val="hybridMultilevel"/>
    <w:tmpl w:val="77A20812"/>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F2E0C60"/>
    <w:multiLevelType w:val="hybridMultilevel"/>
    <w:tmpl w:val="24D69616"/>
    <w:lvl w:ilvl="0" w:tplc="E25456B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10472EA"/>
    <w:multiLevelType w:val="multilevel"/>
    <w:tmpl w:val="7A6ACE22"/>
    <w:lvl w:ilvl="0">
      <w:start w:val="1"/>
      <w:numFmt w:val="decimal"/>
      <w:lvlText w:val="%1"/>
      <w:lvlJc w:val="left"/>
      <w:pPr>
        <w:ind w:left="-354" w:hanging="360"/>
      </w:pPr>
      <w:rPr>
        <w:rFonts w:hint="default"/>
      </w:rPr>
    </w:lvl>
    <w:lvl w:ilvl="1">
      <w:start w:val="1"/>
      <w:numFmt w:val="decimal"/>
      <w:lvlText w:val="%1.%2"/>
      <w:lvlJc w:val="left"/>
      <w:pPr>
        <w:ind w:left="-354" w:hanging="360"/>
      </w:pPr>
      <w:rPr>
        <w:rFonts w:hint="default"/>
      </w:rPr>
    </w:lvl>
    <w:lvl w:ilvl="2">
      <w:start w:val="1"/>
      <w:numFmt w:val="decimal"/>
      <w:lvlText w:val="%1.%2.%3"/>
      <w:lvlJc w:val="left"/>
      <w:pPr>
        <w:ind w:left="6" w:hanging="720"/>
      </w:pPr>
      <w:rPr>
        <w:rFonts w:hint="default"/>
      </w:rPr>
    </w:lvl>
    <w:lvl w:ilvl="3">
      <w:start w:val="1"/>
      <w:numFmt w:val="decimal"/>
      <w:lvlText w:val="%1.%2.%3.%4"/>
      <w:lvlJc w:val="left"/>
      <w:pPr>
        <w:ind w:left="6" w:hanging="720"/>
      </w:pPr>
      <w:rPr>
        <w:rFonts w:hint="default"/>
      </w:rPr>
    </w:lvl>
    <w:lvl w:ilvl="4">
      <w:start w:val="1"/>
      <w:numFmt w:val="decimal"/>
      <w:lvlText w:val="%1.%2.%3.%4.%5"/>
      <w:lvlJc w:val="left"/>
      <w:pPr>
        <w:ind w:left="366" w:hanging="1080"/>
      </w:pPr>
      <w:rPr>
        <w:rFonts w:hint="default"/>
      </w:rPr>
    </w:lvl>
    <w:lvl w:ilvl="5">
      <w:start w:val="1"/>
      <w:numFmt w:val="decimal"/>
      <w:lvlText w:val="%1.%2.%3.%4.%5.%6"/>
      <w:lvlJc w:val="left"/>
      <w:pPr>
        <w:ind w:left="366" w:hanging="1080"/>
      </w:pPr>
      <w:rPr>
        <w:rFonts w:hint="default"/>
      </w:rPr>
    </w:lvl>
    <w:lvl w:ilvl="6">
      <w:start w:val="1"/>
      <w:numFmt w:val="decimal"/>
      <w:lvlText w:val="%1.%2.%3.%4.%5.%6.%7"/>
      <w:lvlJc w:val="left"/>
      <w:pPr>
        <w:ind w:left="726" w:hanging="1440"/>
      </w:pPr>
      <w:rPr>
        <w:rFonts w:hint="default"/>
      </w:rPr>
    </w:lvl>
    <w:lvl w:ilvl="7">
      <w:start w:val="1"/>
      <w:numFmt w:val="decimal"/>
      <w:lvlText w:val="%1.%2.%3.%4.%5.%6.%7.%8"/>
      <w:lvlJc w:val="left"/>
      <w:pPr>
        <w:ind w:left="726" w:hanging="1440"/>
      </w:pPr>
      <w:rPr>
        <w:rFonts w:hint="default"/>
      </w:rPr>
    </w:lvl>
    <w:lvl w:ilvl="8">
      <w:start w:val="1"/>
      <w:numFmt w:val="decimal"/>
      <w:lvlText w:val="%1.%2.%3.%4.%5.%6.%7.%8.%9"/>
      <w:lvlJc w:val="left"/>
      <w:pPr>
        <w:ind w:left="1086" w:hanging="1800"/>
      </w:pPr>
      <w:rPr>
        <w:rFonts w:hint="default"/>
      </w:rPr>
    </w:lvl>
  </w:abstractNum>
  <w:abstractNum w:abstractNumId="70" w15:restartNumberingAfterBreak="0">
    <w:nsid w:val="42CD66D2"/>
    <w:multiLevelType w:val="hybridMultilevel"/>
    <w:tmpl w:val="E7229820"/>
    <w:lvl w:ilvl="0" w:tplc="19EE351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2E04EB5"/>
    <w:multiLevelType w:val="hybridMultilevel"/>
    <w:tmpl w:val="5DC4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4C1526D"/>
    <w:multiLevelType w:val="multilevel"/>
    <w:tmpl w:val="5F2A661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8B3647"/>
    <w:multiLevelType w:val="hybridMultilevel"/>
    <w:tmpl w:val="DF8A3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5FA3EC7"/>
    <w:multiLevelType w:val="hybridMultilevel"/>
    <w:tmpl w:val="318667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940667C"/>
    <w:multiLevelType w:val="hybridMultilevel"/>
    <w:tmpl w:val="CADAB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4ADE5D91"/>
    <w:multiLevelType w:val="hybridMultilevel"/>
    <w:tmpl w:val="A3880D1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4B4674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4B95540F"/>
    <w:multiLevelType w:val="multilevel"/>
    <w:tmpl w:val="4E42B4DA"/>
    <w:lvl w:ilvl="0">
      <w:start w:val="4"/>
      <w:numFmt w:val="decimal"/>
      <w:lvlText w:val="%1"/>
      <w:lvlJc w:val="left"/>
      <w:pPr>
        <w:tabs>
          <w:tab w:val="num" w:pos="720"/>
        </w:tabs>
        <w:ind w:left="720" w:hanging="720"/>
      </w:pPr>
      <w:rPr>
        <w:rFonts w:hint="default"/>
        <w:b/>
        <w:i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4BBD543C"/>
    <w:multiLevelType w:val="hybridMultilevel"/>
    <w:tmpl w:val="804C8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0" w15:restartNumberingAfterBreak="0">
    <w:nsid w:val="4BC33B8F"/>
    <w:multiLevelType w:val="hybridMultilevel"/>
    <w:tmpl w:val="344CACD4"/>
    <w:lvl w:ilvl="0" w:tplc="08090015">
      <w:start w:val="1"/>
      <w:numFmt w:val="upperLetter"/>
      <w:lvlText w:val="%1."/>
      <w:lvlJc w:val="left"/>
      <w:pPr>
        <w:tabs>
          <w:tab w:val="num" w:pos="360"/>
        </w:tabs>
        <w:ind w:left="360" w:hanging="360"/>
      </w:pPr>
      <w:rPr>
        <w:rFonts w:hint="default"/>
        <w:sz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0022832"/>
    <w:multiLevelType w:val="hybridMultilevel"/>
    <w:tmpl w:val="75A24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503668C9"/>
    <w:multiLevelType w:val="singleLevel"/>
    <w:tmpl w:val="1C44C838"/>
    <w:lvl w:ilvl="0">
      <w:start w:val="1"/>
      <w:numFmt w:val="bullet"/>
      <w:lvlText w:val=""/>
      <w:lvlJc w:val="left"/>
      <w:pPr>
        <w:tabs>
          <w:tab w:val="num" w:pos="360"/>
        </w:tabs>
        <w:ind w:left="360" w:hanging="360"/>
      </w:pPr>
      <w:rPr>
        <w:rFonts w:ascii="Symbol" w:hAnsi="Symbol" w:hint="default"/>
        <w:sz w:val="24"/>
      </w:rPr>
    </w:lvl>
  </w:abstractNum>
  <w:abstractNum w:abstractNumId="83" w15:restartNumberingAfterBreak="0">
    <w:nsid w:val="50C30FD8"/>
    <w:multiLevelType w:val="hybridMultilevel"/>
    <w:tmpl w:val="A7DC4924"/>
    <w:lvl w:ilvl="0" w:tplc="74DEFD16">
      <w:numFmt w:val="bullet"/>
      <w:lvlText w:val="-"/>
      <w:lvlJc w:val="left"/>
      <w:pPr>
        <w:tabs>
          <w:tab w:val="num" w:pos="786"/>
        </w:tabs>
        <w:ind w:left="786" w:hanging="360"/>
      </w:pPr>
      <w:rPr>
        <w:rFonts w:ascii="Arial" w:eastAsia="Times New Roman" w:hAnsi="Arial" w:cs="Arial" w:hint="default"/>
        <w:color w:val="auto"/>
      </w:rPr>
    </w:lvl>
    <w:lvl w:ilvl="1" w:tplc="08090003" w:tentative="1">
      <w:start w:val="1"/>
      <w:numFmt w:val="bullet"/>
      <w:lvlText w:val="o"/>
      <w:lvlJc w:val="left"/>
      <w:pPr>
        <w:tabs>
          <w:tab w:val="num" w:pos="1146"/>
        </w:tabs>
        <w:ind w:left="1146" w:hanging="360"/>
      </w:pPr>
      <w:rPr>
        <w:rFonts w:ascii="Courier New" w:hAnsi="Courier New" w:cs="Courier New" w:hint="default"/>
      </w:rPr>
    </w:lvl>
    <w:lvl w:ilvl="2" w:tplc="08090005" w:tentative="1">
      <w:start w:val="1"/>
      <w:numFmt w:val="bullet"/>
      <w:lvlText w:val=""/>
      <w:lvlJc w:val="left"/>
      <w:pPr>
        <w:tabs>
          <w:tab w:val="num" w:pos="1866"/>
        </w:tabs>
        <w:ind w:left="1866" w:hanging="360"/>
      </w:pPr>
      <w:rPr>
        <w:rFonts w:ascii="Wingdings" w:hAnsi="Wingdings" w:hint="default"/>
      </w:rPr>
    </w:lvl>
    <w:lvl w:ilvl="3" w:tplc="08090001" w:tentative="1">
      <w:start w:val="1"/>
      <w:numFmt w:val="bullet"/>
      <w:lvlText w:val=""/>
      <w:lvlJc w:val="left"/>
      <w:pPr>
        <w:tabs>
          <w:tab w:val="num" w:pos="2586"/>
        </w:tabs>
        <w:ind w:left="2586" w:hanging="360"/>
      </w:pPr>
      <w:rPr>
        <w:rFonts w:ascii="Symbol" w:hAnsi="Symbol" w:hint="default"/>
      </w:rPr>
    </w:lvl>
    <w:lvl w:ilvl="4" w:tplc="08090003" w:tentative="1">
      <w:start w:val="1"/>
      <w:numFmt w:val="bullet"/>
      <w:lvlText w:val="o"/>
      <w:lvlJc w:val="left"/>
      <w:pPr>
        <w:tabs>
          <w:tab w:val="num" w:pos="3306"/>
        </w:tabs>
        <w:ind w:left="3306" w:hanging="360"/>
      </w:pPr>
      <w:rPr>
        <w:rFonts w:ascii="Courier New" w:hAnsi="Courier New" w:cs="Courier New" w:hint="default"/>
      </w:rPr>
    </w:lvl>
    <w:lvl w:ilvl="5" w:tplc="08090005" w:tentative="1">
      <w:start w:val="1"/>
      <w:numFmt w:val="bullet"/>
      <w:lvlText w:val=""/>
      <w:lvlJc w:val="left"/>
      <w:pPr>
        <w:tabs>
          <w:tab w:val="num" w:pos="4026"/>
        </w:tabs>
        <w:ind w:left="4026" w:hanging="360"/>
      </w:pPr>
      <w:rPr>
        <w:rFonts w:ascii="Wingdings" w:hAnsi="Wingdings" w:hint="default"/>
      </w:rPr>
    </w:lvl>
    <w:lvl w:ilvl="6" w:tplc="08090001" w:tentative="1">
      <w:start w:val="1"/>
      <w:numFmt w:val="bullet"/>
      <w:lvlText w:val=""/>
      <w:lvlJc w:val="left"/>
      <w:pPr>
        <w:tabs>
          <w:tab w:val="num" w:pos="4746"/>
        </w:tabs>
        <w:ind w:left="4746" w:hanging="360"/>
      </w:pPr>
      <w:rPr>
        <w:rFonts w:ascii="Symbol" w:hAnsi="Symbol" w:hint="default"/>
      </w:rPr>
    </w:lvl>
    <w:lvl w:ilvl="7" w:tplc="08090003" w:tentative="1">
      <w:start w:val="1"/>
      <w:numFmt w:val="bullet"/>
      <w:lvlText w:val="o"/>
      <w:lvlJc w:val="left"/>
      <w:pPr>
        <w:tabs>
          <w:tab w:val="num" w:pos="5466"/>
        </w:tabs>
        <w:ind w:left="5466" w:hanging="360"/>
      </w:pPr>
      <w:rPr>
        <w:rFonts w:ascii="Courier New" w:hAnsi="Courier New" w:cs="Courier New" w:hint="default"/>
      </w:rPr>
    </w:lvl>
    <w:lvl w:ilvl="8" w:tplc="08090005" w:tentative="1">
      <w:start w:val="1"/>
      <w:numFmt w:val="bullet"/>
      <w:lvlText w:val=""/>
      <w:lvlJc w:val="left"/>
      <w:pPr>
        <w:tabs>
          <w:tab w:val="num" w:pos="6186"/>
        </w:tabs>
        <w:ind w:left="6186" w:hanging="360"/>
      </w:pPr>
      <w:rPr>
        <w:rFonts w:ascii="Wingdings" w:hAnsi="Wingdings" w:hint="default"/>
      </w:rPr>
    </w:lvl>
  </w:abstractNum>
  <w:abstractNum w:abstractNumId="84" w15:restartNumberingAfterBreak="0">
    <w:nsid w:val="5281572C"/>
    <w:multiLevelType w:val="hybridMultilevel"/>
    <w:tmpl w:val="BC2C83CC"/>
    <w:lvl w:ilvl="0" w:tplc="11C2A7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2CC3545"/>
    <w:multiLevelType w:val="hybridMultilevel"/>
    <w:tmpl w:val="6BA62E2C"/>
    <w:lvl w:ilvl="0" w:tplc="8EF84536">
      <w:start w:val="1"/>
      <w:numFmt w:val="decimal"/>
      <w:lvlText w:val="%1."/>
      <w:lvlJc w:val="left"/>
      <w:pPr>
        <w:tabs>
          <w:tab w:val="num" w:pos="720"/>
        </w:tabs>
        <w:ind w:left="720" w:hanging="720"/>
      </w:pPr>
      <w:rPr>
        <w:rFonts w:hint="default"/>
        <w:b w:val="0"/>
      </w:rPr>
    </w:lvl>
    <w:lvl w:ilvl="1" w:tplc="0809000F">
      <w:start w:val="1"/>
      <w:numFmt w:val="decimal"/>
      <w:lvlText w:val="%2."/>
      <w:lvlJc w:val="left"/>
      <w:pPr>
        <w:tabs>
          <w:tab w:val="num" w:pos="1440"/>
        </w:tabs>
        <w:ind w:left="1440" w:hanging="360"/>
      </w:pPr>
      <w:rPr>
        <w:rFonts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56A071C8"/>
    <w:multiLevelType w:val="multilevel"/>
    <w:tmpl w:val="CC705916"/>
    <w:lvl w:ilvl="0">
      <w:start w:val="1"/>
      <w:numFmt w:val="bullet"/>
      <w:lvlText w:val=""/>
      <w:lvlJc w:val="left"/>
      <w:pPr>
        <w:tabs>
          <w:tab w:val="num" w:pos="720"/>
        </w:tabs>
        <w:ind w:left="720" w:hanging="360"/>
      </w:pPr>
      <w:rPr>
        <w:rFonts w:ascii="Wingdings" w:hAnsi="Wingdings"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7F4650"/>
    <w:multiLevelType w:val="hybridMultilevel"/>
    <w:tmpl w:val="48B23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58BB374C"/>
    <w:multiLevelType w:val="hybridMultilevel"/>
    <w:tmpl w:val="36D27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59AA0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5BDA774F"/>
    <w:multiLevelType w:val="multilevel"/>
    <w:tmpl w:val="4DD69B86"/>
    <w:lvl w:ilvl="0">
      <w:start w:val="1"/>
      <w:numFmt w:val="decimal"/>
      <w:lvlText w:val="%1."/>
      <w:lvlJc w:val="left"/>
      <w:pPr>
        <w:ind w:left="719" w:hanging="360"/>
      </w:pPr>
    </w:lvl>
    <w:lvl w:ilvl="1">
      <w:start w:val="1"/>
      <w:numFmt w:val="decimal"/>
      <w:isLgl/>
      <w:lvlText w:val="%1.%2"/>
      <w:lvlJc w:val="left"/>
      <w:pPr>
        <w:ind w:left="719" w:hanging="360"/>
      </w:pPr>
      <w:rPr>
        <w:rFonts w:hint="default"/>
      </w:rPr>
    </w:lvl>
    <w:lvl w:ilvl="2">
      <w:start w:val="1"/>
      <w:numFmt w:val="decimal"/>
      <w:isLgl/>
      <w:lvlText w:val="%1.%2.%3"/>
      <w:lvlJc w:val="left"/>
      <w:pPr>
        <w:ind w:left="1079" w:hanging="720"/>
      </w:pPr>
      <w:rPr>
        <w:rFonts w:hint="default"/>
      </w:rPr>
    </w:lvl>
    <w:lvl w:ilvl="3">
      <w:start w:val="1"/>
      <w:numFmt w:val="decimal"/>
      <w:isLgl/>
      <w:lvlText w:val="%1.%2.%3.%4"/>
      <w:lvlJc w:val="left"/>
      <w:pPr>
        <w:ind w:left="1079" w:hanging="720"/>
      </w:pPr>
      <w:rPr>
        <w:rFonts w:hint="default"/>
      </w:rPr>
    </w:lvl>
    <w:lvl w:ilvl="4">
      <w:start w:val="1"/>
      <w:numFmt w:val="decimal"/>
      <w:isLgl/>
      <w:lvlText w:val="%1.%2.%3.%4.%5"/>
      <w:lvlJc w:val="left"/>
      <w:pPr>
        <w:ind w:left="1439" w:hanging="1080"/>
      </w:pPr>
      <w:rPr>
        <w:rFonts w:hint="default"/>
      </w:rPr>
    </w:lvl>
    <w:lvl w:ilvl="5">
      <w:start w:val="1"/>
      <w:numFmt w:val="decimal"/>
      <w:isLgl/>
      <w:lvlText w:val="%1.%2.%3.%4.%5.%6"/>
      <w:lvlJc w:val="left"/>
      <w:pPr>
        <w:ind w:left="1439" w:hanging="1080"/>
      </w:pPr>
      <w:rPr>
        <w:rFonts w:hint="default"/>
      </w:rPr>
    </w:lvl>
    <w:lvl w:ilvl="6">
      <w:start w:val="1"/>
      <w:numFmt w:val="decimal"/>
      <w:isLgl/>
      <w:lvlText w:val="%1.%2.%3.%4.%5.%6.%7"/>
      <w:lvlJc w:val="left"/>
      <w:pPr>
        <w:ind w:left="1799" w:hanging="1440"/>
      </w:pPr>
      <w:rPr>
        <w:rFonts w:hint="default"/>
      </w:rPr>
    </w:lvl>
    <w:lvl w:ilvl="7">
      <w:start w:val="1"/>
      <w:numFmt w:val="decimal"/>
      <w:isLgl/>
      <w:lvlText w:val="%1.%2.%3.%4.%5.%6.%7.%8"/>
      <w:lvlJc w:val="left"/>
      <w:pPr>
        <w:ind w:left="1799" w:hanging="1440"/>
      </w:pPr>
      <w:rPr>
        <w:rFonts w:hint="default"/>
      </w:rPr>
    </w:lvl>
    <w:lvl w:ilvl="8">
      <w:start w:val="1"/>
      <w:numFmt w:val="decimal"/>
      <w:isLgl/>
      <w:lvlText w:val="%1.%2.%3.%4.%5.%6.%7.%8.%9"/>
      <w:lvlJc w:val="left"/>
      <w:pPr>
        <w:ind w:left="1799" w:hanging="1440"/>
      </w:pPr>
      <w:rPr>
        <w:rFonts w:hint="default"/>
      </w:rPr>
    </w:lvl>
  </w:abstractNum>
  <w:abstractNum w:abstractNumId="91" w15:restartNumberingAfterBreak="0">
    <w:nsid w:val="5CFD1859"/>
    <w:multiLevelType w:val="hybridMultilevel"/>
    <w:tmpl w:val="C10C6828"/>
    <w:lvl w:ilvl="0" w:tplc="912A5CCA">
      <w:start w:val="1"/>
      <w:numFmt w:val="decimal"/>
      <w:pStyle w:val="Numberedtext"/>
      <w:lvlText w:val="%1"/>
      <w:lvlJc w:val="left"/>
      <w:pPr>
        <w:ind w:left="567" w:hanging="567"/>
      </w:pPr>
      <w:rPr>
        <w:rFonts w:ascii="Arial" w:hAnsi="Arial" w:cs="Arial" w:hint="default"/>
        <w:b w:val="0"/>
        <w:color w:val="262626"/>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D5673E8"/>
    <w:multiLevelType w:val="hybridMultilevel"/>
    <w:tmpl w:val="95F0879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5DFA09B4"/>
    <w:multiLevelType w:val="multilevel"/>
    <w:tmpl w:val="526424AC"/>
    <w:lvl w:ilvl="0">
      <w:start w:val="1"/>
      <w:numFmt w:val="decimal"/>
      <w:lvlText w:val="%1."/>
      <w:lvlJc w:val="left"/>
      <w:pPr>
        <w:tabs>
          <w:tab w:val="num" w:pos="630"/>
        </w:tabs>
        <w:ind w:left="630" w:hanging="630"/>
      </w:pPr>
      <w:rPr>
        <w:b/>
        <w:i w:val="0"/>
        <w:sz w:val="24"/>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4" w15:restartNumberingAfterBreak="0">
    <w:nsid w:val="607B2759"/>
    <w:multiLevelType w:val="multilevel"/>
    <w:tmpl w:val="BDF02A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2366C5B"/>
    <w:multiLevelType w:val="hybridMultilevel"/>
    <w:tmpl w:val="6BA63C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62F52E70"/>
    <w:multiLevelType w:val="multilevel"/>
    <w:tmpl w:val="53762534"/>
    <w:lvl w:ilvl="0">
      <w:start w:val="4"/>
      <w:numFmt w:val="decimal"/>
      <w:lvlText w:val="%1."/>
      <w:lvlJc w:val="left"/>
      <w:pPr>
        <w:ind w:left="1070" w:hanging="360"/>
      </w:pPr>
      <w:rPr>
        <w:rFonts w:hint="default"/>
      </w:rPr>
    </w:lvl>
    <w:lvl w:ilvl="1">
      <w:start w:val="1"/>
      <w:numFmt w:val="decimal"/>
      <w:isLgl/>
      <w:lvlText w:val="%1.%2"/>
      <w:lvlJc w:val="left"/>
      <w:pPr>
        <w:ind w:left="450" w:hanging="450"/>
      </w:pPr>
      <w:rPr>
        <w:rFonts w:hint="default"/>
        <w:b w:val="0"/>
      </w:rPr>
    </w:lvl>
    <w:lvl w:ilvl="2">
      <w:start w:val="1"/>
      <w:numFmt w:val="bullet"/>
      <w:lvlText w:val=""/>
      <w:lvlJc w:val="left"/>
      <w:pPr>
        <w:ind w:left="1434" w:hanging="720"/>
      </w:pPr>
      <w:rPr>
        <w:rFonts w:ascii="Wingdings" w:hAnsi="Wingding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97" w15:restartNumberingAfterBreak="0">
    <w:nsid w:val="63AB67E1"/>
    <w:multiLevelType w:val="hybridMultilevel"/>
    <w:tmpl w:val="EAC4E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65332B0E"/>
    <w:multiLevelType w:val="hybridMultilevel"/>
    <w:tmpl w:val="D70CA300"/>
    <w:lvl w:ilvl="0" w:tplc="B09A87D8">
      <w:start w:val="1"/>
      <w:numFmt w:val="bullet"/>
      <w:lvlText w:val=""/>
      <w:lvlJc w:val="left"/>
      <w:pPr>
        <w:tabs>
          <w:tab w:val="num" w:pos="1455"/>
        </w:tabs>
        <w:ind w:left="1455" w:hanging="360"/>
      </w:pPr>
      <w:rPr>
        <w:rFonts w:ascii="Wingdings" w:hAnsi="Wingdings" w:hint="default"/>
        <w:color w:val="auto"/>
      </w:rPr>
    </w:lvl>
    <w:lvl w:ilvl="1" w:tplc="08090003" w:tentative="1">
      <w:start w:val="1"/>
      <w:numFmt w:val="bullet"/>
      <w:lvlText w:val="o"/>
      <w:lvlJc w:val="left"/>
      <w:pPr>
        <w:tabs>
          <w:tab w:val="num" w:pos="2175"/>
        </w:tabs>
        <w:ind w:left="2175" w:hanging="360"/>
      </w:pPr>
      <w:rPr>
        <w:rFonts w:ascii="Courier New" w:hAnsi="Courier New" w:cs="Courier New" w:hint="default"/>
      </w:rPr>
    </w:lvl>
    <w:lvl w:ilvl="2" w:tplc="08090005" w:tentative="1">
      <w:start w:val="1"/>
      <w:numFmt w:val="bullet"/>
      <w:lvlText w:val=""/>
      <w:lvlJc w:val="left"/>
      <w:pPr>
        <w:tabs>
          <w:tab w:val="num" w:pos="2895"/>
        </w:tabs>
        <w:ind w:left="2895" w:hanging="360"/>
      </w:pPr>
      <w:rPr>
        <w:rFonts w:ascii="Wingdings" w:hAnsi="Wingdings" w:hint="default"/>
      </w:rPr>
    </w:lvl>
    <w:lvl w:ilvl="3" w:tplc="08090001" w:tentative="1">
      <w:start w:val="1"/>
      <w:numFmt w:val="bullet"/>
      <w:lvlText w:val=""/>
      <w:lvlJc w:val="left"/>
      <w:pPr>
        <w:tabs>
          <w:tab w:val="num" w:pos="3615"/>
        </w:tabs>
        <w:ind w:left="3615" w:hanging="360"/>
      </w:pPr>
      <w:rPr>
        <w:rFonts w:ascii="Symbol" w:hAnsi="Symbol" w:hint="default"/>
      </w:rPr>
    </w:lvl>
    <w:lvl w:ilvl="4" w:tplc="08090003" w:tentative="1">
      <w:start w:val="1"/>
      <w:numFmt w:val="bullet"/>
      <w:lvlText w:val="o"/>
      <w:lvlJc w:val="left"/>
      <w:pPr>
        <w:tabs>
          <w:tab w:val="num" w:pos="4335"/>
        </w:tabs>
        <w:ind w:left="4335" w:hanging="360"/>
      </w:pPr>
      <w:rPr>
        <w:rFonts w:ascii="Courier New" w:hAnsi="Courier New" w:cs="Courier New" w:hint="default"/>
      </w:rPr>
    </w:lvl>
    <w:lvl w:ilvl="5" w:tplc="08090005" w:tentative="1">
      <w:start w:val="1"/>
      <w:numFmt w:val="bullet"/>
      <w:lvlText w:val=""/>
      <w:lvlJc w:val="left"/>
      <w:pPr>
        <w:tabs>
          <w:tab w:val="num" w:pos="5055"/>
        </w:tabs>
        <w:ind w:left="5055" w:hanging="360"/>
      </w:pPr>
      <w:rPr>
        <w:rFonts w:ascii="Wingdings" w:hAnsi="Wingdings" w:hint="default"/>
      </w:rPr>
    </w:lvl>
    <w:lvl w:ilvl="6" w:tplc="08090001" w:tentative="1">
      <w:start w:val="1"/>
      <w:numFmt w:val="bullet"/>
      <w:lvlText w:val=""/>
      <w:lvlJc w:val="left"/>
      <w:pPr>
        <w:tabs>
          <w:tab w:val="num" w:pos="5775"/>
        </w:tabs>
        <w:ind w:left="5775" w:hanging="360"/>
      </w:pPr>
      <w:rPr>
        <w:rFonts w:ascii="Symbol" w:hAnsi="Symbol" w:hint="default"/>
      </w:rPr>
    </w:lvl>
    <w:lvl w:ilvl="7" w:tplc="08090003" w:tentative="1">
      <w:start w:val="1"/>
      <w:numFmt w:val="bullet"/>
      <w:lvlText w:val="o"/>
      <w:lvlJc w:val="left"/>
      <w:pPr>
        <w:tabs>
          <w:tab w:val="num" w:pos="6495"/>
        </w:tabs>
        <w:ind w:left="6495" w:hanging="360"/>
      </w:pPr>
      <w:rPr>
        <w:rFonts w:ascii="Courier New" w:hAnsi="Courier New" w:cs="Courier New" w:hint="default"/>
      </w:rPr>
    </w:lvl>
    <w:lvl w:ilvl="8" w:tplc="08090005" w:tentative="1">
      <w:start w:val="1"/>
      <w:numFmt w:val="bullet"/>
      <w:lvlText w:val=""/>
      <w:lvlJc w:val="left"/>
      <w:pPr>
        <w:tabs>
          <w:tab w:val="num" w:pos="7215"/>
        </w:tabs>
        <w:ind w:left="7215" w:hanging="360"/>
      </w:pPr>
      <w:rPr>
        <w:rFonts w:ascii="Wingdings" w:hAnsi="Wingdings" w:hint="default"/>
      </w:rPr>
    </w:lvl>
  </w:abstractNum>
  <w:abstractNum w:abstractNumId="99" w15:restartNumberingAfterBreak="0">
    <w:nsid w:val="662271AC"/>
    <w:multiLevelType w:val="hybridMultilevel"/>
    <w:tmpl w:val="B80A02D2"/>
    <w:lvl w:ilvl="0" w:tplc="A572AF66">
      <w:start w:val="1"/>
      <w:numFmt w:val="bullet"/>
      <w:pStyle w:val="Appendixbullet"/>
      <w:lvlText w:val=""/>
      <w:lvlJc w:val="left"/>
      <w:rPr>
        <w:rFonts w:ascii="Symbol" w:hAnsi="Symbol" w:hint="default"/>
        <w:b w:val="0"/>
        <w:i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6396FC4"/>
    <w:multiLevelType w:val="hybridMultilevel"/>
    <w:tmpl w:val="6FF445C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1" w15:restartNumberingAfterBreak="0">
    <w:nsid w:val="671D1A23"/>
    <w:multiLevelType w:val="hybridMultilevel"/>
    <w:tmpl w:val="DC6EE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7795FF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03" w15:restartNumberingAfterBreak="0">
    <w:nsid w:val="677B3735"/>
    <w:multiLevelType w:val="hybridMultilevel"/>
    <w:tmpl w:val="7896AF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697869A0"/>
    <w:multiLevelType w:val="hybridMultilevel"/>
    <w:tmpl w:val="F29E2A1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AE22483"/>
    <w:multiLevelType w:val="hybridMultilevel"/>
    <w:tmpl w:val="CC707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6" w15:restartNumberingAfterBreak="0">
    <w:nsid w:val="6C4A22B1"/>
    <w:multiLevelType w:val="hybridMultilevel"/>
    <w:tmpl w:val="40C05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CEE479F"/>
    <w:multiLevelType w:val="hybridMultilevel"/>
    <w:tmpl w:val="EF7853E2"/>
    <w:lvl w:ilvl="0" w:tplc="28325E80">
      <w:numFmt w:val="bullet"/>
      <w:lvlText w:val="-"/>
      <w:lvlJc w:val="left"/>
      <w:pPr>
        <w:ind w:left="720" w:hanging="360"/>
      </w:pPr>
      <w:rPr>
        <w:rFonts w:ascii="Arial" w:eastAsia="Times New Roman" w:hAnsi="Arial"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DF05EE7"/>
    <w:multiLevelType w:val="hybridMultilevel"/>
    <w:tmpl w:val="4D04E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E1275DC"/>
    <w:multiLevelType w:val="hybridMultilevel"/>
    <w:tmpl w:val="7E923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08D2F56"/>
    <w:multiLevelType w:val="hybridMultilevel"/>
    <w:tmpl w:val="A620B41E"/>
    <w:lvl w:ilvl="0" w:tplc="16A645B0">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0A23A7D"/>
    <w:multiLevelType w:val="hybridMultilevel"/>
    <w:tmpl w:val="398C0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11576F7"/>
    <w:multiLevelType w:val="hybridMultilevel"/>
    <w:tmpl w:val="F74CC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11E56CB"/>
    <w:multiLevelType w:val="hybridMultilevel"/>
    <w:tmpl w:val="2D76765E"/>
    <w:lvl w:ilvl="0" w:tplc="60E6D884">
      <w:start w:val="1"/>
      <w:numFmt w:val="bullet"/>
      <w:pStyle w:val="APrecommendationsub-bullet"/>
      <w:lvlText w:val="‒"/>
      <w:lvlJc w:val="left"/>
      <w:pPr>
        <w:ind w:left="1021" w:hanging="284"/>
      </w:pPr>
      <w:rPr>
        <w:rFonts w:ascii="Arial" w:hAnsi="Aria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1593892"/>
    <w:multiLevelType w:val="singleLevel"/>
    <w:tmpl w:val="EAF436D0"/>
    <w:lvl w:ilvl="0">
      <w:start w:val="2"/>
      <w:numFmt w:val="decimal"/>
      <w:lvlText w:val="%1."/>
      <w:lvlJc w:val="left"/>
      <w:pPr>
        <w:tabs>
          <w:tab w:val="num" w:pos="360"/>
        </w:tabs>
        <w:ind w:left="360" w:hanging="360"/>
      </w:pPr>
      <w:rPr>
        <w:rFonts w:hint="default"/>
        <w:b/>
      </w:rPr>
    </w:lvl>
  </w:abstractNum>
  <w:abstractNum w:abstractNumId="115" w15:restartNumberingAfterBreak="0">
    <w:nsid w:val="71702A5C"/>
    <w:multiLevelType w:val="hybridMultilevel"/>
    <w:tmpl w:val="52004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2C36732"/>
    <w:multiLevelType w:val="hybridMultilevel"/>
    <w:tmpl w:val="825A5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74692D28"/>
    <w:multiLevelType w:val="hybridMultilevel"/>
    <w:tmpl w:val="23667C78"/>
    <w:lvl w:ilvl="0" w:tplc="744E7822">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55928E9"/>
    <w:multiLevelType w:val="hybridMultilevel"/>
    <w:tmpl w:val="48C880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81920C0"/>
    <w:multiLevelType w:val="hybridMultilevel"/>
    <w:tmpl w:val="BB2876A0"/>
    <w:lvl w:ilvl="0" w:tplc="6BA4D15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90B5D0A"/>
    <w:multiLevelType w:val="hybridMultilevel"/>
    <w:tmpl w:val="454C0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7B0952A5"/>
    <w:multiLevelType w:val="hybridMultilevel"/>
    <w:tmpl w:val="ADB0B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7C547FAD"/>
    <w:multiLevelType w:val="hybridMultilevel"/>
    <w:tmpl w:val="D4FEA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7C7F5944"/>
    <w:multiLevelType w:val="hybridMultilevel"/>
    <w:tmpl w:val="7B7A84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4" w15:restartNumberingAfterBreak="0">
    <w:nsid w:val="7CB214DF"/>
    <w:multiLevelType w:val="hybridMultilevel"/>
    <w:tmpl w:val="D0303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7CF760BF"/>
    <w:multiLevelType w:val="hybridMultilevel"/>
    <w:tmpl w:val="B3647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6" w15:restartNumberingAfterBreak="0">
    <w:nsid w:val="7D283979"/>
    <w:multiLevelType w:val="hybridMultilevel"/>
    <w:tmpl w:val="5C2807AE"/>
    <w:lvl w:ilvl="0" w:tplc="82C67232">
      <w:start w:val="1"/>
      <w:numFmt w:val="lowerLetter"/>
      <w:lvlText w:val="%1)"/>
      <w:lvlJc w:val="left"/>
      <w:pPr>
        <w:ind w:left="786" w:hanging="360"/>
      </w:pPr>
      <w:rPr>
        <w:rFonts w:hint="default"/>
        <w:u w:val="none"/>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7" w15:restartNumberingAfterBreak="0">
    <w:nsid w:val="7D493F17"/>
    <w:multiLevelType w:val="hybridMultilevel"/>
    <w:tmpl w:val="EE329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EB70257"/>
    <w:multiLevelType w:val="hybridMultilevel"/>
    <w:tmpl w:val="EBAA8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7"/>
  </w:num>
  <w:num w:numId="2">
    <w:abstractNumId w:val="110"/>
  </w:num>
  <w:num w:numId="3">
    <w:abstractNumId w:val="40"/>
  </w:num>
  <w:num w:numId="4">
    <w:abstractNumId w:val="64"/>
  </w:num>
  <w:num w:numId="5">
    <w:abstractNumId w:val="93"/>
  </w:num>
  <w:num w:numId="6">
    <w:abstractNumId w:val="33"/>
  </w:num>
  <w:num w:numId="7">
    <w:abstractNumId w:val="114"/>
  </w:num>
  <w:num w:numId="8">
    <w:abstractNumId w:val="83"/>
  </w:num>
  <w:num w:numId="9">
    <w:abstractNumId w:val="8"/>
  </w:num>
  <w:num w:numId="10">
    <w:abstractNumId w:val="18"/>
  </w:num>
  <w:num w:numId="11">
    <w:abstractNumId w:val="34"/>
  </w:num>
  <w:num w:numId="12">
    <w:abstractNumId w:val="95"/>
  </w:num>
  <w:num w:numId="13">
    <w:abstractNumId w:val="103"/>
  </w:num>
  <w:num w:numId="14">
    <w:abstractNumId w:val="82"/>
  </w:num>
  <w:num w:numId="15">
    <w:abstractNumId w:val="2"/>
  </w:num>
  <w:num w:numId="16">
    <w:abstractNumId w:val="38"/>
  </w:num>
  <w:num w:numId="17">
    <w:abstractNumId w:val="80"/>
  </w:num>
  <w:num w:numId="18">
    <w:abstractNumId w:val="89"/>
  </w:num>
  <w:num w:numId="19">
    <w:abstractNumId w:val="4"/>
  </w:num>
  <w:num w:numId="20">
    <w:abstractNumId w:val="102"/>
  </w:num>
  <w:num w:numId="21">
    <w:abstractNumId w:val="72"/>
  </w:num>
  <w:num w:numId="22">
    <w:abstractNumId w:val="16"/>
  </w:num>
  <w:num w:numId="23">
    <w:abstractNumId w:val="35"/>
  </w:num>
  <w:num w:numId="24">
    <w:abstractNumId w:val="10"/>
  </w:num>
  <w:num w:numId="25">
    <w:abstractNumId w:val="39"/>
  </w:num>
  <w:num w:numId="26">
    <w:abstractNumId w:val="23"/>
  </w:num>
  <w:num w:numId="27">
    <w:abstractNumId w:val="1"/>
  </w:num>
  <w:num w:numId="28">
    <w:abstractNumId w:val="7"/>
  </w:num>
  <w:num w:numId="29">
    <w:abstractNumId w:val="56"/>
  </w:num>
  <w:num w:numId="30">
    <w:abstractNumId w:val="78"/>
  </w:num>
  <w:num w:numId="31">
    <w:abstractNumId w:val="6"/>
  </w:num>
  <w:num w:numId="32">
    <w:abstractNumId w:val="9"/>
  </w:num>
  <w:num w:numId="33">
    <w:abstractNumId w:val="71"/>
  </w:num>
  <w:num w:numId="34">
    <w:abstractNumId w:val="115"/>
  </w:num>
  <w:num w:numId="35">
    <w:abstractNumId w:val="124"/>
  </w:num>
  <w:num w:numId="36">
    <w:abstractNumId w:val="122"/>
  </w:num>
  <w:num w:numId="37">
    <w:abstractNumId w:val="57"/>
  </w:num>
  <w:num w:numId="38">
    <w:abstractNumId w:val="120"/>
  </w:num>
  <w:num w:numId="39">
    <w:abstractNumId w:val="13"/>
  </w:num>
  <w:num w:numId="40">
    <w:abstractNumId w:val="128"/>
  </w:num>
  <w:num w:numId="41">
    <w:abstractNumId w:val="87"/>
  </w:num>
  <w:num w:numId="42">
    <w:abstractNumId w:val="25"/>
  </w:num>
  <w:num w:numId="43">
    <w:abstractNumId w:val="101"/>
  </w:num>
  <w:num w:numId="44">
    <w:abstractNumId w:val="61"/>
  </w:num>
  <w:num w:numId="45">
    <w:abstractNumId w:val="41"/>
  </w:num>
  <w:num w:numId="46">
    <w:abstractNumId w:val="3"/>
  </w:num>
  <w:num w:numId="47">
    <w:abstractNumId w:val="63"/>
  </w:num>
  <w:num w:numId="48">
    <w:abstractNumId w:val="50"/>
  </w:num>
  <w:num w:numId="49">
    <w:abstractNumId w:val="88"/>
  </w:num>
  <w:num w:numId="50">
    <w:abstractNumId w:val="73"/>
  </w:num>
  <w:num w:numId="51">
    <w:abstractNumId w:val="91"/>
  </w:num>
  <w:num w:numId="52">
    <w:abstractNumId w:val="29"/>
  </w:num>
  <w:num w:numId="53">
    <w:abstractNumId w:val="55"/>
  </w:num>
  <w:num w:numId="54">
    <w:abstractNumId w:val="97"/>
  </w:num>
  <w:num w:numId="55">
    <w:abstractNumId w:val="121"/>
  </w:num>
  <w:num w:numId="56">
    <w:abstractNumId w:val="108"/>
  </w:num>
  <w:num w:numId="57">
    <w:abstractNumId w:val="28"/>
  </w:num>
  <w:num w:numId="58">
    <w:abstractNumId w:val="48"/>
  </w:num>
  <w:num w:numId="59">
    <w:abstractNumId w:val="17"/>
  </w:num>
  <w:num w:numId="60">
    <w:abstractNumId w:val="84"/>
  </w:num>
  <w:num w:numId="61">
    <w:abstractNumId w:val="19"/>
  </w:num>
  <w:num w:numId="62">
    <w:abstractNumId w:val="60"/>
  </w:num>
  <w:num w:numId="63">
    <w:abstractNumId w:val="68"/>
  </w:num>
  <w:num w:numId="64">
    <w:abstractNumId w:val="70"/>
  </w:num>
  <w:num w:numId="65">
    <w:abstractNumId w:val="43"/>
  </w:num>
  <w:num w:numId="66">
    <w:abstractNumId w:val="117"/>
  </w:num>
  <w:num w:numId="67">
    <w:abstractNumId w:val="37"/>
  </w:num>
  <w:num w:numId="68">
    <w:abstractNumId w:val="32"/>
  </w:num>
  <w:num w:numId="69">
    <w:abstractNumId w:val="59"/>
  </w:num>
  <w:num w:numId="70">
    <w:abstractNumId w:val="81"/>
  </w:num>
  <w:num w:numId="71">
    <w:abstractNumId w:val="45"/>
  </w:num>
  <w:num w:numId="72">
    <w:abstractNumId w:val="85"/>
  </w:num>
  <w:num w:numId="73">
    <w:abstractNumId w:val="22"/>
  </w:num>
  <w:num w:numId="74">
    <w:abstractNumId w:val="98"/>
  </w:num>
  <w:num w:numId="75">
    <w:abstractNumId w:val="14"/>
  </w:num>
  <w:num w:numId="76">
    <w:abstractNumId w:val="119"/>
  </w:num>
  <w:num w:numId="77">
    <w:abstractNumId w:val="52"/>
  </w:num>
  <w:num w:numId="78">
    <w:abstractNumId w:val="90"/>
  </w:num>
  <w:num w:numId="79">
    <w:abstractNumId w:val="67"/>
  </w:num>
  <w:num w:numId="80">
    <w:abstractNumId w:val="12"/>
  </w:num>
  <w:num w:numId="81">
    <w:abstractNumId w:val="69"/>
  </w:num>
  <w:num w:numId="82">
    <w:abstractNumId w:val="94"/>
  </w:num>
  <w:num w:numId="83">
    <w:abstractNumId w:val="26"/>
  </w:num>
  <w:num w:numId="84">
    <w:abstractNumId w:val="126"/>
  </w:num>
  <w:num w:numId="85">
    <w:abstractNumId w:val="44"/>
  </w:num>
  <w:num w:numId="86">
    <w:abstractNumId w:val="0"/>
  </w:num>
  <w:num w:numId="87">
    <w:abstractNumId w:val="47"/>
  </w:num>
  <w:num w:numId="88">
    <w:abstractNumId w:val="54"/>
  </w:num>
  <w:num w:numId="89">
    <w:abstractNumId w:val="24"/>
  </w:num>
  <w:num w:numId="90">
    <w:abstractNumId w:val="79"/>
  </w:num>
  <w:num w:numId="91">
    <w:abstractNumId w:val="123"/>
  </w:num>
  <w:num w:numId="92">
    <w:abstractNumId w:val="66"/>
  </w:num>
  <w:num w:numId="93">
    <w:abstractNumId w:val="118"/>
  </w:num>
  <w:num w:numId="94">
    <w:abstractNumId w:val="49"/>
  </w:num>
  <w:num w:numId="95">
    <w:abstractNumId w:val="96"/>
  </w:num>
  <w:num w:numId="96">
    <w:abstractNumId w:val="74"/>
  </w:num>
  <w:num w:numId="97">
    <w:abstractNumId w:val="76"/>
  </w:num>
  <w:num w:numId="98">
    <w:abstractNumId w:val="51"/>
  </w:num>
  <w:num w:numId="99">
    <w:abstractNumId w:val="86"/>
  </w:num>
  <w:num w:numId="100">
    <w:abstractNumId w:val="104"/>
  </w:num>
  <w:num w:numId="101">
    <w:abstractNumId w:val="15"/>
  </w:num>
  <w:num w:numId="102">
    <w:abstractNumId w:val="5"/>
  </w:num>
  <w:num w:numId="103">
    <w:abstractNumId w:val="92"/>
  </w:num>
  <w:num w:numId="104">
    <w:abstractNumId w:val="20"/>
  </w:num>
  <w:num w:numId="105">
    <w:abstractNumId w:val="42"/>
  </w:num>
  <w:num w:numId="106">
    <w:abstractNumId w:val="105"/>
  </w:num>
  <w:num w:numId="107">
    <w:abstractNumId w:val="36"/>
  </w:num>
  <w:num w:numId="108">
    <w:abstractNumId w:val="27"/>
  </w:num>
  <w:num w:numId="109">
    <w:abstractNumId w:val="109"/>
  </w:num>
  <w:num w:numId="110">
    <w:abstractNumId w:val="100"/>
  </w:num>
  <w:num w:numId="111">
    <w:abstractNumId w:val="125"/>
  </w:num>
  <w:num w:numId="112">
    <w:abstractNumId w:val="111"/>
  </w:num>
  <w:num w:numId="113">
    <w:abstractNumId w:val="65"/>
  </w:num>
  <w:num w:numId="114">
    <w:abstractNumId w:val="106"/>
  </w:num>
  <w:num w:numId="115">
    <w:abstractNumId w:val="127"/>
  </w:num>
  <w:num w:numId="116">
    <w:abstractNumId w:val="46"/>
  </w:num>
  <w:num w:numId="117">
    <w:abstractNumId w:val="75"/>
  </w:num>
  <w:num w:numId="118">
    <w:abstractNumId w:val="112"/>
  </w:num>
  <w:num w:numId="119">
    <w:abstractNumId w:val="58"/>
  </w:num>
  <w:num w:numId="120">
    <w:abstractNumId w:val="11"/>
  </w:num>
  <w:num w:numId="121">
    <w:abstractNumId w:val="62"/>
  </w:num>
  <w:num w:numId="122">
    <w:abstractNumId w:val="31"/>
  </w:num>
  <w:num w:numId="123">
    <w:abstractNumId w:val="107"/>
  </w:num>
  <w:num w:numId="124">
    <w:abstractNumId w:val="21"/>
  </w:num>
  <w:num w:numId="125">
    <w:abstractNumId w:val="53"/>
  </w:num>
  <w:num w:numId="126">
    <w:abstractNumId w:val="116"/>
  </w:num>
  <w:num w:numId="127">
    <w:abstractNumId w:val="30"/>
  </w:num>
  <w:num w:numId="128">
    <w:abstractNumId w:val="113"/>
  </w:num>
  <w:num w:numId="129">
    <w:abstractNumId w:val="9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677"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708"/>
    <w:rsid w:val="00000604"/>
    <w:rsid w:val="00001E34"/>
    <w:rsid w:val="00001FF5"/>
    <w:rsid w:val="000030BB"/>
    <w:rsid w:val="00003150"/>
    <w:rsid w:val="00003498"/>
    <w:rsid w:val="00003CC9"/>
    <w:rsid w:val="00004152"/>
    <w:rsid w:val="0000477F"/>
    <w:rsid w:val="0000544D"/>
    <w:rsid w:val="00005EF9"/>
    <w:rsid w:val="0000652F"/>
    <w:rsid w:val="0000665B"/>
    <w:rsid w:val="00006999"/>
    <w:rsid w:val="0000722F"/>
    <w:rsid w:val="000073FA"/>
    <w:rsid w:val="000075B1"/>
    <w:rsid w:val="00007CE3"/>
    <w:rsid w:val="00007D7F"/>
    <w:rsid w:val="00010250"/>
    <w:rsid w:val="00010B3E"/>
    <w:rsid w:val="00011060"/>
    <w:rsid w:val="00011879"/>
    <w:rsid w:val="00011C34"/>
    <w:rsid w:val="00012DFD"/>
    <w:rsid w:val="00012F31"/>
    <w:rsid w:val="00013965"/>
    <w:rsid w:val="0001512A"/>
    <w:rsid w:val="00016F26"/>
    <w:rsid w:val="00017261"/>
    <w:rsid w:val="0002134D"/>
    <w:rsid w:val="00022AE0"/>
    <w:rsid w:val="0002305E"/>
    <w:rsid w:val="00023AC2"/>
    <w:rsid w:val="00023AD1"/>
    <w:rsid w:val="0002402E"/>
    <w:rsid w:val="000242CB"/>
    <w:rsid w:val="00024D8E"/>
    <w:rsid w:val="000263A7"/>
    <w:rsid w:val="00030241"/>
    <w:rsid w:val="00030CE5"/>
    <w:rsid w:val="00030F5B"/>
    <w:rsid w:val="00032A14"/>
    <w:rsid w:val="00032EE1"/>
    <w:rsid w:val="000338A0"/>
    <w:rsid w:val="0003487F"/>
    <w:rsid w:val="00034B89"/>
    <w:rsid w:val="00034D8B"/>
    <w:rsid w:val="00034E17"/>
    <w:rsid w:val="0003546E"/>
    <w:rsid w:val="00035870"/>
    <w:rsid w:val="000361E7"/>
    <w:rsid w:val="00036801"/>
    <w:rsid w:val="00036D68"/>
    <w:rsid w:val="00036FA7"/>
    <w:rsid w:val="0003705A"/>
    <w:rsid w:val="00037312"/>
    <w:rsid w:val="00037C43"/>
    <w:rsid w:val="000403F4"/>
    <w:rsid w:val="0004168E"/>
    <w:rsid w:val="000417F8"/>
    <w:rsid w:val="00041A3F"/>
    <w:rsid w:val="0004351A"/>
    <w:rsid w:val="00043914"/>
    <w:rsid w:val="00043DD7"/>
    <w:rsid w:val="000441C9"/>
    <w:rsid w:val="00044270"/>
    <w:rsid w:val="000447DF"/>
    <w:rsid w:val="0004487A"/>
    <w:rsid w:val="00044A76"/>
    <w:rsid w:val="000450D9"/>
    <w:rsid w:val="00045CE1"/>
    <w:rsid w:val="00046009"/>
    <w:rsid w:val="00046116"/>
    <w:rsid w:val="00046687"/>
    <w:rsid w:val="000467C8"/>
    <w:rsid w:val="000474E1"/>
    <w:rsid w:val="00047530"/>
    <w:rsid w:val="00047CAC"/>
    <w:rsid w:val="00050C37"/>
    <w:rsid w:val="000516BD"/>
    <w:rsid w:val="00051E4F"/>
    <w:rsid w:val="000523C9"/>
    <w:rsid w:val="0005358F"/>
    <w:rsid w:val="000537B8"/>
    <w:rsid w:val="00054106"/>
    <w:rsid w:val="00054473"/>
    <w:rsid w:val="00054D86"/>
    <w:rsid w:val="0005564D"/>
    <w:rsid w:val="0005574B"/>
    <w:rsid w:val="00056877"/>
    <w:rsid w:val="00056F80"/>
    <w:rsid w:val="00057203"/>
    <w:rsid w:val="00057715"/>
    <w:rsid w:val="0006013B"/>
    <w:rsid w:val="000601F3"/>
    <w:rsid w:val="000607B7"/>
    <w:rsid w:val="00060A50"/>
    <w:rsid w:val="00060B84"/>
    <w:rsid w:val="00060F53"/>
    <w:rsid w:val="00060FF3"/>
    <w:rsid w:val="000615AB"/>
    <w:rsid w:val="000617FF"/>
    <w:rsid w:val="00061B3C"/>
    <w:rsid w:val="00061CB6"/>
    <w:rsid w:val="000621E7"/>
    <w:rsid w:val="0006231D"/>
    <w:rsid w:val="0006277C"/>
    <w:rsid w:val="0006324A"/>
    <w:rsid w:val="000645C9"/>
    <w:rsid w:val="00064BA0"/>
    <w:rsid w:val="00064DDE"/>
    <w:rsid w:val="00064EC8"/>
    <w:rsid w:val="00064F03"/>
    <w:rsid w:val="00065E18"/>
    <w:rsid w:val="00065FFE"/>
    <w:rsid w:val="00066E3C"/>
    <w:rsid w:val="00066FFC"/>
    <w:rsid w:val="000678A5"/>
    <w:rsid w:val="000700F0"/>
    <w:rsid w:val="00071D5D"/>
    <w:rsid w:val="00071D90"/>
    <w:rsid w:val="00072214"/>
    <w:rsid w:val="00072720"/>
    <w:rsid w:val="0007275C"/>
    <w:rsid w:val="000727C3"/>
    <w:rsid w:val="000733D4"/>
    <w:rsid w:val="00073CC7"/>
    <w:rsid w:val="000744E8"/>
    <w:rsid w:val="00074D58"/>
    <w:rsid w:val="00075627"/>
    <w:rsid w:val="000769D4"/>
    <w:rsid w:val="0007788A"/>
    <w:rsid w:val="00080F08"/>
    <w:rsid w:val="00081319"/>
    <w:rsid w:val="00081730"/>
    <w:rsid w:val="00081A7F"/>
    <w:rsid w:val="00081C99"/>
    <w:rsid w:val="00081FB3"/>
    <w:rsid w:val="00083115"/>
    <w:rsid w:val="00083708"/>
    <w:rsid w:val="000840C7"/>
    <w:rsid w:val="000841C6"/>
    <w:rsid w:val="00084549"/>
    <w:rsid w:val="0008550B"/>
    <w:rsid w:val="000864FE"/>
    <w:rsid w:val="000866B4"/>
    <w:rsid w:val="000871F7"/>
    <w:rsid w:val="00090637"/>
    <w:rsid w:val="00090A66"/>
    <w:rsid w:val="00090CAD"/>
    <w:rsid w:val="000910E3"/>
    <w:rsid w:val="00091F8D"/>
    <w:rsid w:val="00092EA4"/>
    <w:rsid w:val="00093019"/>
    <w:rsid w:val="0009316B"/>
    <w:rsid w:val="00093192"/>
    <w:rsid w:val="00093341"/>
    <w:rsid w:val="00094579"/>
    <w:rsid w:val="0009471A"/>
    <w:rsid w:val="00094FF8"/>
    <w:rsid w:val="00095188"/>
    <w:rsid w:val="0009530D"/>
    <w:rsid w:val="00095501"/>
    <w:rsid w:val="00095F22"/>
    <w:rsid w:val="00095F75"/>
    <w:rsid w:val="00096969"/>
    <w:rsid w:val="00096F6F"/>
    <w:rsid w:val="00097107"/>
    <w:rsid w:val="00097489"/>
    <w:rsid w:val="00097AE4"/>
    <w:rsid w:val="00097CB1"/>
    <w:rsid w:val="00097E4C"/>
    <w:rsid w:val="000A05B6"/>
    <w:rsid w:val="000A1674"/>
    <w:rsid w:val="000A1EA6"/>
    <w:rsid w:val="000A22AB"/>
    <w:rsid w:val="000A23A0"/>
    <w:rsid w:val="000A23C0"/>
    <w:rsid w:val="000A240A"/>
    <w:rsid w:val="000A280E"/>
    <w:rsid w:val="000A2DD5"/>
    <w:rsid w:val="000A2E7A"/>
    <w:rsid w:val="000A394A"/>
    <w:rsid w:val="000A4199"/>
    <w:rsid w:val="000A540B"/>
    <w:rsid w:val="000A542E"/>
    <w:rsid w:val="000A58E0"/>
    <w:rsid w:val="000A5DC4"/>
    <w:rsid w:val="000A6259"/>
    <w:rsid w:val="000A62E9"/>
    <w:rsid w:val="000A6634"/>
    <w:rsid w:val="000A6793"/>
    <w:rsid w:val="000A6EBD"/>
    <w:rsid w:val="000A71DD"/>
    <w:rsid w:val="000A7C28"/>
    <w:rsid w:val="000A7E85"/>
    <w:rsid w:val="000B015E"/>
    <w:rsid w:val="000B0B3F"/>
    <w:rsid w:val="000B0C3E"/>
    <w:rsid w:val="000B0C6F"/>
    <w:rsid w:val="000B154A"/>
    <w:rsid w:val="000B16A1"/>
    <w:rsid w:val="000B1D61"/>
    <w:rsid w:val="000B1D84"/>
    <w:rsid w:val="000B3492"/>
    <w:rsid w:val="000B444F"/>
    <w:rsid w:val="000B4ADC"/>
    <w:rsid w:val="000B6558"/>
    <w:rsid w:val="000B6AD2"/>
    <w:rsid w:val="000B7516"/>
    <w:rsid w:val="000B7524"/>
    <w:rsid w:val="000B7E8A"/>
    <w:rsid w:val="000C0258"/>
    <w:rsid w:val="000C062E"/>
    <w:rsid w:val="000C0984"/>
    <w:rsid w:val="000C0FCB"/>
    <w:rsid w:val="000C141D"/>
    <w:rsid w:val="000C1993"/>
    <w:rsid w:val="000C222F"/>
    <w:rsid w:val="000C26C8"/>
    <w:rsid w:val="000C3B3D"/>
    <w:rsid w:val="000C3C46"/>
    <w:rsid w:val="000C42D8"/>
    <w:rsid w:val="000C6281"/>
    <w:rsid w:val="000C6555"/>
    <w:rsid w:val="000C6D59"/>
    <w:rsid w:val="000C745F"/>
    <w:rsid w:val="000C748A"/>
    <w:rsid w:val="000D1BE3"/>
    <w:rsid w:val="000D2D7E"/>
    <w:rsid w:val="000D323B"/>
    <w:rsid w:val="000D3B39"/>
    <w:rsid w:val="000D3D34"/>
    <w:rsid w:val="000D485F"/>
    <w:rsid w:val="000D5479"/>
    <w:rsid w:val="000D5F5A"/>
    <w:rsid w:val="000D6E56"/>
    <w:rsid w:val="000D7556"/>
    <w:rsid w:val="000D7CF5"/>
    <w:rsid w:val="000D7CFF"/>
    <w:rsid w:val="000E1022"/>
    <w:rsid w:val="000E11F9"/>
    <w:rsid w:val="000E1E6B"/>
    <w:rsid w:val="000E25BA"/>
    <w:rsid w:val="000E2D7E"/>
    <w:rsid w:val="000E3EA8"/>
    <w:rsid w:val="000E45E3"/>
    <w:rsid w:val="000E48F4"/>
    <w:rsid w:val="000E4F9D"/>
    <w:rsid w:val="000E5780"/>
    <w:rsid w:val="000E5920"/>
    <w:rsid w:val="000E5C5D"/>
    <w:rsid w:val="000E6120"/>
    <w:rsid w:val="000E6279"/>
    <w:rsid w:val="000E67B8"/>
    <w:rsid w:val="000E6A43"/>
    <w:rsid w:val="000E72C6"/>
    <w:rsid w:val="000E7C21"/>
    <w:rsid w:val="000F0DE6"/>
    <w:rsid w:val="000F2197"/>
    <w:rsid w:val="000F248F"/>
    <w:rsid w:val="000F2516"/>
    <w:rsid w:val="000F3672"/>
    <w:rsid w:val="000F38D9"/>
    <w:rsid w:val="000F4A98"/>
    <w:rsid w:val="000F5313"/>
    <w:rsid w:val="0010045E"/>
    <w:rsid w:val="00100EED"/>
    <w:rsid w:val="00101296"/>
    <w:rsid w:val="001012FB"/>
    <w:rsid w:val="00103433"/>
    <w:rsid w:val="0010349D"/>
    <w:rsid w:val="00103D3B"/>
    <w:rsid w:val="001046D5"/>
    <w:rsid w:val="00105178"/>
    <w:rsid w:val="0010539D"/>
    <w:rsid w:val="00105705"/>
    <w:rsid w:val="00105A4F"/>
    <w:rsid w:val="00106772"/>
    <w:rsid w:val="001071B0"/>
    <w:rsid w:val="00107A5F"/>
    <w:rsid w:val="00107D69"/>
    <w:rsid w:val="001103AB"/>
    <w:rsid w:val="00110A94"/>
    <w:rsid w:val="0011101C"/>
    <w:rsid w:val="001115A5"/>
    <w:rsid w:val="00111695"/>
    <w:rsid w:val="001118EB"/>
    <w:rsid w:val="00111F6D"/>
    <w:rsid w:val="001120BE"/>
    <w:rsid w:val="00112376"/>
    <w:rsid w:val="00112735"/>
    <w:rsid w:val="001127F0"/>
    <w:rsid w:val="00113FA8"/>
    <w:rsid w:val="0011421F"/>
    <w:rsid w:val="00114CF9"/>
    <w:rsid w:val="00115714"/>
    <w:rsid w:val="00115F1F"/>
    <w:rsid w:val="00116900"/>
    <w:rsid w:val="00116A31"/>
    <w:rsid w:val="00117CA4"/>
    <w:rsid w:val="00117F66"/>
    <w:rsid w:val="0012086D"/>
    <w:rsid w:val="00120C1D"/>
    <w:rsid w:val="001218F0"/>
    <w:rsid w:val="00121DF0"/>
    <w:rsid w:val="00123005"/>
    <w:rsid w:val="00123E0F"/>
    <w:rsid w:val="0012451C"/>
    <w:rsid w:val="00124CA7"/>
    <w:rsid w:val="00124F59"/>
    <w:rsid w:val="00124FAF"/>
    <w:rsid w:val="001261D6"/>
    <w:rsid w:val="00126641"/>
    <w:rsid w:val="00126917"/>
    <w:rsid w:val="00126F6B"/>
    <w:rsid w:val="00127363"/>
    <w:rsid w:val="001279BC"/>
    <w:rsid w:val="0013010A"/>
    <w:rsid w:val="001302D7"/>
    <w:rsid w:val="00131020"/>
    <w:rsid w:val="001310EB"/>
    <w:rsid w:val="00131DD4"/>
    <w:rsid w:val="00132399"/>
    <w:rsid w:val="001323BE"/>
    <w:rsid w:val="0013269A"/>
    <w:rsid w:val="00133A68"/>
    <w:rsid w:val="0013440B"/>
    <w:rsid w:val="00134560"/>
    <w:rsid w:val="001347BE"/>
    <w:rsid w:val="001347C9"/>
    <w:rsid w:val="00135B86"/>
    <w:rsid w:val="00135E52"/>
    <w:rsid w:val="00135EBB"/>
    <w:rsid w:val="00136350"/>
    <w:rsid w:val="001368D4"/>
    <w:rsid w:val="00136D05"/>
    <w:rsid w:val="00137467"/>
    <w:rsid w:val="0013777F"/>
    <w:rsid w:val="001405FD"/>
    <w:rsid w:val="00140D63"/>
    <w:rsid w:val="00141113"/>
    <w:rsid w:val="00141239"/>
    <w:rsid w:val="00141A85"/>
    <w:rsid w:val="00141F23"/>
    <w:rsid w:val="0014227C"/>
    <w:rsid w:val="001428E7"/>
    <w:rsid w:val="00142C9A"/>
    <w:rsid w:val="00142F24"/>
    <w:rsid w:val="0014314B"/>
    <w:rsid w:val="00143262"/>
    <w:rsid w:val="001435FA"/>
    <w:rsid w:val="001438B9"/>
    <w:rsid w:val="00144211"/>
    <w:rsid w:val="00145829"/>
    <w:rsid w:val="00146342"/>
    <w:rsid w:val="00146562"/>
    <w:rsid w:val="00147606"/>
    <w:rsid w:val="00150FBE"/>
    <w:rsid w:val="0015176D"/>
    <w:rsid w:val="001521B2"/>
    <w:rsid w:val="0015296F"/>
    <w:rsid w:val="00152BC4"/>
    <w:rsid w:val="00152FB4"/>
    <w:rsid w:val="001533BF"/>
    <w:rsid w:val="001536F2"/>
    <w:rsid w:val="001546DA"/>
    <w:rsid w:val="00155A25"/>
    <w:rsid w:val="001561AE"/>
    <w:rsid w:val="0015650A"/>
    <w:rsid w:val="001566BE"/>
    <w:rsid w:val="001573F5"/>
    <w:rsid w:val="00157E19"/>
    <w:rsid w:val="00160388"/>
    <w:rsid w:val="00161713"/>
    <w:rsid w:val="00161FA9"/>
    <w:rsid w:val="001635CC"/>
    <w:rsid w:val="00163616"/>
    <w:rsid w:val="00164A8E"/>
    <w:rsid w:val="00165075"/>
    <w:rsid w:val="0016539E"/>
    <w:rsid w:val="00165C42"/>
    <w:rsid w:val="00166220"/>
    <w:rsid w:val="00166653"/>
    <w:rsid w:val="00166860"/>
    <w:rsid w:val="00166B2F"/>
    <w:rsid w:val="00167670"/>
    <w:rsid w:val="00167949"/>
    <w:rsid w:val="00167B27"/>
    <w:rsid w:val="00170817"/>
    <w:rsid w:val="00170850"/>
    <w:rsid w:val="0017107A"/>
    <w:rsid w:val="00172650"/>
    <w:rsid w:val="00172A23"/>
    <w:rsid w:val="00172C61"/>
    <w:rsid w:val="001730DE"/>
    <w:rsid w:val="001731A9"/>
    <w:rsid w:val="00174B2E"/>
    <w:rsid w:val="001752F1"/>
    <w:rsid w:val="0017684B"/>
    <w:rsid w:val="00176950"/>
    <w:rsid w:val="001775E5"/>
    <w:rsid w:val="0017799F"/>
    <w:rsid w:val="00177A3C"/>
    <w:rsid w:val="00177C3B"/>
    <w:rsid w:val="00180381"/>
    <w:rsid w:val="00180744"/>
    <w:rsid w:val="001809EA"/>
    <w:rsid w:val="00180B5D"/>
    <w:rsid w:val="001825BA"/>
    <w:rsid w:val="0018260E"/>
    <w:rsid w:val="00182912"/>
    <w:rsid w:val="00182D51"/>
    <w:rsid w:val="00182E99"/>
    <w:rsid w:val="00183858"/>
    <w:rsid w:val="00183CE9"/>
    <w:rsid w:val="00184090"/>
    <w:rsid w:val="00185797"/>
    <w:rsid w:val="00185F1C"/>
    <w:rsid w:val="00186789"/>
    <w:rsid w:val="00186923"/>
    <w:rsid w:val="00186DDE"/>
    <w:rsid w:val="001876C0"/>
    <w:rsid w:val="00187C71"/>
    <w:rsid w:val="00187FB8"/>
    <w:rsid w:val="001907A9"/>
    <w:rsid w:val="001912EC"/>
    <w:rsid w:val="00191BBA"/>
    <w:rsid w:val="00193CD6"/>
    <w:rsid w:val="00194D3E"/>
    <w:rsid w:val="00195809"/>
    <w:rsid w:val="001959FE"/>
    <w:rsid w:val="00196720"/>
    <w:rsid w:val="00197362"/>
    <w:rsid w:val="00197F99"/>
    <w:rsid w:val="001A0A56"/>
    <w:rsid w:val="001A0FE3"/>
    <w:rsid w:val="001A10A8"/>
    <w:rsid w:val="001A1C57"/>
    <w:rsid w:val="001A29BF"/>
    <w:rsid w:val="001A2E7B"/>
    <w:rsid w:val="001A378D"/>
    <w:rsid w:val="001A38B5"/>
    <w:rsid w:val="001A39D0"/>
    <w:rsid w:val="001A3D5D"/>
    <w:rsid w:val="001A4306"/>
    <w:rsid w:val="001A47ED"/>
    <w:rsid w:val="001A4B56"/>
    <w:rsid w:val="001A5541"/>
    <w:rsid w:val="001A5682"/>
    <w:rsid w:val="001A5EF9"/>
    <w:rsid w:val="001A5FE9"/>
    <w:rsid w:val="001A64ED"/>
    <w:rsid w:val="001A664C"/>
    <w:rsid w:val="001A6D13"/>
    <w:rsid w:val="001A7ABC"/>
    <w:rsid w:val="001A7EDC"/>
    <w:rsid w:val="001B19F5"/>
    <w:rsid w:val="001B1A66"/>
    <w:rsid w:val="001B1FF8"/>
    <w:rsid w:val="001B2C5A"/>
    <w:rsid w:val="001B3107"/>
    <w:rsid w:val="001B316B"/>
    <w:rsid w:val="001B35CB"/>
    <w:rsid w:val="001B415F"/>
    <w:rsid w:val="001B4788"/>
    <w:rsid w:val="001B5BBD"/>
    <w:rsid w:val="001B6243"/>
    <w:rsid w:val="001B6264"/>
    <w:rsid w:val="001B64BE"/>
    <w:rsid w:val="001C0F1F"/>
    <w:rsid w:val="001C1032"/>
    <w:rsid w:val="001C120D"/>
    <w:rsid w:val="001C3EEF"/>
    <w:rsid w:val="001C52C3"/>
    <w:rsid w:val="001C5753"/>
    <w:rsid w:val="001C58BC"/>
    <w:rsid w:val="001C71BF"/>
    <w:rsid w:val="001C7264"/>
    <w:rsid w:val="001C747D"/>
    <w:rsid w:val="001C759A"/>
    <w:rsid w:val="001C7B51"/>
    <w:rsid w:val="001D0064"/>
    <w:rsid w:val="001D1255"/>
    <w:rsid w:val="001D1565"/>
    <w:rsid w:val="001D2069"/>
    <w:rsid w:val="001D2ED4"/>
    <w:rsid w:val="001D3353"/>
    <w:rsid w:val="001D36B2"/>
    <w:rsid w:val="001D3ADA"/>
    <w:rsid w:val="001D427A"/>
    <w:rsid w:val="001D4656"/>
    <w:rsid w:val="001D5BCB"/>
    <w:rsid w:val="001D607D"/>
    <w:rsid w:val="001D77F7"/>
    <w:rsid w:val="001D7934"/>
    <w:rsid w:val="001D7BE4"/>
    <w:rsid w:val="001D7F20"/>
    <w:rsid w:val="001E0866"/>
    <w:rsid w:val="001E0ACE"/>
    <w:rsid w:val="001E0DA6"/>
    <w:rsid w:val="001E1ACB"/>
    <w:rsid w:val="001E22D8"/>
    <w:rsid w:val="001E2986"/>
    <w:rsid w:val="001E3044"/>
    <w:rsid w:val="001E39F5"/>
    <w:rsid w:val="001E3AE1"/>
    <w:rsid w:val="001E3C25"/>
    <w:rsid w:val="001E4896"/>
    <w:rsid w:val="001E4F93"/>
    <w:rsid w:val="001E5132"/>
    <w:rsid w:val="001E59E3"/>
    <w:rsid w:val="001E6E72"/>
    <w:rsid w:val="001E7159"/>
    <w:rsid w:val="001E772B"/>
    <w:rsid w:val="001E7778"/>
    <w:rsid w:val="001E78C8"/>
    <w:rsid w:val="001F0194"/>
    <w:rsid w:val="001F06ED"/>
    <w:rsid w:val="001F0DD6"/>
    <w:rsid w:val="001F1832"/>
    <w:rsid w:val="001F1922"/>
    <w:rsid w:val="001F1D47"/>
    <w:rsid w:val="001F25BE"/>
    <w:rsid w:val="001F2BB9"/>
    <w:rsid w:val="001F2DEE"/>
    <w:rsid w:val="001F3E38"/>
    <w:rsid w:val="001F3FCA"/>
    <w:rsid w:val="001F5439"/>
    <w:rsid w:val="001F54CB"/>
    <w:rsid w:val="001F5ED1"/>
    <w:rsid w:val="001F6321"/>
    <w:rsid w:val="001F66AC"/>
    <w:rsid w:val="001F6902"/>
    <w:rsid w:val="001F6E72"/>
    <w:rsid w:val="001F741D"/>
    <w:rsid w:val="002005B3"/>
    <w:rsid w:val="0020093A"/>
    <w:rsid w:val="00200FCF"/>
    <w:rsid w:val="0020171D"/>
    <w:rsid w:val="00201872"/>
    <w:rsid w:val="002018FD"/>
    <w:rsid w:val="00201E59"/>
    <w:rsid w:val="00202325"/>
    <w:rsid w:val="0020259A"/>
    <w:rsid w:val="00202E58"/>
    <w:rsid w:val="0020327C"/>
    <w:rsid w:val="002055D1"/>
    <w:rsid w:val="00205725"/>
    <w:rsid w:val="0020666D"/>
    <w:rsid w:val="00206A8A"/>
    <w:rsid w:val="00206BFF"/>
    <w:rsid w:val="00206DB7"/>
    <w:rsid w:val="00207262"/>
    <w:rsid w:val="0021021A"/>
    <w:rsid w:val="002109FF"/>
    <w:rsid w:val="0021104D"/>
    <w:rsid w:val="002116EC"/>
    <w:rsid w:val="00211ABA"/>
    <w:rsid w:val="00211C97"/>
    <w:rsid w:val="00212CCA"/>
    <w:rsid w:val="00212CF7"/>
    <w:rsid w:val="00212CFC"/>
    <w:rsid w:val="0021389B"/>
    <w:rsid w:val="00214926"/>
    <w:rsid w:val="00214BB1"/>
    <w:rsid w:val="00214BD8"/>
    <w:rsid w:val="00214DCB"/>
    <w:rsid w:val="00215333"/>
    <w:rsid w:val="0021549F"/>
    <w:rsid w:val="00215585"/>
    <w:rsid w:val="00215C6C"/>
    <w:rsid w:val="00215F8C"/>
    <w:rsid w:val="00216F3D"/>
    <w:rsid w:val="002173B0"/>
    <w:rsid w:val="0021765B"/>
    <w:rsid w:val="00217CE5"/>
    <w:rsid w:val="00217D42"/>
    <w:rsid w:val="00217F44"/>
    <w:rsid w:val="00220003"/>
    <w:rsid w:val="00220515"/>
    <w:rsid w:val="002206B8"/>
    <w:rsid w:val="0022165C"/>
    <w:rsid w:val="00221FFE"/>
    <w:rsid w:val="00222183"/>
    <w:rsid w:val="0022260A"/>
    <w:rsid w:val="00222BAC"/>
    <w:rsid w:val="0022324C"/>
    <w:rsid w:val="00223C09"/>
    <w:rsid w:val="0022418B"/>
    <w:rsid w:val="00224CDB"/>
    <w:rsid w:val="0022637A"/>
    <w:rsid w:val="00226740"/>
    <w:rsid w:val="002303CA"/>
    <w:rsid w:val="00231366"/>
    <w:rsid w:val="00231BAE"/>
    <w:rsid w:val="00231BB4"/>
    <w:rsid w:val="00232913"/>
    <w:rsid w:val="00232BFE"/>
    <w:rsid w:val="00232F27"/>
    <w:rsid w:val="002330A0"/>
    <w:rsid w:val="00233DE8"/>
    <w:rsid w:val="002347EB"/>
    <w:rsid w:val="002353D4"/>
    <w:rsid w:val="00235F86"/>
    <w:rsid w:val="0023621C"/>
    <w:rsid w:val="00236395"/>
    <w:rsid w:val="00236678"/>
    <w:rsid w:val="00236995"/>
    <w:rsid w:val="00236F79"/>
    <w:rsid w:val="00237B4F"/>
    <w:rsid w:val="00237CFE"/>
    <w:rsid w:val="00237E9F"/>
    <w:rsid w:val="00240106"/>
    <w:rsid w:val="00242979"/>
    <w:rsid w:val="00243137"/>
    <w:rsid w:val="0024366F"/>
    <w:rsid w:val="00243D2A"/>
    <w:rsid w:val="00243FD9"/>
    <w:rsid w:val="002444C2"/>
    <w:rsid w:val="002461C3"/>
    <w:rsid w:val="00246776"/>
    <w:rsid w:val="002469C4"/>
    <w:rsid w:val="002478B5"/>
    <w:rsid w:val="00247CE8"/>
    <w:rsid w:val="002502E4"/>
    <w:rsid w:val="00250535"/>
    <w:rsid w:val="0025080E"/>
    <w:rsid w:val="002508EE"/>
    <w:rsid w:val="00250F92"/>
    <w:rsid w:val="00251297"/>
    <w:rsid w:val="00251457"/>
    <w:rsid w:val="002515F0"/>
    <w:rsid w:val="002516C2"/>
    <w:rsid w:val="00251C82"/>
    <w:rsid w:val="00251FDA"/>
    <w:rsid w:val="00255871"/>
    <w:rsid w:val="00255D61"/>
    <w:rsid w:val="00256D49"/>
    <w:rsid w:val="00257AD7"/>
    <w:rsid w:val="00257B54"/>
    <w:rsid w:val="00257BFC"/>
    <w:rsid w:val="00260070"/>
    <w:rsid w:val="002607FD"/>
    <w:rsid w:val="00260C59"/>
    <w:rsid w:val="00260F04"/>
    <w:rsid w:val="0026134A"/>
    <w:rsid w:val="002622D7"/>
    <w:rsid w:val="00262D1D"/>
    <w:rsid w:val="00262EE1"/>
    <w:rsid w:val="002634E4"/>
    <w:rsid w:val="0026401E"/>
    <w:rsid w:val="00264A83"/>
    <w:rsid w:val="00264D4C"/>
    <w:rsid w:val="00266BB7"/>
    <w:rsid w:val="00266E4D"/>
    <w:rsid w:val="002671E2"/>
    <w:rsid w:val="002674ED"/>
    <w:rsid w:val="002702E9"/>
    <w:rsid w:val="002704AA"/>
    <w:rsid w:val="002713D6"/>
    <w:rsid w:val="002716CE"/>
    <w:rsid w:val="00271AD1"/>
    <w:rsid w:val="00271F52"/>
    <w:rsid w:val="002721F6"/>
    <w:rsid w:val="00273CB3"/>
    <w:rsid w:val="00273EBD"/>
    <w:rsid w:val="0027451D"/>
    <w:rsid w:val="00274636"/>
    <w:rsid w:val="00274675"/>
    <w:rsid w:val="0027477F"/>
    <w:rsid w:val="00275669"/>
    <w:rsid w:val="002757E3"/>
    <w:rsid w:val="00275AE6"/>
    <w:rsid w:val="00275AFE"/>
    <w:rsid w:val="00276309"/>
    <w:rsid w:val="002769BA"/>
    <w:rsid w:val="002770CC"/>
    <w:rsid w:val="00277E65"/>
    <w:rsid w:val="00280B9B"/>
    <w:rsid w:val="00280DF8"/>
    <w:rsid w:val="002810FB"/>
    <w:rsid w:val="00281ABB"/>
    <w:rsid w:val="00281FE3"/>
    <w:rsid w:val="00282057"/>
    <w:rsid w:val="00282203"/>
    <w:rsid w:val="00282A88"/>
    <w:rsid w:val="002835C1"/>
    <w:rsid w:val="002835F8"/>
    <w:rsid w:val="00283694"/>
    <w:rsid w:val="002836B7"/>
    <w:rsid w:val="00283985"/>
    <w:rsid w:val="00284114"/>
    <w:rsid w:val="00284204"/>
    <w:rsid w:val="00284825"/>
    <w:rsid w:val="00286C16"/>
    <w:rsid w:val="00287D9B"/>
    <w:rsid w:val="00287DC2"/>
    <w:rsid w:val="0029011A"/>
    <w:rsid w:val="00291758"/>
    <w:rsid w:val="0029252E"/>
    <w:rsid w:val="00292AC6"/>
    <w:rsid w:val="0029327C"/>
    <w:rsid w:val="00294515"/>
    <w:rsid w:val="00294E58"/>
    <w:rsid w:val="00296664"/>
    <w:rsid w:val="00296D4D"/>
    <w:rsid w:val="00296EF7"/>
    <w:rsid w:val="0029724C"/>
    <w:rsid w:val="0029760F"/>
    <w:rsid w:val="00297AB6"/>
    <w:rsid w:val="002A0975"/>
    <w:rsid w:val="002A1713"/>
    <w:rsid w:val="002A1F71"/>
    <w:rsid w:val="002A26AD"/>
    <w:rsid w:val="002A2A90"/>
    <w:rsid w:val="002A2E88"/>
    <w:rsid w:val="002A3370"/>
    <w:rsid w:val="002A3AD1"/>
    <w:rsid w:val="002A4198"/>
    <w:rsid w:val="002A4282"/>
    <w:rsid w:val="002A49FD"/>
    <w:rsid w:val="002A55E3"/>
    <w:rsid w:val="002A66E3"/>
    <w:rsid w:val="002A70DD"/>
    <w:rsid w:val="002A758A"/>
    <w:rsid w:val="002B0201"/>
    <w:rsid w:val="002B04A8"/>
    <w:rsid w:val="002B04B1"/>
    <w:rsid w:val="002B0909"/>
    <w:rsid w:val="002B1A2B"/>
    <w:rsid w:val="002B24DE"/>
    <w:rsid w:val="002B2711"/>
    <w:rsid w:val="002B2A59"/>
    <w:rsid w:val="002B2D7D"/>
    <w:rsid w:val="002B3D7D"/>
    <w:rsid w:val="002B4092"/>
    <w:rsid w:val="002B61D6"/>
    <w:rsid w:val="002B6BEF"/>
    <w:rsid w:val="002B771C"/>
    <w:rsid w:val="002B7DC1"/>
    <w:rsid w:val="002C0645"/>
    <w:rsid w:val="002C0AEE"/>
    <w:rsid w:val="002C120A"/>
    <w:rsid w:val="002C246D"/>
    <w:rsid w:val="002C40B4"/>
    <w:rsid w:val="002C436C"/>
    <w:rsid w:val="002C4ADE"/>
    <w:rsid w:val="002C544E"/>
    <w:rsid w:val="002C5DFB"/>
    <w:rsid w:val="002C621F"/>
    <w:rsid w:val="002C6A3E"/>
    <w:rsid w:val="002C6D19"/>
    <w:rsid w:val="002C7359"/>
    <w:rsid w:val="002C7810"/>
    <w:rsid w:val="002C7B86"/>
    <w:rsid w:val="002D1701"/>
    <w:rsid w:val="002D1DC3"/>
    <w:rsid w:val="002D20DC"/>
    <w:rsid w:val="002D3B9C"/>
    <w:rsid w:val="002D3EB8"/>
    <w:rsid w:val="002D3FB4"/>
    <w:rsid w:val="002D452C"/>
    <w:rsid w:val="002D4BC6"/>
    <w:rsid w:val="002D4BE1"/>
    <w:rsid w:val="002D6528"/>
    <w:rsid w:val="002D7355"/>
    <w:rsid w:val="002D7DA9"/>
    <w:rsid w:val="002E00C4"/>
    <w:rsid w:val="002E071E"/>
    <w:rsid w:val="002E0818"/>
    <w:rsid w:val="002E0A23"/>
    <w:rsid w:val="002E0F79"/>
    <w:rsid w:val="002E137A"/>
    <w:rsid w:val="002E1E52"/>
    <w:rsid w:val="002E24C5"/>
    <w:rsid w:val="002E2D71"/>
    <w:rsid w:val="002E37BF"/>
    <w:rsid w:val="002E4117"/>
    <w:rsid w:val="002E435B"/>
    <w:rsid w:val="002E4BA8"/>
    <w:rsid w:val="002E527D"/>
    <w:rsid w:val="002E5324"/>
    <w:rsid w:val="002E5C7B"/>
    <w:rsid w:val="002E5DD3"/>
    <w:rsid w:val="002E65FB"/>
    <w:rsid w:val="002E67AC"/>
    <w:rsid w:val="002E71B4"/>
    <w:rsid w:val="002F0576"/>
    <w:rsid w:val="002F06B9"/>
    <w:rsid w:val="002F072B"/>
    <w:rsid w:val="002F0D36"/>
    <w:rsid w:val="002F0FE7"/>
    <w:rsid w:val="002F10D3"/>
    <w:rsid w:val="002F1173"/>
    <w:rsid w:val="002F18B3"/>
    <w:rsid w:val="002F1909"/>
    <w:rsid w:val="002F1EAE"/>
    <w:rsid w:val="002F216C"/>
    <w:rsid w:val="002F2CFD"/>
    <w:rsid w:val="002F3FB7"/>
    <w:rsid w:val="002F40B8"/>
    <w:rsid w:val="002F43B9"/>
    <w:rsid w:val="002F43EE"/>
    <w:rsid w:val="002F48D3"/>
    <w:rsid w:val="002F5887"/>
    <w:rsid w:val="002F6888"/>
    <w:rsid w:val="002F7807"/>
    <w:rsid w:val="0030032F"/>
    <w:rsid w:val="003008B0"/>
    <w:rsid w:val="00300BD4"/>
    <w:rsid w:val="00301213"/>
    <w:rsid w:val="00301252"/>
    <w:rsid w:val="003018ED"/>
    <w:rsid w:val="00301B60"/>
    <w:rsid w:val="00301BA1"/>
    <w:rsid w:val="003020EA"/>
    <w:rsid w:val="00302A74"/>
    <w:rsid w:val="00302ADB"/>
    <w:rsid w:val="00302FD2"/>
    <w:rsid w:val="00303045"/>
    <w:rsid w:val="003031C8"/>
    <w:rsid w:val="003031F2"/>
    <w:rsid w:val="00303219"/>
    <w:rsid w:val="003035E4"/>
    <w:rsid w:val="003035E6"/>
    <w:rsid w:val="003039EF"/>
    <w:rsid w:val="0030505E"/>
    <w:rsid w:val="0030567A"/>
    <w:rsid w:val="00305D46"/>
    <w:rsid w:val="00306224"/>
    <w:rsid w:val="00306D2E"/>
    <w:rsid w:val="00307A46"/>
    <w:rsid w:val="00312786"/>
    <w:rsid w:val="00312BD1"/>
    <w:rsid w:val="00314985"/>
    <w:rsid w:val="00315811"/>
    <w:rsid w:val="00315DBA"/>
    <w:rsid w:val="0031607C"/>
    <w:rsid w:val="003161FA"/>
    <w:rsid w:val="00316C41"/>
    <w:rsid w:val="003200EE"/>
    <w:rsid w:val="0032019C"/>
    <w:rsid w:val="003215B5"/>
    <w:rsid w:val="00321BD6"/>
    <w:rsid w:val="00321BF6"/>
    <w:rsid w:val="00322C43"/>
    <w:rsid w:val="00322CB2"/>
    <w:rsid w:val="00322D5E"/>
    <w:rsid w:val="00322FE1"/>
    <w:rsid w:val="00323477"/>
    <w:rsid w:val="0032357B"/>
    <w:rsid w:val="00323AA9"/>
    <w:rsid w:val="00323CF6"/>
    <w:rsid w:val="0032424B"/>
    <w:rsid w:val="00324890"/>
    <w:rsid w:val="00324C41"/>
    <w:rsid w:val="00325249"/>
    <w:rsid w:val="00325370"/>
    <w:rsid w:val="0032628B"/>
    <w:rsid w:val="00326903"/>
    <w:rsid w:val="00327411"/>
    <w:rsid w:val="00327EF3"/>
    <w:rsid w:val="00330799"/>
    <w:rsid w:val="00330CF7"/>
    <w:rsid w:val="00330D7B"/>
    <w:rsid w:val="00330F00"/>
    <w:rsid w:val="003310FA"/>
    <w:rsid w:val="00331749"/>
    <w:rsid w:val="00331D72"/>
    <w:rsid w:val="00331D75"/>
    <w:rsid w:val="00333317"/>
    <w:rsid w:val="0033353B"/>
    <w:rsid w:val="00335297"/>
    <w:rsid w:val="00335EC4"/>
    <w:rsid w:val="00336D87"/>
    <w:rsid w:val="00337359"/>
    <w:rsid w:val="00337447"/>
    <w:rsid w:val="00340D2B"/>
    <w:rsid w:val="00341777"/>
    <w:rsid w:val="00341B40"/>
    <w:rsid w:val="00342254"/>
    <w:rsid w:val="00342454"/>
    <w:rsid w:val="00342ECF"/>
    <w:rsid w:val="003431D0"/>
    <w:rsid w:val="003444F2"/>
    <w:rsid w:val="00345039"/>
    <w:rsid w:val="003463E3"/>
    <w:rsid w:val="003465AC"/>
    <w:rsid w:val="003468A9"/>
    <w:rsid w:val="00346B28"/>
    <w:rsid w:val="00346B79"/>
    <w:rsid w:val="00346E4F"/>
    <w:rsid w:val="00347418"/>
    <w:rsid w:val="00347DF0"/>
    <w:rsid w:val="00350223"/>
    <w:rsid w:val="003507C7"/>
    <w:rsid w:val="00350834"/>
    <w:rsid w:val="003514E3"/>
    <w:rsid w:val="003515B8"/>
    <w:rsid w:val="003516E2"/>
    <w:rsid w:val="00351FDB"/>
    <w:rsid w:val="0035278B"/>
    <w:rsid w:val="00353182"/>
    <w:rsid w:val="00353B08"/>
    <w:rsid w:val="00353BF5"/>
    <w:rsid w:val="00355DCF"/>
    <w:rsid w:val="00355FD4"/>
    <w:rsid w:val="00357C4F"/>
    <w:rsid w:val="00360779"/>
    <w:rsid w:val="00360FB6"/>
    <w:rsid w:val="00361379"/>
    <w:rsid w:val="00361928"/>
    <w:rsid w:val="00361A29"/>
    <w:rsid w:val="00362301"/>
    <w:rsid w:val="003623C6"/>
    <w:rsid w:val="00363503"/>
    <w:rsid w:val="003638A0"/>
    <w:rsid w:val="00363BC2"/>
    <w:rsid w:val="00364088"/>
    <w:rsid w:val="00365A70"/>
    <w:rsid w:val="003664D9"/>
    <w:rsid w:val="003667EF"/>
    <w:rsid w:val="0036727A"/>
    <w:rsid w:val="0036733A"/>
    <w:rsid w:val="00367960"/>
    <w:rsid w:val="00367967"/>
    <w:rsid w:val="00370777"/>
    <w:rsid w:val="00370A24"/>
    <w:rsid w:val="00371068"/>
    <w:rsid w:val="00371F42"/>
    <w:rsid w:val="00372678"/>
    <w:rsid w:val="00372D3D"/>
    <w:rsid w:val="00373B3F"/>
    <w:rsid w:val="0037406B"/>
    <w:rsid w:val="00375497"/>
    <w:rsid w:val="00375775"/>
    <w:rsid w:val="00375D0D"/>
    <w:rsid w:val="00376403"/>
    <w:rsid w:val="00376994"/>
    <w:rsid w:val="00376CC5"/>
    <w:rsid w:val="003771F0"/>
    <w:rsid w:val="00377FBC"/>
    <w:rsid w:val="00380065"/>
    <w:rsid w:val="003812B2"/>
    <w:rsid w:val="0038160B"/>
    <w:rsid w:val="003817D9"/>
    <w:rsid w:val="00382131"/>
    <w:rsid w:val="003822E6"/>
    <w:rsid w:val="00382C38"/>
    <w:rsid w:val="00382E5B"/>
    <w:rsid w:val="00382FBB"/>
    <w:rsid w:val="00383643"/>
    <w:rsid w:val="003837B5"/>
    <w:rsid w:val="0038386F"/>
    <w:rsid w:val="00384108"/>
    <w:rsid w:val="003848A9"/>
    <w:rsid w:val="003852BB"/>
    <w:rsid w:val="003857E1"/>
    <w:rsid w:val="00385AED"/>
    <w:rsid w:val="00385E04"/>
    <w:rsid w:val="00385E63"/>
    <w:rsid w:val="00386424"/>
    <w:rsid w:val="00386FCE"/>
    <w:rsid w:val="003873A2"/>
    <w:rsid w:val="0038783F"/>
    <w:rsid w:val="0038786A"/>
    <w:rsid w:val="0039027D"/>
    <w:rsid w:val="00390852"/>
    <w:rsid w:val="0039095B"/>
    <w:rsid w:val="00390D5F"/>
    <w:rsid w:val="00392375"/>
    <w:rsid w:val="00392DD9"/>
    <w:rsid w:val="00393369"/>
    <w:rsid w:val="00394358"/>
    <w:rsid w:val="003943B0"/>
    <w:rsid w:val="00394AEF"/>
    <w:rsid w:val="003965BD"/>
    <w:rsid w:val="00396829"/>
    <w:rsid w:val="00396E89"/>
    <w:rsid w:val="00397565"/>
    <w:rsid w:val="00397E8E"/>
    <w:rsid w:val="003A0138"/>
    <w:rsid w:val="003A0B8E"/>
    <w:rsid w:val="003A1A05"/>
    <w:rsid w:val="003A45C5"/>
    <w:rsid w:val="003A49C0"/>
    <w:rsid w:val="003A4A61"/>
    <w:rsid w:val="003A5227"/>
    <w:rsid w:val="003A565E"/>
    <w:rsid w:val="003A6143"/>
    <w:rsid w:val="003A6932"/>
    <w:rsid w:val="003A6B18"/>
    <w:rsid w:val="003A6FBC"/>
    <w:rsid w:val="003A73A4"/>
    <w:rsid w:val="003B08E2"/>
    <w:rsid w:val="003B0A33"/>
    <w:rsid w:val="003B0C37"/>
    <w:rsid w:val="003B1DBC"/>
    <w:rsid w:val="003B2AF7"/>
    <w:rsid w:val="003B2C1E"/>
    <w:rsid w:val="003B2F45"/>
    <w:rsid w:val="003B396C"/>
    <w:rsid w:val="003B3A31"/>
    <w:rsid w:val="003B42B7"/>
    <w:rsid w:val="003B52AE"/>
    <w:rsid w:val="003B62A8"/>
    <w:rsid w:val="003B650D"/>
    <w:rsid w:val="003B664F"/>
    <w:rsid w:val="003B762F"/>
    <w:rsid w:val="003B7B7E"/>
    <w:rsid w:val="003B7FAE"/>
    <w:rsid w:val="003C01F5"/>
    <w:rsid w:val="003C1428"/>
    <w:rsid w:val="003C1545"/>
    <w:rsid w:val="003C2145"/>
    <w:rsid w:val="003C2D82"/>
    <w:rsid w:val="003C3089"/>
    <w:rsid w:val="003C3AAF"/>
    <w:rsid w:val="003C5064"/>
    <w:rsid w:val="003C5641"/>
    <w:rsid w:val="003C6DC0"/>
    <w:rsid w:val="003C7212"/>
    <w:rsid w:val="003D0181"/>
    <w:rsid w:val="003D32F0"/>
    <w:rsid w:val="003D40C9"/>
    <w:rsid w:val="003D4441"/>
    <w:rsid w:val="003D5575"/>
    <w:rsid w:val="003D5DAB"/>
    <w:rsid w:val="003D6627"/>
    <w:rsid w:val="003D6C93"/>
    <w:rsid w:val="003D7DFA"/>
    <w:rsid w:val="003E10E4"/>
    <w:rsid w:val="003E1374"/>
    <w:rsid w:val="003E1FD5"/>
    <w:rsid w:val="003E25ED"/>
    <w:rsid w:val="003E2AA3"/>
    <w:rsid w:val="003E2C3D"/>
    <w:rsid w:val="003E300B"/>
    <w:rsid w:val="003E36DB"/>
    <w:rsid w:val="003E3C9B"/>
    <w:rsid w:val="003E414D"/>
    <w:rsid w:val="003E49BF"/>
    <w:rsid w:val="003E4A3D"/>
    <w:rsid w:val="003E4EEE"/>
    <w:rsid w:val="003E6755"/>
    <w:rsid w:val="003E6792"/>
    <w:rsid w:val="003E6A81"/>
    <w:rsid w:val="003E6E72"/>
    <w:rsid w:val="003E6FFD"/>
    <w:rsid w:val="003E7B9C"/>
    <w:rsid w:val="003E7CC8"/>
    <w:rsid w:val="003F071C"/>
    <w:rsid w:val="003F08B1"/>
    <w:rsid w:val="003F097A"/>
    <w:rsid w:val="003F111C"/>
    <w:rsid w:val="003F1AC6"/>
    <w:rsid w:val="003F23F6"/>
    <w:rsid w:val="003F375D"/>
    <w:rsid w:val="003F3E04"/>
    <w:rsid w:val="003F4508"/>
    <w:rsid w:val="003F537E"/>
    <w:rsid w:val="003F6CC5"/>
    <w:rsid w:val="003F6FD4"/>
    <w:rsid w:val="003F7453"/>
    <w:rsid w:val="003F7DA4"/>
    <w:rsid w:val="003F7E98"/>
    <w:rsid w:val="004004F9"/>
    <w:rsid w:val="004011AE"/>
    <w:rsid w:val="004017B8"/>
    <w:rsid w:val="00402B91"/>
    <w:rsid w:val="00403AF9"/>
    <w:rsid w:val="00403E15"/>
    <w:rsid w:val="0040418A"/>
    <w:rsid w:val="00405A43"/>
    <w:rsid w:val="004061A4"/>
    <w:rsid w:val="00406406"/>
    <w:rsid w:val="004070AE"/>
    <w:rsid w:val="00407671"/>
    <w:rsid w:val="004103EE"/>
    <w:rsid w:val="00410426"/>
    <w:rsid w:val="004109E1"/>
    <w:rsid w:val="00410EE4"/>
    <w:rsid w:val="00412014"/>
    <w:rsid w:val="00412032"/>
    <w:rsid w:val="00413BD5"/>
    <w:rsid w:val="00413FEE"/>
    <w:rsid w:val="00414320"/>
    <w:rsid w:val="00414A03"/>
    <w:rsid w:val="00414B67"/>
    <w:rsid w:val="0041557B"/>
    <w:rsid w:val="00415D5A"/>
    <w:rsid w:val="00416366"/>
    <w:rsid w:val="004163C7"/>
    <w:rsid w:val="00416730"/>
    <w:rsid w:val="00416D0D"/>
    <w:rsid w:val="004205C4"/>
    <w:rsid w:val="00420B53"/>
    <w:rsid w:val="00421889"/>
    <w:rsid w:val="0042188B"/>
    <w:rsid w:val="00421F39"/>
    <w:rsid w:val="0042201F"/>
    <w:rsid w:val="00422C13"/>
    <w:rsid w:val="004233E7"/>
    <w:rsid w:val="00424486"/>
    <w:rsid w:val="0042488D"/>
    <w:rsid w:val="00426765"/>
    <w:rsid w:val="004271D0"/>
    <w:rsid w:val="00427C3D"/>
    <w:rsid w:val="00430F62"/>
    <w:rsid w:val="0043154C"/>
    <w:rsid w:val="0043191F"/>
    <w:rsid w:val="00431C02"/>
    <w:rsid w:val="00431E76"/>
    <w:rsid w:val="0043277A"/>
    <w:rsid w:val="00432910"/>
    <w:rsid w:val="004329D4"/>
    <w:rsid w:val="00432C84"/>
    <w:rsid w:val="00433205"/>
    <w:rsid w:val="00433396"/>
    <w:rsid w:val="0043361E"/>
    <w:rsid w:val="00433945"/>
    <w:rsid w:val="00433FB5"/>
    <w:rsid w:val="004343A6"/>
    <w:rsid w:val="00437373"/>
    <w:rsid w:val="0043762E"/>
    <w:rsid w:val="00437B8E"/>
    <w:rsid w:val="00440189"/>
    <w:rsid w:val="00440B93"/>
    <w:rsid w:val="00440D24"/>
    <w:rsid w:val="00440D93"/>
    <w:rsid w:val="0044137B"/>
    <w:rsid w:val="00441472"/>
    <w:rsid w:val="0044155A"/>
    <w:rsid w:val="004418C8"/>
    <w:rsid w:val="004432BC"/>
    <w:rsid w:val="00443F65"/>
    <w:rsid w:val="004442A9"/>
    <w:rsid w:val="00444511"/>
    <w:rsid w:val="00444579"/>
    <w:rsid w:val="00446794"/>
    <w:rsid w:val="004476CD"/>
    <w:rsid w:val="00447E38"/>
    <w:rsid w:val="0045014F"/>
    <w:rsid w:val="00450D8D"/>
    <w:rsid w:val="00450DDD"/>
    <w:rsid w:val="0045155D"/>
    <w:rsid w:val="00451ACB"/>
    <w:rsid w:val="00452DDC"/>
    <w:rsid w:val="00453D61"/>
    <w:rsid w:val="0045410F"/>
    <w:rsid w:val="0045467A"/>
    <w:rsid w:val="00454BEE"/>
    <w:rsid w:val="004557CE"/>
    <w:rsid w:val="00455BD9"/>
    <w:rsid w:val="00455E98"/>
    <w:rsid w:val="004566C7"/>
    <w:rsid w:val="00456A6D"/>
    <w:rsid w:val="00456F7A"/>
    <w:rsid w:val="00460C26"/>
    <w:rsid w:val="00460CEB"/>
    <w:rsid w:val="00460E85"/>
    <w:rsid w:val="004615A7"/>
    <w:rsid w:val="00461F4A"/>
    <w:rsid w:val="004623FC"/>
    <w:rsid w:val="00462485"/>
    <w:rsid w:val="004625A6"/>
    <w:rsid w:val="00462B40"/>
    <w:rsid w:val="00463417"/>
    <w:rsid w:val="004636B7"/>
    <w:rsid w:val="00463931"/>
    <w:rsid w:val="00463DF9"/>
    <w:rsid w:val="00464DF4"/>
    <w:rsid w:val="00465C2A"/>
    <w:rsid w:val="004661DE"/>
    <w:rsid w:val="004661F1"/>
    <w:rsid w:val="00466754"/>
    <w:rsid w:val="00466B53"/>
    <w:rsid w:val="00466F1F"/>
    <w:rsid w:val="0046797A"/>
    <w:rsid w:val="00470376"/>
    <w:rsid w:val="00470520"/>
    <w:rsid w:val="004706FD"/>
    <w:rsid w:val="00471288"/>
    <w:rsid w:val="00471821"/>
    <w:rsid w:val="00471994"/>
    <w:rsid w:val="00471AA4"/>
    <w:rsid w:val="00472021"/>
    <w:rsid w:val="00472A56"/>
    <w:rsid w:val="004733EF"/>
    <w:rsid w:val="00473A5C"/>
    <w:rsid w:val="00473E91"/>
    <w:rsid w:val="00474820"/>
    <w:rsid w:val="00474C29"/>
    <w:rsid w:val="00475A78"/>
    <w:rsid w:val="004773CB"/>
    <w:rsid w:val="00477F7E"/>
    <w:rsid w:val="0048047B"/>
    <w:rsid w:val="0048123F"/>
    <w:rsid w:val="00481456"/>
    <w:rsid w:val="0048237F"/>
    <w:rsid w:val="00482960"/>
    <w:rsid w:val="0048312A"/>
    <w:rsid w:val="00483A71"/>
    <w:rsid w:val="004840A9"/>
    <w:rsid w:val="004844BA"/>
    <w:rsid w:val="00484679"/>
    <w:rsid w:val="0048498F"/>
    <w:rsid w:val="00484CAE"/>
    <w:rsid w:val="00484DC7"/>
    <w:rsid w:val="00485059"/>
    <w:rsid w:val="00485CD1"/>
    <w:rsid w:val="00485E30"/>
    <w:rsid w:val="00485F84"/>
    <w:rsid w:val="00486153"/>
    <w:rsid w:val="00486207"/>
    <w:rsid w:val="0048623D"/>
    <w:rsid w:val="004864AA"/>
    <w:rsid w:val="00486620"/>
    <w:rsid w:val="00486CD6"/>
    <w:rsid w:val="00486EDF"/>
    <w:rsid w:val="00487987"/>
    <w:rsid w:val="00487B15"/>
    <w:rsid w:val="00490A37"/>
    <w:rsid w:val="0049161A"/>
    <w:rsid w:val="00491D5E"/>
    <w:rsid w:val="004923F6"/>
    <w:rsid w:val="00492A3F"/>
    <w:rsid w:val="004933AC"/>
    <w:rsid w:val="00493CA9"/>
    <w:rsid w:val="00493FEA"/>
    <w:rsid w:val="004943B8"/>
    <w:rsid w:val="00494E18"/>
    <w:rsid w:val="00495374"/>
    <w:rsid w:val="004958D3"/>
    <w:rsid w:val="004959E1"/>
    <w:rsid w:val="00495B59"/>
    <w:rsid w:val="00495B6B"/>
    <w:rsid w:val="00497BC1"/>
    <w:rsid w:val="004A0C2B"/>
    <w:rsid w:val="004A0F99"/>
    <w:rsid w:val="004A1912"/>
    <w:rsid w:val="004A1C96"/>
    <w:rsid w:val="004A1E41"/>
    <w:rsid w:val="004A1F27"/>
    <w:rsid w:val="004A2B70"/>
    <w:rsid w:val="004A2B91"/>
    <w:rsid w:val="004A334C"/>
    <w:rsid w:val="004A3972"/>
    <w:rsid w:val="004A3A87"/>
    <w:rsid w:val="004A3E0B"/>
    <w:rsid w:val="004A423E"/>
    <w:rsid w:val="004A4766"/>
    <w:rsid w:val="004A482E"/>
    <w:rsid w:val="004A4A5A"/>
    <w:rsid w:val="004A4CE4"/>
    <w:rsid w:val="004A4FB9"/>
    <w:rsid w:val="004A523B"/>
    <w:rsid w:val="004A5318"/>
    <w:rsid w:val="004A6677"/>
    <w:rsid w:val="004A6D84"/>
    <w:rsid w:val="004A7775"/>
    <w:rsid w:val="004A7792"/>
    <w:rsid w:val="004A7E00"/>
    <w:rsid w:val="004B019A"/>
    <w:rsid w:val="004B115A"/>
    <w:rsid w:val="004B136C"/>
    <w:rsid w:val="004B2B4C"/>
    <w:rsid w:val="004B2FB4"/>
    <w:rsid w:val="004B323B"/>
    <w:rsid w:val="004B3497"/>
    <w:rsid w:val="004B512E"/>
    <w:rsid w:val="004B518D"/>
    <w:rsid w:val="004B6654"/>
    <w:rsid w:val="004B667C"/>
    <w:rsid w:val="004B7368"/>
    <w:rsid w:val="004C0FA8"/>
    <w:rsid w:val="004C11E2"/>
    <w:rsid w:val="004C1906"/>
    <w:rsid w:val="004C24D4"/>
    <w:rsid w:val="004C33CD"/>
    <w:rsid w:val="004C6119"/>
    <w:rsid w:val="004C6BDA"/>
    <w:rsid w:val="004C7BB3"/>
    <w:rsid w:val="004D0177"/>
    <w:rsid w:val="004D030A"/>
    <w:rsid w:val="004D05CD"/>
    <w:rsid w:val="004D0B55"/>
    <w:rsid w:val="004D1358"/>
    <w:rsid w:val="004D176E"/>
    <w:rsid w:val="004D1CA6"/>
    <w:rsid w:val="004D2081"/>
    <w:rsid w:val="004D24DD"/>
    <w:rsid w:val="004D28DA"/>
    <w:rsid w:val="004D367B"/>
    <w:rsid w:val="004D3DB9"/>
    <w:rsid w:val="004D3EAE"/>
    <w:rsid w:val="004D4B50"/>
    <w:rsid w:val="004D5051"/>
    <w:rsid w:val="004D5CE9"/>
    <w:rsid w:val="004D6B42"/>
    <w:rsid w:val="004D6B99"/>
    <w:rsid w:val="004D79D9"/>
    <w:rsid w:val="004E0110"/>
    <w:rsid w:val="004E1253"/>
    <w:rsid w:val="004E148E"/>
    <w:rsid w:val="004E14C4"/>
    <w:rsid w:val="004E23D5"/>
    <w:rsid w:val="004E24A3"/>
    <w:rsid w:val="004E27FE"/>
    <w:rsid w:val="004E45BC"/>
    <w:rsid w:val="004E5A5F"/>
    <w:rsid w:val="004E5F6E"/>
    <w:rsid w:val="004E5FE7"/>
    <w:rsid w:val="004F02A9"/>
    <w:rsid w:val="004F05ED"/>
    <w:rsid w:val="004F0BA1"/>
    <w:rsid w:val="004F0CD8"/>
    <w:rsid w:val="004F17F2"/>
    <w:rsid w:val="004F26E6"/>
    <w:rsid w:val="004F2CE5"/>
    <w:rsid w:val="004F2E7F"/>
    <w:rsid w:val="004F3606"/>
    <w:rsid w:val="004F3A8E"/>
    <w:rsid w:val="004F3A93"/>
    <w:rsid w:val="004F3C06"/>
    <w:rsid w:val="004F4B79"/>
    <w:rsid w:val="004F5432"/>
    <w:rsid w:val="004F5588"/>
    <w:rsid w:val="004F6319"/>
    <w:rsid w:val="004F6CCE"/>
    <w:rsid w:val="004F7E45"/>
    <w:rsid w:val="004F7F81"/>
    <w:rsid w:val="004F7F83"/>
    <w:rsid w:val="005009E2"/>
    <w:rsid w:val="005016C7"/>
    <w:rsid w:val="00502A37"/>
    <w:rsid w:val="00502D3C"/>
    <w:rsid w:val="00502E3B"/>
    <w:rsid w:val="00502E75"/>
    <w:rsid w:val="00503588"/>
    <w:rsid w:val="0050407C"/>
    <w:rsid w:val="00504561"/>
    <w:rsid w:val="005047A4"/>
    <w:rsid w:val="00504F42"/>
    <w:rsid w:val="005056C7"/>
    <w:rsid w:val="0050578D"/>
    <w:rsid w:val="00505D46"/>
    <w:rsid w:val="00506C33"/>
    <w:rsid w:val="00511300"/>
    <w:rsid w:val="005115E7"/>
    <w:rsid w:val="005116A0"/>
    <w:rsid w:val="00512FA6"/>
    <w:rsid w:val="0051353A"/>
    <w:rsid w:val="00513570"/>
    <w:rsid w:val="00514021"/>
    <w:rsid w:val="00514031"/>
    <w:rsid w:val="0051412A"/>
    <w:rsid w:val="00514862"/>
    <w:rsid w:val="00515DF5"/>
    <w:rsid w:val="005163A1"/>
    <w:rsid w:val="005169AD"/>
    <w:rsid w:val="005169CC"/>
    <w:rsid w:val="00516E75"/>
    <w:rsid w:val="00517870"/>
    <w:rsid w:val="00517A29"/>
    <w:rsid w:val="00517EC3"/>
    <w:rsid w:val="00521168"/>
    <w:rsid w:val="005211F4"/>
    <w:rsid w:val="005215BE"/>
    <w:rsid w:val="005227C7"/>
    <w:rsid w:val="00522E6B"/>
    <w:rsid w:val="00523022"/>
    <w:rsid w:val="0052380C"/>
    <w:rsid w:val="00523A22"/>
    <w:rsid w:val="00524895"/>
    <w:rsid w:val="005251D8"/>
    <w:rsid w:val="00525EEC"/>
    <w:rsid w:val="0052624E"/>
    <w:rsid w:val="005273A0"/>
    <w:rsid w:val="005273C9"/>
    <w:rsid w:val="00527D0B"/>
    <w:rsid w:val="005306C7"/>
    <w:rsid w:val="00530A6A"/>
    <w:rsid w:val="00534EB2"/>
    <w:rsid w:val="0053576F"/>
    <w:rsid w:val="005401DD"/>
    <w:rsid w:val="00540385"/>
    <w:rsid w:val="00540615"/>
    <w:rsid w:val="00540CEA"/>
    <w:rsid w:val="00541D39"/>
    <w:rsid w:val="0054244E"/>
    <w:rsid w:val="00542679"/>
    <w:rsid w:val="00542C7A"/>
    <w:rsid w:val="00542E92"/>
    <w:rsid w:val="00543140"/>
    <w:rsid w:val="005432D9"/>
    <w:rsid w:val="005432E7"/>
    <w:rsid w:val="0054381F"/>
    <w:rsid w:val="00543A05"/>
    <w:rsid w:val="00543A34"/>
    <w:rsid w:val="00543FCD"/>
    <w:rsid w:val="00544F02"/>
    <w:rsid w:val="00544F92"/>
    <w:rsid w:val="00545AF9"/>
    <w:rsid w:val="005460AC"/>
    <w:rsid w:val="00546FB9"/>
    <w:rsid w:val="00547C15"/>
    <w:rsid w:val="0055005F"/>
    <w:rsid w:val="005501DE"/>
    <w:rsid w:val="005503FB"/>
    <w:rsid w:val="005507A9"/>
    <w:rsid w:val="00550C94"/>
    <w:rsid w:val="00550CAE"/>
    <w:rsid w:val="00552324"/>
    <w:rsid w:val="005523C6"/>
    <w:rsid w:val="00553166"/>
    <w:rsid w:val="005531AB"/>
    <w:rsid w:val="005532BD"/>
    <w:rsid w:val="005537D6"/>
    <w:rsid w:val="00553A0A"/>
    <w:rsid w:val="00554F63"/>
    <w:rsid w:val="00555287"/>
    <w:rsid w:val="005553CC"/>
    <w:rsid w:val="0055563F"/>
    <w:rsid w:val="00556F51"/>
    <w:rsid w:val="005575C7"/>
    <w:rsid w:val="00557E6B"/>
    <w:rsid w:val="00560A88"/>
    <w:rsid w:val="00560F24"/>
    <w:rsid w:val="0056192A"/>
    <w:rsid w:val="00561A02"/>
    <w:rsid w:val="00562172"/>
    <w:rsid w:val="005622AC"/>
    <w:rsid w:val="00562917"/>
    <w:rsid w:val="00562A5E"/>
    <w:rsid w:val="00563F3D"/>
    <w:rsid w:val="00564326"/>
    <w:rsid w:val="005652A2"/>
    <w:rsid w:val="00565991"/>
    <w:rsid w:val="0056599B"/>
    <w:rsid w:val="00565AF8"/>
    <w:rsid w:val="00565CFC"/>
    <w:rsid w:val="00567253"/>
    <w:rsid w:val="005673F8"/>
    <w:rsid w:val="005676BB"/>
    <w:rsid w:val="00567BC3"/>
    <w:rsid w:val="00567C48"/>
    <w:rsid w:val="0057057C"/>
    <w:rsid w:val="00571417"/>
    <w:rsid w:val="00571664"/>
    <w:rsid w:val="00571994"/>
    <w:rsid w:val="00571C13"/>
    <w:rsid w:val="00573845"/>
    <w:rsid w:val="005738AC"/>
    <w:rsid w:val="00573BBC"/>
    <w:rsid w:val="00573E85"/>
    <w:rsid w:val="005740A6"/>
    <w:rsid w:val="00574981"/>
    <w:rsid w:val="005751DA"/>
    <w:rsid w:val="005756FD"/>
    <w:rsid w:val="005757F2"/>
    <w:rsid w:val="00575DDE"/>
    <w:rsid w:val="005764A6"/>
    <w:rsid w:val="00576845"/>
    <w:rsid w:val="00577284"/>
    <w:rsid w:val="0058012F"/>
    <w:rsid w:val="00580301"/>
    <w:rsid w:val="00580888"/>
    <w:rsid w:val="00581949"/>
    <w:rsid w:val="005826F6"/>
    <w:rsid w:val="00582C24"/>
    <w:rsid w:val="00582CCD"/>
    <w:rsid w:val="00582D69"/>
    <w:rsid w:val="005843A2"/>
    <w:rsid w:val="005844F4"/>
    <w:rsid w:val="005856F6"/>
    <w:rsid w:val="00585B44"/>
    <w:rsid w:val="00585E3F"/>
    <w:rsid w:val="0058635A"/>
    <w:rsid w:val="00586540"/>
    <w:rsid w:val="005865DB"/>
    <w:rsid w:val="00586CE8"/>
    <w:rsid w:val="005876BB"/>
    <w:rsid w:val="005901BF"/>
    <w:rsid w:val="005904F3"/>
    <w:rsid w:val="0059082C"/>
    <w:rsid w:val="00591CE1"/>
    <w:rsid w:val="00591E92"/>
    <w:rsid w:val="005926EF"/>
    <w:rsid w:val="0059274D"/>
    <w:rsid w:val="005937F6"/>
    <w:rsid w:val="0059388E"/>
    <w:rsid w:val="00593A51"/>
    <w:rsid w:val="00594A97"/>
    <w:rsid w:val="00594AE7"/>
    <w:rsid w:val="0059571F"/>
    <w:rsid w:val="00597264"/>
    <w:rsid w:val="005974D0"/>
    <w:rsid w:val="005A0596"/>
    <w:rsid w:val="005A068B"/>
    <w:rsid w:val="005A08CC"/>
    <w:rsid w:val="005A0EC3"/>
    <w:rsid w:val="005A140A"/>
    <w:rsid w:val="005A244D"/>
    <w:rsid w:val="005A2D11"/>
    <w:rsid w:val="005A4AF0"/>
    <w:rsid w:val="005A5CE0"/>
    <w:rsid w:val="005A6B77"/>
    <w:rsid w:val="005B0064"/>
    <w:rsid w:val="005B05AC"/>
    <w:rsid w:val="005B06CE"/>
    <w:rsid w:val="005B0B1E"/>
    <w:rsid w:val="005B1548"/>
    <w:rsid w:val="005B2E34"/>
    <w:rsid w:val="005B2EC5"/>
    <w:rsid w:val="005B3723"/>
    <w:rsid w:val="005B38F3"/>
    <w:rsid w:val="005B4331"/>
    <w:rsid w:val="005B45EB"/>
    <w:rsid w:val="005B4BA7"/>
    <w:rsid w:val="005B582A"/>
    <w:rsid w:val="005B5BDC"/>
    <w:rsid w:val="005B5BFD"/>
    <w:rsid w:val="005B694D"/>
    <w:rsid w:val="005C00BB"/>
    <w:rsid w:val="005C05C4"/>
    <w:rsid w:val="005C06DF"/>
    <w:rsid w:val="005C112B"/>
    <w:rsid w:val="005C1419"/>
    <w:rsid w:val="005C18D0"/>
    <w:rsid w:val="005C191D"/>
    <w:rsid w:val="005C1D46"/>
    <w:rsid w:val="005C23D6"/>
    <w:rsid w:val="005C318D"/>
    <w:rsid w:val="005C3569"/>
    <w:rsid w:val="005C367B"/>
    <w:rsid w:val="005C4416"/>
    <w:rsid w:val="005C4424"/>
    <w:rsid w:val="005C49CD"/>
    <w:rsid w:val="005C4E90"/>
    <w:rsid w:val="005D00D4"/>
    <w:rsid w:val="005D09BA"/>
    <w:rsid w:val="005D198E"/>
    <w:rsid w:val="005D1BF2"/>
    <w:rsid w:val="005D1D2A"/>
    <w:rsid w:val="005D1F07"/>
    <w:rsid w:val="005D2020"/>
    <w:rsid w:val="005D24E3"/>
    <w:rsid w:val="005D3C69"/>
    <w:rsid w:val="005D5102"/>
    <w:rsid w:val="005D79A1"/>
    <w:rsid w:val="005E0336"/>
    <w:rsid w:val="005E07F1"/>
    <w:rsid w:val="005E132B"/>
    <w:rsid w:val="005E201C"/>
    <w:rsid w:val="005E275D"/>
    <w:rsid w:val="005E2B73"/>
    <w:rsid w:val="005E2F2A"/>
    <w:rsid w:val="005E4016"/>
    <w:rsid w:val="005E416C"/>
    <w:rsid w:val="005E4F16"/>
    <w:rsid w:val="005E6D50"/>
    <w:rsid w:val="005E70F2"/>
    <w:rsid w:val="005F17D9"/>
    <w:rsid w:val="005F2009"/>
    <w:rsid w:val="005F2053"/>
    <w:rsid w:val="005F2065"/>
    <w:rsid w:val="005F22C5"/>
    <w:rsid w:val="005F24F4"/>
    <w:rsid w:val="005F28D4"/>
    <w:rsid w:val="005F2919"/>
    <w:rsid w:val="005F3422"/>
    <w:rsid w:val="005F3EB2"/>
    <w:rsid w:val="005F4A6E"/>
    <w:rsid w:val="005F4C6C"/>
    <w:rsid w:val="005F4C6D"/>
    <w:rsid w:val="005F608C"/>
    <w:rsid w:val="005F6E78"/>
    <w:rsid w:val="005F79B4"/>
    <w:rsid w:val="00601270"/>
    <w:rsid w:val="00601386"/>
    <w:rsid w:val="0060179D"/>
    <w:rsid w:val="006019E1"/>
    <w:rsid w:val="00601A4A"/>
    <w:rsid w:val="006025A0"/>
    <w:rsid w:val="00603395"/>
    <w:rsid w:val="0060385E"/>
    <w:rsid w:val="006048A7"/>
    <w:rsid w:val="00604DCA"/>
    <w:rsid w:val="00605067"/>
    <w:rsid w:val="00605583"/>
    <w:rsid w:val="006069F3"/>
    <w:rsid w:val="00606A77"/>
    <w:rsid w:val="00607E63"/>
    <w:rsid w:val="0061021F"/>
    <w:rsid w:val="006111A7"/>
    <w:rsid w:val="00611543"/>
    <w:rsid w:val="00611761"/>
    <w:rsid w:val="006139ED"/>
    <w:rsid w:val="006145F2"/>
    <w:rsid w:val="00614944"/>
    <w:rsid w:val="006157DD"/>
    <w:rsid w:val="00615B35"/>
    <w:rsid w:val="00615C7D"/>
    <w:rsid w:val="00615DD6"/>
    <w:rsid w:val="006161C4"/>
    <w:rsid w:val="00616212"/>
    <w:rsid w:val="006164D8"/>
    <w:rsid w:val="00616685"/>
    <w:rsid w:val="00616F1B"/>
    <w:rsid w:val="00620011"/>
    <w:rsid w:val="0062023C"/>
    <w:rsid w:val="006217BA"/>
    <w:rsid w:val="0062199B"/>
    <w:rsid w:val="00621C75"/>
    <w:rsid w:val="00621F8E"/>
    <w:rsid w:val="006229E0"/>
    <w:rsid w:val="00622CA0"/>
    <w:rsid w:val="006236ED"/>
    <w:rsid w:val="00624177"/>
    <w:rsid w:val="006246DC"/>
    <w:rsid w:val="00624701"/>
    <w:rsid w:val="0062525E"/>
    <w:rsid w:val="00625CBA"/>
    <w:rsid w:val="00625DA4"/>
    <w:rsid w:val="00626E87"/>
    <w:rsid w:val="006300EC"/>
    <w:rsid w:val="00630434"/>
    <w:rsid w:val="00630BF9"/>
    <w:rsid w:val="00630EE3"/>
    <w:rsid w:val="00631194"/>
    <w:rsid w:val="006311D1"/>
    <w:rsid w:val="00631ED5"/>
    <w:rsid w:val="006327AD"/>
    <w:rsid w:val="00632963"/>
    <w:rsid w:val="00633457"/>
    <w:rsid w:val="0063558A"/>
    <w:rsid w:val="00635F40"/>
    <w:rsid w:val="0063706B"/>
    <w:rsid w:val="00640994"/>
    <w:rsid w:val="006409C6"/>
    <w:rsid w:val="00642201"/>
    <w:rsid w:val="0064418C"/>
    <w:rsid w:val="00645C81"/>
    <w:rsid w:val="006465FA"/>
    <w:rsid w:val="00646664"/>
    <w:rsid w:val="00646766"/>
    <w:rsid w:val="00646A22"/>
    <w:rsid w:val="00647357"/>
    <w:rsid w:val="0064756F"/>
    <w:rsid w:val="00647C6A"/>
    <w:rsid w:val="00647E40"/>
    <w:rsid w:val="006507BF"/>
    <w:rsid w:val="0065088E"/>
    <w:rsid w:val="006511FD"/>
    <w:rsid w:val="006513B0"/>
    <w:rsid w:val="00651633"/>
    <w:rsid w:val="00652181"/>
    <w:rsid w:val="00652620"/>
    <w:rsid w:val="00653AE2"/>
    <w:rsid w:val="006545E7"/>
    <w:rsid w:val="00654A19"/>
    <w:rsid w:val="00655653"/>
    <w:rsid w:val="00655974"/>
    <w:rsid w:val="0065602D"/>
    <w:rsid w:val="00656590"/>
    <w:rsid w:val="00656EA6"/>
    <w:rsid w:val="006574A0"/>
    <w:rsid w:val="00660DF5"/>
    <w:rsid w:val="00661413"/>
    <w:rsid w:val="00661979"/>
    <w:rsid w:val="00662794"/>
    <w:rsid w:val="006629CB"/>
    <w:rsid w:val="006632AA"/>
    <w:rsid w:val="00663327"/>
    <w:rsid w:val="00663893"/>
    <w:rsid w:val="00664561"/>
    <w:rsid w:val="00664E15"/>
    <w:rsid w:val="00664FED"/>
    <w:rsid w:val="006650DE"/>
    <w:rsid w:val="006653BF"/>
    <w:rsid w:val="00666776"/>
    <w:rsid w:val="00666C50"/>
    <w:rsid w:val="00667D3D"/>
    <w:rsid w:val="0067038E"/>
    <w:rsid w:val="00670441"/>
    <w:rsid w:val="0067114A"/>
    <w:rsid w:val="006714B0"/>
    <w:rsid w:val="0067294C"/>
    <w:rsid w:val="00672B82"/>
    <w:rsid w:val="00673248"/>
    <w:rsid w:val="00673AB0"/>
    <w:rsid w:val="0067403E"/>
    <w:rsid w:val="0067464B"/>
    <w:rsid w:val="00674855"/>
    <w:rsid w:val="006749B9"/>
    <w:rsid w:val="00674EBA"/>
    <w:rsid w:val="00675E44"/>
    <w:rsid w:val="00675F0B"/>
    <w:rsid w:val="0067645B"/>
    <w:rsid w:val="006766B0"/>
    <w:rsid w:val="006766D6"/>
    <w:rsid w:val="00677A57"/>
    <w:rsid w:val="00677DF1"/>
    <w:rsid w:val="0068026B"/>
    <w:rsid w:val="0068037A"/>
    <w:rsid w:val="0068058A"/>
    <w:rsid w:val="00680964"/>
    <w:rsid w:val="0068099F"/>
    <w:rsid w:val="00680FD4"/>
    <w:rsid w:val="0068111B"/>
    <w:rsid w:val="00681168"/>
    <w:rsid w:val="00681922"/>
    <w:rsid w:val="00681A84"/>
    <w:rsid w:val="006827F2"/>
    <w:rsid w:val="00682CD2"/>
    <w:rsid w:val="00683264"/>
    <w:rsid w:val="0068356F"/>
    <w:rsid w:val="00683877"/>
    <w:rsid w:val="00683E05"/>
    <w:rsid w:val="00684EA8"/>
    <w:rsid w:val="006855E0"/>
    <w:rsid w:val="00685F37"/>
    <w:rsid w:val="006863E8"/>
    <w:rsid w:val="0068681C"/>
    <w:rsid w:val="006873AD"/>
    <w:rsid w:val="00690D80"/>
    <w:rsid w:val="006911D7"/>
    <w:rsid w:val="00691746"/>
    <w:rsid w:val="006918A0"/>
    <w:rsid w:val="00692BBB"/>
    <w:rsid w:val="006930B8"/>
    <w:rsid w:val="00693329"/>
    <w:rsid w:val="0069393C"/>
    <w:rsid w:val="00693E25"/>
    <w:rsid w:val="00694403"/>
    <w:rsid w:val="00694544"/>
    <w:rsid w:val="00694734"/>
    <w:rsid w:val="0069475F"/>
    <w:rsid w:val="00695C51"/>
    <w:rsid w:val="00696A21"/>
    <w:rsid w:val="00696C60"/>
    <w:rsid w:val="00697F3F"/>
    <w:rsid w:val="006A1541"/>
    <w:rsid w:val="006A16FA"/>
    <w:rsid w:val="006A181B"/>
    <w:rsid w:val="006A254E"/>
    <w:rsid w:val="006A2860"/>
    <w:rsid w:val="006A3385"/>
    <w:rsid w:val="006A33DC"/>
    <w:rsid w:val="006A3507"/>
    <w:rsid w:val="006A3E28"/>
    <w:rsid w:val="006A46EF"/>
    <w:rsid w:val="006A58FF"/>
    <w:rsid w:val="006A5944"/>
    <w:rsid w:val="006A5E66"/>
    <w:rsid w:val="006A6204"/>
    <w:rsid w:val="006A6440"/>
    <w:rsid w:val="006A6BA9"/>
    <w:rsid w:val="006A742B"/>
    <w:rsid w:val="006A7765"/>
    <w:rsid w:val="006A7A8F"/>
    <w:rsid w:val="006B07AE"/>
    <w:rsid w:val="006B1161"/>
    <w:rsid w:val="006B1257"/>
    <w:rsid w:val="006B17BF"/>
    <w:rsid w:val="006B1BAC"/>
    <w:rsid w:val="006B28BC"/>
    <w:rsid w:val="006B3555"/>
    <w:rsid w:val="006B417D"/>
    <w:rsid w:val="006B4A2A"/>
    <w:rsid w:val="006B4CD8"/>
    <w:rsid w:val="006B6112"/>
    <w:rsid w:val="006B6AD4"/>
    <w:rsid w:val="006B7EE0"/>
    <w:rsid w:val="006C079C"/>
    <w:rsid w:val="006C0CA6"/>
    <w:rsid w:val="006C1AA2"/>
    <w:rsid w:val="006C1B38"/>
    <w:rsid w:val="006C1B8C"/>
    <w:rsid w:val="006C2A05"/>
    <w:rsid w:val="006C2E2C"/>
    <w:rsid w:val="006C304D"/>
    <w:rsid w:val="006C343E"/>
    <w:rsid w:val="006C389A"/>
    <w:rsid w:val="006C41E9"/>
    <w:rsid w:val="006C46D8"/>
    <w:rsid w:val="006C47E4"/>
    <w:rsid w:val="006C50EB"/>
    <w:rsid w:val="006C5370"/>
    <w:rsid w:val="006C55B9"/>
    <w:rsid w:val="006C58A7"/>
    <w:rsid w:val="006C6519"/>
    <w:rsid w:val="006C6AB6"/>
    <w:rsid w:val="006C6FB8"/>
    <w:rsid w:val="006C7288"/>
    <w:rsid w:val="006C7AA2"/>
    <w:rsid w:val="006D0CBD"/>
    <w:rsid w:val="006D0D88"/>
    <w:rsid w:val="006D105C"/>
    <w:rsid w:val="006D113A"/>
    <w:rsid w:val="006D17F2"/>
    <w:rsid w:val="006D1FA3"/>
    <w:rsid w:val="006D262B"/>
    <w:rsid w:val="006D361A"/>
    <w:rsid w:val="006D3A08"/>
    <w:rsid w:val="006D3B45"/>
    <w:rsid w:val="006D3CB3"/>
    <w:rsid w:val="006D3E47"/>
    <w:rsid w:val="006D4ECE"/>
    <w:rsid w:val="006D56A1"/>
    <w:rsid w:val="006D6C7C"/>
    <w:rsid w:val="006D70A4"/>
    <w:rsid w:val="006D771B"/>
    <w:rsid w:val="006D77B0"/>
    <w:rsid w:val="006D789A"/>
    <w:rsid w:val="006D7902"/>
    <w:rsid w:val="006D7A0B"/>
    <w:rsid w:val="006E06CB"/>
    <w:rsid w:val="006E0BDB"/>
    <w:rsid w:val="006E249A"/>
    <w:rsid w:val="006E24C8"/>
    <w:rsid w:val="006E24D5"/>
    <w:rsid w:val="006E2D4E"/>
    <w:rsid w:val="006E327E"/>
    <w:rsid w:val="006E3400"/>
    <w:rsid w:val="006E3A0E"/>
    <w:rsid w:val="006E43D7"/>
    <w:rsid w:val="006E60CD"/>
    <w:rsid w:val="006E71DD"/>
    <w:rsid w:val="006E7AA0"/>
    <w:rsid w:val="006E7E8A"/>
    <w:rsid w:val="006F0543"/>
    <w:rsid w:val="006F08B4"/>
    <w:rsid w:val="006F0F25"/>
    <w:rsid w:val="006F2131"/>
    <w:rsid w:val="006F2314"/>
    <w:rsid w:val="006F2F25"/>
    <w:rsid w:val="006F38E7"/>
    <w:rsid w:val="006F46A6"/>
    <w:rsid w:val="006F4758"/>
    <w:rsid w:val="006F4C62"/>
    <w:rsid w:val="006F4F04"/>
    <w:rsid w:val="006F54F2"/>
    <w:rsid w:val="006F5A05"/>
    <w:rsid w:val="006F5C79"/>
    <w:rsid w:val="006F6A91"/>
    <w:rsid w:val="006F7E34"/>
    <w:rsid w:val="00700422"/>
    <w:rsid w:val="00700859"/>
    <w:rsid w:val="007009C3"/>
    <w:rsid w:val="007020AC"/>
    <w:rsid w:val="00702201"/>
    <w:rsid w:val="007024D6"/>
    <w:rsid w:val="0070264E"/>
    <w:rsid w:val="007029A8"/>
    <w:rsid w:val="007033C2"/>
    <w:rsid w:val="00703C9C"/>
    <w:rsid w:val="007040AF"/>
    <w:rsid w:val="00704116"/>
    <w:rsid w:val="00704822"/>
    <w:rsid w:val="00705298"/>
    <w:rsid w:val="007065B2"/>
    <w:rsid w:val="007067C3"/>
    <w:rsid w:val="00706AC8"/>
    <w:rsid w:val="0070781A"/>
    <w:rsid w:val="00707F31"/>
    <w:rsid w:val="00710554"/>
    <w:rsid w:val="00710B2C"/>
    <w:rsid w:val="00711082"/>
    <w:rsid w:val="00711B1D"/>
    <w:rsid w:val="00713A45"/>
    <w:rsid w:val="00714551"/>
    <w:rsid w:val="00714A0F"/>
    <w:rsid w:val="00714AE6"/>
    <w:rsid w:val="00714E37"/>
    <w:rsid w:val="00714FB7"/>
    <w:rsid w:val="007151C5"/>
    <w:rsid w:val="00715239"/>
    <w:rsid w:val="00715C66"/>
    <w:rsid w:val="007177ED"/>
    <w:rsid w:val="00717AD8"/>
    <w:rsid w:val="00717D13"/>
    <w:rsid w:val="00717F09"/>
    <w:rsid w:val="00720A85"/>
    <w:rsid w:val="00720CD3"/>
    <w:rsid w:val="007212FA"/>
    <w:rsid w:val="0072139C"/>
    <w:rsid w:val="007214A3"/>
    <w:rsid w:val="00721B39"/>
    <w:rsid w:val="00721C23"/>
    <w:rsid w:val="00721FA6"/>
    <w:rsid w:val="007225D8"/>
    <w:rsid w:val="007237D7"/>
    <w:rsid w:val="00724451"/>
    <w:rsid w:val="007249B7"/>
    <w:rsid w:val="00724B1B"/>
    <w:rsid w:val="0072626D"/>
    <w:rsid w:val="007265B4"/>
    <w:rsid w:val="007276A2"/>
    <w:rsid w:val="00727B64"/>
    <w:rsid w:val="00727B85"/>
    <w:rsid w:val="007304DB"/>
    <w:rsid w:val="00730CE4"/>
    <w:rsid w:val="00730FD9"/>
    <w:rsid w:val="00731689"/>
    <w:rsid w:val="0073197C"/>
    <w:rsid w:val="0073304A"/>
    <w:rsid w:val="00733088"/>
    <w:rsid w:val="00733308"/>
    <w:rsid w:val="00733537"/>
    <w:rsid w:val="00733956"/>
    <w:rsid w:val="00733D2C"/>
    <w:rsid w:val="00735A99"/>
    <w:rsid w:val="0073640A"/>
    <w:rsid w:val="0073655C"/>
    <w:rsid w:val="00736F5E"/>
    <w:rsid w:val="00737063"/>
    <w:rsid w:val="0073779F"/>
    <w:rsid w:val="00737BA8"/>
    <w:rsid w:val="0074075A"/>
    <w:rsid w:val="00740A1D"/>
    <w:rsid w:val="00740B7F"/>
    <w:rsid w:val="00740C2A"/>
    <w:rsid w:val="00740CFF"/>
    <w:rsid w:val="00740D35"/>
    <w:rsid w:val="007436A6"/>
    <w:rsid w:val="007436E1"/>
    <w:rsid w:val="00743885"/>
    <w:rsid w:val="007448B8"/>
    <w:rsid w:val="00744BD8"/>
    <w:rsid w:val="00744D2E"/>
    <w:rsid w:val="00745E47"/>
    <w:rsid w:val="00745FB0"/>
    <w:rsid w:val="0074619B"/>
    <w:rsid w:val="00746CDA"/>
    <w:rsid w:val="00747AF9"/>
    <w:rsid w:val="007501E4"/>
    <w:rsid w:val="00750315"/>
    <w:rsid w:val="0075192A"/>
    <w:rsid w:val="00752DAA"/>
    <w:rsid w:val="00752F7F"/>
    <w:rsid w:val="00753449"/>
    <w:rsid w:val="007541B8"/>
    <w:rsid w:val="0075435B"/>
    <w:rsid w:val="00754C78"/>
    <w:rsid w:val="00754C9A"/>
    <w:rsid w:val="007559A9"/>
    <w:rsid w:val="0075659F"/>
    <w:rsid w:val="00756940"/>
    <w:rsid w:val="00757A04"/>
    <w:rsid w:val="007606CE"/>
    <w:rsid w:val="007613B8"/>
    <w:rsid w:val="00761E47"/>
    <w:rsid w:val="00761F64"/>
    <w:rsid w:val="0076215F"/>
    <w:rsid w:val="00762392"/>
    <w:rsid w:val="00762D26"/>
    <w:rsid w:val="007631D7"/>
    <w:rsid w:val="00763ABE"/>
    <w:rsid w:val="00764B18"/>
    <w:rsid w:val="007650D1"/>
    <w:rsid w:val="00765965"/>
    <w:rsid w:val="0076632C"/>
    <w:rsid w:val="007669DB"/>
    <w:rsid w:val="00770124"/>
    <w:rsid w:val="0077026C"/>
    <w:rsid w:val="007717B0"/>
    <w:rsid w:val="00771E25"/>
    <w:rsid w:val="00772222"/>
    <w:rsid w:val="007722F8"/>
    <w:rsid w:val="0077265D"/>
    <w:rsid w:val="00772BEA"/>
    <w:rsid w:val="00773218"/>
    <w:rsid w:val="00773794"/>
    <w:rsid w:val="00773DB9"/>
    <w:rsid w:val="00774767"/>
    <w:rsid w:val="00774796"/>
    <w:rsid w:val="0077529E"/>
    <w:rsid w:val="00775FAD"/>
    <w:rsid w:val="00776396"/>
    <w:rsid w:val="007763F4"/>
    <w:rsid w:val="0077651A"/>
    <w:rsid w:val="00780DB2"/>
    <w:rsid w:val="00780FE3"/>
    <w:rsid w:val="007817ED"/>
    <w:rsid w:val="0078199D"/>
    <w:rsid w:val="00782D7A"/>
    <w:rsid w:val="0078361A"/>
    <w:rsid w:val="00783EDB"/>
    <w:rsid w:val="00783F66"/>
    <w:rsid w:val="0078460E"/>
    <w:rsid w:val="00784A08"/>
    <w:rsid w:val="00785B1A"/>
    <w:rsid w:val="00785C9C"/>
    <w:rsid w:val="00785E8E"/>
    <w:rsid w:val="0078616D"/>
    <w:rsid w:val="00786572"/>
    <w:rsid w:val="007867F4"/>
    <w:rsid w:val="0078687F"/>
    <w:rsid w:val="00786B71"/>
    <w:rsid w:val="0078724F"/>
    <w:rsid w:val="00787336"/>
    <w:rsid w:val="007873DB"/>
    <w:rsid w:val="00787CC7"/>
    <w:rsid w:val="007915BD"/>
    <w:rsid w:val="007923E2"/>
    <w:rsid w:val="00792C0D"/>
    <w:rsid w:val="0079329A"/>
    <w:rsid w:val="007932E0"/>
    <w:rsid w:val="00793E5F"/>
    <w:rsid w:val="00793FA3"/>
    <w:rsid w:val="00794028"/>
    <w:rsid w:val="00796201"/>
    <w:rsid w:val="00797411"/>
    <w:rsid w:val="00797532"/>
    <w:rsid w:val="007979F2"/>
    <w:rsid w:val="00797E01"/>
    <w:rsid w:val="007A0845"/>
    <w:rsid w:val="007A0B9F"/>
    <w:rsid w:val="007A1BCB"/>
    <w:rsid w:val="007A1E46"/>
    <w:rsid w:val="007A1E4B"/>
    <w:rsid w:val="007A204B"/>
    <w:rsid w:val="007A2F8B"/>
    <w:rsid w:val="007A33C8"/>
    <w:rsid w:val="007A33DA"/>
    <w:rsid w:val="007A373B"/>
    <w:rsid w:val="007A3BF6"/>
    <w:rsid w:val="007A42E0"/>
    <w:rsid w:val="007A4392"/>
    <w:rsid w:val="007A4569"/>
    <w:rsid w:val="007A4844"/>
    <w:rsid w:val="007A4D46"/>
    <w:rsid w:val="007A50CF"/>
    <w:rsid w:val="007A5126"/>
    <w:rsid w:val="007A529F"/>
    <w:rsid w:val="007A55C1"/>
    <w:rsid w:val="007A5BFB"/>
    <w:rsid w:val="007A6883"/>
    <w:rsid w:val="007A7A94"/>
    <w:rsid w:val="007A7B91"/>
    <w:rsid w:val="007B07F2"/>
    <w:rsid w:val="007B1556"/>
    <w:rsid w:val="007B2AA5"/>
    <w:rsid w:val="007B32AB"/>
    <w:rsid w:val="007B40E9"/>
    <w:rsid w:val="007B4377"/>
    <w:rsid w:val="007B4538"/>
    <w:rsid w:val="007B4D20"/>
    <w:rsid w:val="007B5250"/>
    <w:rsid w:val="007B56FC"/>
    <w:rsid w:val="007B62BF"/>
    <w:rsid w:val="007B6386"/>
    <w:rsid w:val="007B6512"/>
    <w:rsid w:val="007B6769"/>
    <w:rsid w:val="007B7808"/>
    <w:rsid w:val="007B7BBA"/>
    <w:rsid w:val="007B7D32"/>
    <w:rsid w:val="007C08A8"/>
    <w:rsid w:val="007C0D52"/>
    <w:rsid w:val="007C1CB1"/>
    <w:rsid w:val="007C27EC"/>
    <w:rsid w:val="007C28C3"/>
    <w:rsid w:val="007C2CC4"/>
    <w:rsid w:val="007C3683"/>
    <w:rsid w:val="007C3A22"/>
    <w:rsid w:val="007C3E8B"/>
    <w:rsid w:val="007C3EE8"/>
    <w:rsid w:val="007C5420"/>
    <w:rsid w:val="007C6131"/>
    <w:rsid w:val="007C6264"/>
    <w:rsid w:val="007C67D9"/>
    <w:rsid w:val="007C714F"/>
    <w:rsid w:val="007C7459"/>
    <w:rsid w:val="007D13A3"/>
    <w:rsid w:val="007D13FB"/>
    <w:rsid w:val="007D2543"/>
    <w:rsid w:val="007D2CAF"/>
    <w:rsid w:val="007D36D0"/>
    <w:rsid w:val="007D3961"/>
    <w:rsid w:val="007D4029"/>
    <w:rsid w:val="007D4371"/>
    <w:rsid w:val="007D50CF"/>
    <w:rsid w:val="007D59E8"/>
    <w:rsid w:val="007D6103"/>
    <w:rsid w:val="007D6CBF"/>
    <w:rsid w:val="007D7077"/>
    <w:rsid w:val="007D7462"/>
    <w:rsid w:val="007D7BC8"/>
    <w:rsid w:val="007E082C"/>
    <w:rsid w:val="007E0F18"/>
    <w:rsid w:val="007E1187"/>
    <w:rsid w:val="007E189F"/>
    <w:rsid w:val="007E1D2F"/>
    <w:rsid w:val="007E212A"/>
    <w:rsid w:val="007E2399"/>
    <w:rsid w:val="007E24BE"/>
    <w:rsid w:val="007E2A4E"/>
    <w:rsid w:val="007E2BD0"/>
    <w:rsid w:val="007E32F1"/>
    <w:rsid w:val="007E3CCD"/>
    <w:rsid w:val="007E4B15"/>
    <w:rsid w:val="007E5AD2"/>
    <w:rsid w:val="007E5E09"/>
    <w:rsid w:val="007E6749"/>
    <w:rsid w:val="007E6A54"/>
    <w:rsid w:val="007E7050"/>
    <w:rsid w:val="007E7B69"/>
    <w:rsid w:val="007F0585"/>
    <w:rsid w:val="007F0D0B"/>
    <w:rsid w:val="007F0D3D"/>
    <w:rsid w:val="007F105C"/>
    <w:rsid w:val="007F141E"/>
    <w:rsid w:val="007F1EC2"/>
    <w:rsid w:val="007F22A7"/>
    <w:rsid w:val="007F2432"/>
    <w:rsid w:val="007F2D77"/>
    <w:rsid w:val="007F382D"/>
    <w:rsid w:val="007F435F"/>
    <w:rsid w:val="007F45C2"/>
    <w:rsid w:val="007F4878"/>
    <w:rsid w:val="007F4D7C"/>
    <w:rsid w:val="007F4E30"/>
    <w:rsid w:val="007F4F82"/>
    <w:rsid w:val="007F5240"/>
    <w:rsid w:val="007F5263"/>
    <w:rsid w:val="007F573C"/>
    <w:rsid w:val="007F5B59"/>
    <w:rsid w:val="007F6022"/>
    <w:rsid w:val="007F62C6"/>
    <w:rsid w:val="007F6F33"/>
    <w:rsid w:val="00800005"/>
    <w:rsid w:val="00801AAF"/>
    <w:rsid w:val="00801FF9"/>
    <w:rsid w:val="00802227"/>
    <w:rsid w:val="00802A85"/>
    <w:rsid w:val="00804132"/>
    <w:rsid w:val="00804F4B"/>
    <w:rsid w:val="008057D5"/>
    <w:rsid w:val="00805A99"/>
    <w:rsid w:val="00805B6E"/>
    <w:rsid w:val="00805EC9"/>
    <w:rsid w:val="00806025"/>
    <w:rsid w:val="0080710C"/>
    <w:rsid w:val="008078F4"/>
    <w:rsid w:val="00810207"/>
    <w:rsid w:val="00811325"/>
    <w:rsid w:val="0081143F"/>
    <w:rsid w:val="00811A0E"/>
    <w:rsid w:val="00812C1D"/>
    <w:rsid w:val="008136CB"/>
    <w:rsid w:val="00813E82"/>
    <w:rsid w:val="00813F1B"/>
    <w:rsid w:val="008144FC"/>
    <w:rsid w:val="0081469D"/>
    <w:rsid w:val="00814920"/>
    <w:rsid w:val="00814DFA"/>
    <w:rsid w:val="0081526B"/>
    <w:rsid w:val="00815AF6"/>
    <w:rsid w:val="008166B2"/>
    <w:rsid w:val="00816B70"/>
    <w:rsid w:val="008174EF"/>
    <w:rsid w:val="008202EE"/>
    <w:rsid w:val="008206CA"/>
    <w:rsid w:val="00821997"/>
    <w:rsid w:val="00821AD8"/>
    <w:rsid w:val="0082224E"/>
    <w:rsid w:val="008229A9"/>
    <w:rsid w:val="00823349"/>
    <w:rsid w:val="008234F5"/>
    <w:rsid w:val="0082388C"/>
    <w:rsid w:val="0082388D"/>
    <w:rsid w:val="00824289"/>
    <w:rsid w:val="00824827"/>
    <w:rsid w:val="00824E4B"/>
    <w:rsid w:val="00825207"/>
    <w:rsid w:val="0082545D"/>
    <w:rsid w:val="00826431"/>
    <w:rsid w:val="00827AED"/>
    <w:rsid w:val="00830017"/>
    <w:rsid w:val="00830728"/>
    <w:rsid w:val="00831F7A"/>
    <w:rsid w:val="00832A95"/>
    <w:rsid w:val="00832B07"/>
    <w:rsid w:val="00833C4A"/>
    <w:rsid w:val="00833FA6"/>
    <w:rsid w:val="0083429C"/>
    <w:rsid w:val="00834A44"/>
    <w:rsid w:val="008351F0"/>
    <w:rsid w:val="00835D29"/>
    <w:rsid w:val="00835D4F"/>
    <w:rsid w:val="00836405"/>
    <w:rsid w:val="0083673D"/>
    <w:rsid w:val="00836B0B"/>
    <w:rsid w:val="008376B7"/>
    <w:rsid w:val="00840180"/>
    <w:rsid w:val="00840EC0"/>
    <w:rsid w:val="00842C43"/>
    <w:rsid w:val="00842D64"/>
    <w:rsid w:val="00842E4F"/>
    <w:rsid w:val="00843627"/>
    <w:rsid w:val="00843B0F"/>
    <w:rsid w:val="00844F22"/>
    <w:rsid w:val="00844F80"/>
    <w:rsid w:val="00845170"/>
    <w:rsid w:val="008453F1"/>
    <w:rsid w:val="00846A53"/>
    <w:rsid w:val="00846EDB"/>
    <w:rsid w:val="0084772E"/>
    <w:rsid w:val="008508A4"/>
    <w:rsid w:val="0085115B"/>
    <w:rsid w:val="0085197B"/>
    <w:rsid w:val="0085199E"/>
    <w:rsid w:val="00851C69"/>
    <w:rsid w:val="008530D9"/>
    <w:rsid w:val="00853770"/>
    <w:rsid w:val="00853A26"/>
    <w:rsid w:val="008544C2"/>
    <w:rsid w:val="00854891"/>
    <w:rsid w:val="00854A5E"/>
    <w:rsid w:val="00855150"/>
    <w:rsid w:val="008556D9"/>
    <w:rsid w:val="00855EAE"/>
    <w:rsid w:val="00855EDF"/>
    <w:rsid w:val="008565CC"/>
    <w:rsid w:val="00856D22"/>
    <w:rsid w:val="00857657"/>
    <w:rsid w:val="008576AE"/>
    <w:rsid w:val="00857F88"/>
    <w:rsid w:val="008600E4"/>
    <w:rsid w:val="00860B13"/>
    <w:rsid w:val="00860BCD"/>
    <w:rsid w:val="00860FB8"/>
    <w:rsid w:val="00861029"/>
    <w:rsid w:val="00861520"/>
    <w:rsid w:val="00861A4E"/>
    <w:rsid w:val="00861EBF"/>
    <w:rsid w:val="00863828"/>
    <w:rsid w:val="00863882"/>
    <w:rsid w:val="008638BF"/>
    <w:rsid w:val="00863B89"/>
    <w:rsid w:val="00863F2A"/>
    <w:rsid w:val="00864A68"/>
    <w:rsid w:val="00864DE6"/>
    <w:rsid w:val="00864EA4"/>
    <w:rsid w:val="00865088"/>
    <w:rsid w:val="0086527E"/>
    <w:rsid w:val="00865C3E"/>
    <w:rsid w:val="00865DF6"/>
    <w:rsid w:val="00865F35"/>
    <w:rsid w:val="008660D9"/>
    <w:rsid w:val="00866445"/>
    <w:rsid w:val="008669F9"/>
    <w:rsid w:val="00866CF4"/>
    <w:rsid w:val="008672C8"/>
    <w:rsid w:val="008677F2"/>
    <w:rsid w:val="00867D45"/>
    <w:rsid w:val="00871B69"/>
    <w:rsid w:val="008724DA"/>
    <w:rsid w:val="00872686"/>
    <w:rsid w:val="00872ED9"/>
    <w:rsid w:val="00872F0C"/>
    <w:rsid w:val="00873904"/>
    <w:rsid w:val="008750C9"/>
    <w:rsid w:val="008751AE"/>
    <w:rsid w:val="008753BD"/>
    <w:rsid w:val="008766A7"/>
    <w:rsid w:val="008768B3"/>
    <w:rsid w:val="00876B29"/>
    <w:rsid w:val="00876C14"/>
    <w:rsid w:val="00877119"/>
    <w:rsid w:val="008774AF"/>
    <w:rsid w:val="008778EC"/>
    <w:rsid w:val="0088046B"/>
    <w:rsid w:val="008804FD"/>
    <w:rsid w:val="00880662"/>
    <w:rsid w:val="0088092A"/>
    <w:rsid w:val="00880E33"/>
    <w:rsid w:val="00881F89"/>
    <w:rsid w:val="0088288E"/>
    <w:rsid w:val="0088297B"/>
    <w:rsid w:val="00883224"/>
    <w:rsid w:val="00884B07"/>
    <w:rsid w:val="008850EC"/>
    <w:rsid w:val="00885ACA"/>
    <w:rsid w:val="00886137"/>
    <w:rsid w:val="008865DE"/>
    <w:rsid w:val="00886F20"/>
    <w:rsid w:val="00887383"/>
    <w:rsid w:val="008875FB"/>
    <w:rsid w:val="00887CFE"/>
    <w:rsid w:val="0089004F"/>
    <w:rsid w:val="00890AE1"/>
    <w:rsid w:val="00891120"/>
    <w:rsid w:val="00891EB3"/>
    <w:rsid w:val="00891FA7"/>
    <w:rsid w:val="00892292"/>
    <w:rsid w:val="00892630"/>
    <w:rsid w:val="00892DEF"/>
    <w:rsid w:val="008933C0"/>
    <w:rsid w:val="008933CF"/>
    <w:rsid w:val="008947F4"/>
    <w:rsid w:val="00894841"/>
    <w:rsid w:val="00894972"/>
    <w:rsid w:val="00894CA8"/>
    <w:rsid w:val="008957A1"/>
    <w:rsid w:val="008958D1"/>
    <w:rsid w:val="0089604A"/>
    <w:rsid w:val="008961E7"/>
    <w:rsid w:val="00896B47"/>
    <w:rsid w:val="008973E6"/>
    <w:rsid w:val="008A0EB6"/>
    <w:rsid w:val="008A12F6"/>
    <w:rsid w:val="008A1632"/>
    <w:rsid w:val="008A179C"/>
    <w:rsid w:val="008A1A23"/>
    <w:rsid w:val="008A1CFD"/>
    <w:rsid w:val="008A1EBF"/>
    <w:rsid w:val="008A1F9B"/>
    <w:rsid w:val="008A204D"/>
    <w:rsid w:val="008A25C2"/>
    <w:rsid w:val="008A275E"/>
    <w:rsid w:val="008A2917"/>
    <w:rsid w:val="008A2AC3"/>
    <w:rsid w:val="008A4040"/>
    <w:rsid w:val="008A4714"/>
    <w:rsid w:val="008A55E3"/>
    <w:rsid w:val="008A581B"/>
    <w:rsid w:val="008B01EC"/>
    <w:rsid w:val="008B0323"/>
    <w:rsid w:val="008B0349"/>
    <w:rsid w:val="008B125A"/>
    <w:rsid w:val="008B15CB"/>
    <w:rsid w:val="008B2A47"/>
    <w:rsid w:val="008B2BB6"/>
    <w:rsid w:val="008B31DC"/>
    <w:rsid w:val="008B34D4"/>
    <w:rsid w:val="008B437E"/>
    <w:rsid w:val="008B43D2"/>
    <w:rsid w:val="008B4D5D"/>
    <w:rsid w:val="008B4ECC"/>
    <w:rsid w:val="008B55C3"/>
    <w:rsid w:val="008B59A3"/>
    <w:rsid w:val="008B6716"/>
    <w:rsid w:val="008B6992"/>
    <w:rsid w:val="008B75C3"/>
    <w:rsid w:val="008B760E"/>
    <w:rsid w:val="008B777D"/>
    <w:rsid w:val="008B7FC2"/>
    <w:rsid w:val="008C0C7A"/>
    <w:rsid w:val="008C149A"/>
    <w:rsid w:val="008C15F1"/>
    <w:rsid w:val="008C20B2"/>
    <w:rsid w:val="008C2162"/>
    <w:rsid w:val="008C315E"/>
    <w:rsid w:val="008C35C7"/>
    <w:rsid w:val="008C3C35"/>
    <w:rsid w:val="008C40D3"/>
    <w:rsid w:val="008C47B8"/>
    <w:rsid w:val="008C5575"/>
    <w:rsid w:val="008C717B"/>
    <w:rsid w:val="008C7645"/>
    <w:rsid w:val="008C787E"/>
    <w:rsid w:val="008C7CD6"/>
    <w:rsid w:val="008D08D0"/>
    <w:rsid w:val="008D3030"/>
    <w:rsid w:val="008D3954"/>
    <w:rsid w:val="008D4617"/>
    <w:rsid w:val="008D4770"/>
    <w:rsid w:val="008D4B70"/>
    <w:rsid w:val="008D4F58"/>
    <w:rsid w:val="008D5022"/>
    <w:rsid w:val="008D6AC4"/>
    <w:rsid w:val="008D739E"/>
    <w:rsid w:val="008E0014"/>
    <w:rsid w:val="008E03D4"/>
    <w:rsid w:val="008E0962"/>
    <w:rsid w:val="008E0A3C"/>
    <w:rsid w:val="008E0EE0"/>
    <w:rsid w:val="008E11FD"/>
    <w:rsid w:val="008E1623"/>
    <w:rsid w:val="008E18CB"/>
    <w:rsid w:val="008E19A3"/>
    <w:rsid w:val="008E1C48"/>
    <w:rsid w:val="008E2E73"/>
    <w:rsid w:val="008E32F7"/>
    <w:rsid w:val="008E334E"/>
    <w:rsid w:val="008E36D3"/>
    <w:rsid w:val="008E3B54"/>
    <w:rsid w:val="008E42E1"/>
    <w:rsid w:val="008E441F"/>
    <w:rsid w:val="008E5565"/>
    <w:rsid w:val="008E65E8"/>
    <w:rsid w:val="008E66A5"/>
    <w:rsid w:val="008E7222"/>
    <w:rsid w:val="008E748A"/>
    <w:rsid w:val="008E782F"/>
    <w:rsid w:val="008E7A43"/>
    <w:rsid w:val="008F0469"/>
    <w:rsid w:val="008F1C27"/>
    <w:rsid w:val="008F1DC5"/>
    <w:rsid w:val="008F227A"/>
    <w:rsid w:val="008F22A1"/>
    <w:rsid w:val="008F24CB"/>
    <w:rsid w:val="008F2634"/>
    <w:rsid w:val="008F2DA0"/>
    <w:rsid w:val="008F3368"/>
    <w:rsid w:val="008F3A96"/>
    <w:rsid w:val="008F3B27"/>
    <w:rsid w:val="008F417D"/>
    <w:rsid w:val="008F45DE"/>
    <w:rsid w:val="008F47D4"/>
    <w:rsid w:val="008F4DB3"/>
    <w:rsid w:val="008F5CB7"/>
    <w:rsid w:val="008F6E78"/>
    <w:rsid w:val="008F6FF5"/>
    <w:rsid w:val="008F79D4"/>
    <w:rsid w:val="00900111"/>
    <w:rsid w:val="00900834"/>
    <w:rsid w:val="00900D9F"/>
    <w:rsid w:val="0090210C"/>
    <w:rsid w:val="0090221E"/>
    <w:rsid w:val="00902B91"/>
    <w:rsid w:val="00902F0A"/>
    <w:rsid w:val="00903D02"/>
    <w:rsid w:val="00903E76"/>
    <w:rsid w:val="00904A70"/>
    <w:rsid w:val="00905062"/>
    <w:rsid w:val="009058CC"/>
    <w:rsid w:val="00907AD5"/>
    <w:rsid w:val="00907B87"/>
    <w:rsid w:val="00907F6B"/>
    <w:rsid w:val="00910A86"/>
    <w:rsid w:val="00910AA6"/>
    <w:rsid w:val="009115AC"/>
    <w:rsid w:val="00911743"/>
    <w:rsid w:val="0091181D"/>
    <w:rsid w:val="00912061"/>
    <w:rsid w:val="0091377C"/>
    <w:rsid w:val="00913D83"/>
    <w:rsid w:val="00913FE0"/>
    <w:rsid w:val="009147ED"/>
    <w:rsid w:val="00914A80"/>
    <w:rsid w:val="00914FE9"/>
    <w:rsid w:val="00915140"/>
    <w:rsid w:val="009160F9"/>
    <w:rsid w:val="0091658D"/>
    <w:rsid w:val="00916882"/>
    <w:rsid w:val="00917547"/>
    <w:rsid w:val="00917E7F"/>
    <w:rsid w:val="00920111"/>
    <w:rsid w:val="009203F8"/>
    <w:rsid w:val="0092047D"/>
    <w:rsid w:val="00920AED"/>
    <w:rsid w:val="00920F2C"/>
    <w:rsid w:val="00921F19"/>
    <w:rsid w:val="0092210E"/>
    <w:rsid w:val="0092255B"/>
    <w:rsid w:val="0092267D"/>
    <w:rsid w:val="009233F9"/>
    <w:rsid w:val="00923870"/>
    <w:rsid w:val="009247DD"/>
    <w:rsid w:val="00924C3F"/>
    <w:rsid w:val="00925888"/>
    <w:rsid w:val="00926561"/>
    <w:rsid w:val="00926594"/>
    <w:rsid w:val="00927272"/>
    <w:rsid w:val="009276EC"/>
    <w:rsid w:val="00927A17"/>
    <w:rsid w:val="00927C5A"/>
    <w:rsid w:val="00930514"/>
    <w:rsid w:val="00930D1E"/>
    <w:rsid w:val="009310BC"/>
    <w:rsid w:val="00931307"/>
    <w:rsid w:val="009316E4"/>
    <w:rsid w:val="00931953"/>
    <w:rsid w:val="009322C3"/>
    <w:rsid w:val="009338A8"/>
    <w:rsid w:val="009338D8"/>
    <w:rsid w:val="00934440"/>
    <w:rsid w:val="009357D1"/>
    <w:rsid w:val="009362A2"/>
    <w:rsid w:val="00936901"/>
    <w:rsid w:val="00936DC6"/>
    <w:rsid w:val="0094010C"/>
    <w:rsid w:val="00940591"/>
    <w:rsid w:val="00940945"/>
    <w:rsid w:val="009411B8"/>
    <w:rsid w:val="0094164B"/>
    <w:rsid w:val="009424C6"/>
    <w:rsid w:val="00942954"/>
    <w:rsid w:val="00942A06"/>
    <w:rsid w:val="00942E30"/>
    <w:rsid w:val="00944356"/>
    <w:rsid w:val="0094468A"/>
    <w:rsid w:val="00944A03"/>
    <w:rsid w:val="009451E2"/>
    <w:rsid w:val="00945AAD"/>
    <w:rsid w:val="00945EB1"/>
    <w:rsid w:val="00946423"/>
    <w:rsid w:val="00946469"/>
    <w:rsid w:val="00947226"/>
    <w:rsid w:val="009475C4"/>
    <w:rsid w:val="00950E74"/>
    <w:rsid w:val="00952248"/>
    <w:rsid w:val="009526E2"/>
    <w:rsid w:val="00952BD0"/>
    <w:rsid w:val="00953397"/>
    <w:rsid w:val="00953FD8"/>
    <w:rsid w:val="00954853"/>
    <w:rsid w:val="009551A1"/>
    <w:rsid w:val="00955F02"/>
    <w:rsid w:val="0095610F"/>
    <w:rsid w:val="00957078"/>
    <w:rsid w:val="00957D13"/>
    <w:rsid w:val="00960887"/>
    <w:rsid w:val="00961199"/>
    <w:rsid w:val="00961649"/>
    <w:rsid w:val="00961798"/>
    <w:rsid w:val="009617F0"/>
    <w:rsid w:val="0096191F"/>
    <w:rsid w:val="00961BBF"/>
    <w:rsid w:val="0096235B"/>
    <w:rsid w:val="00962528"/>
    <w:rsid w:val="00962E5A"/>
    <w:rsid w:val="00963263"/>
    <w:rsid w:val="009632B5"/>
    <w:rsid w:val="00963A35"/>
    <w:rsid w:val="009640A6"/>
    <w:rsid w:val="00964514"/>
    <w:rsid w:val="00964E87"/>
    <w:rsid w:val="00965097"/>
    <w:rsid w:val="00965192"/>
    <w:rsid w:val="009655D5"/>
    <w:rsid w:val="00965D18"/>
    <w:rsid w:val="00966CD8"/>
    <w:rsid w:val="00966E11"/>
    <w:rsid w:val="00966EC2"/>
    <w:rsid w:val="009672C0"/>
    <w:rsid w:val="00967A2D"/>
    <w:rsid w:val="00967A67"/>
    <w:rsid w:val="00970A49"/>
    <w:rsid w:val="00970E60"/>
    <w:rsid w:val="009726C9"/>
    <w:rsid w:val="00972C0E"/>
    <w:rsid w:val="00972FB5"/>
    <w:rsid w:val="00973E85"/>
    <w:rsid w:val="00973FD6"/>
    <w:rsid w:val="00974335"/>
    <w:rsid w:val="0097434C"/>
    <w:rsid w:val="0097522B"/>
    <w:rsid w:val="00975664"/>
    <w:rsid w:val="00975DB0"/>
    <w:rsid w:val="00976885"/>
    <w:rsid w:val="009768DC"/>
    <w:rsid w:val="00976D4C"/>
    <w:rsid w:val="00980B89"/>
    <w:rsid w:val="00980EB2"/>
    <w:rsid w:val="009811ED"/>
    <w:rsid w:val="0098151E"/>
    <w:rsid w:val="00981BE0"/>
    <w:rsid w:val="00981DF0"/>
    <w:rsid w:val="009829D9"/>
    <w:rsid w:val="0098363B"/>
    <w:rsid w:val="009836A4"/>
    <w:rsid w:val="00983A4B"/>
    <w:rsid w:val="009842A7"/>
    <w:rsid w:val="009845B0"/>
    <w:rsid w:val="00984B3C"/>
    <w:rsid w:val="00985036"/>
    <w:rsid w:val="0098557A"/>
    <w:rsid w:val="0098571F"/>
    <w:rsid w:val="00985F09"/>
    <w:rsid w:val="0098612C"/>
    <w:rsid w:val="00986FE4"/>
    <w:rsid w:val="00987809"/>
    <w:rsid w:val="00987A6A"/>
    <w:rsid w:val="00990944"/>
    <w:rsid w:val="009909B2"/>
    <w:rsid w:val="00990A03"/>
    <w:rsid w:val="009910B0"/>
    <w:rsid w:val="00991A22"/>
    <w:rsid w:val="00993119"/>
    <w:rsid w:val="00993279"/>
    <w:rsid w:val="009945B2"/>
    <w:rsid w:val="009959B9"/>
    <w:rsid w:val="00996691"/>
    <w:rsid w:val="00996CD5"/>
    <w:rsid w:val="009978F5"/>
    <w:rsid w:val="00997AE0"/>
    <w:rsid w:val="009A0803"/>
    <w:rsid w:val="009A0A3E"/>
    <w:rsid w:val="009A1DDB"/>
    <w:rsid w:val="009A250D"/>
    <w:rsid w:val="009A2BC3"/>
    <w:rsid w:val="009A3389"/>
    <w:rsid w:val="009A33F4"/>
    <w:rsid w:val="009A3879"/>
    <w:rsid w:val="009A3F17"/>
    <w:rsid w:val="009A40CA"/>
    <w:rsid w:val="009A45D0"/>
    <w:rsid w:val="009A4C00"/>
    <w:rsid w:val="009A54FC"/>
    <w:rsid w:val="009A653E"/>
    <w:rsid w:val="009A67CA"/>
    <w:rsid w:val="009B0020"/>
    <w:rsid w:val="009B22CD"/>
    <w:rsid w:val="009B3277"/>
    <w:rsid w:val="009B35FD"/>
    <w:rsid w:val="009B4335"/>
    <w:rsid w:val="009B47A3"/>
    <w:rsid w:val="009B4913"/>
    <w:rsid w:val="009B513A"/>
    <w:rsid w:val="009B5DC1"/>
    <w:rsid w:val="009B672A"/>
    <w:rsid w:val="009B7044"/>
    <w:rsid w:val="009B7BDF"/>
    <w:rsid w:val="009C0470"/>
    <w:rsid w:val="009C061B"/>
    <w:rsid w:val="009C1143"/>
    <w:rsid w:val="009C1384"/>
    <w:rsid w:val="009C15A8"/>
    <w:rsid w:val="009C188E"/>
    <w:rsid w:val="009C2AE2"/>
    <w:rsid w:val="009C2E50"/>
    <w:rsid w:val="009C2E78"/>
    <w:rsid w:val="009C2E93"/>
    <w:rsid w:val="009C32B5"/>
    <w:rsid w:val="009C3CB0"/>
    <w:rsid w:val="009C3CB4"/>
    <w:rsid w:val="009C4D66"/>
    <w:rsid w:val="009C4F17"/>
    <w:rsid w:val="009C4F8C"/>
    <w:rsid w:val="009C5261"/>
    <w:rsid w:val="009C5D57"/>
    <w:rsid w:val="009C7D82"/>
    <w:rsid w:val="009C7FA0"/>
    <w:rsid w:val="009C7FD3"/>
    <w:rsid w:val="009D0191"/>
    <w:rsid w:val="009D0BB2"/>
    <w:rsid w:val="009D12EE"/>
    <w:rsid w:val="009D1530"/>
    <w:rsid w:val="009D18D8"/>
    <w:rsid w:val="009D1BFB"/>
    <w:rsid w:val="009D2279"/>
    <w:rsid w:val="009D2C51"/>
    <w:rsid w:val="009D38C1"/>
    <w:rsid w:val="009D3B52"/>
    <w:rsid w:val="009D3D48"/>
    <w:rsid w:val="009D4AAB"/>
    <w:rsid w:val="009D52FC"/>
    <w:rsid w:val="009D5391"/>
    <w:rsid w:val="009D6272"/>
    <w:rsid w:val="009D6B8E"/>
    <w:rsid w:val="009D797B"/>
    <w:rsid w:val="009D7ECC"/>
    <w:rsid w:val="009E0680"/>
    <w:rsid w:val="009E4034"/>
    <w:rsid w:val="009E45FE"/>
    <w:rsid w:val="009E5244"/>
    <w:rsid w:val="009E58BB"/>
    <w:rsid w:val="009E5DD1"/>
    <w:rsid w:val="009E638E"/>
    <w:rsid w:val="009E64B6"/>
    <w:rsid w:val="009E699B"/>
    <w:rsid w:val="009E69B0"/>
    <w:rsid w:val="009E6DBA"/>
    <w:rsid w:val="009E714C"/>
    <w:rsid w:val="009E7280"/>
    <w:rsid w:val="009E72D7"/>
    <w:rsid w:val="009F05E2"/>
    <w:rsid w:val="009F1534"/>
    <w:rsid w:val="009F1F93"/>
    <w:rsid w:val="009F227B"/>
    <w:rsid w:val="009F22CF"/>
    <w:rsid w:val="009F336C"/>
    <w:rsid w:val="009F3395"/>
    <w:rsid w:val="009F3841"/>
    <w:rsid w:val="009F424B"/>
    <w:rsid w:val="009F440F"/>
    <w:rsid w:val="009F4B34"/>
    <w:rsid w:val="009F4B8D"/>
    <w:rsid w:val="009F5A2B"/>
    <w:rsid w:val="009F5D2A"/>
    <w:rsid w:val="009F64ED"/>
    <w:rsid w:val="009F6F72"/>
    <w:rsid w:val="00A002C6"/>
    <w:rsid w:val="00A03533"/>
    <w:rsid w:val="00A03A6C"/>
    <w:rsid w:val="00A0462A"/>
    <w:rsid w:val="00A047C9"/>
    <w:rsid w:val="00A04FC4"/>
    <w:rsid w:val="00A0603C"/>
    <w:rsid w:val="00A06919"/>
    <w:rsid w:val="00A06BF0"/>
    <w:rsid w:val="00A06D4C"/>
    <w:rsid w:val="00A10A36"/>
    <w:rsid w:val="00A10C0F"/>
    <w:rsid w:val="00A10CA7"/>
    <w:rsid w:val="00A11164"/>
    <w:rsid w:val="00A11196"/>
    <w:rsid w:val="00A1177A"/>
    <w:rsid w:val="00A11DA1"/>
    <w:rsid w:val="00A12AC7"/>
    <w:rsid w:val="00A12B82"/>
    <w:rsid w:val="00A12EC4"/>
    <w:rsid w:val="00A1300E"/>
    <w:rsid w:val="00A14EC6"/>
    <w:rsid w:val="00A158E0"/>
    <w:rsid w:val="00A172F0"/>
    <w:rsid w:val="00A173E8"/>
    <w:rsid w:val="00A20124"/>
    <w:rsid w:val="00A20EC5"/>
    <w:rsid w:val="00A2160D"/>
    <w:rsid w:val="00A21639"/>
    <w:rsid w:val="00A23341"/>
    <w:rsid w:val="00A23EBD"/>
    <w:rsid w:val="00A24899"/>
    <w:rsid w:val="00A24DF1"/>
    <w:rsid w:val="00A257A0"/>
    <w:rsid w:val="00A2737A"/>
    <w:rsid w:val="00A27D51"/>
    <w:rsid w:val="00A27FCB"/>
    <w:rsid w:val="00A30241"/>
    <w:rsid w:val="00A3034A"/>
    <w:rsid w:val="00A30D09"/>
    <w:rsid w:val="00A30E85"/>
    <w:rsid w:val="00A312CF"/>
    <w:rsid w:val="00A3132C"/>
    <w:rsid w:val="00A31DEA"/>
    <w:rsid w:val="00A32608"/>
    <w:rsid w:val="00A32A17"/>
    <w:rsid w:val="00A32EF0"/>
    <w:rsid w:val="00A32F2B"/>
    <w:rsid w:val="00A33322"/>
    <w:rsid w:val="00A3341F"/>
    <w:rsid w:val="00A337FD"/>
    <w:rsid w:val="00A3427C"/>
    <w:rsid w:val="00A34C1E"/>
    <w:rsid w:val="00A36338"/>
    <w:rsid w:val="00A377A4"/>
    <w:rsid w:val="00A400C6"/>
    <w:rsid w:val="00A40485"/>
    <w:rsid w:val="00A4104C"/>
    <w:rsid w:val="00A41A1D"/>
    <w:rsid w:val="00A41C3D"/>
    <w:rsid w:val="00A43BAD"/>
    <w:rsid w:val="00A44FCC"/>
    <w:rsid w:val="00A44FD7"/>
    <w:rsid w:val="00A459B9"/>
    <w:rsid w:val="00A45C4B"/>
    <w:rsid w:val="00A45DAC"/>
    <w:rsid w:val="00A50076"/>
    <w:rsid w:val="00A50097"/>
    <w:rsid w:val="00A50869"/>
    <w:rsid w:val="00A508C9"/>
    <w:rsid w:val="00A50990"/>
    <w:rsid w:val="00A50ED5"/>
    <w:rsid w:val="00A51256"/>
    <w:rsid w:val="00A529BA"/>
    <w:rsid w:val="00A52ED8"/>
    <w:rsid w:val="00A53ACF"/>
    <w:rsid w:val="00A546D5"/>
    <w:rsid w:val="00A54A05"/>
    <w:rsid w:val="00A55336"/>
    <w:rsid w:val="00A568D2"/>
    <w:rsid w:val="00A570F5"/>
    <w:rsid w:val="00A57583"/>
    <w:rsid w:val="00A57CA1"/>
    <w:rsid w:val="00A57F49"/>
    <w:rsid w:val="00A609B7"/>
    <w:rsid w:val="00A60BB9"/>
    <w:rsid w:val="00A60D51"/>
    <w:rsid w:val="00A60F45"/>
    <w:rsid w:val="00A62472"/>
    <w:rsid w:val="00A624EF"/>
    <w:rsid w:val="00A636C8"/>
    <w:rsid w:val="00A653C6"/>
    <w:rsid w:val="00A65F67"/>
    <w:rsid w:val="00A66876"/>
    <w:rsid w:val="00A70337"/>
    <w:rsid w:val="00A7087C"/>
    <w:rsid w:val="00A70D6C"/>
    <w:rsid w:val="00A7161A"/>
    <w:rsid w:val="00A71704"/>
    <w:rsid w:val="00A718B9"/>
    <w:rsid w:val="00A71A8F"/>
    <w:rsid w:val="00A72043"/>
    <w:rsid w:val="00A72B2E"/>
    <w:rsid w:val="00A72C58"/>
    <w:rsid w:val="00A72CFC"/>
    <w:rsid w:val="00A73B3B"/>
    <w:rsid w:val="00A74063"/>
    <w:rsid w:val="00A75639"/>
    <w:rsid w:val="00A75BFB"/>
    <w:rsid w:val="00A76265"/>
    <w:rsid w:val="00A76AC3"/>
    <w:rsid w:val="00A76CD3"/>
    <w:rsid w:val="00A77EAB"/>
    <w:rsid w:val="00A77F2D"/>
    <w:rsid w:val="00A77FD8"/>
    <w:rsid w:val="00A80231"/>
    <w:rsid w:val="00A804B3"/>
    <w:rsid w:val="00A8053A"/>
    <w:rsid w:val="00A808C3"/>
    <w:rsid w:val="00A80D3B"/>
    <w:rsid w:val="00A810DC"/>
    <w:rsid w:val="00A81785"/>
    <w:rsid w:val="00A81827"/>
    <w:rsid w:val="00A8195E"/>
    <w:rsid w:val="00A821B1"/>
    <w:rsid w:val="00A822AC"/>
    <w:rsid w:val="00A82834"/>
    <w:rsid w:val="00A82870"/>
    <w:rsid w:val="00A82E7A"/>
    <w:rsid w:val="00A83BD8"/>
    <w:rsid w:val="00A8486B"/>
    <w:rsid w:val="00A84F41"/>
    <w:rsid w:val="00A851CF"/>
    <w:rsid w:val="00A8521B"/>
    <w:rsid w:val="00A852D7"/>
    <w:rsid w:val="00A853FF"/>
    <w:rsid w:val="00A86050"/>
    <w:rsid w:val="00A86458"/>
    <w:rsid w:val="00A86831"/>
    <w:rsid w:val="00A86856"/>
    <w:rsid w:val="00A86885"/>
    <w:rsid w:val="00A86A97"/>
    <w:rsid w:val="00A8735F"/>
    <w:rsid w:val="00A9011E"/>
    <w:rsid w:val="00A90365"/>
    <w:rsid w:val="00A90CAA"/>
    <w:rsid w:val="00A91862"/>
    <w:rsid w:val="00A9216D"/>
    <w:rsid w:val="00A92CD6"/>
    <w:rsid w:val="00A92EC0"/>
    <w:rsid w:val="00A931B8"/>
    <w:rsid w:val="00A93B7F"/>
    <w:rsid w:val="00A93CC0"/>
    <w:rsid w:val="00A93F3A"/>
    <w:rsid w:val="00A946E8"/>
    <w:rsid w:val="00A958DD"/>
    <w:rsid w:val="00A95A01"/>
    <w:rsid w:val="00A965E6"/>
    <w:rsid w:val="00A96C5A"/>
    <w:rsid w:val="00AA051C"/>
    <w:rsid w:val="00AA06C3"/>
    <w:rsid w:val="00AA0E6B"/>
    <w:rsid w:val="00AA1A30"/>
    <w:rsid w:val="00AA2B12"/>
    <w:rsid w:val="00AA3797"/>
    <w:rsid w:val="00AA43F4"/>
    <w:rsid w:val="00AA4599"/>
    <w:rsid w:val="00AA4F1E"/>
    <w:rsid w:val="00AA5115"/>
    <w:rsid w:val="00AA53F0"/>
    <w:rsid w:val="00AA5616"/>
    <w:rsid w:val="00AA6522"/>
    <w:rsid w:val="00AA6549"/>
    <w:rsid w:val="00AA6865"/>
    <w:rsid w:val="00AB02D4"/>
    <w:rsid w:val="00AB0389"/>
    <w:rsid w:val="00AB072E"/>
    <w:rsid w:val="00AB101A"/>
    <w:rsid w:val="00AB12BA"/>
    <w:rsid w:val="00AB1312"/>
    <w:rsid w:val="00AB1633"/>
    <w:rsid w:val="00AB1931"/>
    <w:rsid w:val="00AB221C"/>
    <w:rsid w:val="00AB30B0"/>
    <w:rsid w:val="00AB3B52"/>
    <w:rsid w:val="00AB3E14"/>
    <w:rsid w:val="00AB42C3"/>
    <w:rsid w:val="00AB4514"/>
    <w:rsid w:val="00AB4A22"/>
    <w:rsid w:val="00AB4EA3"/>
    <w:rsid w:val="00AB4FA2"/>
    <w:rsid w:val="00AB543F"/>
    <w:rsid w:val="00AB604D"/>
    <w:rsid w:val="00AB6126"/>
    <w:rsid w:val="00AB652F"/>
    <w:rsid w:val="00AB65B1"/>
    <w:rsid w:val="00AB6786"/>
    <w:rsid w:val="00AB7ADD"/>
    <w:rsid w:val="00AC0259"/>
    <w:rsid w:val="00AC1201"/>
    <w:rsid w:val="00AC15DA"/>
    <w:rsid w:val="00AC1B0B"/>
    <w:rsid w:val="00AC1B52"/>
    <w:rsid w:val="00AC2579"/>
    <w:rsid w:val="00AC25B3"/>
    <w:rsid w:val="00AC32F1"/>
    <w:rsid w:val="00AC535E"/>
    <w:rsid w:val="00AC5EC4"/>
    <w:rsid w:val="00AC60DD"/>
    <w:rsid w:val="00AC699D"/>
    <w:rsid w:val="00AC6FF0"/>
    <w:rsid w:val="00AD0110"/>
    <w:rsid w:val="00AD0517"/>
    <w:rsid w:val="00AD0FF9"/>
    <w:rsid w:val="00AD161D"/>
    <w:rsid w:val="00AD171A"/>
    <w:rsid w:val="00AD2D10"/>
    <w:rsid w:val="00AD312B"/>
    <w:rsid w:val="00AD3957"/>
    <w:rsid w:val="00AD43E4"/>
    <w:rsid w:val="00AD569A"/>
    <w:rsid w:val="00AD5A0B"/>
    <w:rsid w:val="00AD6B16"/>
    <w:rsid w:val="00AD6F2F"/>
    <w:rsid w:val="00AE05FC"/>
    <w:rsid w:val="00AE062C"/>
    <w:rsid w:val="00AE15A2"/>
    <w:rsid w:val="00AE1994"/>
    <w:rsid w:val="00AE1B30"/>
    <w:rsid w:val="00AE27DF"/>
    <w:rsid w:val="00AE367E"/>
    <w:rsid w:val="00AE36DD"/>
    <w:rsid w:val="00AE3D46"/>
    <w:rsid w:val="00AE456C"/>
    <w:rsid w:val="00AE489F"/>
    <w:rsid w:val="00AE510F"/>
    <w:rsid w:val="00AE57D9"/>
    <w:rsid w:val="00AE5A58"/>
    <w:rsid w:val="00AE6CD0"/>
    <w:rsid w:val="00AE7209"/>
    <w:rsid w:val="00AF0006"/>
    <w:rsid w:val="00AF0897"/>
    <w:rsid w:val="00AF0BC9"/>
    <w:rsid w:val="00AF0F5D"/>
    <w:rsid w:val="00AF2234"/>
    <w:rsid w:val="00AF2762"/>
    <w:rsid w:val="00AF38A4"/>
    <w:rsid w:val="00AF3C71"/>
    <w:rsid w:val="00AF450A"/>
    <w:rsid w:val="00AF4FAC"/>
    <w:rsid w:val="00AF50A3"/>
    <w:rsid w:val="00AF525B"/>
    <w:rsid w:val="00AF5903"/>
    <w:rsid w:val="00AF67AB"/>
    <w:rsid w:val="00AF6CD5"/>
    <w:rsid w:val="00AF7588"/>
    <w:rsid w:val="00AF7740"/>
    <w:rsid w:val="00AF7BEA"/>
    <w:rsid w:val="00B014CE"/>
    <w:rsid w:val="00B0151D"/>
    <w:rsid w:val="00B01AA8"/>
    <w:rsid w:val="00B04AFE"/>
    <w:rsid w:val="00B056E7"/>
    <w:rsid w:val="00B057DD"/>
    <w:rsid w:val="00B0607D"/>
    <w:rsid w:val="00B06FB9"/>
    <w:rsid w:val="00B074E9"/>
    <w:rsid w:val="00B07A0C"/>
    <w:rsid w:val="00B10392"/>
    <w:rsid w:val="00B11330"/>
    <w:rsid w:val="00B11565"/>
    <w:rsid w:val="00B12613"/>
    <w:rsid w:val="00B12A25"/>
    <w:rsid w:val="00B12DED"/>
    <w:rsid w:val="00B13402"/>
    <w:rsid w:val="00B15178"/>
    <w:rsid w:val="00B15482"/>
    <w:rsid w:val="00B155ED"/>
    <w:rsid w:val="00B1656D"/>
    <w:rsid w:val="00B1729D"/>
    <w:rsid w:val="00B21CBA"/>
    <w:rsid w:val="00B239B8"/>
    <w:rsid w:val="00B23AA1"/>
    <w:rsid w:val="00B23C5F"/>
    <w:rsid w:val="00B23D68"/>
    <w:rsid w:val="00B2408D"/>
    <w:rsid w:val="00B24960"/>
    <w:rsid w:val="00B255E5"/>
    <w:rsid w:val="00B25D11"/>
    <w:rsid w:val="00B26272"/>
    <w:rsid w:val="00B265CE"/>
    <w:rsid w:val="00B269DD"/>
    <w:rsid w:val="00B26B35"/>
    <w:rsid w:val="00B26C17"/>
    <w:rsid w:val="00B26C61"/>
    <w:rsid w:val="00B27283"/>
    <w:rsid w:val="00B27477"/>
    <w:rsid w:val="00B27629"/>
    <w:rsid w:val="00B306A7"/>
    <w:rsid w:val="00B307A3"/>
    <w:rsid w:val="00B318A5"/>
    <w:rsid w:val="00B320B9"/>
    <w:rsid w:val="00B32809"/>
    <w:rsid w:val="00B32E1A"/>
    <w:rsid w:val="00B33475"/>
    <w:rsid w:val="00B33B6C"/>
    <w:rsid w:val="00B33E29"/>
    <w:rsid w:val="00B343F1"/>
    <w:rsid w:val="00B35782"/>
    <w:rsid w:val="00B3624F"/>
    <w:rsid w:val="00B36986"/>
    <w:rsid w:val="00B3723C"/>
    <w:rsid w:val="00B37909"/>
    <w:rsid w:val="00B37C4D"/>
    <w:rsid w:val="00B402CD"/>
    <w:rsid w:val="00B40533"/>
    <w:rsid w:val="00B40559"/>
    <w:rsid w:val="00B40E73"/>
    <w:rsid w:val="00B40FFE"/>
    <w:rsid w:val="00B417FE"/>
    <w:rsid w:val="00B42289"/>
    <w:rsid w:val="00B42A0F"/>
    <w:rsid w:val="00B436D6"/>
    <w:rsid w:val="00B4387D"/>
    <w:rsid w:val="00B4408B"/>
    <w:rsid w:val="00B4415D"/>
    <w:rsid w:val="00B4468F"/>
    <w:rsid w:val="00B44E82"/>
    <w:rsid w:val="00B455AE"/>
    <w:rsid w:val="00B458E3"/>
    <w:rsid w:val="00B47EAC"/>
    <w:rsid w:val="00B50FD6"/>
    <w:rsid w:val="00B52307"/>
    <w:rsid w:val="00B52AE9"/>
    <w:rsid w:val="00B52C64"/>
    <w:rsid w:val="00B53249"/>
    <w:rsid w:val="00B53783"/>
    <w:rsid w:val="00B54690"/>
    <w:rsid w:val="00B56164"/>
    <w:rsid w:val="00B563F1"/>
    <w:rsid w:val="00B565B6"/>
    <w:rsid w:val="00B56702"/>
    <w:rsid w:val="00B567FC"/>
    <w:rsid w:val="00B56936"/>
    <w:rsid w:val="00B56A16"/>
    <w:rsid w:val="00B56BB5"/>
    <w:rsid w:val="00B56E57"/>
    <w:rsid w:val="00B57259"/>
    <w:rsid w:val="00B57499"/>
    <w:rsid w:val="00B576BE"/>
    <w:rsid w:val="00B57A91"/>
    <w:rsid w:val="00B57F6F"/>
    <w:rsid w:val="00B57FC0"/>
    <w:rsid w:val="00B60928"/>
    <w:rsid w:val="00B60A8B"/>
    <w:rsid w:val="00B60AE4"/>
    <w:rsid w:val="00B61154"/>
    <w:rsid w:val="00B6169E"/>
    <w:rsid w:val="00B6236F"/>
    <w:rsid w:val="00B62E51"/>
    <w:rsid w:val="00B63BFD"/>
    <w:rsid w:val="00B64005"/>
    <w:rsid w:val="00B64984"/>
    <w:rsid w:val="00B64A58"/>
    <w:rsid w:val="00B64BC3"/>
    <w:rsid w:val="00B659A4"/>
    <w:rsid w:val="00B6604E"/>
    <w:rsid w:val="00B6678A"/>
    <w:rsid w:val="00B668C5"/>
    <w:rsid w:val="00B66EDE"/>
    <w:rsid w:val="00B6729F"/>
    <w:rsid w:val="00B67979"/>
    <w:rsid w:val="00B700E6"/>
    <w:rsid w:val="00B70333"/>
    <w:rsid w:val="00B70A40"/>
    <w:rsid w:val="00B714E4"/>
    <w:rsid w:val="00B71855"/>
    <w:rsid w:val="00B71B4D"/>
    <w:rsid w:val="00B72221"/>
    <w:rsid w:val="00B72AFA"/>
    <w:rsid w:val="00B74247"/>
    <w:rsid w:val="00B763E3"/>
    <w:rsid w:val="00B7757E"/>
    <w:rsid w:val="00B779DA"/>
    <w:rsid w:val="00B80D18"/>
    <w:rsid w:val="00B814C7"/>
    <w:rsid w:val="00B81DFE"/>
    <w:rsid w:val="00B82956"/>
    <w:rsid w:val="00B82FFE"/>
    <w:rsid w:val="00B8349E"/>
    <w:rsid w:val="00B83ED5"/>
    <w:rsid w:val="00B84586"/>
    <w:rsid w:val="00B84BB9"/>
    <w:rsid w:val="00B84CE1"/>
    <w:rsid w:val="00B84D82"/>
    <w:rsid w:val="00B859FD"/>
    <w:rsid w:val="00B868C1"/>
    <w:rsid w:val="00B86DB0"/>
    <w:rsid w:val="00B8751D"/>
    <w:rsid w:val="00B87954"/>
    <w:rsid w:val="00B87A78"/>
    <w:rsid w:val="00B902DF"/>
    <w:rsid w:val="00B908F8"/>
    <w:rsid w:val="00B912D5"/>
    <w:rsid w:val="00B91306"/>
    <w:rsid w:val="00B91CE3"/>
    <w:rsid w:val="00B92E5C"/>
    <w:rsid w:val="00B938E1"/>
    <w:rsid w:val="00B93991"/>
    <w:rsid w:val="00B93A93"/>
    <w:rsid w:val="00B9400E"/>
    <w:rsid w:val="00B9505E"/>
    <w:rsid w:val="00B95107"/>
    <w:rsid w:val="00B964D8"/>
    <w:rsid w:val="00B96791"/>
    <w:rsid w:val="00B969F0"/>
    <w:rsid w:val="00B97442"/>
    <w:rsid w:val="00B97C4B"/>
    <w:rsid w:val="00BA04A9"/>
    <w:rsid w:val="00BA0CDD"/>
    <w:rsid w:val="00BA0CDF"/>
    <w:rsid w:val="00BA211A"/>
    <w:rsid w:val="00BA2AE2"/>
    <w:rsid w:val="00BA2DD1"/>
    <w:rsid w:val="00BA3CFD"/>
    <w:rsid w:val="00BA4566"/>
    <w:rsid w:val="00BA53A4"/>
    <w:rsid w:val="00BA5879"/>
    <w:rsid w:val="00BA63E4"/>
    <w:rsid w:val="00BA6765"/>
    <w:rsid w:val="00BA6AB5"/>
    <w:rsid w:val="00BA6C7B"/>
    <w:rsid w:val="00BA71AC"/>
    <w:rsid w:val="00BA7928"/>
    <w:rsid w:val="00BA7C7B"/>
    <w:rsid w:val="00BB024C"/>
    <w:rsid w:val="00BB055D"/>
    <w:rsid w:val="00BB08D6"/>
    <w:rsid w:val="00BB13F9"/>
    <w:rsid w:val="00BB1494"/>
    <w:rsid w:val="00BB1B76"/>
    <w:rsid w:val="00BB214F"/>
    <w:rsid w:val="00BB21F4"/>
    <w:rsid w:val="00BB2275"/>
    <w:rsid w:val="00BB2865"/>
    <w:rsid w:val="00BB28B7"/>
    <w:rsid w:val="00BB32C9"/>
    <w:rsid w:val="00BB41F4"/>
    <w:rsid w:val="00BB46AC"/>
    <w:rsid w:val="00BB4A6E"/>
    <w:rsid w:val="00BB4B60"/>
    <w:rsid w:val="00BB5334"/>
    <w:rsid w:val="00BB5481"/>
    <w:rsid w:val="00BB5E49"/>
    <w:rsid w:val="00BB5F35"/>
    <w:rsid w:val="00BB608F"/>
    <w:rsid w:val="00BB696B"/>
    <w:rsid w:val="00BB6CE5"/>
    <w:rsid w:val="00BC00F4"/>
    <w:rsid w:val="00BC012F"/>
    <w:rsid w:val="00BC0C78"/>
    <w:rsid w:val="00BC16BE"/>
    <w:rsid w:val="00BC1C53"/>
    <w:rsid w:val="00BC1C6A"/>
    <w:rsid w:val="00BC258B"/>
    <w:rsid w:val="00BC25A3"/>
    <w:rsid w:val="00BC369C"/>
    <w:rsid w:val="00BC3FBE"/>
    <w:rsid w:val="00BC4059"/>
    <w:rsid w:val="00BC425B"/>
    <w:rsid w:val="00BC4CD6"/>
    <w:rsid w:val="00BC589E"/>
    <w:rsid w:val="00BC69B1"/>
    <w:rsid w:val="00BC7465"/>
    <w:rsid w:val="00BC7754"/>
    <w:rsid w:val="00BC7E28"/>
    <w:rsid w:val="00BD183D"/>
    <w:rsid w:val="00BD1D2C"/>
    <w:rsid w:val="00BD26D1"/>
    <w:rsid w:val="00BD2FB2"/>
    <w:rsid w:val="00BD3833"/>
    <w:rsid w:val="00BD3E59"/>
    <w:rsid w:val="00BD4A39"/>
    <w:rsid w:val="00BD4AAF"/>
    <w:rsid w:val="00BD4B0D"/>
    <w:rsid w:val="00BD4B62"/>
    <w:rsid w:val="00BD507D"/>
    <w:rsid w:val="00BD511C"/>
    <w:rsid w:val="00BD59C3"/>
    <w:rsid w:val="00BD6307"/>
    <w:rsid w:val="00BD675B"/>
    <w:rsid w:val="00BD6E06"/>
    <w:rsid w:val="00BE03A7"/>
    <w:rsid w:val="00BE0C4D"/>
    <w:rsid w:val="00BE174D"/>
    <w:rsid w:val="00BE20A9"/>
    <w:rsid w:val="00BE239F"/>
    <w:rsid w:val="00BE26CA"/>
    <w:rsid w:val="00BE3935"/>
    <w:rsid w:val="00BE3B3C"/>
    <w:rsid w:val="00BE3F3A"/>
    <w:rsid w:val="00BE44E7"/>
    <w:rsid w:val="00BE482C"/>
    <w:rsid w:val="00BE4FA3"/>
    <w:rsid w:val="00BE5CB4"/>
    <w:rsid w:val="00BE6535"/>
    <w:rsid w:val="00BE6536"/>
    <w:rsid w:val="00BE690D"/>
    <w:rsid w:val="00BE6D9D"/>
    <w:rsid w:val="00BE7352"/>
    <w:rsid w:val="00BE7FB7"/>
    <w:rsid w:val="00BF1018"/>
    <w:rsid w:val="00BF1F54"/>
    <w:rsid w:val="00BF3EF3"/>
    <w:rsid w:val="00BF608E"/>
    <w:rsid w:val="00BF62B4"/>
    <w:rsid w:val="00BF66AA"/>
    <w:rsid w:val="00BF722B"/>
    <w:rsid w:val="00C006D5"/>
    <w:rsid w:val="00C00F89"/>
    <w:rsid w:val="00C016CC"/>
    <w:rsid w:val="00C01F78"/>
    <w:rsid w:val="00C02799"/>
    <w:rsid w:val="00C02F83"/>
    <w:rsid w:val="00C0313A"/>
    <w:rsid w:val="00C0412E"/>
    <w:rsid w:val="00C04449"/>
    <w:rsid w:val="00C0466A"/>
    <w:rsid w:val="00C04AF3"/>
    <w:rsid w:val="00C04D93"/>
    <w:rsid w:val="00C04E9C"/>
    <w:rsid w:val="00C05142"/>
    <w:rsid w:val="00C05AB6"/>
    <w:rsid w:val="00C060EE"/>
    <w:rsid w:val="00C06716"/>
    <w:rsid w:val="00C06C2A"/>
    <w:rsid w:val="00C071C1"/>
    <w:rsid w:val="00C07269"/>
    <w:rsid w:val="00C072A2"/>
    <w:rsid w:val="00C07A53"/>
    <w:rsid w:val="00C07DF4"/>
    <w:rsid w:val="00C1008B"/>
    <w:rsid w:val="00C10673"/>
    <w:rsid w:val="00C108D4"/>
    <w:rsid w:val="00C10974"/>
    <w:rsid w:val="00C1307A"/>
    <w:rsid w:val="00C13570"/>
    <w:rsid w:val="00C136BE"/>
    <w:rsid w:val="00C13DAF"/>
    <w:rsid w:val="00C13ED3"/>
    <w:rsid w:val="00C141B5"/>
    <w:rsid w:val="00C1420F"/>
    <w:rsid w:val="00C1460B"/>
    <w:rsid w:val="00C14F60"/>
    <w:rsid w:val="00C150E3"/>
    <w:rsid w:val="00C155B9"/>
    <w:rsid w:val="00C155BC"/>
    <w:rsid w:val="00C15A45"/>
    <w:rsid w:val="00C16658"/>
    <w:rsid w:val="00C16796"/>
    <w:rsid w:val="00C169CC"/>
    <w:rsid w:val="00C16A5C"/>
    <w:rsid w:val="00C17D55"/>
    <w:rsid w:val="00C17DBD"/>
    <w:rsid w:val="00C2030E"/>
    <w:rsid w:val="00C20329"/>
    <w:rsid w:val="00C203D8"/>
    <w:rsid w:val="00C20D79"/>
    <w:rsid w:val="00C2174B"/>
    <w:rsid w:val="00C222A1"/>
    <w:rsid w:val="00C222B4"/>
    <w:rsid w:val="00C22806"/>
    <w:rsid w:val="00C230C0"/>
    <w:rsid w:val="00C233D2"/>
    <w:rsid w:val="00C236B1"/>
    <w:rsid w:val="00C23708"/>
    <w:rsid w:val="00C2392A"/>
    <w:rsid w:val="00C23E23"/>
    <w:rsid w:val="00C243A9"/>
    <w:rsid w:val="00C252A8"/>
    <w:rsid w:val="00C25C66"/>
    <w:rsid w:val="00C26C66"/>
    <w:rsid w:val="00C2740A"/>
    <w:rsid w:val="00C277E9"/>
    <w:rsid w:val="00C3034C"/>
    <w:rsid w:val="00C30965"/>
    <w:rsid w:val="00C3107D"/>
    <w:rsid w:val="00C31BF3"/>
    <w:rsid w:val="00C3280F"/>
    <w:rsid w:val="00C32CA9"/>
    <w:rsid w:val="00C331A2"/>
    <w:rsid w:val="00C332FC"/>
    <w:rsid w:val="00C335B4"/>
    <w:rsid w:val="00C33A87"/>
    <w:rsid w:val="00C34067"/>
    <w:rsid w:val="00C343DF"/>
    <w:rsid w:val="00C34A31"/>
    <w:rsid w:val="00C3508B"/>
    <w:rsid w:val="00C35D70"/>
    <w:rsid w:val="00C36412"/>
    <w:rsid w:val="00C37013"/>
    <w:rsid w:val="00C3792F"/>
    <w:rsid w:val="00C408DF"/>
    <w:rsid w:val="00C40B63"/>
    <w:rsid w:val="00C420F7"/>
    <w:rsid w:val="00C4233B"/>
    <w:rsid w:val="00C4234B"/>
    <w:rsid w:val="00C425A1"/>
    <w:rsid w:val="00C42879"/>
    <w:rsid w:val="00C42EBB"/>
    <w:rsid w:val="00C42FB3"/>
    <w:rsid w:val="00C43819"/>
    <w:rsid w:val="00C43829"/>
    <w:rsid w:val="00C44ABA"/>
    <w:rsid w:val="00C450BA"/>
    <w:rsid w:val="00C45127"/>
    <w:rsid w:val="00C46184"/>
    <w:rsid w:val="00C461F2"/>
    <w:rsid w:val="00C46953"/>
    <w:rsid w:val="00C46AD0"/>
    <w:rsid w:val="00C46D9D"/>
    <w:rsid w:val="00C47065"/>
    <w:rsid w:val="00C474AE"/>
    <w:rsid w:val="00C47605"/>
    <w:rsid w:val="00C47636"/>
    <w:rsid w:val="00C50287"/>
    <w:rsid w:val="00C50D6E"/>
    <w:rsid w:val="00C5124D"/>
    <w:rsid w:val="00C51849"/>
    <w:rsid w:val="00C522A0"/>
    <w:rsid w:val="00C527A6"/>
    <w:rsid w:val="00C5298E"/>
    <w:rsid w:val="00C52BC7"/>
    <w:rsid w:val="00C53323"/>
    <w:rsid w:val="00C53787"/>
    <w:rsid w:val="00C550FF"/>
    <w:rsid w:val="00C55C75"/>
    <w:rsid w:val="00C563B0"/>
    <w:rsid w:val="00C5646E"/>
    <w:rsid w:val="00C56495"/>
    <w:rsid w:val="00C57283"/>
    <w:rsid w:val="00C575E4"/>
    <w:rsid w:val="00C57AFF"/>
    <w:rsid w:val="00C61516"/>
    <w:rsid w:val="00C61FA3"/>
    <w:rsid w:val="00C63C53"/>
    <w:rsid w:val="00C641E7"/>
    <w:rsid w:val="00C65209"/>
    <w:rsid w:val="00C653F9"/>
    <w:rsid w:val="00C65626"/>
    <w:rsid w:val="00C65809"/>
    <w:rsid w:val="00C65CAF"/>
    <w:rsid w:val="00C65DAC"/>
    <w:rsid w:val="00C66B01"/>
    <w:rsid w:val="00C70C0D"/>
    <w:rsid w:val="00C70D60"/>
    <w:rsid w:val="00C7142D"/>
    <w:rsid w:val="00C71B47"/>
    <w:rsid w:val="00C71C92"/>
    <w:rsid w:val="00C7256A"/>
    <w:rsid w:val="00C727B8"/>
    <w:rsid w:val="00C72932"/>
    <w:rsid w:val="00C738B4"/>
    <w:rsid w:val="00C73976"/>
    <w:rsid w:val="00C74BBE"/>
    <w:rsid w:val="00C74F8D"/>
    <w:rsid w:val="00C757E5"/>
    <w:rsid w:val="00C76FEB"/>
    <w:rsid w:val="00C77598"/>
    <w:rsid w:val="00C805E7"/>
    <w:rsid w:val="00C80835"/>
    <w:rsid w:val="00C81052"/>
    <w:rsid w:val="00C81E3F"/>
    <w:rsid w:val="00C81FE9"/>
    <w:rsid w:val="00C8216B"/>
    <w:rsid w:val="00C824CB"/>
    <w:rsid w:val="00C825CB"/>
    <w:rsid w:val="00C82B84"/>
    <w:rsid w:val="00C82BC0"/>
    <w:rsid w:val="00C82FA2"/>
    <w:rsid w:val="00C83925"/>
    <w:rsid w:val="00C83A0B"/>
    <w:rsid w:val="00C8422C"/>
    <w:rsid w:val="00C844B4"/>
    <w:rsid w:val="00C846EF"/>
    <w:rsid w:val="00C8502C"/>
    <w:rsid w:val="00C855A9"/>
    <w:rsid w:val="00C855BA"/>
    <w:rsid w:val="00C85B76"/>
    <w:rsid w:val="00C85CC0"/>
    <w:rsid w:val="00C86174"/>
    <w:rsid w:val="00C8636F"/>
    <w:rsid w:val="00C86397"/>
    <w:rsid w:val="00C86BA6"/>
    <w:rsid w:val="00C870E5"/>
    <w:rsid w:val="00C874F1"/>
    <w:rsid w:val="00C877F7"/>
    <w:rsid w:val="00C9011D"/>
    <w:rsid w:val="00C907D5"/>
    <w:rsid w:val="00C90BF3"/>
    <w:rsid w:val="00C91CE6"/>
    <w:rsid w:val="00C9220F"/>
    <w:rsid w:val="00C928E4"/>
    <w:rsid w:val="00C92AC3"/>
    <w:rsid w:val="00C92BB8"/>
    <w:rsid w:val="00C9316A"/>
    <w:rsid w:val="00C9346B"/>
    <w:rsid w:val="00C93CCC"/>
    <w:rsid w:val="00C94186"/>
    <w:rsid w:val="00C954E8"/>
    <w:rsid w:val="00C956B9"/>
    <w:rsid w:val="00C95959"/>
    <w:rsid w:val="00C96163"/>
    <w:rsid w:val="00C96DF7"/>
    <w:rsid w:val="00C974AE"/>
    <w:rsid w:val="00C97CDD"/>
    <w:rsid w:val="00C97D44"/>
    <w:rsid w:val="00C97EBF"/>
    <w:rsid w:val="00CA0369"/>
    <w:rsid w:val="00CA0426"/>
    <w:rsid w:val="00CA12BD"/>
    <w:rsid w:val="00CA19E1"/>
    <w:rsid w:val="00CA2262"/>
    <w:rsid w:val="00CA2937"/>
    <w:rsid w:val="00CA2E75"/>
    <w:rsid w:val="00CA4AAF"/>
    <w:rsid w:val="00CA5747"/>
    <w:rsid w:val="00CA5D23"/>
    <w:rsid w:val="00CA6433"/>
    <w:rsid w:val="00CA6A5F"/>
    <w:rsid w:val="00CA6D96"/>
    <w:rsid w:val="00CA78C5"/>
    <w:rsid w:val="00CA7998"/>
    <w:rsid w:val="00CB06F6"/>
    <w:rsid w:val="00CB0B96"/>
    <w:rsid w:val="00CB0DB8"/>
    <w:rsid w:val="00CB14B5"/>
    <w:rsid w:val="00CB15CF"/>
    <w:rsid w:val="00CB1902"/>
    <w:rsid w:val="00CB1BB5"/>
    <w:rsid w:val="00CB2933"/>
    <w:rsid w:val="00CB2BAF"/>
    <w:rsid w:val="00CB2CD4"/>
    <w:rsid w:val="00CB3EF2"/>
    <w:rsid w:val="00CB4084"/>
    <w:rsid w:val="00CB46F4"/>
    <w:rsid w:val="00CB488E"/>
    <w:rsid w:val="00CB6591"/>
    <w:rsid w:val="00CB65AF"/>
    <w:rsid w:val="00CB66A2"/>
    <w:rsid w:val="00CB681E"/>
    <w:rsid w:val="00CB6B5D"/>
    <w:rsid w:val="00CB744D"/>
    <w:rsid w:val="00CB7873"/>
    <w:rsid w:val="00CC0670"/>
    <w:rsid w:val="00CC0B8F"/>
    <w:rsid w:val="00CC1CA8"/>
    <w:rsid w:val="00CC1F82"/>
    <w:rsid w:val="00CC21F5"/>
    <w:rsid w:val="00CC22C7"/>
    <w:rsid w:val="00CC2929"/>
    <w:rsid w:val="00CC2CFA"/>
    <w:rsid w:val="00CC2D11"/>
    <w:rsid w:val="00CC6110"/>
    <w:rsid w:val="00CD115C"/>
    <w:rsid w:val="00CD1CD2"/>
    <w:rsid w:val="00CD1D40"/>
    <w:rsid w:val="00CD20E6"/>
    <w:rsid w:val="00CD20ED"/>
    <w:rsid w:val="00CD291F"/>
    <w:rsid w:val="00CD2985"/>
    <w:rsid w:val="00CD30EC"/>
    <w:rsid w:val="00CD3165"/>
    <w:rsid w:val="00CD35EB"/>
    <w:rsid w:val="00CD38B8"/>
    <w:rsid w:val="00CD3E6C"/>
    <w:rsid w:val="00CD3F7D"/>
    <w:rsid w:val="00CD4527"/>
    <w:rsid w:val="00CD45B1"/>
    <w:rsid w:val="00CD46BC"/>
    <w:rsid w:val="00CD4802"/>
    <w:rsid w:val="00CD54B7"/>
    <w:rsid w:val="00CD57A9"/>
    <w:rsid w:val="00CD606A"/>
    <w:rsid w:val="00CD6B81"/>
    <w:rsid w:val="00CD6C91"/>
    <w:rsid w:val="00CD76F7"/>
    <w:rsid w:val="00CD78A7"/>
    <w:rsid w:val="00CD7C76"/>
    <w:rsid w:val="00CD7DAE"/>
    <w:rsid w:val="00CE0AD4"/>
    <w:rsid w:val="00CE149C"/>
    <w:rsid w:val="00CE19EA"/>
    <w:rsid w:val="00CE1CE4"/>
    <w:rsid w:val="00CE1D24"/>
    <w:rsid w:val="00CE1E2F"/>
    <w:rsid w:val="00CE2484"/>
    <w:rsid w:val="00CE2841"/>
    <w:rsid w:val="00CE2E9B"/>
    <w:rsid w:val="00CE4668"/>
    <w:rsid w:val="00CE5777"/>
    <w:rsid w:val="00CE6051"/>
    <w:rsid w:val="00CE6B7E"/>
    <w:rsid w:val="00CE72F7"/>
    <w:rsid w:val="00CE76E9"/>
    <w:rsid w:val="00CE7F0D"/>
    <w:rsid w:val="00CF0CE3"/>
    <w:rsid w:val="00CF12E1"/>
    <w:rsid w:val="00CF161A"/>
    <w:rsid w:val="00CF1F83"/>
    <w:rsid w:val="00CF201B"/>
    <w:rsid w:val="00CF2038"/>
    <w:rsid w:val="00CF2A7D"/>
    <w:rsid w:val="00CF33AB"/>
    <w:rsid w:val="00CF37F3"/>
    <w:rsid w:val="00CF38AF"/>
    <w:rsid w:val="00CF3C34"/>
    <w:rsid w:val="00CF3DB0"/>
    <w:rsid w:val="00CF4566"/>
    <w:rsid w:val="00CF4908"/>
    <w:rsid w:val="00CF4EC1"/>
    <w:rsid w:val="00CF5578"/>
    <w:rsid w:val="00CF5700"/>
    <w:rsid w:val="00CF5FDB"/>
    <w:rsid w:val="00CF613E"/>
    <w:rsid w:val="00CF65C1"/>
    <w:rsid w:val="00CF6FE7"/>
    <w:rsid w:val="00CF7007"/>
    <w:rsid w:val="00CF7171"/>
    <w:rsid w:val="00CF7191"/>
    <w:rsid w:val="00D0074B"/>
    <w:rsid w:val="00D00AB9"/>
    <w:rsid w:val="00D019D9"/>
    <w:rsid w:val="00D019ED"/>
    <w:rsid w:val="00D01D66"/>
    <w:rsid w:val="00D036C2"/>
    <w:rsid w:val="00D0426D"/>
    <w:rsid w:val="00D049FB"/>
    <w:rsid w:val="00D0563C"/>
    <w:rsid w:val="00D059A1"/>
    <w:rsid w:val="00D05A4C"/>
    <w:rsid w:val="00D0608A"/>
    <w:rsid w:val="00D06EF0"/>
    <w:rsid w:val="00D0786A"/>
    <w:rsid w:val="00D079AD"/>
    <w:rsid w:val="00D10839"/>
    <w:rsid w:val="00D11175"/>
    <w:rsid w:val="00D113CC"/>
    <w:rsid w:val="00D1201D"/>
    <w:rsid w:val="00D122AB"/>
    <w:rsid w:val="00D128CF"/>
    <w:rsid w:val="00D1322B"/>
    <w:rsid w:val="00D14AB9"/>
    <w:rsid w:val="00D155A5"/>
    <w:rsid w:val="00D16288"/>
    <w:rsid w:val="00D16FAC"/>
    <w:rsid w:val="00D17442"/>
    <w:rsid w:val="00D1792B"/>
    <w:rsid w:val="00D17AA2"/>
    <w:rsid w:val="00D17F48"/>
    <w:rsid w:val="00D20D30"/>
    <w:rsid w:val="00D214D4"/>
    <w:rsid w:val="00D229C4"/>
    <w:rsid w:val="00D22AB3"/>
    <w:rsid w:val="00D230CB"/>
    <w:rsid w:val="00D232C8"/>
    <w:rsid w:val="00D24E8D"/>
    <w:rsid w:val="00D25B64"/>
    <w:rsid w:val="00D2604A"/>
    <w:rsid w:val="00D263B0"/>
    <w:rsid w:val="00D263C2"/>
    <w:rsid w:val="00D2698C"/>
    <w:rsid w:val="00D2772D"/>
    <w:rsid w:val="00D3033A"/>
    <w:rsid w:val="00D3071A"/>
    <w:rsid w:val="00D30914"/>
    <w:rsid w:val="00D30BC6"/>
    <w:rsid w:val="00D30D41"/>
    <w:rsid w:val="00D31D22"/>
    <w:rsid w:val="00D31E85"/>
    <w:rsid w:val="00D324D0"/>
    <w:rsid w:val="00D32846"/>
    <w:rsid w:val="00D32B59"/>
    <w:rsid w:val="00D32FFE"/>
    <w:rsid w:val="00D3399F"/>
    <w:rsid w:val="00D3428D"/>
    <w:rsid w:val="00D3485E"/>
    <w:rsid w:val="00D356FC"/>
    <w:rsid w:val="00D35BD0"/>
    <w:rsid w:val="00D35C7B"/>
    <w:rsid w:val="00D362DA"/>
    <w:rsid w:val="00D368B1"/>
    <w:rsid w:val="00D36F9A"/>
    <w:rsid w:val="00D377B1"/>
    <w:rsid w:val="00D40213"/>
    <w:rsid w:val="00D4084A"/>
    <w:rsid w:val="00D40945"/>
    <w:rsid w:val="00D40A5F"/>
    <w:rsid w:val="00D410A7"/>
    <w:rsid w:val="00D41FC0"/>
    <w:rsid w:val="00D4202C"/>
    <w:rsid w:val="00D42952"/>
    <w:rsid w:val="00D42B76"/>
    <w:rsid w:val="00D42EC9"/>
    <w:rsid w:val="00D444FF"/>
    <w:rsid w:val="00D44526"/>
    <w:rsid w:val="00D45CF9"/>
    <w:rsid w:val="00D460B7"/>
    <w:rsid w:val="00D47678"/>
    <w:rsid w:val="00D47CCE"/>
    <w:rsid w:val="00D47DA9"/>
    <w:rsid w:val="00D505C1"/>
    <w:rsid w:val="00D5138B"/>
    <w:rsid w:val="00D51677"/>
    <w:rsid w:val="00D51850"/>
    <w:rsid w:val="00D51EA4"/>
    <w:rsid w:val="00D52018"/>
    <w:rsid w:val="00D52317"/>
    <w:rsid w:val="00D523A7"/>
    <w:rsid w:val="00D52401"/>
    <w:rsid w:val="00D5326D"/>
    <w:rsid w:val="00D53553"/>
    <w:rsid w:val="00D536EF"/>
    <w:rsid w:val="00D55148"/>
    <w:rsid w:val="00D55951"/>
    <w:rsid w:val="00D55D36"/>
    <w:rsid w:val="00D568CD"/>
    <w:rsid w:val="00D57009"/>
    <w:rsid w:val="00D57158"/>
    <w:rsid w:val="00D57168"/>
    <w:rsid w:val="00D57AA0"/>
    <w:rsid w:val="00D60076"/>
    <w:rsid w:val="00D605C1"/>
    <w:rsid w:val="00D60C26"/>
    <w:rsid w:val="00D6238F"/>
    <w:rsid w:val="00D629CE"/>
    <w:rsid w:val="00D62FEA"/>
    <w:rsid w:val="00D63852"/>
    <w:rsid w:val="00D642DD"/>
    <w:rsid w:val="00D643AF"/>
    <w:rsid w:val="00D64672"/>
    <w:rsid w:val="00D64C55"/>
    <w:rsid w:val="00D65442"/>
    <w:rsid w:val="00D65B51"/>
    <w:rsid w:val="00D65ECC"/>
    <w:rsid w:val="00D665C8"/>
    <w:rsid w:val="00D66A79"/>
    <w:rsid w:val="00D66F67"/>
    <w:rsid w:val="00D66FD8"/>
    <w:rsid w:val="00D67A56"/>
    <w:rsid w:val="00D7032F"/>
    <w:rsid w:val="00D7049A"/>
    <w:rsid w:val="00D71602"/>
    <w:rsid w:val="00D71AB8"/>
    <w:rsid w:val="00D71F66"/>
    <w:rsid w:val="00D72153"/>
    <w:rsid w:val="00D72163"/>
    <w:rsid w:val="00D7298E"/>
    <w:rsid w:val="00D72FA9"/>
    <w:rsid w:val="00D72FE9"/>
    <w:rsid w:val="00D730B9"/>
    <w:rsid w:val="00D7394D"/>
    <w:rsid w:val="00D73A53"/>
    <w:rsid w:val="00D73C7D"/>
    <w:rsid w:val="00D73D48"/>
    <w:rsid w:val="00D74ACF"/>
    <w:rsid w:val="00D74B7C"/>
    <w:rsid w:val="00D74C81"/>
    <w:rsid w:val="00D74FC7"/>
    <w:rsid w:val="00D75459"/>
    <w:rsid w:val="00D76410"/>
    <w:rsid w:val="00D770F0"/>
    <w:rsid w:val="00D77331"/>
    <w:rsid w:val="00D77BF8"/>
    <w:rsid w:val="00D77DD3"/>
    <w:rsid w:val="00D805B9"/>
    <w:rsid w:val="00D80EF7"/>
    <w:rsid w:val="00D8112F"/>
    <w:rsid w:val="00D8118E"/>
    <w:rsid w:val="00D818BC"/>
    <w:rsid w:val="00D81EEF"/>
    <w:rsid w:val="00D8271B"/>
    <w:rsid w:val="00D82EA6"/>
    <w:rsid w:val="00D843EA"/>
    <w:rsid w:val="00D84536"/>
    <w:rsid w:val="00D84735"/>
    <w:rsid w:val="00D84F25"/>
    <w:rsid w:val="00D85CF6"/>
    <w:rsid w:val="00D867C9"/>
    <w:rsid w:val="00D879DE"/>
    <w:rsid w:val="00D87A9F"/>
    <w:rsid w:val="00D90598"/>
    <w:rsid w:val="00D90776"/>
    <w:rsid w:val="00D90BA5"/>
    <w:rsid w:val="00D90F2C"/>
    <w:rsid w:val="00D917BE"/>
    <w:rsid w:val="00D91DA5"/>
    <w:rsid w:val="00D92700"/>
    <w:rsid w:val="00D9304B"/>
    <w:rsid w:val="00D9324B"/>
    <w:rsid w:val="00D93D7D"/>
    <w:rsid w:val="00D94142"/>
    <w:rsid w:val="00D941B7"/>
    <w:rsid w:val="00D94AB9"/>
    <w:rsid w:val="00D951CB"/>
    <w:rsid w:val="00D95289"/>
    <w:rsid w:val="00D954D4"/>
    <w:rsid w:val="00D9596E"/>
    <w:rsid w:val="00D95C5A"/>
    <w:rsid w:val="00D95EE9"/>
    <w:rsid w:val="00D96B29"/>
    <w:rsid w:val="00D96E47"/>
    <w:rsid w:val="00D96EAC"/>
    <w:rsid w:val="00D973A5"/>
    <w:rsid w:val="00D97AF1"/>
    <w:rsid w:val="00DA10FF"/>
    <w:rsid w:val="00DA1987"/>
    <w:rsid w:val="00DA1B50"/>
    <w:rsid w:val="00DA1FE8"/>
    <w:rsid w:val="00DA2C7E"/>
    <w:rsid w:val="00DA3282"/>
    <w:rsid w:val="00DA34C9"/>
    <w:rsid w:val="00DA3A42"/>
    <w:rsid w:val="00DA4012"/>
    <w:rsid w:val="00DA492D"/>
    <w:rsid w:val="00DA4A94"/>
    <w:rsid w:val="00DA74B5"/>
    <w:rsid w:val="00DA74F5"/>
    <w:rsid w:val="00DA752D"/>
    <w:rsid w:val="00DB0C90"/>
    <w:rsid w:val="00DB1488"/>
    <w:rsid w:val="00DB20F4"/>
    <w:rsid w:val="00DB2F7D"/>
    <w:rsid w:val="00DB3E1E"/>
    <w:rsid w:val="00DB426B"/>
    <w:rsid w:val="00DB4EA1"/>
    <w:rsid w:val="00DB57DF"/>
    <w:rsid w:val="00DB5DAF"/>
    <w:rsid w:val="00DB6384"/>
    <w:rsid w:val="00DB6C22"/>
    <w:rsid w:val="00DB70B8"/>
    <w:rsid w:val="00DB71AA"/>
    <w:rsid w:val="00DB7BC4"/>
    <w:rsid w:val="00DC017B"/>
    <w:rsid w:val="00DC02D5"/>
    <w:rsid w:val="00DC0943"/>
    <w:rsid w:val="00DC0EBF"/>
    <w:rsid w:val="00DC1EC6"/>
    <w:rsid w:val="00DC29D3"/>
    <w:rsid w:val="00DC2E95"/>
    <w:rsid w:val="00DC32AF"/>
    <w:rsid w:val="00DC40BC"/>
    <w:rsid w:val="00DC424F"/>
    <w:rsid w:val="00DC42A9"/>
    <w:rsid w:val="00DC5D3B"/>
    <w:rsid w:val="00DC60D6"/>
    <w:rsid w:val="00DC63D6"/>
    <w:rsid w:val="00DC6487"/>
    <w:rsid w:val="00DC6523"/>
    <w:rsid w:val="00DC694D"/>
    <w:rsid w:val="00DC6D4B"/>
    <w:rsid w:val="00DC77AA"/>
    <w:rsid w:val="00DD0216"/>
    <w:rsid w:val="00DD0B58"/>
    <w:rsid w:val="00DD248C"/>
    <w:rsid w:val="00DD3276"/>
    <w:rsid w:val="00DD340E"/>
    <w:rsid w:val="00DD3B0A"/>
    <w:rsid w:val="00DD4601"/>
    <w:rsid w:val="00DD484B"/>
    <w:rsid w:val="00DD498C"/>
    <w:rsid w:val="00DD4BB0"/>
    <w:rsid w:val="00DD55BE"/>
    <w:rsid w:val="00DD570E"/>
    <w:rsid w:val="00DD5891"/>
    <w:rsid w:val="00DD5C2B"/>
    <w:rsid w:val="00DD6186"/>
    <w:rsid w:val="00DD6E7D"/>
    <w:rsid w:val="00DD6FEB"/>
    <w:rsid w:val="00DD7868"/>
    <w:rsid w:val="00DD7B4E"/>
    <w:rsid w:val="00DE0068"/>
    <w:rsid w:val="00DE01F6"/>
    <w:rsid w:val="00DE0216"/>
    <w:rsid w:val="00DE0322"/>
    <w:rsid w:val="00DE0641"/>
    <w:rsid w:val="00DE0651"/>
    <w:rsid w:val="00DE1D15"/>
    <w:rsid w:val="00DE247E"/>
    <w:rsid w:val="00DE2AE0"/>
    <w:rsid w:val="00DE366E"/>
    <w:rsid w:val="00DE37F4"/>
    <w:rsid w:val="00DE39BB"/>
    <w:rsid w:val="00DE4321"/>
    <w:rsid w:val="00DE4DB6"/>
    <w:rsid w:val="00DE4DF7"/>
    <w:rsid w:val="00DE4E97"/>
    <w:rsid w:val="00DE4F96"/>
    <w:rsid w:val="00DE5226"/>
    <w:rsid w:val="00DE5734"/>
    <w:rsid w:val="00DE57BD"/>
    <w:rsid w:val="00DE6B11"/>
    <w:rsid w:val="00DE6B4F"/>
    <w:rsid w:val="00DE7D37"/>
    <w:rsid w:val="00DF0374"/>
    <w:rsid w:val="00DF0BD9"/>
    <w:rsid w:val="00DF142E"/>
    <w:rsid w:val="00DF33EC"/>
    <w:rsid w:val="00DF4DDF"/>
    <w:rsid w:val="00DF517B"/>
    <w:rsid w:val="00DF52A6"/>
    <w:rsid w:val="00DF5643"/>
    <w:rsid w:val="00DF57E8"/>
    <w:rsid w:val="00DF5D68"/>
    <w:rsid w:val="00DF655E"/>
    <w:rsid w:val="00DF6A84"/>
    <w:rsid w:val="00DF6C8D"/>
    <w:rsid w:val="00DF6DBF"/>
    <w:rsid w:val="00DF6F50"/>
    <w:rsid w:val="00DF761F"/>
    <w:rsid w:val="00DF762F"/>
    <w:rsid w:val="00E0045F"/>
    <w:rsid w:val="00E005DB"/>
    <w:rsid w:val="00E009AF"/>
    <w:rsid w:val="00E00B17"/>
    <w:rsid w:val="00E01005"/>
    <w:rsid w:val="00E010D8"/>
    <w:rsid w:val="00E017C6"/>
    <w:rsid w:val="00E023BF"/>
    <w:rsid w:val="00E02DC4"/>
    <w:rsid w:val="00E045A2"/>
    <w:rsid w:val="00E04C28"/>
    <w:rsid w:val="00E05326"/>
    <w:rsid w:val="00E0571E"/>
    <w:rsid w:val="00E05B14"/>
    <w:rsid w:val="00E05F5A"/>
    <w:rsid w:val="00E06835"/>
    <w:rsid w:val="00E06C62"/>
    <w:rsid w:val="00E07B1B"/>
    <w:rsid w:val="00E07C1E"/>
    <w:rsid w:val="00E07DF1"/>
    <w:rsid w:val="00E07EA4"/>
    <w:rsid w:val="00E10524"/>
    <w:rsid w:val="00E12560"/>
    <w:rsid w:val="00E126B9"/>
    <w:rsid w:val="00E127DD"/>
    <w:rsid w:val="00E12EBB"/>
    <w:rsid w:val="00E13312"/>
    <w:rsid w:val="00E136E6"/>
    <w:rsid w:val="00E1424F"/>
    <w:rsid w:val="00E14D10"/>
    <w:rsid w:val="00E14FE8"/>
    <w:rsid w:val="00E17439"/>
    <w:rsid w:val="00E1787F"/>
    <w:rsid w:val="00E21E64"/>
    <w:rsid w:val="00E23135"/>
    <w:rsid w:val="00E23256"/>
    <w:rsid w:val="00E2455E"/>
    <w:rsid w:val="00E2474B"/>
    <w:rsid w:val="00E24B79"/>
    <w:rsid w:val="00E255A4"/>
    <w:rsid w:val="00E25A1E"/>
    <w:rsid w:val="00E25AE4"/>
    <w:rsid w:val="00E26883"/>
    <w:rsid w:val="00E26DAD"/>
    <w:rsid w:val="00E27149"/>
    <w:rsid w:val="00E27ED1"/>
    <w:rsid w:val="00E27FAA"/>
    <w:rsid w:val="00E300F0"/>
    <w:rsid w:val="00E310A6"/>
    <w:rsid w:val="00E311E2"/>
    <w:rsid w:val="00E3150D"/>
    <w:rsid w:val="00E31B7B"/>
    <w:rsid w:val="00E31BD5"/>
    <w:rsid w:val="00E32730"/>
    <w:rsid w:val="00E327EB"/>
    <w:rsid w:val="00E3359F"/>
    <w:rsid w:val="00E33CAE"/>
    <w:rsid w:val="00E341C5"/>
    <w:rsid w:val="00E34E41"/>
    <w:rsid w:val="00E3543C"/>
    <w:rsid w:val="00E364D5"/>
    <w:rsid w:val="00E365F9"/>
    <w:rsid w:val="00E3739E"/>
    <w:rsid w:val="00E37B74"/>
    <w:rsid w:val="00E37B8A"/>
    <w:rsid w:val="00E4003A"/>
    <w:rsid w:val="00E40392"/>
    <w:rsid w:val="00E40441"/>
    <w:rsid w:val="00E4076E"/>
    <w:rsid w:val="00E40A5F"/>
    <w:rsid w:val="00E41021"/>
    <w:rsid w:val="00E41267"/>
    <w:rsid w:val="00E419C5"/>
    <w:rsid w:val="00E41A71"/>
    <w:rsid w:val="00E41C7E"/>
    <w:rsid w:val="00E41FAD"/>
    <w:rsid w:val="00E421C7"/>
    <w:rsid w:val="00E42C24"/>
    <w:rsid w:val="00E43205"/>
    <w:rsid w:val="00E433BA"/>
    <w:rsid w:val="00E43946"/>
    <w:rsid w:val="00E4394F"/>
    <w:rsid w:val="00E44421"/>
    <w:rsid w:val="00E45961"/>
    <w:rsid w:val="00E45C8C"/>
    <w:rsid w:val="00E45FD1"/>
    <w:rsid w:val="00E46A4D"/>
    <w:rsid w:val="00E46EE7"/>
    <w:rsid w:val="00E47373"/>
    <w:rsid w:val="00E47900"/>
    <w:rsid w:val="00E47D80"/>
    <w:rsid w:val="00E501CC"/>
    <w:rsid w:val="00E5099E"/>
    <w:rsid w:val="00E50AD7"/>
    <w:rsid w:val="00E50F96"/>
    <w:rsid w:val="00E51FD0"/>
    <w:rsid w:val="00E5314B"/>
    <w:rsid w:val="00E5338F"/>
    <w:rsid w:val="00E53821"/>
    <w:rsid w:val="00E54175"/>
    <w:rsid w:val="00E545DC"/>
    <w:rsid w:val="00E54959"/>
    <w:rsid w:val="00E5497A"/>
    <w:rsid w:val="00E558C0"/>
    <w:rsid w:val="00E56229"/>
    <w:rsid w:val="00E56701"/>
    <w:rsid w:val="00E57052"/>
    <w:rsid w:val="00E5775A"/>
    <w:rsid w:val="00E603D1"/>
    <w:rsid w:val="00E6052B"/>
    <w:rsid w:val="00E60D36"/>
    <w:rsid w:val="00E60E93"/>
    <w:rsid w:val="00E60F2D"/>
    <w:rsid w:val="00E611B4"/>
    <w:rsid w:val="00E619BD"/>
    <w:rsid w:val="00E61A5C"/>
    <w:rsid w:val="00E626A8"/>
    <w:rsid w:val="00E659E8"/>
    <w:rsid w:val="00E65AA9"/>
    <w:rsid w:val="00E65D16"/>
    <w:rsid w:val="00E6602F"/>
    <w:rsid w:val="00E6618D"/>
    <w:rsid w:val="00E66323"/>
    <w:rsid w:val="00E66440"/>
    <w:rsid w:val="00E67413"/>
    <w:rsid w:val="00E67673"/>
    <w:rsid w:val="00E676E3"/>
    <w:rsid w:val="00E71206"/>
    <w:rsid w:val="00E71974"/>
    <w:rsid w:val="00E72649"/>
    <w:rsid w:val="00E7296F"/>
    <w:rsid w:val="00E72EFD"/>
    <w:rsid w:val="00E74A0E"/>
    <w:rsid w:val="00E74E16"/>
    <w:rsid w:val="00E76041"/>
    <w:rsid w:val="00E76B95"/>
    <w:rsid w:val="00E76C3A"/>
    <w:rsid w:val="00E76D20"/>
    <w:rsid w:val="00E7799A"/>
    <w:rsid w:val="00E806AF"/>
    <w:rsid w:val="00E80E3A"/>
    <w:rsid w:val="00E80F6F"/>
    <w:rsid w:val="00E80F80"/>
    <w:rsid w:val="00E81172"/>
    <w:rsid w:val="00E81E77"/>
    <w:rsid w:val="00E823A0"/>
    <w:rsid w:val="00E8327F"/>
    <w:rsid w:val="00E83523"/>
    <w:rsid w:val="00E83996"/>
    <w:rsid w:val="00E84540"/>
    <w:rsid w:val="00E84B26"/>
    <w:rsid w:val="00E84C64"/>
    <w:rsid w:val="00E857F0"/>
    <w:rsid w:val="00E85972"/>
    <w:rsid w:val="00E85A19"/>
    <w:rsid w:val="00E866BA"/>
    <w:rsid w:val="00E86ECD"/>
    <w:rsid w:val="00E8703E"/>
    <w:rsid w:val="00E879CB"/>
    <w:rsid w:val="00E87CB6"/>
    <w:rsid w:val="00E9029B"/>
    <w:rsid w:val="00E9034B"/>
    <w:rsid w:val="00E910A5"/>
    <w:rsid w:val="00E9195E"/>
    <w:rsid w:val="00E9298C"/>
    <w:rsid w:val="00E92FB8"/>
    <w:rsid w:val="00E9344C"/>
    <w:rsid w:val="00E93529"/>
    <w:rsid w:val="00E938C4"/>
    <w:rsid w:val="00E95784"/>
    <w:rsid w:val="00E96107"/>
    <w:rsid w:val="00E9620F"/>
    <w:rsid w:val="00E96795"/>
    <w:rsid w:val="00E96832"/>
    <w:rsid w:val="00E96B75"/>
    <w:rsid w:val="00E9756B"/>
    <w:rsid w:val="00E9778B"/>
    <w:rsid w:val="00E97C1F"/>
    <w:rsid w:val="00EA0B2D"/>
    <w:rsid w:val="00EA1FB5"/>
    <w:rsid w:val="00EA221D"/>
    <w:rsid w:val="00EA251E"/>
    <w:rsid w:val="00EA3092"/>
    <w:rsid w:val="00EA30DD"/>
    <w:rsid w:val="00EA3B70"/>
    <w:rsid w:val="00EA3BB5"/>
    <w:rsid w:val="00EA4E06"/>
    <w:rsid w:val="00EA56ED"/>
    <w:rsid w:val="00EA5963"/>
    <w:rsid w:val="00EA691F"/>
    <w:rsid w:val="00EB08F1"/>
    <w:rsid w:val="00EB1099"/>
    <w:rsid w:val="00EB1697"/>
    <w:rsid w:val="00EB1757"/>
    <w:rsid w:val="00EB1EBC"/>
    <w:rsid w:val="00EB2736"/>
    <w:rsid w:val="00EB2759"/>
    <w:rsid w:val="00EB2F8F"/>
    <w:rsid w:val="00EB3FB9"/>
    <w:rsid w:val="00EB4032"/>
    <w:rsid w:val="00EB470C"/>
    <w:rsid w:val="00EB476D"/>
    <w:rsid w:val="00EB4E05"/>
    <w:rsid w:val="00EB5978"/>
    <w:rsid w:val="00EB5ED6"/>
    <w:rsid w:val="00EB69A9"/>
    <w:rsid w:val="00EB748B"/>
    <w:rsid w:val="00EB78CB"/>
    <w:rsid w:val="00EB798B"/>
    <w:rsid w:val="00EB7C26"/>
    <w:rsid w:val="00EB7F2A"/>
    <w:rsid w:val="00EB7FE1"/>
    <w:rsid w:val="00EC17B9"/>
    <w:rsid w:val="00EC261D"/>
    <w:rsid w:val="00EC2878"/>
    <w:rsid w:val="00EC2ABE"/>
    <w:rsid w:val="00EC2F9A"/>
    <w:rsid w:val="00EC3090"/>
    <w:rsid w:val="00EC3195"/>
    <w:rsid w:val="00EC325F"/>
    <w:rsid w:val="00EC47BD"/>
    <w:rsid w:val="00EC4AF5"/>
    <w:rsid w:val="00EC4FAA"/>
    <w:rsid w:val="00EC5090"/>
    <w:rsid w:val="00EC5496"/>
    <w:rsid w:val="00EC5910"/>
    <w:rsid w:val="00EC5B3D"/>
    <w:rsid w:val="00EC5BB9"/>
    <w:rsid w:val="00EC67FC"/>
    <w:rsid w:val="00EC69EC"/>
    <w:rsid w:val="00EC6BB6"/>
    <w:rsid w:val="00EC6DC2"/>
    <w:rsid w:val="00EC6F71"/>
    <w:rsid w:val="00EC72DE"/>
    <w:rsid w:val="00EC7626"/>
    <w:rsid w:val="00EC7C25"/>
    <w:rsid w:val="00EC7ED0"/>
    <w:rsid w:val="00ED27F1"/>
    <w:rsid w:val="00ED2F51"/>
    <w:rsid w:val="00ED3312"/>
    <w:rsid w:val="00ED39B9"/>
    <w:rsid w:val="00ED3A07"/>
    <w:rsid w:val="00ED438B"/>
    <w:rsid w:val="00ED4CB2"/>
    <w:rsid w:val="00ED5A23"/>
    <w:rsid w:val="00ED5C1E"/>
    <w:rsid w:val="00ED5E5E"/>
    <w:rsid w:val="00ED625C"/>
    <w:rsid w:val="00ED64B4"/>
    <w:rsid w:val="00ED693B"/>
    <w:rsid w:val="00ED789F"/>
    <w:rsid w:val="00ED7C75"/>
    <w:rsid w:val="00ED7D58"/>
    <w:rsid w:val="00ED7F8A"/>
    <w:rsid w:val="00EE04F7"/>
    <w:rsid w:val="00EE0E1A"/>
    <w:rsid w:val="00EE1022"/>
    <w:rsid w:val="00EE10B1"/>
    <w:rsid w:val="00EE1F6A"/>
    <w:rsid w:val="00EE265B"/>
    <w:rsid w:val="00EE2A49"/>
    <w:rsid w:val="00EE391F"/>
    <w:rsid w:val="00EE4F0B"/>
    <w:rsid w:val="00EE5161"/>
    <w:rsid w:val="00EE5C20"/>
    <w:rsid w:val="00EE5C55"/>
    <w:rsid w:val="00EE5E67"/>
    <w:rsid w:val="00EE64C0"/>
    <w:rsid w:val="00EE6854"/>
    <w:rsid w:val="00EE6AC6"/>
    <w:rsid w:val="00EE73BD"/>
    <w:rsid w:val="00EE7E31"/>
    <w:rsid w:val="00EE7F87"/>
    <w:rsid w:val="00EE7FE3"/>
    <w:rsid w:val="00EF0295"/>
    <w:rsid w:val="00EF08AC"/>
    <w:rsid w:val="00EF162F"/>
    <w:rsid w:val="00EF1B85"/>
    <w:rsid w:val="00EF296C"/>
    <w:rsid w:val="00EF37EC"/>
    <w:rsid w:val="00EF467C"/>
    <w:rsid w:val="00EF48A8"/>
    <w:rsid w:val="00EF5637"/>
    <w:rsid w:val="00EF56DC"/>
    <w:rsid w:val="00EF6366"/>
    <w:rsid w:val="00EF6BB7"/>
    <w:rsid w:val="00EF77AA"/>
    <w:rsid w:val="00EF7AFF"/>
    <w:rsid w:val="00EF7D51"/>
    <w:rsid w:val="00EF7D75"/>
    <w:rsid w:val="00F00104"/>
    <w:rsid w:val="00F0083D"/>
    <w:rsid w:val="00F0110E"/>
    <w:rsid w:val="00F0114C"/>
    <w:rsid w:val="00F0162E"/>
    <w:rsid w:val="00F01B8D"/>
    <w:rsid w:val="00F02492"/>
    <w:rsid w:val="00F02CD7"/>
    <w:rsid w:val="00F036C2"/>
    <w:rsid w:val="00F04036"/>
    <w:rsid w:val="00F054E5"/>
    <w:rsid w:val="00F05C73"/>
    <w:rsid w:val="00F05CE9"/>
    <w:rsid w:val="00F064A1"/>
    <w:rsid w:val="00F06E41"/>
    <w:rsid w:val="00F07E26"/>
    <w:rsid w:val="00F10BD1"/>
    <w:rsid w:val="00F11776"/>
    <w:rsid w:val="00F11819"/>
    <w:rsid w:val="00F119D5"/>
    <w:rsid w:val="00F119FC"/>
    <w:rsid w:val="00F11B2E"/>
    <w:rsid w:val="00F11FED"/>
    <w:rsid w:val="00F12073"/>
    <w:rsid w:val="00F12400"/>
    <w:rsid w:val="00F13B97"/>
    <w:rsid w:val="00F14163"/>
    <w:rsid w:val="00F14530"/>
    <w:rsid w:val="00F15079"/>
    <w:rsid w:val="00F15481"/>
    <w:rsid w:val="00F15633"/>
    <w:rsid w:val="00F15659"/>
    <w:rsid w:val="00F16A1A"/>
    <w:rsid w:val="00F1744B"/>
    <w:rsid w:val="00F20500"/>
    <w:rsid w:val="00F20C43"/>
    <w:rsid w:val="00F20D52"/>
    <w:rsid w:val="00F21860"/>
    <w:rsid w:val="00F21FE5"/>
    <w:rsid w:val="00F22F83"/>
    <w:rsid w:val="00F23101"/>
    <w:rsid w:val="00F23177"/>
    <w:rsid w:val="00F240EA"/>
    <w:rsid w:val="00F243FF"/>
    <w:rsid w:val="00F24ED4"/>
    <w:rsid w:val="00F25A62"/>
    <w:rsid w:val="00F25A9B"/>
    <w:rsid w:val="00F25E19"/>
    <w:rsid w:val="00F270A2"/>
    <w:rsid w:val="00F2730D"/>
    <w:rsid w:val="00F30483"/>
    <w:rsid w:val="00F30A0F"/>
    <w:rsid w:val="00F3113F"/>
    <w:rsid w:val="00F316F6"/>
    <w:rsid w:val="00F317C2"/>
    <w:rsid w:val="00F318D4"/>
    <w:rsid w:val="00F324FC"/>
    <w:rsid w:val="00F328AA"/>
    <w:rsid w:val="00F32FFA"/>
    <w:rsid w:val="00F3354E"/>
    <w:rsid w:val="00F33C99"/>
    <w:rsid w:val="00F343C5"/>
    <w:rsid w:val="00F34916"/>
    <w:rsid w:val="00F3556A"/>
    <w:rsid w:val="00F358D2"/>
    <w:rsid w:val="00F359BE"/>
    <w:rsid w:val="00F35F62"/>
    <w:rsid w:val="00F3630E"/>
    <w:rsid w:val="00F37043"/>
    <w:rsid w:val="00F37131"/>
    <w:rsid w:val="00F400A2"/>
    <w:rsid w:val="00F400D2"/>
    <w:rsid w:val="00F402B1"/>
    <w:rsid w:val="00F40E42"/>
    <w:rsid w:val="00F4119B"/>
    <w:rsid w:val="00F41571"/>
    <w:rsid w:val="00F4158C"/>
    <w:rsid w:val="00F41985"/>
    <w:rsid w:val="00F42A49"/>
    <w:rsid w:val="00F436B0"/>
    <w:rsid w:val="00F45302"/>
    <w:rsid w:val="00F4550F"/>
    <w:rsid w:val="00F47163"/>
    <w:rsid w:val="00F4777E"/>
    <w:rsid w:val="00F47E1A"/>
    <w:rsid w:val="00F47EE0"/>
    <w:rsid w:val="00F47FAB"/>
    <w:rsid w:val="00F50032"/>
    <w:rsid w:val="00F504B0"/>
    <w:rsid w:val="00F508A3"/>
    <w:rsid w:val="00F50C57"/>
    <w:rsid w:val="00F50DE6"/>
    <w:rsid w:val="00F5264F"/>
    <w:rsid w:val="00F528AE"/>
    <w:rsid w:val="00F530DF"/>
    <w:rsid w:val="00F53845"/>
    <w:rsid w:val="00F540B8"/>
    <w:rsid w:val="00F546A0"/>
    <w:rsid w:val="00F54769"/>
    <w:rsid w:val="00F54779"/>
    <w:rsid w:val="00F55404"/>
    <w:rsid w:val="00F55540"/>
    <w:rsid w:val="00F55697"/>
    <w:rsid w:val="00F562CB"/>
    <w:rsid w:val="00F56A4D"/>
    <w:rsid w:val="00F57343"/>
    <w:rsid w:val="00F60595"/>
    <w:rsid w:val="00F60720"/>
    <w:rsid w:val="00F6109F"/>
    <w:rsid w:val="00F623DB"/>
    <w:rsid w:val="00F62C94"/>
    <w:rsid w:val="00F62E6F"/>
    <w:rsid w:val="00F63FA6"/>
    <w:rsid w:val="00F64933"/>
    <w:rsid w:val="00F649AE"/>
    <w:rsid w:val="00F650C1"/>
    <w:rsid w:val="00F65882"/>
    <w:rsid w:val="00F6592F"/>
    <w:rsid w:val="00F65E7A"/>
    <w:rsid w:val="00F66BE7"/>
    <w:rsid w:val="00F66F6F"/>
    <w:rsid w:val="00F67CDA"/>
    <w:rsid w:val="00F706AD"/>
    <w:rsid w:val="00F710F1"/>
    <w:rsid w:val="00F7205C"/>
    <w:rsid w:val="00F720ED"/>
    <w:rsid w:val="00F72205"/>
    <w:rsid w:val="00F736F6"/>
    <w:rsid w:val="00F73878"/>
    <w:rsid w:val="00F73927"/>
    <w:rsid w:val="00F73F90"/>
    <w:rsid w:val="00F74168"/>
    <w:rsid w:val="00F74626"/>
    <w:rsid w:val="00F74D6B"/>
    <w:rsid w:val="00F76A82"/>
    <w:rsid w:val="00F76DA5"/>
    <w:rsid w:val="00F77713"/>
    <w:rsid w:val="00F7796D"/>
    <w:rsid w:val="00F8025A"/>
    <w:rsid w:val="00F809A2"/>
    <w:rsid w:val="00F80B51"/>
    <w:rsid w:val="00F814EC"/>
    <w:rsid w:val="00F818C3"/>
    <w:rsid w:val="00F81ADE"/>
    <w:rsid w:val="00F81BEC"/>
    <w:rsid w:val="00F8257B"/>
    <w:rsid w:val="00F82613"/>
    <w:rsid w:val="00F82707"/>
    <w:rsid w:val="00F82977"/>
    <w:rsid w:val="00F837A6"/>
    <w:rsid w:val="00F83B8A"/>
    <w:rsid w:val="00F84077"/>
    <w:rsid w:val="00F8431E"/>
    <w:rsid w:val="00F8492E"/>
    <w:rsid w:val="00F855FA"/>
    <w:rsid w:val="00F85BA7"/>
    <w:rsid w:val="00F86797"/>
    <w:rsid w:val="00F90770"/>
    <w:rsid w:val="00F90A78"/>
    <w:rsid w:val="00F91B60"/>
    <w:rsid w:val="00F91B91"/>
    <w:rsid w:val="00F927FB"/>
    <w:rsid w:val="00F92A43"/>
    <w:rsid w:val="00F92B77"/>
    <w:rsid w:val="00F9385C"/>
    <w:rsid w:val="00F93F0A"/>
    <w:rsid w:val="00F944C4"/>
    <w:rsid w:val="00F956E8"/>
    <w:rsid w:val="00F95FD0"/>
    <w:rsid w:val="00F95FD3"/>
    <w:rsid w:val="00F963C3"/>
    <w:rsid w:val="00F9748C"/>
    <w:rsid w:val="00FA02A6"/>
    <w:rsid w:val="00FA0A0F"/>
    <w:rsid w:val="00FA231F"/>
    <w:rsid w:val="00FA24B1"/>
    <w:rsid w:val="00FA2874"/>
    <w:rsid w:val="00FA29B2"/>
    <w:rsid w:val="00FA34F3"/>
    <w:rsid w:val="00FA395F"/>
    <w:rsid w:val="00FA5499"/>
    <w:rsid w:val="00FA591D"/>
    <w:rsid w:val="00FA75EA"/>
    <w:rsid w:val="00FA7C91"/>
    <w:rsid w:val="00FB103C"/>
    <w:rsid w:val="00FB1154"/>
    <w:rsid w:val="00FB11C2"/>
    <w:rsid w:val="00FB171F"/>
    <w:rsid w:val="00FB1AA0"/>
    <w:rsid w:val="00FB1B6F"/>
    <w:rsid w:val="00FB34ED"/>
    <w:rsid w:val="00FB40EA"/>
    <w:rsid w:val="00FB46B5"/>
    <w:rsid w:val="00FB524C"/>
    <w:rsid w:val="00FB5481"/>
    <w:rsid w:val="00FB6890"/>
    <w:rsid w:val="00FB6AC2"/>
    <w:rsid w:val="00FC044A"/>
    <w:rsid w:val="00FC126E"/>
    <w:rsid w:val="00FC178C"/>
    <w:rsid w:val="00FC1D3A"/>
    <w:rsid w:val="00FC27A8"/>
    <w:rsid w:val="00FC38DC"/>
    <w:rsid w:val="00FC397C"/>
    <w:rsid w:val="00FC3B80"/>
    <w:rsid w:val="00FC3EF8"/>
    <w:rsid w:val="00FC4077"/>
    <w:rsid w:val="00FC40DF"/>
    <w:rsid w:val="00FC48BD"/>
    <w:rsid w:val="00FC4902"/>
    <w:rsid w:val="00FC54FC"/>
    <w:rsid w:val="00FC6181"/>
    <w:rsid w:val="00FC7FF0"/>
    <w:rsid w:val="00FD006E"/>
    <w:rsid w:val="00FD0E70"/>
    <w:rsid w:val="00FD12AA"/>
    <w:rsid w:val="00FD131E"/>
    <w:rsid w:val="00FD1951"/>
    <w:rsid w:val="00FD1AB1"/>
    <w:rsid w:val="00FD37F4"/>
    <w:rsid w:val="00FD50CD"/>
    <w:rsid w:val="00FD573C"/>
    <w:rsid w:val="00FD5CE8"/>
    <w:rsid w:val="00FD643B"/>
    <w:rsid w:val="00FD6EC9"/>
    <w:rsid w:val="00FD7111"/>
    <w:rsid w:val="00FD76A9"/>
    <w:rsid w:val="00FD778E"/>
    <w:rsid w:val="00FE00FD"/>
    <w:rsid w:val="00FE0E12"/>
    <w:rsid w:val="00FE12E2"/>
    <w:rsid w:val="00FE1313"/>
    <w:rsid w:val="00FE131A"/>
    <w:rsid w:val="00FE28D8"/>
    <w:rsid w:val="00FE35CE"/>
    <w:rsid w:val="00FE405E"/>
    <w:rsid w:val="00FE47D2"/>
    <w:rsid w:val="00FE4ED8"/>
    <w:rsid w:val="00FE4FC2"/>
    <w:rsid w:val="00FE5618"/>
    <w:rsid w:val="00FE594E"/>
    <w:rsid w:val="00FE690B"/>
    <w:rsid w:val="00FE6D64"/>
    <w:rsid w:val="00FE7BAC"/>
    <w:rsid w:val="00FF0571"/>
    <w:rsid w:val="00FF0FA8"/>
    <w:rsid w:val="00FF2079"/>
    <w:rsid w:val="00FF319D"/>
    <w:rsid w:val="00FF3239"/>
    <w:rsid w:val="00FF3798"/>
    <w:rsid w:val="00FF3CA0"/>
    <w:rsid w:val="00FF3D89"/>
    <w:rsid w:val="00FF515F"/>
    <w:rsid w:val="00FF518D"/>
    <w:rsid w:val="00FF51D4"/>
    <w:rsid w:val="00FF5631"/>
    <w:rsid w:val="00FF5BAF"/>
    <w:rsid w:val="00FF6167"/>
    <w:rsid w:val="00FF63F0"/>
    <w:rsid w:val="00FF6A28"/>
    <w:rsid w:val="00FF731A"/>
    <w:rsid w:val="00FF746A"/>
    <w:rsid w:val="00FF7B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ity"/>
  <w:smartTagType w:namespaceuri="urn:schemas-microsoft-com:office:smarttags" w:name="PostalCode"/>
  <w:shapeDefaults>
    <o:shapedefaults v:ext="edit" spidmax="2677" fillcolor="white">
      <v:fill color="white"/>
    </o:shapedefaults>
    <o:shapelayout v:ext="edit">
      <o:idmap v:ext="edit" data="2"/>
      <o:rules v:ext="edit">
        <o:r id="V:Rule1" type="callout" idref="#Oval Callout 221"/>
        <o:r id="V:Rule2" type="callout" idref="#Oval Callout 376"/>
        <o:r id="V:Rule3" type="callout" idref="#Oval Callout 211"/>
        <o:r id="V:Rule4" type="callout" idref="#Oval Callout 216"/>
        <o:r id="V:Rule5" type="callout" idref="#Oval Callout 220"/>
        <o:r id="V:Rule6" type="callout" idref="#Oval Callout 213"/>
        <o:r id="V:Rule7" type="callout" idref="#Oval Callout 222"/>
        <o:r id="V:Rule8" type="callout" idref="#Oval Callout 212"/>
        <o:r id="V:Rule9" type="callout" idref="#Oval Callout 215"/>
      </o:rules>
    </o:shapelayout>
  </w:shapeDefaults>
  <w:decimalSymbol w:val="."/>
  <w:listSeparator w:val=","/>
  <w14:docId w14:val="3AFD0372"/>
  <w15:chartTrackingRefBased/>
  <w15:docId w15:val="{E6798089-CD04-42E5-8DE4-796E82D4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Indent" w:uiPriority="99"/>
    <w:lsdException w:name="Subtitle" w:qFormat="1"/>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607D"/>
    <w:rPr>
      <w:sz w:val="28"/>
      <w:lang w:eastAsia="en-US"/>
    </w:rPr>
  </w:style>
  <w:style w:type="paragraph" w:styleId="Heading1">
    <w:name w:val="heading 1"/>
    <w:basedOn w:val="Normal"/>
    <w:next w:val="Normal"/>
    <w:qFormat/>
    <w:pPr>
      <w:keepNext/>
      <w:spacing w:before="240"/>
      <w:outlineLvl w:val="0"/>
    </w:pPr>
    <w:rPr>
      <w:rFonts w:ascii="Arial" w:hAnsi="Arial"/>
      <w:b/>
      <w:sz w:val="24"/>
    </w:rPr>
  </w:style>
  <w:style w:type="paragraph" w:styleId="Heading2">
    <w:name w:val="heading 2"/>
    <w:basedOn w:val="Normal"/>
    <w:next w:val="Normal"/>
    <w:qFormat/>
    <w:pPr>
      <w:keepNext/>
      <w:outlineLvl w:val="1"/>
    </w:pPr>
    <w:rPr>
      <w:rFonts w:ascii="Arial" w:hAnsi="Arial"/>
      <w:b/>
    </w:rPr>
  </w:style>
  <w:style w:type="paragraph" w:styleId="Heading3">
    <w:name w:val="heading 3"/>
    <w:basedOn w:val="Normal"/>
    <w:next w:val="Normal"/>
    <w:link w:val="Heading3Char"/>
    <w:qFormat/>
    <w:pPr>
      <w:keepNext/>
      <w:jc w:val="right"/>
      <w:outlineLvl w:val="2"/>
    </w:pPr>
    <w:rPr>
      <w:rFonts w:ascii="Arial" w:hAnsi="Arial"/>
      <w:b/>
      <w:sz w:val="24"/>
    </w:rPr>
  </w:style>
  <w:style w:type="paragraph" w:styleId="Heading4">
    <w:name w:val="heading 4"/>
    <w:basedOn w:val="Normal"/>
    <w:next w:val="Normal"/>
    <w:link w:val="Heading4Char"/>
    <w:qFormat/>
    <w:pPr>
      <w:keepNext/>
      <w:ind w:left="720" w:hanging="720"/>
      <w:outlineLvl w:val="3"/>
    </w:pPr>
    <w:rPr>
      <w:rFonts w:ascii="Arial" w:hAnsi="Arial"/>
      <w:b/>
    </w:rPr>
  </w:style>
  <w:style w:type="paragraph" w:styleId="Heading5">
    <w:name w:val="heading 5"/>
    <w:basedOn w:val="Normal"/>
    <w:next w:val="Normal"/>
    <w:link w:val="Heading5Char"/>
    <w:qFormat/>
    <w:pPr>
      <w:keepNext/>
      <w:ind w:left="3600" w:hanging="3600"/>
      <w:outlineLvl w:val="4"/>
    </w:pPr>
    <w:rPr>
      <w:rFonts w:ascii="Arial" w:hAnsi="Arial"/>
      <w:b/>
    </w:rPr>
  </w:style>
  <w:style w:type="paragraph" w:styleId="Heading6">
    <w:name w:val="heading 6"/>
    <w:basedOn w:val="Normal"/>
    <w:next w:val="Normal"/>
    <w:link w:val="Heading6Char"/>
    <w:qFormat/>
    <w:pPr>
      <w:keepNext/>
      <w:jc w:val="both"/>
      <w:outlineLvl w:val="5"/>
    </w:pPr>
    <w:rPr>
      <w:rFonts w:ascii="Arial" w:hAnsi="Arial"/>
      <w:b/>
      <w:sz w:val="24"/>
    </w:rPr>
  </w:style>
  <w:style w:type="paragraph" w:styleId="Heading7">
    <w:name w:val="heading 7"/>
    <w:basedOn w:val="Normal"/>
    <w:next w:val="Normal"/>
    <w:link w:val="Heading7Char"/>
    <w:qFormat/>
    <w:pPr>
      <w:keepNext/>
      <w:tabs>
        <w:tab w:val="left" w:pos="1134"/>
      </w:tabs>
      <w:outlineLvl w:val="6"/>
    </w:pPr>
    <w:rPr>
      <w:rFonts w:ascii="Arial" w:hAnsi="Arial"/>
      <w:b/>
      <w:sz w:val="27"/>
    </w:rPr>
  </w:style>
  <w:style w:type="paragraph" w:styleId="Heading8">
    <w:name w:val="heading 8"/>
    <w:basedOn w:val="Normal"/>
    <w:next w:val="Normal"/>
    <w:link w:val="Heading8Char"/>
    <w:qFormat/>
    <w:pPr>
      <w:keepNext/>
      <w:tabs>
        <w:tab w:val="left" w:pos="1134"/>
      </w:tabs>
      <w:outlineLvl w:val="7"/>
    </w:pPr>
    <w:rPr>
      <w:rFonts w:ascii="Arial" w:hAnsi="Arial"/>
      <w:b/>
      <w:color w:val="FF0000"/>
    </w:rPr>
  </w:style>
  <w:style w:type="paragraph" w:styleId="Heading9">
    <w:name w:val="heading 9"/>
    <w:basedOn w:val="Normal"/>
    <w:next w:val="Normal"/>
    <w:link w:val="Heading9Char"/>
    <w:qFormat/>
    <w:pPr>
      <w:keepNext/>
      <w:ind w:left="3600" w:hanging="3600"/>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pPr>
      <w:tabs>
        <w:tab w:val="right" w:pos="5184"/>
        <w:tab w:val="right" w:pos="6624"/>
        <w:tab w:val="right" w:pos="8640"/>
        <w:tab w:val="right" w:pos="10080"/>
      </w:tabs>
      <w:jc w:val="both"/>
    </w:pPr>
    <w:rPr>
      <w:rFonts w:ascii="Arial" w:hAnsi="Arial"/>
      <w:sz w:val="24"/>
    </w:rPr>
  </w:style>
  <w:style w:type="paragraph" w:styleId="BodyText2">
    <w:name w:val="Body Text 2"/>
    <w:basedOn w:val="Normal"/>
    <w:link w:val="BodyText2Char"/>
    <w:rPr>
      <w:rFonts w:ascii="Arial" w:hAnsi="Arial"/>
      <w:sz w:val="24"/>
    </w:rPr>
  </w:style>
  <w:style w:type="paragraph" w:styleId="BodyText3">
    <w:name w:val="Body Text 3"/>
    <w:basedOn w:val="Normal"/>
    <w:pPr>
      <w:tabs>
        <w:tab w:val="left" w:pos="1134"/>
      </w:tabs>
      <w:outlineLvl w:val="0"/>
    </w:pPr>
    <w:rPr>
      <w:rFonts w:ascii="Arial" w:hAnsi="Arial"/>
      <w:b/>
    </w:rPr>
  </w:style>
  <w:style w:type="paragraph" w:styleId="NormalWeb">
    <w:name w:val="Normal (Web)"/>
    <w:basedOn w:val="Normal"/>
    <w:uiPriority w:val="99"/>
    <w:pPr>
      <w:spacing w:before="100" w:after="100"/>
    </w:pPr>
    <w:rPr>
      <w:sz w:val="24"/>
    </w:rPr>
  </w:style>
  <w:style w:type="paragraph" w:styleId="BalloonText">
    <w:name w:val="Balloon Text"/>
    <w:basedOn w:val="Normal"/>
    <w:link w:val="BalloonTextChar"/>
    <w:uiPriority w:val="99"/>
    <w:semiHidden/>
    <w:rPr>
      <w:rFonts w:ascii="Tahoma" w:hAnsi="Tahoma" w:cs="Tahoma"/>
      <w:sz w:val="16"/>
      <w:szCs w:val="16"/>
    </w:rPr>
  </w:style>
  <w:style w:type="table" w:styleId="TableGrid">
    <w:name w:val="Table Grid"/>
    <w:basedOn w:val="TableNormal"/>
    <w:uiPriority w:val="59"/>
    <w:rsid w:val="00370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C13ED3"/>
    <w:pPr>
      <w:spacing w:after="120"/>
      <w:ind w:left="283"/>
    </w:pPr>
    <w:rPr>
      <w:rFonts w:ascii="Arial (W1)" w:hAnsi="Arial (W1)" w:cs="Arial"/>
      <w:sz w:val="24"/>
      <w:szCs w:val="24"/>
      <w:lang w:eastAsia="en-GB"/>
    </w:rPr>
  </w:style>
  <w:style w:type="character" w:styleId="LineNumber">
    <w:name w:val="line number"/>
    <w:basedOn w:val="DefaultParagraphFont"/>
    <w:rsid w:val="005E6D50"/>
  </w:style>
  <w:style w:type="paragraph" w:styleId="CommentText">
    <w:name w:val="annotation text"/>
    <w:basedOn w:val="Normal"/>
    <w:link w:val="CommentTextChar"/>
    <w:uiPriority w:val="99"/>
    <w:rsid w:val="002E24C5"/>
    <w:rPr>
      <w:sz w:val="20"/>
      <w:lang w:eastAsia="en-GB"/>
    </w:rPr>
  </w:style>
  <w:style w:type="paragraph" w:customStyle="1" w:styleId="text">
    <w:name w:val="text"/>
    <w:basedOn w:val="Normal"/>
    <w:rsid w:val="002E24C5"/>
    <w:pPr>
      <w:widowControl w:val="0"/>
      <w:overflowPunct w:val="0"/>
      <w:autoSpaceDE w:val="0"/>
      <w:autoSpaceDN w:val="0"/>
      <w:adjustRightInd w:val="0"/>
      <w:spacing w:after="240"/>
      <w:jc w:val="both"/>
      <w:textAlignment w:val="baseline"/>
    </w:pPr>
    <w:rPr>
      <w:sz w:val="24"/>
      <w:lang w:eastAsia="en-GB"/>
    </w:rPr>
  </w:style>
  <w:style w:type="paragraph" w:styleId="Title">
    <w:name w:val="Title"/>
    <w:basedOn w:val="Normal"/>
    <w:qFormat/>
    <w:rsid w:val="002E24C5"/>
    <w:pPr>
      <w:shd w:val="clear" w:color="auto" w:fill="000000"/>
      <w:ind w:left="426" w:hanging="426"/>
      <w:jc w:val="center"/>
      <w:outlineLvl w:val="0"/>
    </w:pPr>
    <w:rPr>
      <w:rFonts w:ascii="Arial" w:hAnsi="Arial"/>
      <w:b/>
      <w:color w:val="FFFFFF"/>
      <w:sz w:val="36"/>
      <w:lang w:eastAsia="en-GB"/>
    </w:rPr>
  </w:style>
  <w:style w:type="paragraph" w:styleId="BlockText">
    <w:name w:val="Block Text"/>
    <w:basedOn w:val="Normal"/>
    <w:rsid w:val="002E24C5"/>
    <w:pPr>
      <w:tabs>
        <w:tab w:val="left" w:pos="851"/>
        <w:tab w:val="left" w:pos="1134"/>
        <w:tab w:val="left" w:pos="2592"/>
        <w:tab w:val="left" w:pos="3312"/>
        <w:tab w:val="left" w:pos="4320"/>
        <w:tab w:val="left" w:pos="5184"/>
        <w:tab w:val="left" w:pos="6048"/>
        <w:tab w:val="left" w:pos="6912"/>
        <w:tab w:val="left" w:pos="7776"/>
        <w:tab w:val="left" w:pos="8640"/>
        <w:tab w:val="right" w:pos="9648"/>
        <w:tab w:val="left" w:pos="10530"/>
      </w:tabs>
      <w:ind w:left="810" w:right="38" w:hanging="720"/>
    </w:pPr>
    <w:rPr>
      <w:rFonts w:ascii="Arial" w:hAnsi="Arial"/>
      <w:i/>
      <w:sz w:val="20"/>
      <w:lang w:eastAsia="en-GB"/>
    </w:rPr>
  </w:style>
  <w:style w:type="paragraph" w:styleId="BodyTextIndent3">
    <w:name w:val="Body Text Indent 3"/>
    <w:basedOn w:val="Normal"/>
    <w:rsid w:val="002E24C5"/>
    <w:pPr>
      <w:spacing w:after="120"/>
      <w:ind w:left="283"/>
    </w:pPr>
    <w:rPr>
      <w:rFonts w:ascii="Arial (W1)" w:hAnsi="Arial (W1)" w:cs="Arial"/>
      <w:sz w:val="16"/>
      <w:szCs w:val="16"/>
      <w:lang w:eastAsia="en-GB"/>
    </w:rPr>
  </w:style>
  <w:style w:type="paragraph" w:styleId="BodyTextIndent2">
    <w:name w:val="Body Text Indent 2"/>
    <w:basedOn w:val="Normal"/>
    <w:rsid w:val="002E24C5"/>
    <w:pPr>
      <w:tabs>
        <w:tab w:val="left" w:pos="1728"/>
        <w:tab w:val="left" w:pos="2592"/>
        <w:tab w:val="left" w:pos="3312"/>
        <w:tab w:val="left" w:pos="4320"/>
        <w:tab w:val="left" w:pos="5184"/>
        <w:tab w:val="left" w:pos="6048"/>
        <w:tab w:val="left" w:pos="6912"/>
        <w:tab w:val="left" w:pos="7776"/>
        <w:tab w:val="left" w:pos="8640"/>
        <w:tab w:val="right" w:pos="9648"/>
      </w:tabs>
      <w:ind w:left="1440" w:hanging="464"/>
    </w:pPr>
    <w:rPr>
      <w:rFonts w:ascii="Arial" w:hAnsi="Arial"/>
      <w:i/>
      <w:sz w:val="20"/>
      <w:lang w:eastAsia="en-GB"/>
    </w:rPr>
  </w:style>
  <w:style w:type="paragraph" w:customStyle="1" w:styleId="ReplyForwardHeaders2">
    <w:name w:val="Reply/Forward Headers2"/>
    <w:basedOn w:val="Normal"/>
    <w:next w:val="ReplyForwardToFromDate2"/>
    <w:rsid w:val="002E24C5"/>
    <w:pPr>
      <w:pBdr>
        <w:left w:val="single" w:sz="18" w:space="1" w:color="auto"/>
      </w:pBdr>
      <w:shd w:val="pct10" w:color="auto" w:fill="FFFFFF"/>
      <w:ind w:left="1080" w:hanging="1080"/>
      <w:outlineLvl w:val="0"/>
    </w:pPr>
    <w:rPr>
      <w:rFonts w:ascii="Arial" w:hAnsi="Arial"/>
      <w:b/>
      <w:sz w:val="20"/>
    </w:rPr>
  </w:style>
  <w:style w:type="paragraph" w:customStyle="1" w:styleId="ReplyForwardToFromDate2">
    <w:name w:val="Reply/Forward To: From: Date:2"/>
    <w:basedOn w:val="Normal"/>
    <w:rsid w:val="002E24C5"/>
    <w:pPr>
      <w:pBdr>
        <w:left w:val="single" w:sz="18" w:space="1" w:color="auto"/>
      </w:pBdr>
      <w:ind w:left="1080" w:hanging="1080"/>
    </w:pPr>
    <w:rPr>
      <w:rFonts w:ascii="Arial" w:hAnsi="Arial"/>
      <w:sz w:val="20"/>
    </w:rPr>
  </w:style>
  <w:style w:type="paragraph" w:customStyle="1" w:styleId="Bullets">
    <w:name w:val="Bullets"/>
    <w:basedOn w:val="Normal"/>
    <w:rsid w:val="002E24C5"/>
    <w:pPr>
      <w:tabs>
        <w:tab w:val="num" w:pos="397"/>
        <w:tab w:val="left" w:pos="3062"/>
      </w:tabs>
      <w:spacing w:before="30" w:line="264" w:lineRule="auto"/>
      <w:ind w:left="397" w:hanging="397"/>
    </w:pPr>
    <w:rPr>
      <w:rFonts w:ascii="Times" w:hAnsi="Times"/>
      <w:sz w:val="21"/>
    </w:rPr>
  </w:style>
  <w:style w:type="character" w:styleId="CommentReference">
    <w:name w:val="annotation reference"/>
    <w:uiPriority w:val="99"/>
    <w:rsid w:val="002E24C5"/>
    <w:rPr>
      <w:sz w:val="16"/>
    </w:rPr>
  </w:style>
  <w:style w:type="paragraph" w:customStyle="1" w:styleId="exampletext">
    <w:name w:val="exampletext"/>
    <w:basedOn w:val="Normal"/>
    <w:rsid w:val="002E24C5"/>
    <w:pPr>
      <w:spacing w:before="100" w:beforeAutospacing="1" w:after="100" w:afterAutospacing="1"/>
    </w:pPr>
    <w:rPr>
      <w:rFonts w:ascii="Verdana" w:hAnsi="Verdana" w:cs="Arial"/>
      <w:color w:val="000000"/>
      <w:sz w:val="18"/>
      <w:szCs w:val="18"/>
      <w:lang w:eastAsia="en-GB"/>
    </w:rPr>
  </w:style>
  <w:style w:type="paragraph" w:customStyle="1" w:styleId="examplebullet">
    <w:name w:val="examplebullet"/>
    <w:basedOn w:val="Normal"/>
    <w:rsid w:val="002E24C5"/>
    <w:pPr>
      <w:spacing w:before="100" w:beforeAutospacing="1" w:after="100" w:afterAutospacing="1"/>
    </w:pPr>
    <w:rPr>
      <w:rFonts w:ascii="Verdana" w:hAnsi="Verdana" w:cs="Arial"/>
      <w:sz w:val="18"/>
      <w:szCs w:val="18"/>
      <w:lang w:eastAsia="en-GB"/>
    </w:rPr>
  </w:style>
  <w:style w:type="character" w:customStyle="1" w:styleId="bolddin1">
    <w:name w:val="bolddin1"/>
    <w:rsid w:val="002E24C5"/>
    <w:rPr>
      <w:rFonts w:ascii="Verdana" w:hAnsi="Verdana" w:hint="default"/>
      <w:b/>
      <w:bCs/>
    </w:rPr>
  </w:style>
  <w:style w:type="paragraph" w:customStyle="1" w:styleId="exampleend">
    <w:name w:val="exampleend"/>
    <w:basedOn w:val="Normal"/>
    <w:rsid w:val="002E24C5"/>
    <w:pPr>
      <w:pBdr>
        <w:bottom w:val="single" w:sz="6" w:space="2" w:color="502470"/>
      </w:pBdr>
      <w:spacing w:before="100" w:beforeAutospacing="1" w:after="100" w:afterAutospacing="1"/>
    </w:pPr>
    <w:rPr>
      <w:rFonts w:ascii="Verdana" w:hAnsi="Verdana" w:cs="Arial"/>
      <w:color w:val="000000"/>
      <w:sz w:val="18"/>
      <w:szCs w:val="18"/>
      <w:lang w:eastAsia="en-GB"/>
    </w:rPr>
  </w:style>
  <w:style w:type="character" w:styleId="Hyperlink">
    <w:name w:val="Hyperlink"/>
    <w:rsid w:val="002E24C5"/>
    <w:rPr>
      <w:color w:val="0000FF"/>
      <w:u w:val="single"/>
    </w:rPr>
  </w:style>
  <w:style w:type="paragraph" w:styleId="ListParagraph">
    <w:name w:val="List Paragraph"/>
    <w:basedOn w:val="Normal"/>
    <w:link w:val="ListParagraphChar"/>
    <w:uiPriority w:val="34"/>
    <w:qFormat/>
    <w:rsid w:val="002E24C5"/>
    <w:pPr>
      <w:spacing w:before="60" w:after="60" w:line="240" w:lineRule="atLeast"/>
      <w:ind w:left="720"/>
      <w:contextualSpacing/>
    </w:pPr>
    <w:rPr>
      <w:rFonts w:ascii="Arial" w:hAnsi="Arial"/>
      <w:sz w:val="22"/>
      <w:szCs w:val="24"/>
      <w:lang w:eastAsia="en-GB"/>
    </w:rPr>
  </w:style>
  <w:style w:type="paragraph" w:customStyle="1" w:styleId="Default">
    <w:name w:val="Default"/>
    <w:rsid w:val="002A55E3"/>
    <w:pPr>
      <w:autoSpaceDE w:val="0"/>
      <w:autoSpaceDN w:val="0"/>
      <w:adjustRightInd w:val="0"/>
    </w:pPr>
    <w:rPr>
      <w:rFonts w:ascii="Arial" w:hAnsi="Arial" w:cs="Arial"/>
      <w:color w:val="000000"/>
      <w:sz w:val="24"/>
      <w:szCs w:val="24"/>
    </w:rPr>
  </w:style>
  <w:style w:type="paragraph" w:customStyle="1" w:styleId="Normalplus">
    <w:name w:val="Normal plus"/>
    <w:basedOn w:val="Default"/>
    <w:next w:val="Default"/>
    <w:link w:val="NormalplusChar"/>
    <w:rsid w:val="002A55E3"/>
    <w:rPr>
      <w:rFonts w:cs="Times New Roman"/>
      <w:color w:val="auto"/>
    </w:rPr>
  </w:style>
  <w:style w:type="character" w:customStyle="1" w:styleId="NormalplusChar">
    <w:name w:val="Normal plus Char"/>
    <w:link w:val="Normalplus"/>
    <w:rsid w:val="002A55E3"/>
    <w:rPr>
      <w:rFonts w:ascii="Arial" w:hAnsi="Arial"/>
      <w:sz w:val="24"/>
      <w:szCs w:val="24"/>
      <w:lang w:val="en-GB" w:eastAsia="en-GB" w:bidi="ar-SA"/>
    </w:rPr>
  </w:style>
  <w:style w:type="paragraph" w:customStyle="1" w:styleId="Bulletplus">
    <w:name w:val="Bullet plus"/>
    <w:basedOn w:val="Normal"/>
    <w:rsid w:val="002A55E3"/>
    <w:pPr>
      <w:tabs>
        <w:tab w:val="num" w:pos="220"/>
      </w:tabs>
      <w:spacing w:after="120"/>
      <w:ind w:left="220" w:hanging="220"/>
    </w:pPr>
    <w:rPr>
      <w:rFonts w:ascii="Arial" w:hAnsi="Arial"/>
      <w:sz w:val="20"/>
      <w:szCs w:val="23"/>
    </w:rPr>
  </w:style>
  <w:style w:type="paragraph" w:customStyle="1" w:styleId="H1">
    <w:name w:val="H1"/>
    <w:basedOn w:val="Normal"/>
    <w:next w:val="Normal"/>
    <w:rsid w:val="00BE44E7"/>
    <w:pPr>
      <w:keepNext/>
      <w:spacing w:before="320" w:line="220" w:lineRule="atLeast"/>
      <w:jc w:val="both"/>
    </w:pPr>
    <w:rPr>
      <w:b/>
      <w:sz w:val="21"/>
    </w:rPr>
  </w:style>
  <w:style w:type="paragraph" w:customStyle="1" w:styleId="LQN1">
    <w:name w:val="LQN1"/>
    <w:basedOn w:val="Normal"/>
    <w:rsid w:val="00BE44E7"/>
    <w:pPr>
      <w:spacing w:before="160" w:line="220" w:lineRule="atLeast"/>
      <w:ind w:left="567" w:firstLine="170"/>
      <w:jc w:val="both"/>
    </w:pPr>
    <w:rPr>
      <w:sz w:val="21"/>
    </w:rPr>
  </w:style>
  <w:style w:type="paragraph" w:customStyle="1" w:styleId="LQN2">
    <w:name w:val="LQN2"/>
    <w:basedOn w:val="LQN1"/>
    <w:rsid w:val="00BE44E7"/>
    <w:pPr>
      <w:spacing w:before="80"/>
    </w:pPr>
  </w:style>
  <w:style w:type="paragraph" w:customStyle="1" w:styleId="LQN3">
    <w:name w:val="LQN3"/>
    <w:basedOn w:val="LQN2"/>
    <w:rsid w:val="00BE44E7"/>
    <w:pPr>
      <w:tabs>
        <w:tab w:val="left" w:pos="1304"/>
      </w:tabs>
      <w:ind w:left="1304" w:hanging="397"/>
    </w:pPr>
  </w:style>
  <w:style w:type="paragraph" w:customStyle="1" w:styleId="LQN4">
    <w:name w:val="LQN4"/>
    <w:basedOn w:val="LQN3"/>
    <w:rsid w:val="00BE44E7"/>
    <w:pPr>
      <w:tabs>
        <w:tab w:val="clear" w:pos="1304"/>
        <w:tab w:val="right" w:pos="1588"/>
        <w:tab w:val="left" w:pos="1701"/>
      </w:tabs>
      <w:ind w:left="1701" w:hanging="1701"/>
    </w:pPr>
  </w:style>
  <w:style w:type="paragraph" w:customStyle="1" w:styleId="DefaultText">
    <w:name w:val="Default Text"/>
    <w:basedOn w:val="Normal"/>
    <w:rsid w:val="0078724F"/>
    <w:pPr>
      <w:overflowPunct w:val="0"/>
      <w:autoSpaceDE w:val="0"/>
      <w:autoSpaceDN w:val="0"/>
      <w:adjustRightInd w:val="0"/>
      <w:textAlignment w:val="baseline"/>
    </w:pPr>
    <w:rPr>
      <w:sz w:val="24"/>
    </w:rPr>
  </w:style>
  <w:style w:type="paragraph" w:customStyle="1" w:styleId="1stline">
    <w:name w:val="1stline"/>
    <w:basedOn w:val="Normal"/>
    <w:rsid w:val="0078724F"/>
    <w:pPr>
      <w:autoSpaceDE w:val="0"/>
      <w:autoSpaceDN w:val="0"/>
      <w:adjustRightInd w:val="0"/>
      <w:ind w:left="720" w:hanging="720"/>
      <w:jc w:val="both"/>
    </w:pPr>
    <w:rPr>
      <w:sz w:val="24"/>
      <w:szCs w:val="24"/>
      <w:lang w:val="en-US"/>
    </w:rPr>
  </w:style>
  <w:style w:type="paragraph" w:customStyle="1" w:styleId="IndexA">
    <w:name w:val="Index A"/>
    <w:basedOn w:val="Normal"/>
    <w:rsid w:val="009316E4"/>
    <w:pPr>
      <w:spacing w:before="120" w:line="264" w:lineRule="auto"/>
    </w:pPr>
    <w:rPr>
      <w:rFonts w:ascii="Arial" w:eastAsia="Arial" w:hAnsi="Arial"/>
      <w:b/>
      <w:sz w:val="21"/>
    </w:rPr>
  </w:style>
  <w:style w:type="paragraph" w:customStyle="1" w:styleId="extra-description">
    <w:name w:val="extra-description"/>
    <w:basedOn w:val="Normal"/>
    <w:rsid w:val="00BD511C"/>
    <w:pPr>
      <w:spacing w:before="100" w:beforeAutospacing="1" w:after="100" w:afterAutospacing="1"/>
    </w:pPr>
    <w:rPr>
      <w:sz w:val="24"/>
      <w:szCs w:val="24"/>
      <w:lang w:eastAsia="en-GB"/>
    </w:rPr>
  </w:style>
  <w:style w:type="character" w:styleId="Strong">
    <w:name w:val="Strong"/>
    <w:uiPriority w:val="22"/>
    <w:qFormat/>
    <w:rsid w:val="00D155A5"/>
    <w:rPr>
      <w:rFonts w:cs="Times New Roman"/>
      <w:b/>
      <w:bCs/>
    </w:rPr>
  </w:style>
  <w:style w:type="character" w:customStyle="1" w:styleId="FooterChar">
    <w:name w:val="Footer Char"/>
    <w:link w:val="Footer"/>
    <w:uiPriority w:val="99"/>
    <w:rsid w:val="00BB46AC"/>
    <w:rPr>
      <w:sz w:val="28"/>
      <w:lang w:eastAsia="en-US"/>
    </w:rPr>
  </w:style>
  <w:style w:type="numbering" w:customStyle="1" w:styleId="NoList1">
    <w:name w:val="No List1"/>
    <w:next w:val="NoList"/>
    <w:uiPriority w:val="99"/>
    <w:semiHidden/>
    <w:unhideWhenUsed/>
    <w:rsid w:val="00630434"/>
  </w:style>
  <w:style w:type="character" w:styleId="FollowedHyperlink">
    <w:name w:val="FollowedHyperlink"/>
    <w:rsid w:val="00630434"/>
    <w:rPr>
      <w:color w:val="800080"/>
      <w:u w:val="single"/>
    </w:rPr>
  </w:style>
  <w:style w:type="character" w:customStyle="1" w:styleId="HeaderChar">
    <w:name w:val="Header Char"/>
    <w:link w:val="Header"/>
    <w:uiPriority w:val="99"/>
    <w:rsid w:val="00630434"/>
    <w:rPr>
      <w:sz w:val="28"/>
      <w:lang w:eastAsia="en-US"/>
    </w:rPr>
  </w:style>
  <w:style w:type="character" w:customStyle="1" w:styleId="CommentTextChar">
    <w:name w:val="Comment Text Char"/>
    <w:link w:val="CommentText"/>
    <w:uiPriority w:val="99"/>
    <w:rsid w:val="006246DC"/>
  </w:style>
  <w:style w:type="numbering" w:customStyle="1" w:styleId="NoList2">
    <w:name w:val="No List2"/>
    <w:next w:val="NoList"/>
    <w:semiHidden/>
    <w:rsid w:val="006D0D88"/>
  </w:style>
  <w:style w:type="numbering" w:customStyle="1" w:styleId="NoList3">
    <w:name w:val="No List3"/>
    <w:next w:val="NoList"/>
    <w:semiHidden/>
    <w:rsid w:val="003468A9"/>
  </w:style>
  <w:style w:type="paragraph" w:customStyle="1" w:styleId="EmDashplus">
    <w:name w:val="EmDash plus"/>
    <w:basedOn w:val="Normal"/>
    <w:rsid w:val="003468A9"/>
    <w:pPr>
      <w:numPr>
        <w:ilvl w:val="1"/>
        <w:numId w:val="98"/>
      </w:numPr>
      <w:spacing w:after="120"/>
    </w:pPr>
    <w:rPr>
      <w:rFonts w:ascii="Arial" w:hAnsi="Arial"/>
      <w:sz w:val="20"/>
    </w:rPr>
  </w:style>
  <w:style w:type="paragraph" w:customStyle="1" w:styleId="NormalDS">
    <w:name w:val="Normal DS"/>
    <w:basedOn w:val="Normal"/>
    <w:rsid w:val="003468A9"/>
    <w:pPr>
      <w:spacing w:after="260" w:line="240" w:lineRule="atLeast"/>
    </w:pPr>
    <w:rPr>
      <w:rFonts w:ascii="Arial" w:hAnsi="Arial" w:cs="Arial"/>
      <w:sz w:val="20"/>
      <w:lang w:val="en-US"/>
    </w:rPr>
  </w:style>
  <w:style w:type="paragraph" w:customStyle="1" w:styleId="SubtitleL2">
    <w:name w:val="Subtitle L2"/>
    <w:basedOn w:val="Normalplus"/>
    <w:next w:val="Normalplus"/>
    <w:rsid w:val="003468A9"/>
    <w:pPr>
      <w:overflowPunct w:val="0"/>
      <w:textAlignment w:val="baseline"/>
    </w:pPr>
    <w:rPr>
      <w:b/>
      <w:color w:val="263C6B"/>
      <w:sz w:val="20"/>
      <w:szCs w:val="20"/>
      <w:lang w:eastAsia="en-US"/>
    </w:rPr>
  </w:style>
  <w:style w:type="paragraph" w:customStyle="1" w:styleId="EnDashplus">
    <w:name w:val="EnDash plus"/>
    <w:basedOn w:val="Normal"/>
    <w:rsid w:val="003468A9"/>
    <w:pPr>
      <w:widowControl w:val="0"/>
      <w:tabs>
        <w:tab w:val="num" w:pos="740"/>
      </w:tabs>
      <w:spacing w:after="120"/>
      <w:ind w:left="740" w:hanging="200"/>
    </w:pPr>
    <w:rPr>
      <w:rFonts w:ascii="Arial" w:hAnsi="Arial"/>
      <w:sz w:val="20"/>
    </w:rPr>
  </w:style>
  <w:style w:type="paragraph" w:styleId="CommentSubject">
    <w:name w:val="annotation subject"/>
    <w:basedOn w:val="CommentText"/>
    <w:next w:val="CommentText"/>
    <w:link w:val="CommentSubjectChar"/>
    <w:uiPriority w:val="99"/>
    <w:rsid w:val="003468A9"/>
    <w:rPr>
      <w:rFonts w:ascii="Arial" w:hAnsi="Arial"/>
      <w:b/>
      <w:bCs/>
    </w:rPr>
  </w:style>
  <w:style w:type="character" w:customStyle="1" w:styleId="CommentSubjectChar">
    <w:name w:val="Comment Subject Char"/>
    <w:link w:val="CommentSubject"/>
    <w:uiPriority w:val="99"/>
    <w:rsid w:val="003468A9"/>
    <w:rPr>
      <w:rFonts w:ascii="Arial" w:hAnsi="Arial"/>
      <w:b/>
      <w:bCs/>
    </w:rPr>
  </w:style>
  <w:style w:type="numbering" w:customStyle="1" w:styleId="NoList4">
    <w:name w:val="No List4"/>
    <w:next w:val="NoList"/>
    <w:uiPriority w:val="99"/>
    <w:semiHidden/>
    <w:unhideWhenUsed/>
    <w:rsid w:val="005A4AF0"/>
  </w:style>
  <w:style w:type="table" w:customStyle="1" w:styleId="TableGrid1">
    <w:name w:val="Table Grid1"/>
    <w:basedOn w:val="TableNormal"/>
    <w:next w:val="TableGrid"/>
    <w:uiPriority w:val="59"/>
    <w:rsid w:val="005A4A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3">
    <w:name w:val="Pa23"/>
    <w:basedOn w:val="Normal"/>
    <w:next w:val="Normal"/>
    <w:uiPriority w:val="99"/>
    <w:rsid w:val="005A4AF0"/>
    <w:pPr>
      <w:autoSpaceDE w:val="0"/>
      <w:autoSpaceDN w:val="0"/>
      <w:adjustRightInd w:val="0"/>
      <w:spacing w:line="211" w:lineRule="atLeast"/>
    </w:pPr>
    <w:rPr>
      <w:rFonts w:ascii="FS Lola" w:eastAsia="Calibri" w:hAnsi="FS Lola"/>
      <w:sz w:val="24"/>
      <w:szCs w:val="24"/>
    </w:rPr>
  </w:style>
  <w:style w:type="table" w:customStyle="1" w:styleId="TableGrid0">
    <w:name w:val="TableGrid"/>
    <w:rsid w:val="005A4AF0"/>
    <w:rPr>
      <w:rFonts w:ascii="Calibri" w:hAnsi="Calibri"/>
      <w:sz w:val="22"/>
      <w:szCs w:val="22"/>
    </w:rPr>
    <w:tblPr>
      <w:tblCellMar>
        <w:top w:w="0" w:type="dxa"/>
        <w:left w:w="0" w:type="dxa"/>
        <w:bottom w:w="0" w:type="dxa"/>
        <w:right w:w="0" w:type="dxa"/>
      </w:tblCellMar>
    </w:tblPr>
  </w:style>
  <w:style w:type="character" w:customStyle="1" w:styleId="BalloonTextChar">
    <w:name w:val="Balloon Text Char"/>
    <w:link w:val="BalloonText"/>
    <w:uiPriority w:val="99"/>
    <w:semiHidden/>
    <w:rsid w:val="005A4AF0"/>
    <w:rPr>
      <w:rFonts w:ascii="Tahoma" w:hAnsi="Tahoma" w:cs="Tahoma"/>
      <w:sz w:val="16"/>
      <w:szCs w:val="16"/>
      <w:lang w:eastAsia="en-US"/>
    </w:rPr>
  </w:style>
  <w:style w:type="paragraph" w:customStyle="1" w:styleId="Numberedtext">
    <w:name w:val="Numbered text"/>
    <w:basedOn w:val="Normal"/>
    <w:link w:val="NumberedtextChar"/>
    <w:qFormat/>
    <w:rsid w:val="001E0DA6"/>
    <w:pPr>
      <w:numPr>
        <w:numId w:val="51"/>
      </w:numPr>
      <w:spacing w:before="60" w:after="60" w:line="280" w:lineRule="atLeast"/>
    </w:pPr>
    <w:rPr>
      <w:rFonts w:ascii="Arial" w:eastAsia="Calibri" w:hAnsi="Arial" w:cs="Arial"/>
      <w:color w:val="262626"/>
      <w:sz w:val="20"/>
    </w:rPr>
  </w:style>
  <w:style w:type="character" w:customStyle="1" w:styleId="NumberedtextChar">
    <w:name w:val="Numbered text Char"/>
    <w:link w:val="Numberedtext"/>
    <w:rsid w:val="001E0DA6"/>
    <w:rPr>
      <w:rFonts w:ascii="Arial" w:eastAsia="Calibri" w:hAnsi="Arial" w:cs="Arial"/>
      <w:color w:val="262626"/>
      <w:lang w:eastAsia="en-US"/>
    </w:rPr>
  </w:style>
  <w:style w:type="paragraph" w:styleId="NoSpacing">
    <w:name w:val="No Spacing"/>
    <w:uiPriority w:val="1"/>
    <w:qFormat/>
    <w:rsid w:val="001E0DA6"/>
    <w:rPr>
      <w:rFonts w:ascii="Calibri" w:eastAsia="Calibri" w:hAnsi="Calibri"/>
      <w:sz w:val="22"/>
      <w:szCs w:val="22"/>
      <w:lang w:eastAsia="en-US"/>
    </w:rPr>
  </w:style>
  <w:style w:type="numbering" w:customStyle="1" w:styleId="NoList5">
    <w:name w:val="No List5"/>
    <w:next w:val="NoList"/>
    <w:semiHidden/>
    <w:rsid w:val="00853770"/>
  </w:style>
  <w:style w:type="character" w:customStyle="1" w:styleId="PicturecaptionExact">
    <w:name w:val="Picture caption Exact"/>
    <w:link w:val="Picturecaption"/>
    <w:rsid w:val="00D14AB9"/>
    <w:rPr>
      <w:sz w:val="15"/>
      <w:szCs w:val="15"/>
      <w:shd w:val="clear" w:color="auto" w:fill="FFFFFF"/>
    </w:rPr>
  </w:style>
  <w:style w:type="paragraph" w:customStyle="1" w:styleId="Picturecaption">
    <w:name w:val="Picture caption"/>
    <w:basedOn w:val="Normal"/>
    <w:link w:val="PicturecaptionExact"/>
    <w:rsid w:val="00D14AB9"/>
    <w:pPr>
      <w:widowControl w:val="0"/>
      <w:shd w:val="clear" w:color="auto" w:fill="FFFFFF"/>
      <w:spacing w:line="173" w:lineRule="exact"/>
      <w:jc w:val="center"/>
    </w:pPr>
    <w:rPr>
      <w:sz w:val="15"/>
      <w:szCs w:val="15"/>
      <w:lang w:eastAsia="en-GB"/>
    </w:rPr>
  </w:style>
  <w:style w:type="character" w:customStyle="1" w:styleId="Picturecaption3Exact">
    <w:name w:val="Picture caption (3) Exact"/>
    <w:link w:val="Picturecaption3"/>
    <w:rsid w:val="00D14AB9"/>
    <w:rPr>
      <w:b/>
      <w:bCs/>
      <w:shd w:val="clear" w:color="auto" w:fill="FFFFFF"/>
    </w:rPr>
  </w:style>
  <w:style w:type="paragraph" w:customStyle="1" w:styleId="Picturecaption3">
    <w:name w:val="Picture caption (3)"/>
    <w:basedOn w:val="Normal"/>
    <w:link w:val="Picturecaption3Exact"/>
    <w:rsid w:val="00D14AB9"/>
    <w:pPr>
      <w:widowControl w:val="0"/>
      <w:shd w:val="clear" w:color="auto" w:fill="FFFFFF"/>
      <w:spacing w:line="173" w:lineRule="exact"/>
      <w:jc w:val="center"/>
    </w:pPr>
    <w:rPr>
      <w:b/>
      <w:bCs/>
      <w:sz w:val="20"/>
      <w:lang w:eastAsia="en-GB"/>
    </w:rPr>
  </w:style>
  <w:style w:type="character" w:customStyle="1" w:styleId="Picturecaption14pt">
    <w:name w:val="Picture caption + 14 pt"/>
    <w:aliases w:val="Bold Exact,Picture caption (2) + 14 pt"/>
    <w:rsid w:val="00D14AB9"/>
    <w:rPr>
      <w:rFonts w:ascii="Times New Roman" w:eastAsia="Times New Roman" w:hAnsi="Times New Roman" w:cs="Times New Roman"/>
      <w:b/>
      <w:bCs/>
      <w:i w:val="0"/>
      <w:iCs w:val="0"/>
      <w:smallCaps w:val="0"/>
      <w:strike w:val="0"/>
      <w:color w:val="FFFFFF"/>
      <w:spacing w:val="0"/>
      <w:w w:val="100"/>
      <w:position w:val="0"/>
      <w:sz w:val="28"/>
      <w:szCs w:val="28"/>
      <w:u w:val="none"/>
      <w:shd w:val="clear" w:color="auto" w:fill="FFFFFF"/>
      <w:lang w:val="en-GB" w:eastAsia="en-GB" w:bidi="en-GB"/>
    </w:rPr>
  </w:style>
  <w:style w:type="character" w:customStyle="1" w:styleId="Picturecaption2Exact">
    <w:name w:val="Picture caption (2) Exact"/>
    <w:link w:val="Picturecaption2"/>
    <w:rsid w:val="00D14AB9"/>
    <w:rPr>
      <w:sz w:val="16"/>
      <w:szCs w:val="16"/>
      <w:shd w:val="clear" w:color="auto" w:fill="FFFFFF"/>
    </w:rPr>
  </w:style>
  <w:style w:type="paragraph" w:customStyle="1" w:styleId="Picturecaption2">
    <w:name w:val="Picture caption (2)"/>
    <w:basedOn w:val="Normal"/>
    <w:link w:val="Picturecaption2Exact"/>
    <w:rsid w:val="00D14AB9"/>
    <w:pPr>
      <w:widowControl w:val="0"/>
      <w:shd w:val="clear" w:color="auto" w:fill="FFFFFF"/>
      <w:spacing w:line="178" w:lineRule="exact"/>
      <w:jc w:val="center"/>
    </w:pPr>
    <w:rPr>
      <w:sz w:val="16"/>
      <w:szCs w:val="16"/>
      <w:lang w:eastAsia="en-GB"/>
    </w:rPr>
  </w:style>
  <w:style w:type="character" w:styleId="FootnoteReference">
    <w:name w:val="footnote reference"/>
    <w:uiPriority w:val="99"/>
    <w:rsid w:val="000864FE"/>
    <w:rPr>
      <w:vertAlign w:val="superscript"/>
    </w:rPr>
  </w:style>
  <w:style w:type="paragraph" w:styleId="FootnoteText">
    <w:name w:val="footnote text"/>
    <w:basedOn w:val="Normal"/>
    <w:link w:val="FootnoteTextChar"/>
    <w:uiPriority w:val="99"/>
    <w:rsid w:val="000864FE"/>
    <w:pPr>
      <w:spacing w:before="20"/>
    </w:pPr>
    <w:rPr>
      <w:rFonts w:ascii="Arial" w:hAnsi="Arial" w:cs="Arial"/>
      <w:b/>
      <w:sz w:val="20"/>
      <w:lang w:eastAsia="en-GB"/>
    </w:rPr>
  </w:style>
  <w:style w:type="character" w:customStyle="1" w:styleId="FootnoteTextChar">
    <w:name w:val="Footnote Text Char"/>
    <w:link w:val="FootnoteText"/>
    <w:uiPriority w:val="99"/>
    <w:rsid w:val="000864FE"/>
    <w:rPr>
      <w:rFonts w:ascii="Arial" w:hAnsi="Arial" w:cs="Arial"/>
      <w:b/>
    </w:rPr>
  </w:style>
  <w:style w:type="paragraph" w:customStyle="1" w:styleId="BodyTextGrey">
    <w:name w:val="Body Text Grey"/>
    <w:basedOn w:val="BodyText"/>
    <w:link w:val="BodyTextGreyChar"/>
    <w:qFormat/>
    <w:rsid w:val="000864FE"/>
    <w:pPr>
      <w:tabs>
        <w:tab w:val="clear" w:pos="5184"/>
        <w:tab w:val="clear" w:pos="6624"/>
        <w:tab w:val="clear" w:pos="8640"/>
        <w:tab w:val="clear" w:pos="10080"/>
      </w:tabs>
      <w:spacing w:before="20" w:after="200" w:line="280" w:lineRule="atLeast"/>
      <w:jc w:val="left"/>
    </w:pPr>
    <w:rPr>
      <w:rFonts w:cs="Arial"/>
      <w:iCs/>
      <w:color w:val="455560"/>
      <w:sz w:val="20"/>
    </w:rPr>
  </w:style>
  <w:style w:type="numbering" w:customStyle="1" w:styleId="HRNumber">
    <w:name w:val="HR Number"/>
    <w:uiPriority w:val="99"/>
    <w:rsid w:val="000864FE"/>
    <w:pPr>
      <w:numPr>
        <w:numId w:val="68"/>
      </w:numPr>
    </w:pPr>
  </w:style>
  <w:style w:type="numbering" w:customStyle="1" w:styleId="HRBullet">
    <w:name w:val="HR Bullet"/>
    <w:uiPriority w:val="99"/>
    <w:rsid w:val="000864FE"/>
    <w:pPr>
      <w:numPr>
        <w:numId w:val="69"/>
      </w:numPr>
    </w:pPr>
  </w:style>
  <w:style w:type="paragraph" w:customStyle="1" w:styleId="BulletHymans">
    <w:name w:val="Bullet Hymans"/>
    <w:link w:val="BulletHymansChar"/>
    <w:uiPriority w:val="2"/>
    <w:qFormat/>
    <w:rsid w:val="000864FE"/>
    <w:pPr>
      <w:numPr>
        <w:numId w:val="69"/>
      </w:numPr>
      <w:spacing w:before="20" w:after="140" w:line="280" w:lineRule="exact"/>
    </w:pPr>
    <w:rPr>
      <w:rFonts w:ascii="Arial" w:hAnsi="Arial" w:cs="Arial"/>
      <w:iCs/>
      <w:color w:val="455560"/>
      <w:lang w:eastAsia="en-US"/>
    </w:rPr>
  </w:style>
  <w:style w:type="paragraph" w:customStyle="1" w:styleId="NumberHymans">
    <w:name w:val="Number Hymans"/>
    <w:uiPriority w:val="2"/>
    <w:qFormat/>
    <w:rsid w:val="000864FE"/>
    <w:pPr>
      <w:numPr>
        <w:numId w:val="68"/>
      </w:numPr>
      <w:spacing w:before="20" w:after="140" w:line="280" w:lineRule="exact"/>
    </w:pPr>
    <w:rPr>
      <w:rFonts w:ascii="Arial" w:hAnsi="Arial" w:cs="Arial"/>
      <w:iCs/>
      <w:color w:val="4B4B4B"/>
      <w:lang w:eastAsia="en-US"/>
    </w:rPr>
  </w:style>
  <w:style w:type="character" w:customStyle="1" w:styleId="BodyTextGreyChar">
    <w:name w:val="Body Text Grey Char"/>
    <w:link w:val="BodyTextGrey"/>
    <w:rsid w:val="000864FE"/>
    <w:rPr>
      <w:rFonts w:ascii="Arial" w:hAnsi="Arial" w:cs="Arial"/>
      <w:iCs/>
      <w:color w:val="455560"/>
      <w:lang w:eastAsia="en-US"/>
    </w:rPr>
  </w:style>
  <w:style w:type="character" w:customStyle="1" w:styleId="BulletHymansChar">
    <w:name w:val="Bullet Hymans Char"/>
    <w:link w:val="BulletHymans"/>
    <w:uiPriority w:val="2"/>
    <w:locked/>
    <w:rsid w:val="000864FE"/>
    <w:rPr>
      <w:rFonts w:ascii="Arial" w:hAnsi="Arial" w:cs="Arial"/>
      <w:iCs/>
      <w:color w:val="455560"/>
      <w:lang w:eastAsia="en-US"/>
    </w:rPr>
  </w:style>
  <w:style w:type="character" w:customStyle="1" w:styleId="BodyTextIndentChar">
    <w:name w:val="Body Text Indent Char"/>
    <w:link w:val="BodyTextIndent"/>
    <w:uiPriority w:val="99"/>
    <w:rsid w:val="001A0A56"/>
    <w:rPr>
      <w:rFonts w:ascii="Arial (W1)" w:hAnsi="Arial (W1)" w:cs="Arial"/>
      <w:sz w:val="24"/>
      <w:szCs w:val="24"/>
    </w:rPr>
  </w:style>
  <w:style w:type="table" w:customStyle="1" w:styleId="AonSimplified">
    <w:name w:val="Aon Simplified"/>
    <w:basedOn w:val="TableNormal"/>
    <w:uiPriority w:val="99"/>
    <w:rsid w:val="004636B7"/>
    <w:rPr>
      <w:rFonts w:ascii="Calibri" w:eastAsia="Calibri" w:hAnsi="Calibri"/>
      <w:sz w:val="18"/>
      <w:szCs w:val="22"/>
      <w:lang w:val="en-US" w:eastAsia="en-US"/>
    </w:rPr>
    <w:tblPr>
      <w:tblBorders>
        <w:bottom w:val="single" w:sz="4" w:space="0" w:color="C0504D"/>
        <w:insideH w:val="single" w:sz="4" w:space="0" w:color="C0504D"/>
      </w:tblBorders>
    </w:tblPr>
    <w:tblStylePr w:type="firstRow">
      <w:rPr>
        <w:rFonts w:ascii="Verdana" w:hAnsi="Verdana"/>
        <w:b/>
        <w:color w:val="4F81BD"/>
        <w:sz w:val="18"/>
      </w:rPr>
      <w:tblPr/>
      <w:tcPr>
        <w:tcBorders>
          <w:top w:val="single" w:sz="12" w:space="0" w:color="4F81BD"/>
          <w:bottom w:val="single" w:sz="12" w:space="0" w:color="4F81BD"/>
        </w:tcBorders>
      </w:tcPr>
    </w:tblStylePr>
    <w:tblStylePr w:type="lastRow">
      <w:tblPr/>
      <w:tcPr>
        <w:tcBorders>
          <w:bottom w:val="single" w:sz="4" w:space="0" w:color="C0504D"/>
          <w:insideH w:val="nil"/>
        </w:tcBorders>
      </w:tcPr>
    </w:tblStylePr>
  </w:style>
  <w:style w:type="paragraph" w:customStyle="1" w:styleId="ClarityBody">
    <w:name w:val="Clarity_Body"/>
    <w:basedOn w:val="Normal"/>
    <w:link w:val="ClarityBodyChar"/>
    <w:qFormat/>
    <w:rsid w:val="004636B7"/>
    <w:pPr>
      <w:spacing w:after="240" w:line="288" w:lineRule="auto"/>
    </w:pPr>
    <w:rPr>
      <w:rFonts w:ascii="Arial" w:eastAsia="Calibri" w:hAnsi="Arial"/>
      <w:sz w:val="20"/>
      <w:lang w:eastAsia="en-GB"/>
    </w:rPr>
  </w:style>
  <w:style w:type="character" w:customStyle="1" w:styleId="ClarityBodyChar">
    <w:name w:val="Clarity_Body Char"/>
    <w:link w:val="ClarityBody"/>
    <w:rsid w:val="004636B7"/>
    <w:rPr>
      <w:rFonts w:ascii="Arial" w:eastAsia="Calibri" w:hAnsi="Arial"/>
    </w:rPr>
  </w:style>
  <w:style w:type="character" w:customStyle="1" w:styleId="tgc">
    <w:name w:val="_tgc"/>
    <w:rsid w:val="00D60C26"/>
  </w:style>
  <w:style w:type="paragraph" w:styleId="Revision">
    <w:name w:val="Revision"/>
    <w:hidden/>
    <w:uiPriority w:val="99"/>
    <w:semiHidden/>
    <w:rsid w:val="008B4ECC"/>
    <w:rPr>
      <w:rFonts w:ascii="Arial" w:hAnsi="Arial"/>
    </w:rPr>
  </w:style>
  <w:style w:type="paragraph" w:customStyle="1" w:styleId="AonBodyCopy">
    <w:name w:val="Aon Body Copy"/>
    <w:basedOn w:val="Normal"/>
    <w:link w:val="AonBodyCopyChar"/>
    <w:rsid w:val="008B4ECC"/>
    <w:pPr>
      <w:spacing w:after="120"/>
    </w:pPr>
    <w:rPr>
      <w:rFonts w:ascii="Arial" w:eastAsia="MS Mincho" w:hAnsi="Arial"/>
      <w:sz w:val="20"/>
    </w:rPr>
  </w:style>
  <w:style w:type="character" w:customStyle="1" w:styleId="AonBodyCopyChar">
    <w:name w:val="Aon Body Copy Char"/>
    <w:link w:val="AonBodyCopy"/>
    <w:locked/>
    <w:rsid w:val="008B4ECC"/>
    <w:rPr>
      <w:rFonts w:ascii="Arial" w:eastAsia="MS Mincho" w:hAnsi="Arial"/>
      <w:lang w:eastAsia="en-US"/>
    </w:rPr>
  </w:style>
  <w:style w:type="character" w:customStyle="1" w:styleId="Heading4Char">
    <w:name w:val="Heading 4 Char"/>
    <w:link w:val="Heading4"/>
    <w:rsid w:val="008B4ECC"/>
    <w:rPr>
      <w:rFonts w:ascii="Arial" w:hAnsi="Arial"/>
      <w:b/>
      <w:sz w:val="28"/>
      <w:lang w:eastAsia="en-US"/>
    </w:rPr>
  </w:style>
  <w:style w:type="character" w:customStyle="1" w:styleId="Heading5Char">
    <w:name w:val="Heading 5 Char"/>
    <w:link w:val="Heading5"/>
    <w:rsid w:val="008B4ECC"/>
    <w:rPr>
      <w:rFonts w:ascii="Arial" w:hAnsi="Arial"/>
      <w:b/>
      <w:sz w:val="28"/>
      <w:lang w:eastAsia="en-US"/>
    </w:rPr>
  </w:style>
  <w:style w:type="character" w:customStyle="1" w:styleId="Heading6Char">
    <w:name w:val="Heading 6 Char"/>
    <w:link w:val="Heading6"/>
    <w:rsid w:val="008B4ECC"/>
    <w:rPr>
      <w:rFonts w:ascii="Arial" w:hAnsi="Arial"/>
      <w:b/>
      <w:sz w:val="24"/>
      <w:lang w:eastAsia="en-US"/>
    </w:rPr>
  </w:style>
  <w:style w:type="character" w:customStyle="1" w:styleId="Heading7Char">
    <w:name w:val="Heading 7 Char"/>
    <w:link w:val="Heading7"/>
    <w:rsid w:val="008B4ECC"/>
    <w:rPr>
      <w:rFonts w:ascii="Arial" w:hAnsi="Arial"/>
      <w:b/>
      <w:sz w:val="27"/>
      <w:lang w:eastAsia="en-US"/>
    </w:rPr>
  </w:style>
  <w:style w:type="character" w:customStyle="1" w:styleId="Heading8Char">
    <w:name w:val="Heading 8 Char"/>
    <w:link w:val="Heading8"/>
    <w:rsid w:val="008B4ECC"/>
    <w:rPr>
      <w:rFonts w:ascii="Arial" w:hAnsi="Arial"/>
      <w:b/>
      <w:color w:val="FF0000"/>
      <w:sz w:val="28"/>
      <w:lang w:eastAsia="en-US"/>
    </w:rPr>
  </w:style>
  <w:style w:type="character" w:customStyle="1" w:styleId="Heading9Char">
    <w:name w:val="Heading 9 Char"/>
    <w:link w:val="Heading9"/>
    <w:rsid w:val="008B4ECC"/>
    <w:rPr>
      <w:rFonts w:ascii="Arial" w:hAnsi="Arial"/>
      <w:b/>
      <w:sz w:val="24"/>
      <w:lang w:eastAsia="en-US"/>
    </w:rPr>
  </w:style>
  <w:style w:type="character" w:customStyle="1" w:styleId="BodyTextChar">
    <w:name w:val="Body Text Char"/>
    <w:link w:val="BodyText"/>
    <w:uiPriority w:val="99"/>
    <w:rsid w:val="007501E4"/>
    <w:rPr>
      <w:rFonts w:ascii="Arial" w:hAnsi="Arial"/>
      <w:sz w:val="24"/>
      <w:lang w:eastAsia="en-US"/>
    </w:rPr>
  </w:style>
  <w:style w:type="character" w:customStyle="1" w:styleId="ListParagraphChar">
    <w:name w:val="List Paragraph Char"/>
    <w:link w:val="ListParagraph"/>
    <w:uiPriority w:val="34"/>
    <w:rsid w:val="007501E4"/>
    <w:rPr>
      <w:rFonts w:ascii="Arial" w:hAnsi="Arial"/>
      <w:sz w:val="22"/>
      <w:szCs w:val="24"/>
    </w:rPr>
  </w:style>
  <w:style w:type="table" w:customStyle="1" w:styleId="GridTable4-Accent621">
    <w:name w:val="Grid Table 4 - Accent 621"/>
    <w:basedOn w:val="TableNormal"/>
    <w:next w:val="GridTable4-Accent6"/>
    <w:uiPriority w:val="49"/>
    <w:rsid w:val="007501E4"/>
    <w:rPr>
      <w:rFonts w:ascii="Calibri" w:hAnsi="Calibri"/>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Times New Roman"/>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Times New Roman"/>
        <w:b/>
        <w:bCs/>
      </w:rPr>
      <w:tblPr/>
      <w:tcPr>
        <w:tcBorders>
          <w:top w:val="double" w:sz="4"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cPr>
    </w:tblStylePr>
    <w:tblStylePr w:type="band1Horz">
      <w:rPr>
        <w:rFonts w:cs="Times New Roman"/>
      </w:rPr>
      <w:tblPr/>
      <w:tcPr>
        <w:shd w:val="clear" w:color="auto" w:fill="E2EFD9"/>
      </w:tcPr>
    </w:tblStylePr>
  </w:style>
  <w:style w:type="table" w:styleId="GridTable4-Accent6">
    <w:name w:val="Grid Table 4 Accent 6"/>
    <w:basedOn w:val="TableNormal"/>
    <w:uiPriority w:val="49"/>
    <w:rsid w:val="007501E4"/>
    <w:rPr>
      <w:rFonts w:ascii="Calibri" w:eastAsia="Calibri" w:hAnsi="Calibri" w:cs="Arial"/>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UnresolvedMention">
    <w:name w:val="Unresolved Mention"/>
    <w:uiPriority w:val="99"/>
    <w:semiHidden/>
    <w:unhideWhenUsed/>
    <w:rsid w:val="007501E4"/>
    <w:rPr>
      <w:color w:val="605E5C"/>
      <w:shd w:val="clear" w:color="auto" w:fill="E1DFDD"/>
    </w:rPr>
  </w:style>
  <w:style w:type="character" w:customStyle="1" w:styleId="Heading3Char">
    <w:name w:val="Heading 3 Char"/>
    <w:link w:val="Heading3"/>
    <w:rsid w:val="007501E4"/>
    <w:rPr>
      <w:rFonts w:ascii="Arial" w:hAnsi="Arial"/>
      <w:b/>
      <w:sz w:val="24"/>
      <w:lang w:eastAsia="en-US"/>
    </w:rPr>
  </w:style>
  <w:style w:type="table" w:customStyle="1" w:styleId="TableGrid7">
    <w:name w:val="Table Grid7"/>
    <w:basedOn w:val="TableNormal"/>
    <w:uiPriority w:val="39"/>
    <w:rsid w:val="00866CF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704822"/>
    <w:rPr>
      <w:rFonts w:ascii="Arial" w:hAnsi="Arial"/>
      <w:sz w:val="24"/>
      <w:lang w:eastAsia="en-US"/>
    </w:rPr>
  </w:style>
  <w:style w:type="character" w:customStyle="1" w:styleId="hgkelc">
    <w:name w:val="hgkelc"/>
    <w:basedOn w:val="DefaultParagraphFont"/>
    <w:rsid w:val="00427C3D"/>
  </w:style>
  <w:style w:type="character" w:customStyle="1" w:styleId="kx21rb">
    <w:name w:val="kx21rb"/>
    <w:basedOn w:val="DefaultParagraphFont"/>
    <w:rsid w:val="00427C3D"/>
  </w:style>
  <w:style w:type="paragraph" w:customStyle="1" w:styleId="Appendixtext">
    <w:name w:val="Appendix text"/>
    <w:basedOn w:val="Normal"/>
    <w:qFormat/>
    <w:rsid w:val="00450D8D"/>
    <w:pPr>
      <w:spacing w:before="60" w:after="60" w:line="280" w:lineRule="atLeast"/>
    </w:pPr>
    <w:rPr>
      <w:rFonts w:ascii="Arial" w:eastAsia="Calibri" w:hAnsi="Arial"/>
      <w:color w:val="515254"/>
      <w:sz w:val="20"/>
    </w:rPr>
  </w:style>
  <w:style w:type="paragraph" w:customStyle="1" w:styleId="APrecommendationsub-bullet">
    <w:name w:val="AP recommendation sub-bullet"/>
    <w:basedOn w:val="Normal"/>
    <w:qFormat/>
    <w:rsid w:val="00450D8D"/>
    <w:pPr>
      <w:numPr>
        <w:numId w:val="128"/>
      </w:numPr>
      <w:tabs>
        <w:tab w:val="num" w:pos="360"/>
        <w:tab w:val="left" w:pos="1021"/>
      </w:tabs>
      <w:spacing w:before="40" w:after="40" w:line="240" w:lineRule="atLeast"/>
      <w:ind w:left="360" w:hanging="360"/>
    </w:pPr>
    <w:rPr>
      <w:rFonts w:ascii="Arial" w:eastAsia="Calibri" w:hAnsi="Arial"/>
      <w:color w:val="515254"/>
      <w:sz w:val="20"/>
    </w:rPr>
  </w:style>
  <w:style w:type="paragraph" w:customStyle="1" w:styleId="Appendixbullet">
    <w:name w:val="Appendix bullet"/>
    <w:basedOn w:val="Normal"/>
    <w:qFormat/>
    <w:rsid w:val="00450D8D"/>
    <w:pPr>
      <w:numPr>
        <w:numId w:val="129"/>
      </w:numPr>
      <w:tabs>
        <w:tab w:val="left" w:pos="567"/>
        <w:tab w:val="num" w:pos="1080"/>
      </w:tabs>
      <w:spacing w:before="60" w:after="60" w:line="280" w:lineRule="atLeast"/>
      <w:ind w:left="567" w:hanging="567"/>
    </w:pPr>
    <w:rPr>
      <w:rFonts w:ascii="Arial" w:eastAsia="Calibri" w:hAnsi="Arial"/>
      <w:color w:val="515254"/>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808">
      <w:bodyDiv w:val="1"/>
      <w:marLeft w:val="0"/>
      <w:marRight w:val="0"/>
      <w:marTop w:val="0"/>
      <w:marBottom w:val="0"/>
      <w:divBdr>
        <w:top w:val="none" w:sz="0" w:space="0" w:color="auto"/>
        <w:left w:val="none" w:sz="0" w:space="0" w:color="auto"/>
        <w:bottom w:val="none" w:sz="0" w:space="0" w:color="auto"/>
        <w:right w:val="none" w:sz="0" w:space="0" w:color="auto"/>
      </w:divBdr>
    </w:div>
    <w:div w:id="34350267">
      <w:bodyDiv w:val="1"/>
      <w:marLeft w:val="0"/>
      <w:marRight w:val="0"/>
      <w:marTop w:val="0"/>
      <w:marBottom w:val="0"/>
      <w:divBdr>
        <w:top w:val="none" w:sz="0" w:space="0" w:color="auto"/>
        <w:left w:val="none" w:sz="0" w:space="0" w:color="auto"/>
        <w:bottom w:val="none" w:sz="0" w:space="0" w:color="auto"/>
        <w:right w:val="none" w:sz="0" w:space="0" w:color="auto"/>
      </w:divBdr>
    </w:div>
    <w:div w:id="76053468">
      <w:bodyDiv w:val="1"/>
      <w:marLeft w:val="0"/>
      <w:marRight w:val="0"/>
      <w:marTop w:val="0"/>
      <w:marBottom w:val="0"/>
      <w:divBdr>
        <w:top w:val="none" w:sz="0" w:space="0" w:color="auto"/>
        <w:left w:val="none" w:sz="0" w:space="0" w:color="auto"/>
        <w:bottom w:val="none" w:sz="0" w:space="0" w:color="auto"/>
        <w:right w:val="none" w:sz="0" w:space="0" w:color="auto"/>
      </w:divBdr>
    </w:div>
    <w:div w:id="95097481">
      <w:bodyDiv w:val="1"/>
      <w:marLeft w:val="0"/>
      <w:marRight w:val="0"/>
      <w:marTop w:val="0"/>
      <w:marBottom w:val="0"/>
      <w:divBdr>
        <w:top w:val="none" w:sz="0" w:space="0" w:color="auto"/>
        <w:left w:val="none" w:sz="0" w:space="0" w:color="auto"/>
        <w:bottom w:val="none" w:sz="0" w:space="0" w:color="auto"/>
        <w:right w:val="none" w:sz="0" w:space="0" w:color="auto"/>
      </w:divBdr>
    </w:div>
    <w:div w:id="99835417">
      <w:bodyDiv w:val="1"/>
      <w:marLeft w:val="0"/>
      <w:marRight w:val="0"/>
      <w:marTop w:val="0"/>
      <w:marBottom w:val="0"/>
      <w:divBdr>
        <w:top w:val="none" w:sz="0" w:space="0" w:color="auto"/>
        <w:left w:val="none" w:sz="0" w:space="0" w:color="auto"/>
        <w:bottom w:val="none" w:sz="0" w:space="0" w:color="auto"/>
        <w:right w:val="none" w:sz="0" w:space="0" w:color="auto"/>
      </w:divBdr>
    </w:div>
    <w:div w:id="207690774">
      <w:bodyDiv w:val="1"/>
      <w:marLeft w:val="0"/>
      <w:marRight w:val="0"/>
      <w:marTop w:val="0"/>
      <w:marBottom w:val="0"/>
      <w:divBdr>
        <w:top w:val="none" w:sz="0" w:space="0" w:color="auto"/>
        <w:left w:val="none" w:sz="0" w:space="0" w:color="auto"/>
        <w:bottom w:val="none" w:sz="0" w:space="0" w:color="auto"/>
        <w:right w:val="none" w:sz="0" w:space="0" w:color="auto"/>
      </w:divBdr>
    </w:div>
    <w:div w:id="211693274">
      <w:bodyDiv w:val="1"/>
      <w:marLeft w:val="0"/>
      <w:marRight w:val="0"/>
      <w:marTop w:val="0"/>
      <w:marBottom w:val="0"/>
      <w:divBdr>
        <w:top w:val="none" w:sz="0" w:space="0" w:color="auto"/>
        <w:left w:val="none" w:sz="0" w:space="0" w:color="auto"/>
        <w:bottom w:val="none" w:sz="0" w:space="0" w:color="auto"/>
        <w:right w:val="none" w:sz="0" w:space="0" w:color="auto"/>
      </w:divBdr>
    </w:div>
    <w:div w:id="245190647">
      <w:bodyDiv w:val="1"/>
      <w:marLeft w:val="0"/>
      <w:marRight w:val="0"/>
      <w:marTop w:val="0"/>
      <w:marBottom w:val="0"/>
      <w:divBdr>
        <w:top w:val="none" w:sz="0" w:space="0" w:color="auto"/>
        <w:left w:val="none" w:sz="0" w:space="0" w:color="auto"/>
        <w:bottom w:val="none" w:sz="0" w:space="0" w:color="auto"/>
        <w:right w:val="none" w:sz="0" w:space="0" w:color="auto"/>
      </w:divBdr>
    </w:div>
    <w:div w:id="251858308">
      <w:bodyDiv w:val="1"/>
      <w:marLeft w:val="0"/>
      <w:marRight w:val="0"/>
      <w:marTop w:val="0"/>
      <w:marBottom w:val="0"/>
      <w:divBdr>
        <w:top w:val="none" w:sz="0" w:space="0" w:color="auto"/>
        <w:left w:val="none" w:sz="0" w:space="0" w:color="auto"/>
        <w:bottom w:val="none" w:sz="0" w:space="0" w:color="auto"/>
        <w:right w:val="none" w:sz="0" w:space="0" w:color="auto"/>
      </w:divBdr>
    </w:div>
    <w:div w:id="270629460">
      <w:bodyDiv w:val="1"/>
      <w:marLeft w:val="0"/>
      <w:marRight w:val="0"/>
      <w:marTop w:val="0"/>
      <w:marBottom w:val="0"/>
      <w:divBdr>
        <w:top w:val="none" w:sz="0" w:space="0" w:color="auto"/>
        <w:left w:val="none" w:sz="0" w:space="0" w:color="auto"/>
        <w:bottom w:val="none" w:sz="0" w:space="0" w:color="auto"/>
        <w:right w:val="none" w:sz="0" w:space="0" w:color="auto"/>
      </w:divBdr>
    </w:div>
    <w:div w:id="276572827">
      <w:bodyDiv w:val="1"/>
      <w:marLeft w:val="0"/>
      <w:marRight w:val="0"/>
      <w:marTop w:val="0"/>
      <w:marBottom w:val="0"/>
      <w:divBdr>
        <w:top w:val="none" w:sz="0" w:space="0" w:color="auto"/>
        <w:left w:val="none" w:sz="0" w:space="0" w:color="auto"/>
        <w:bottom w:val="none" w:sz="0" w:space="0" w:color="auto"/>
        <w:right w:val="none" w:sz="0" w:space="0" w:color="auto"/>
      </w:divBdr>
    </w:div>
    <w:div w:id="281763354">
      <w:bodyDiv w:val="1"/>
      <w:marLeft w:val="0"/>
      <w:marRight w:val="0"/>
      <w:marTop w:val="0"/>
      <w:marBottom w:val="0"/>
      <w:divBdr>
        <w:top w:val="none" w:sz="0" w:space="0" w:color="auto"/>
        <w:left w:val="none" w:sz="0" w:space="0" w:color="auto"/>
        <w:bottom w:val="none" w:sz="0" w:space="0" w:color="auto"/>
        <w:right w:val="none" w:sz="0" w:space="0" w:color="auto"/>
      </w:divBdr>
    </w:div>
    <w:div w:id="320429444">
      <w:bodyDiv w:val="1"/>
      <w:marLeft w:val="0"/>
      <w:marRight w:val="0"/>
      <w:marTop w:val="0"/>
      <w:marBottom w:val="0"/>
      <w:divBdr>
        <w:top w:val="none" w:sz="0" w:space="0" w:color="auto"/>
        <w:left w:val="none" w:sz="0" w:space="0" w:color="auto"/>
        <w:bottom w:val="none" w:sz="0" w:space="0" w:color="auto"/>
        <w:right w:val="none" w:sz="0" w:space="0" w:color="auto"/>
      </w:divBdr>
    </w:div>
    <w:div w:id="336735744">
      <w:bodyDiv w:val="1"/>
      <w:marLeft w:val="0"/>
      <w:marRight w:val="0"/>
      <w:marTop w:val="0"/>
      <w:marBottom w:val="0"/>
      <w:divBdr>
        <w:top w:val="none" w:sz="0" w:space="0" w:color="auto"/>
        <w:left w:val="none" w:sz="0" w:space="0" w:color="auto"/>
        <w:bottom w:val="none" w:sz="0" w:space="0" w:color="auto"/>
        <w:right w:val="none" w:sz="0" w:space="0" w:color="auto"/>
      </w:divBdr>
    </w:div>
    <w:div w:id="377508129">
      <w:bodyDiv w:val="1"/>
      <w:marLeft w:val="0"/>
      <w:marRight w:val="0"/>
      <w:marTop w:val="0"/>
      <w:marBottom w:val="0"/>
      <w:divBdr>
        <w:top w:val="none" w:sz="0" w:space="0" w:color="auto"/>
        <w:left w:val="none" w:sz="0" w:space="0" w:color="auto"/>
        <w:bottom w:val="none" w:sz="0" w:space="0" w:color="auto"/>
        <w:right w:val="none" w:sz="0" w:space="0" w:color="auto"/>
      </w:divBdr>
    </w:div>
    <w:div w:id="392773928">
      <w:bodyDiv w:val="1"/>
      <w:marLeft w:val="0"/>
      <w:marRight w:val="0"/>
      <w:marTop w:val="0"/>
      <w:marBottom w:val="0"/>
      <w:divBdr>
        <w:top w:val="none" w:sz="0" w:space="0" w:color="auto"/>
        <w:left w:val="none" w:sz="0" w:space="0" w:color="auto"/>
        <w:bottom w:val="none" w:sz="0" w:space="0" w:color="auto"/>
        <w:right w:val="none" w:sz="0" w:space="0" w:color="auto"/>
      </w:divBdr>
    </w:div>
    <w:div w:id="409694700">
      <w:bodyDiv w:val="1"/>
      <w:marLeft w:val="0"/>
      <w:marRight w:val="0"/>
      <w:marTop w:val="0"/>
      <w:marBottom w:val="0"/>
      <w:divBdr>
        <w:top w:val="none" w:sz="0" w:space="0" w:color="auto"/>
        <w:left w:val="none" w:sz="0" w:space="0" w:color="auto"/>
        <w:bottom w:val="none" w:sz="0" w:space="0" w:color="auto"/>
        <w:right w:val="none" w:sz="0" w:space="0" w:color="auto"/>
      </w:divBdr>
    </w:div>
    <w:div w:id="425344020">
      <w:bodyDiv w:val="1"/>
      <w:marLeft w:val="0"/>
      <w:marRight w:val="0"/>
      <w:marTop w:val="0"/>
      <w:marBottom w:val="0"/>
      <w:divBdr>
        <w:top w:val="none" w:sz="0" w:space="0" w:color="auto"/>
        <w:left w:val="none" w:sz="0" w:space="0" w:color="auto"/>
        <w:bottom w:val="none" w:sz="0" w:space="0" w:color="auto"/>
        <w:right w:val="none" w:sz="0" w:space="0" w:color="auto"/>
      </w:divBdr>
    </w:div>
    <w:div w:id="455873116">
      <w:bodyDiv w:val="1"/>
      <w:marLeft w:val="0"/>
      <w:marRight w:val="0"/>
      <w:marTop w:val="0"/>
      <w:marBottom w:val="0"/>
      <w:divBdr>
        <w:top w:val="none" w:sz="0" w:space="0" w:color="auto"/>
        <w:left w:val="none" w:sz="0" w:space="0" w:color="auto"/>
        <w:bottom w:val="none" w:sz="0" w:space="0" w:color="auto"/>
        <w:right w:val="none" w:sz="0" w:space="0" w:color="auto"/>
      </w:divBdr>
    </w:div>
    <w:div w:id="457183756">
      <w:bodyDiv w:val="1"/>
      <w:marLeft w:val="0"/>
      <w:marRight w:val="0"/>
      <w:marTop w:val="0"/>
      <w:marBottom w:val="0"/>
      <w:divBdr>
        <w:top w:val="none" w:sz="0" w:space="0" w:color="auto"/>
        <w:left w:val="none" w:sz="0" w:space="0" w:color="auto"/>
        <w:bottom w:val="none" w:sz="0" w:space="0" w:color="auto"/>
        <w:right w:val="none" w:sz="0" w:space="0" w:color="auto"/>
      </w:divBdr>
    </w:div>
    <w:div w:id="478621483">
      <w:bodyDiv w:val="1"/>
      <w:marLeft w:val="0"/>
      <w:marRight w:val="0"/>
      <w:marTop w:val="0"/>
      <w:marBottom w:val="0"/>
      <w:divBdr>
        <w:top w:val="none" w:sz="0" w:space="0" w:color="auto"/>
        <w:left w:val="none" w:sz="0" w:space="0" w:color="auto"/>
        <w:bottom w:val="none" w:sz="0" w:space="0" w:color="auto"/>
        <w:right w:val="none" w:sz="0" w:space="0" w:color="auto"/>
      </w:divBdr>
    </w:div>
    <w:div w:id="504977603">
      <w:bodyDiv w:val="1"/>
      <w:marLeft w:val="0"/>
      <w:marRight w:val="0"/>
      <w:marTop w:val="0"/>
      <w:marBottom w:val="0"/>
      <w:divBdr>
        <w:top w:val="none" w:sz="0" w:space="0" w:color="auto"/>
        <w:left w:val="none" w:sz="0" w:space="0" w:color="auto"/>
        <w:bottom w:val="none" w:sz="0" w:space="0" w:color="auto"/>
        <w:right w:val="none" w:sz="0" w:space="0" w:color="auto"/>
      </w:divBdr>
    </w:div>
    <w:div w:id="517306690">
      <w:bodyDiv w:val="1"/>
      <w:marLeft w:val="0"/>
      <w:marRight w:val="0"/>
      <w:marTop w:val="0"/>
      <w:marBottom w:val="0"/>
      <w:divBdr>
        <w:top w:val="none" w:sz="0" w:space="0" w:color="auto"/>
        <w:left w:val="none" w:sz="0" w:space="0" w:color="auto"/>
        <w:bottom w:val="none" w:sz="0" w:space="0" w:color="auto"/>
        <w:right w:val="none" w:sz="0" w:space="0" w:color="auto"/>
      </w:divBdr>
    </w:div>
    <w:div w:id="551693500">
      <w:bodyDiv w:val="1"/>
      <w:marLeft w:val="0"/>
      <w:marRight w:val="0"/>
      <w:marTop w:val="0"/>
      <w:marBottom w:val="0"/>
      <w:divBdr>
        <w:top w:val="none" w:sz="0" w:space="0" w:color="auto"/>
        <w:left w:val="none" w:sz="0" w:space="0" w:color="auto"/>
        <w:bottom w:val="none" w:sz="0" w:space="0" w:color="auto"/>
        <w:right w:val="none" w:sz="0" w:space="0" w:color="auto"/>
      </w:divBdr>
    </w:div>
    <w:div w:id="564998515">
      <w:bodyDiv w:val="1"/>
      <w:marLeft w:val="0"/>
      <w:marRight w:val="0"/>
      <w:marTop w:val="0"/>
      <w:marBottom w:val="0"/>
      <w:divBdr>
        <w:top w:val="none" w:sz="0" w:space="0" w:color="auto"/>
        <w:left w:val="none" w:sz="0" w:space="0" w:color="auto"/>
        <w:bottom w:val="none" w:sz="0" w:space="0" w:color="auto"/>
        <w:right w:val="none" w:sz="0" w:space="0" w:color="auto"/>
      </w:divBdr>
    </w:div>
    <w:div w:id="566190336">
      <w:bodyDiv w:val="1"/>
      <w:marLeft w:val="0"/>
      <w:marRight w:val="0"/>
      <w:marTop w:val="0"/>
      <w:marBottom w:val="0"/>
      <w:divBdr>
        <w:top w:val="none" w:sz="0" w:space="0" w:color="auto"/>
        <w:left w:val="none" w:sz="0" w:space="0" w:color="auto"/>
        <w:bottom w:val="none" w:sz="0" w:space="0" w:color="auto"/>
        <w:right w:val="none" w:sz="0" w:space="0" w:color="auto"/>
      </w:divBdr>
    </w:div>
    <w:div w:id="591202156">
      <w:bodyDiv w:val="1"/>
      <w:marLeft w:val="0"/>
      <w:marRight w:val="0"/>
      <w:marTop w:val="0"/>
      <w:marBottom w:val="0"/>
      <w:divBdr>
        <w:top w:val="none" w:sz="0" w:space="0" w:color="auto"/>
        <w:left w:val="none" w:sz="0" w:space="0" w:color="auto"/>
        <w:bottom w:val="none" w:sz="0" w:space="0" w:color="auto"/>
        <w:right w:val="none" w:sz="0" w:space="0" w:color="auto"/>
      </w:divBdr>
    </w:div>
    <w:div w:id="597905422">
      <w:bodyDiv w:val="1"/>
      <w:marLeft w:val="0"/>
      <w:marRight w:val="0"/>
      <w:marTop w:val="0"/>
      <w:marBottom w:val="0"/>
      <w:divBdr>
        <w:top w:val="none" w:sz="0" w:space="0" w:color="auto"/>
        <w:left w:val="none" w:sz="0" w:space="0" w:color="auto"/>
        <w:bottom w:val="none" w:sz="0" w:space="0" w:color="auto"/>
        <w:right w:val="none" w:sz="0" w:space="0" w:color="auto"/>
      </w:divBdr>
    </w:div>
    <w:div w:id="599528105">
      <w:bodyDiv w:val="1"/>
      <w:marLeft w:val="0"/>
      <w:marRight w:val="0"/>
      <w:marTop w:val="0"/>
      <w:marBottom w:val="0"/>
      <w:divBdr>
        <w:top w:val="none" w:sz="0" w:space="0" w:color="auto"/>
        <w:left w:val="none" w:sz="0" w:space="0" w:color="auto"/>
        <w:bottom w:val="none" w:sz="0" w:space="0" w:color="auto"/>
        <w:right w:val="none" w:sz="0" w:space="0" w:color="auto"/>
      </w:divBdr>
    </w:div>
    <w:div w:id="607585663">
      <w:bodyDiv w:val="1"/>
      <w:marLeft w:val="0"/>
      <w:marRight w:val="0"/>
      <w:marTop w:val="0"/>
      <w:marBottom w:val="0"/>
      <w:divBdr>
        <w:top w:val="none" w:sz="0" w:space="0" w:color="auto"/>
        <w:left w:val="none" w:sz="0" w:space="0" w:color="auto"/>
        <w:bottom w:val="none" w:sz="0" w:space="0" w:color="auto"/>
        <w:right w:val="none" w:sz="0" w:space="0" w:color="auto"/>
      </w:divBdr>
    </w:div>
    <w:div w:id="614018392">
      <w:bodyDiv w:val="1"/>
      <w:marLeft w:val="0"/>
      <w:marRight w:val="0"/>
      <w:marTop w:val="0"/>
      <w:marBottom w:val="0"/>
      <w:divBdr>
        <w:top w:val="none" w:sz="0" w:space="0" w:color="auto"/>
        <w:left w:val="none" w:sz="0" w:space="0" w:color="auto"/>
        <w:bottom w:val="none" w:sz="0" w:space="0" w:color="auto"/>
        <w:right w:val="none" w:sz="0" w:space="0" w:color="auto"/>
      </w:divBdr>
    </w:div>
    <w:div w:id="641346830">
      <w:bodyDiv w:val="1"/>
      <w:marLeft w:val="0"/>
      <w:marRight w:val="0"/>
      <w:marTop w:val="0"/>
      <w:marBottom w:val="0"/>
      <w:divBdr>
        <w:top w:val="none" w:sz="0" w:space="0" w:color="auto"/>
        <w:left w:val="none" w:sz="0" w:space="0" w:color="auto"/>
        <w:bottom w:val="none" w:sz="0" w:space="0" w:color="auto"/>
        <w:right w:val="none" w:sz="0" w:space="0" w:color="auto"/>
      </w:divBdr>
    </w:div>
    <w:div w:id="643579480">
      <w:bodyDiv w:val="1"/>
      <w:marLeft w:val="0"/>
      <w:marRight w:val="0"/>
      <w:marTop w:val="0"/>
      <w:marBottom w:val="0"/>
      <w:divBdr>
        <w:top w:val="none" w:sz="0" w:space="0" w:color="auto"/>
        <w:left w:val="none" w:sz="0" w:space="0" w:color="auto"/>
        <w:bottom w:val="none" w:sz="0" w:space="0" w:color="auto"/>
        <w:right w:val="none" w:sz="0" w:space="0" w:color="auto"/>
      </w:divBdr>
    </w:div>
    <w:div w:id="683702653">
      <w:bodyDiv w:val="1"/>
      <w:marLeft w:val="0"/>
      <w:marRight w:val="0"/>
      <w:marTop w:val="0"/>
      <w:marBottom w:val="0"/>
      <w:divBdr>
        <w:top w:val="none" w:sz="0" w:space="0" w:color="auto"/>
        <w:left w:val="none" w:sz="0" w:space="0" w:color="auto"/>
        <w:bottom w:val="none" w:sz="0" w:space="0" w:color="auto"/>
        <w:right w:val="none" w:sz="0" w:space="0" w:color="auto"/>
      </w:divBdr>
      <w:divsChild>
        <w:div w:id="544827333">
          <w:marLeft w:val="0"/>
          <w:marRight w:val="0"/>
          <w:marTop w:val="0"/>
          <w:marBottom w:val="0"/>
          <w:divBdr>
            <w:top w:val="none" w:sz="0" w:space="0" w:color="auto"/>
            <w:left w:val="none" w:sz="0" w:space="0" w:color="auto"/>
            <w:bottom w:val="none" w:sz="0" w:space="0" w:color="auto"/>
            <w:right w:val="none" w:sz="0" w:space="0" w:color="auto"/>
          </w:divBdr>
          <w:divsChild>
            <w:div w:id="270169134">
              <w:marLeft w:val="0"/>
              <w:marRight w:val="0"/>
              <w:marTop w:val="0"/>
              <w:marBottom w:val="0"/>
              <w:divBdr>
                <w:top w:val="none" w:sz="0" w:space="0" w:color="auto"/>
                <w:left w:val="none" w:sz="0" w:space="0" w:color="auto"/>
                <w:bottom w:val="none" w:sz="0" w:space="0" w:color="auto"/>
                <w:right w:val="none" w:sz="0" w:space="0" w:color="auto"/>
              </w:divBdr>
            </w:div>
            <w:div w:id="407655056">
              <w:marLeft w:val="0"/>
              <w:marRight w:val="0"/>
              <w:marTop w:val="0"/>
              <w:marBottom w:val="0"/>
              <w:divBdr>
                <w:top w:val="none" w:sz="0" w:space="0" w:color="auto"/>
                <w:left w:val="none" w:sz="0" w:space="0" w:color="auto"/>
                <w:bottom w:val="none" w:sz="0" w:space="0" w:color="auto"/>
                <w:right w:val="none" w:sz="0" w:space="0" w:color="auto"/>
              </w:divBdr>
            </w:div>
            <w:div w:id="753554072">
              <w:marLeft w:val="0"/>
              <w:marRight w:val="0"/>
              <w:marTop w:val="0"/>
              <w:marBottom w:val="0"/>
              <w:divBdr>
                <w:top w:val="none" w:sz="0" w:space="0" w:color="auto"/>
                <w:left w:val="none" w:sz="0" w:space="0" w:color="auto"/>
                <w:bottom w:val="none" w:sz="0" w:space="0" w:color="auto"/>
                <w:right w:val="none" w:sz="0" w:space="0" w:color="auto"/>
              </w:divBdr>
            </w:div>
            <w:div w:id="105678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77814">
      <w:bodyDiv w:val="1"/>
      <w:marLeft w:val="0"/>
      <w:marRight w:val="0"/>
      <w:marTop w:val="0"/>
      <w:marBottom w:val="0"/>
      <w:divBdr>
        <w:top w:val="none" w:sz="0" w:space="0" w:color="auto"/>
        <w:left w:val="none" w:sz="0" w:space="0" w:color="auto"/>
        <w:bottom w:val="none" w:sz="0" w:space="0" w:color="auto"/>
        <w:right w:val="none" w:sz="0" w:space="0" w:color="auto"/>
      </w:divBdr>
    </w:div>
    <w:div w:id="742802151">
      <w:bodyDiv w:val="1"/>
      <w:marLeft w:val="0"/>
      <w:marRight w:val="0"/>
      <w:marTop w:val="0"/>
      <w:marBottom w:val="0"/>
      <w:divBdr>
        <w:top w:val="none" w:sz="0" w:space="0" w:color="auto"/>
        <w:left w:val="none" w:sz="0" w:space="0" w:color="auto"/>
        <w:bottom w:val="none" w:sz="0" w:space="0" w:color="auto"/>
        <w:right w:val="none" w:sz="0" w:space="0" w:color="auto"/>
      </w:divBdr>
    </w:div>
    <w:div w:id="752313770">
      <w:bodyDiv w:val="1"/>
      <w:marLeft w:val="0"/>
      <w:marRight w:val="0"/>
      <w:marTop w:val="0"/>
      <w:marBottom w:val="0"/>
      <w:divBdr>
        <w:top w:val="none" w:sz="0" w:space="0" w:color="auto"/>
        <w:left w:val="none" w:sz="0" w:space="0" w:color="auto"/>
        <w:bottom w:val="none" w:sz="0" w:space="0" w:color="auto"/>
        <w:right w:val="none" w:sz="0" w:space="0" w:color="auto"/>
      </w:divBdr>
    </w:div>
    <w:div w:id="775759404">
      <w:bodyDiv w:val="1"/>
      <w:marLeft w:val="0"/>
      <w:marRight w:val="0"/>
      <w:marTop w:val="0"/>
      <w:marBottom w:val="0"/>
      <w:divBdr>
        <w:top w:val="none" w:sz="0" w:space="0" w:color="auto"/>
        <w:left w:val="none" w:sz="0" w:space="0" w:color="auto"/>
        <w:bottom w:val="none" w:sz="0" w:space="0" w:color="auto"/>
        <w:right w:val="none" w:sz="0" w:space="0" w:color="auto"/>
      </w:divBdr>
    </w:div>
    <w:div w:id="784077475">
      <w:bodyDiv w:val="1"/>
      <w:marLeft w:val="0"/>
      <w:marRight w:val="0"/>
      <w:marTop w:val="0"/>
      <w:marBottom w:val="0"/>
      <w:divBdr>
        <w:top w:val="none" w:sz="0" w:space="0" w:color="auto"/>
        <w:left w:val="none" w:sz="0" w:space="0" w:color="auto"/>
        <w:bottom w:val="none" w:sz="0" w:space="0" w:color="auto"/>
        <w:right w:val="none" w:sz="0" w:space="0" w:color="auto"/>
      </w:divBdr>
    </w:div>
    <w:div w:id="826702727">
      <w:bodyDiv w:val="1"/>
      <w:marLeft w:val="0"/>
      <w:marRight w:val="0"/>
      <w:marTop w:val="0"/>
      <w:marBottom w:val="0"/>
      <w:divBdr>
        <w:top w:val="none" w:sz="0" w:space="0" w:color="auto"/>
        <w:left w:val="none" w:sz="0" w:space="0" w:color="auto"/>
        <w:bottom w:val="none" w:sz="0" w:space="0" w:color="auto"/>
        <w:right w:val="none" w:sz="0" w:space="0" w:color="auto"/>
      </w:divBdr>
    </w:div>
    <w:div w:id="853542482">
      <w:bodyDiv w:val="1"/>
      <w:marLeft w:val="0"/>
      <w:marRight w:val="0"/>
      <w:marTop w:val="0"/>
      <w:marBottom w:val="0"/>
      <w:divBdr>
        <w:top w:val="none" w:sz="0" w:space="0" w:color="auto"/>
        <w:left w:val="none" w:sz="0" w:space="0" w:color="auto"/>
        <w:bottom w:val="none" w:sz="0" w:space="0" w:color="auto"/>
        <w:right w:val="none" w:sz="0" w:space="0" w:color="auto"/>
      </w:divBdr>
    </w:div>
    <w:div w:id="866873937">
      <w:bodyDiv w:val="1"/>
      <w:marLeft w:val="0"/>
      <w:marRight w:val="0"/>
      <w:marTop w:val="0"/>
      <w:marBottom w:val="0"/>
      <w:divBdr>
        <w:top w:val="none" w:sz="0" w:space="0" w:color="auto"/>
        <w:left w:val="none" w:sz="0" w:space="0" w:color="auto"/>
        <w:bottom w:val="none" w:sz="0" w:space="0" w:color="auto"/>
        <w:right w:val="none" w:sz="0" w:space="0" w:color="auto"/>
      </w:divBdr>
    </w:div>
    <w:div w:id="876237737">
      <w:bodyDiv w:val="1"/>
      <w:marLeft w:val="0"/>
      <w:marRight w:val="0"/>
      <w:marTop w:val="0"/>
      <w:marBottom w:val="0"/>
      <w:divBdr>
        <w:top w:val="none" w:sz="0" w:space="0" w:color="auto"/>
        <w:left w:val="none" w:sz="0" w:space="0" w:color="auto"/>
        <w:bottom w:val="none" w:sz="0" w:space="0" w:color="auto"/>
        <w:right w:val="none" w:sz="0" w:space="0" w:color="auto"/>
      </w:divBdr>
    </w:div>
    <w:div w:id="885333197">
      <w:bodyDiv w:val="1"/>
      <w:marLeft w:val="0"/>
      <w:marRight w:val="0"/>
      <w:marTop w:val="0"/>
      <w:marBottom w:val="0"/>
      <w:divBdr>
        <w:top w:val="none" w:sz="0" w:space="0" w:color="auto"/>
        <w:left w:val="none" w:sz="0" w:space="0" w:color="auto"/>
        <w:bottom w:val="none" w:sz="0" w:space="0" w:color="auto"/>
        <w:right w:val="none" w:sz="0" w:space="0" w:color="auto"/>
      </w:divBdr>
    </w:div>
    <w:div w:id="891497551">
      <w:bodyDiv w:val="1"/>
      <w:marLeft w:val="0"/>
      <w:marRight w:val="0"/>
      <w:marTop w:val="0"/>
      <w:marBottom w:val="0"/>
      <w:divBdr>
        <w:top w:val="none" w:sz="0" w:space="0" w:color="auto"/>
        <w:left w:val="none" w:sz="0" w:space="0" w:color="auto"/>
        <w:bottom w:val="none" w:sz="0" w:space="0" w:color="auto"/>
        <w:right w:val="none" w:sz="0" w:space="0" w:color="auto"/>
      </w:divBdr>
    </w:div>
    <w:div w:id="904222717">
      <w:bodyDiv w:val="1"/>
      <w:marLeft w:val="0"/>
      <w:marRight w:val="0"/>
      <w:marTop w:val="0"/>
      <w:marBottom w:val="0"/>
      <w:divBdr>
        <w:top w:val="none" w:sz="0" w:space="0" w:color="auto"/>
        <w:left w:val="none" w:sz="0" w:space="0" w:color="auto"/>
        <w:bottom w:val="none" w:sz="0" w:space="0" w:color="auto"/>
        <w:right w:val="none" w:sz="0" w:space="0" w:color="auto"/>
      </w:divBdr>
    </w:div>
    <w:div w:id="936711198">
      <w:bodyDiv w:val="1"/>
      <w:marLeft w:val="0"/>
      <w:marRight w:val="0"/>
      <w:marTop w:val="0"/>
      <w:marBottom w:val="0"/>
      <w:divBdr>
        <w:top w:val="none" w:sz="0" w:space="0" w:color="auto"/>
        <w:left w:val="none" w:sz="0" w:space="0" w:color="auto"/>
        <w:bottom w:val="none" w:sz="0" w:space="0" w:color="auto"/>
        <w:right w:val="none" w:sz="0" w:space="0" w:color="auto"/>
      </w:divBdr>
    </w:div>
    <w:div w:id="938634067">
      <w:bodyDiv w:val="1"/>
      <w:marLeft w:val="0"/>
      <w:marRight w:val="0"/>
      <w:marTop w:val="0"/>
      <w:marBottom w:val="0"/>
      <w:divBdr>
        <w:top w:val="none" w:sz="0" w:space="0" w:color="auto"/>
        <w:left w:val="none" w:sz="0" w:space="0" w:color="auto"/>
        <w:bottom w:val="none" w:sz="0" w:space="0" w:color="auto"/>
        <w:right w:val="none" w:sz="0" w:space="0" w:color="auto"/>
      </w:divBdr>
    </w:div>
    <w:div w:id="969893789">
      <w:bodyDiv w:val="1"/>
      <w:marLeft w:val="0"/>
      <w:marRight w:val="0"/>
      <w:marTop w:val="0"/>
      <w:marBottom w:val="0"/>
      <w:divBdr>
        <w:top w:val="none" w:sz="0" w:space="0" w:color="auto"/>
        <w:left w:val="none" w:sz="0" w:space="0" w:color="auto"/>
        <w:bottom w:val="none" w:sz="0" w:space="0" w:color="auto"/>
        <w:right w:val="none" w:sz="0" w:space="0" w:color="auto"/>
      </w:divBdr>
    </w:div>
    <w:div w:id="993023002">
      <w:bodyDiv w:val="1"/>
      <w:marLeft w:val="0"/>
      <w:marRight w:val="0"/>
      <w:marTop w:val="0"/>
      <w:marBottom w:val="0"/>
      <w:divBdr>
        <w:top w:val="none" w:sz="0" w:space="0" w:color="auto"/>
        <w:left w:val="none" w:sz="0" w:space="0" w:color="auto"/>
        <w:bottom w:val="none" w:sz="0" w:space="0" w:color="auto"/>
        <w:right w:val="none" w:sz="0" w:space="0" w:color="auto"/>
      </w:divBdr>
    </w:div>
    <w:div w:id="1001549088">
      <w:bodyDiv w:val="1"/>
      <w:marLeft w:val="0"/>
      <w:marRight w:val="0"/>
      <w:marTop w:val="0"/>
      <w:marBottom w:val="0"/>
      <w:divBdr>
        <w:top w:val="none" w:sz="0" w:space="0" w:color="auto"/>
        <w:left w:val="none" w:sz="0" w:space="0" w:color="auto"/>
        <w:bottom w:val="none" w:sz="0" w:space="0" w:color="auto"/>
        <w:right w:val="none" w:sz="0" w:space="0" w:color="auto"/>
      </w:divBdr>
    </w:div>
    <w:div w:id="1015571701">
      <w:bodyDiv w:val="1"/>
      <w:marLeft w:val="0"/>
      <w:marRight w:val="0"/>
      <w:marTop w:val="0"/>
      <w:marBottom w:val="0"/>
      <w:divBdr>
        <w:top w:val="none" w:sz="0" w:space="0" w:color="auto"/>
        <w:left w:val="none" w:sz="0" w:space="0" w:color="auto"/>
        <w:bottom w:val="none" w:sz="0" w:space="0" w:color="auto"/>
        <w:right w:val="none" w:sz="0" w:space="0" w:color="auto"/>
      </w:divBdr>
    </w:div>
    <w:div w:id="1025400321">
      <w:bodyDiv w:val="1"/>
      <w:marLeft w:val="0"/>
      <w:marRight w:val="0"/>
      <w:marTop w:val="0"/>
      <w:marBottom w:val="0"/>
      <w:divBdr>
        <w:top w:val="none" w:sz="0" w:space="0" w:color="auto"/>
        <w:left w:val="none" w:sz="0" w:space="0" w:color="auto"/>
        <w:bottom w:val="none" w:sz="0" w:space="0" w:color="auto"/>
        <w:right w:val="none" w:sz="0" w:space="0" w:color="auto"/>
      </w:divBdr>
    </w:div>
    <w:div w:id="1051228078">
      <w:bodyDiv w:val="1"/>
      <w:marLeft w:val="0"/>
      <w:marRight w:val="0"/>
      <w:marTop w:val="0"/>
      <w:marBottom w:val="0"/>
      <w:divBdr>
        <w:top w:val="none" w:sz="0" w:space="0" w:color="auto"/>
        <w:left w:val="none" w:sz="0" w:space="0" w:color="auto"/>
        <w:bottom w:val="none" w:sz="0" w:space="0" w:color="auto"/>
        <w:right w:val="none" w:sz="0" w:space="0" w:color="auto"/>
      </w:divBdr>
    </w:div>
    <w:div w:id="1067532268">
      <w:bodyDiv w:val="1"/>
      <w:marLeft w:val="0"/>
      <w:marRight w:val="0"/>
      <w:marTop w:val="0"/>
      <w:marBottom w:val="0"/>
      <w:divBdr>
        <w:top w:val="none" w:sz="0" w:space="0" w:color="auto"/>
        <w:left w:val="none" w:sz="0" w:space="0" w:color="auto"/>
        <w:bottom w:val="none" w:sz="0" w:space="0" w:color="auto"/>
        <w:right w:val="none" w:sz="0" w:space="0" w:color="auto"/>
      </w:divBdr>
    </w:div>
    <w:div w:id="1080982834">
      <w:bodyDiv w:val="1"/>
      <w:marLeft w:val="0"/>
      <w:marRight w:val="0"/>
      <w:marTop w:val="0"/>
      <w:marBottom w:val="0"/>
      <w:divBdr>
        <w:top w:val="none" w:sz="0" w:space="0" w:color="auto"/>
        <w:left w:val="none" w:sz="0" w:space="0" w:color="auto"/>
        <w:bottom w:val="none" w:sz="0" w:space="0" w:color="auto"/>
        <w:right w:val="none" w:sz="0" w:space="0" w:color="auto"/>
      </w:divBdr>
    </w:div>
    <w:div w:id="1155611954">
      <w:bodyDiv w:val="1"/>
      <w:marLeft w:val="0"/>
      <w:marRight w:val="0"/>
      <w:marTop w:val="0"/>
      <w:marBottom w:val="0"/>
      <w:divBdr>
        <w:top w:val="none" w:sz="0" w:space="0" w:color="auto"/>
        <w:left w:val="none" w:sz="0" w:space="0" w:color="auto"/>
        <w:bottom w:val="none" w:sz="0" w:space="0" w:color="auto"/>
        <w:right w:val="none" w:sz="0" w:space="0" w:color="auto"/>
      </w:divBdr>
    </w:div>
    <w:div w:id="1160542199">
      <w:bodyDiv w:val="1"/>
      <w:marLeft w:val="0"/>
      <w:marRight w:val="0"/>
      <w:marTop w:val="0"/>
      <w:marBottom w:val="0"/>
      <w:divBdr>
        <w:top w:val="none" w:sz="0" w:space="0" w:color="auto"/>
        <w:left w:val="none" w:sz="0" w:space="0" w:color="auto"/>
        <w:bottom w:val="none" w:sz="0" w:space="0" w:color="auto"/>
        <w:right w:val="none" w:sz="0" w:space="0" w:color="auto"/>
      </w:divBdr>
    </w:div>
    <w:div w:id="1163358184">
      <w:bodyDiv w:val="1"/>
      <w:marLeft w:val="0"/>
      <w:marRight w:val="0"/>
      <w:marTop w:val="0"/>
      <w:marBottom w:val="0"/>
      <w:divBdr>
        <w:top w:val="none" w:sz="0" w:space="0" w:color="auto"/>
        <w:left w:val="none" w:sz="0" w:space="0" w:color="auto"/>
        <w:bottom w:val="none" w:sz="0" w:space="0" w:color="auto"/>
        <w:right w:val="none" w:sz="0" w:space="0" w:color="auto"/>
      </w:divBdr>
    </w:div>
    <w:div w:id="1172793229">
      <w:bodyDiv w:val="1"/>
      <w:marLeft w:val="0"/>
      <w:marRight w:val="0"/>
      <w:marTop w:val="0"/>
      <w:marBottom w:val="0"/>
      <w:divBdr>
        <w:top w:val="none" w:sz="0" w:space="0" w:color="auto"/>
        <w:left w:val="none" w:sz="0" w:space="0" w:color="auto"/>
        <w:bottom w:val="none" w:sz="0" w:space="0" w:color="auto"/>
        <w:right w:val="none" w:sz="0" w:space="0" w:color="auto"/>
      </w:divBdr>
    </w:div>
    <w:div w:id="1201284463">
      <w:bodyDiv w:val="1"/>
      <w:marLeft w:val="0"/>
      <w:marRight w:val="0"/>
      <w:marTop w:val="0"/>
      <w:marBottom w:val="0"/>
      <w:divBdr>
        <w:top w:val="none" w:sz="0" w:space="0" w:color="auto"/>
        <w:left w:val="none" w:sz="0" w:space="0" w:color="auto"/>
        <w:bottom w:val="none" w:sz="0" w:space="0" w:color="auto"/>
        <w:right w:val="none" w:sz="0" w:space="0" w:color="auto"/>
      </w:divBdr>
    </w:div>
    <w:div w:id="1215193108">
      <w:bodyDiv w:val="1"/>
      <w:marLeft w:val="0"/>
      <w:marRight w:val="0"/>
      <w:marTop w:val="0"/>
      <w:marBottom w:val="0"/>
      <w:divBdr>
        <w:top w:val="none" w:sz="0" w:space="0" w:color="auto"/>
        <w:left w:val="none" w:sz="0" w:space="0" w:color="auto"/>
        <w:bottom w:val="none" w:sz="0" w:space="0" w:color="auto"/>
        <w:right w:val="none" w:sz="0" w:space="0" w:color="auto"/>
      </w:divBdr>
    </w:div>
    <w:div w:id="1232084518">
      <w:bodyDiv w:val="1"/>
      <w:marLeft w:val="0"/>
      <w:marRight w:val="0"/>
      <w:marTop w:val="0"/>
      <w:marBottom w:val="0"/>
      <w:divBdr>
        <w:top w:val="none" w:sz="0" w:space="0" w:color="auto"/>
        <w:left w:val="none" w:sz="0" w:space="0" w:color="auto"/>
        <w:bottom w:val="none" w:sz="0" w:space="0" w:color="auto"/>
        <w:right w:val="none" w:sz="0" w:space="0" w:color="auto"/>
      </w:divBdr>
    </w:div>
    <w:div w:id="1240137753">
      <w:bodyDiv w:val="1"/>
      <w:marLeft w:val="0"/>
      <w:marRight w:val="0"/>
      <w:marTop w:val="0"/>
      <w:marBottom w:val="0"/>
      <w:divBdr>
        <w:top w:val="none" w:sz="0" w:space="0" w:color="auto"/>
        <w:left w:val="none" w:sz="0" w:space="0" w:color="auto"/>
        <w:bottom w:val="none" w:sz="0" w:space="0" w:color="auto"/>
        <w:right w:val="none" w:sz="0" w:space="0" w:color="auto"/>
      </w:divBdr>
    </w:div>
    <w:div w:id="1244027545">
      <w:bodyDiv w:val="1"/>
      <w:marLeft w:val="0"/>
      <w:marRight w:val="0"/>
      <w:marTop w:val="0"/>
      <w:marBottom w:val="0"/>
      <w:divBdr>
        <w:top w:val="none" w:sz="0" w:space="0" w:color="auto"/>
        <w:left w:val="none" w:sz="0" w:space="0" w:color="auto"/>
        <w:bottom w:val="none" w:sz="0" w:space="0" w:color="auto"/>
        <w:right w:val="none" w:sz="0" w:space="0" w:color="auto"/>
      </w:divBdr>
    </w:div>
    <w:div w:id="1270548237">
      <w:bodyDiv w:val="1"/>
      <w:marLeft w:val="0"/>
      <w:marRight w:val="0"/>
      <w:marTop w:val="0"/>
      <w:marBottom w:val="0"/>
      <w:divBdr>
        <w:top w:val="none" w:sz="0" w:space="0" w:color="auto"/>
        <w:left w:val="none" w:sz="0" w:space="0" w:color="auto"/>
        <w:bottom w:val="none" w:sz="0" w:space="0" w:color="auto"/>
        <w:right w:val="none" w:sz="0" w:space="0" w:color="auto"/>
      </w:divBdr>
    </w:div>
    <w:div w:id="1278831067">
      <w:bodyDiv w:val="1"/>
      <w:marLeft w:val="0"/>
      <w:marRight w:val="0"/>
      <w:marTop w:val="0"/>
      <w:marBottom w:val="0"/>
      <w:divBdr>
        <w:top w:val="none" w:sz="0" w:space="0" w:color="auto"/>
        <w:left w:val="none" w:sz="0" w:space="0" w:color="auto"/>
        <w:bottom w:val="none" w:sz="0" w:space="0" w:color="auto"/>
        <w:right w:val="none" w:sz="0" w:space="0" w:color="auto"/>
      </w:divBdr>
    </w:div>
    <w:div w:id="1282417235">
      <w:bodyDiv w:val="1"/>
      <w:marLeft w:val="0"/>
      <w:marRight w:val="0"/>
      <w:marTop w:val="0"/>
      <w:marBottom w:val="0"/>
      <w:divBdr>
        <w:top w:val="none" w:sz="0" w:space="0" w:color="auto"/>
        <w:left w:val="none" w:sz="0" w:space="0" w:color="auto"/>
        <w:bottom w:val="none" w:sz="0" w:space="0" w:color="auto"/>
        <w:right w:val="none" w:sz="0" w:space="0" w:color="auto"/>
      </w:divBdr>
    </w:div>
    <w:div w:id="1314062988">
      <w:bodyDiv w:val="1"/>
      <w:marLeft w:val="0"/>
      <w:marRight w:val="0"/>
      <w:marTop w:val="0"/>
      <w:marBottom w:val="0"/>
      <w:divBdr>
        <w:top w:val="none" w:sz="0" w:space="0" w:color="auto"/>
        <w:left w:val="none" w:sz="0" w:space="0" w:color="auto"/>
        <w:bottom w:val="none" w:sz="0" w:space="0" w:color="auto"/>
        <w:right w:val="none" w:sz="0" w:space="0" w:color="auto"/>
      </w:divBdr>
    </w:div>
    <w:div w:id="1319266194">
      <w:bodyDiv w:val="1"/>
      <w:marLeft w:val="0"/>
      <w:marRight w:val="0"/>
      <w:marTop w:val="0"/>
      <w:marBottom w:val="0"/>
      <w:divBdr>
        <w:top w:val="none" w:sz="0" w:space="0" w:color="auto"/>
        <w:left w:val="none" w:sz="0" w:space="0" w:color="auto"/>
        <w:bottom w:val="none" w:sz="0" w:space="0" w:color="auto"/>
        <w:right w:val="none" w:sz="0" w:space="0" w:color="auto"/>
      </w:divBdr>
    </w:div>
    <w:div w:id="1325207412">
      <w:bodyDiv w:val="1"/>
      <w:marLeft w:val="0"/>
      <w:marRight w:val="0"/>
      <w:marTop w:val="0"/>
      <w:marBottom w:val="0"/>
      <w:divBdr>
        <w:top w:val="none" w:sz="0" w:space="0" w:color="auto"/>
        <w:left w:val="none" w:sz="0" w:space="0" w:color="auto"/>
        <w:bottom w:val="none" w:sz="0" w:space="0" w:color="auto"/>
        <w:right w:val="none" w:sz="0" w:space="0" w:color="auto"/>
      </w:divBdr>
    </w:div>
    <w:div w:id="1355500445">
      <w:bodyDiv w:val="1"/>
      <w:marLeft w:val="0"/>
      <w:marRight w:val="0"/>
      <w:marTop w:val="0"/>
      <w:marBottom w:val="0"/>
      <w:divBdr>
        <w:top w:val="none" w:sz="0" w:space="0" w:color="auto"/>
        <w:left w:val="none" w:sz="0" w:space="0" w:color="auto"/>
        <w:bottom w:val="none" w:sz="0" w:space="0" w:color="auto"/>
        <w:right w:val="none" w:sz="0" w:space="0" w:color="auto"/>
      </w:divBdr>
    </w:div>
    <w:div w:id="1356807710">
      <w:bodyDiv w:val="1"/>
      <w:marLeft w:val="0"/>
      <w:marRight w:val="0"/>
      <w:marTop w:val="0"/>
      <w:marBottom w:val="0"/>
      <w:divBdr>
        <w:top w:val="none" w:sz="0" w:space="0" w:color="auto"/>
        <w:left w:val="none" w:sz="0" w:space="0" w:color="auto"/>
        <w:bottom w:val="none" w:sz="0" w:space="0" w:color="auto"/>
        <w:right w:val="none" w:sz="0" w:space="0" w:color="auto"/>
      </w:divBdr>
    </w:div>
    <w:div w:id="1374186217">
      <w:bodyDiv w:val="1"/>
      <w:marLeft w:val="0"/>
      <w:marRight w:val="0"/>
      <w:marTop w:val="0"/>
      <w:marBottom w:val="0"/>
      <w:divBdr>
        <w:top w:val="none" w:sz="0" w:space="0" w:color="auto"/>
        <w:left w:val="none" w:sz="0" w:space="0" w:color="auto"/>
        <w:bottom w:val="none" w:sz="0" w:space="0" w:color="auto"/>
        <w:right w:val="none" w:sz="0" w:space="0" w:color="auto"/>
      </w:divBdr>
    </w:div>
    <w:div w:id="1375541836">
      <w:bodyDiv w:val="1"/>
      <w:marLeft w:val="0"/>
      <w:marRight w:val="0"/>
      <w:marTop w:val="0"/>
      <w:marBottom w:val="0"/>
      <w:divBdr>
        <w:top w:val="none" w:sz="0" w:space="0" w:color="auto"/>
        <w:left w:val="none" w:sz="0" w:space="0" w:color="auto"/>
        <w:bottom w:val="none" w:sz="0" w:space="0" w:color="auto"/>
        <w:right w:val="none" w:sz="0" w:space="0" w:color="auto"/>
      </w:divBdr>
    </w:div>
    <w:div w:id="1376126851">
      <w:bodyDiv w:val="1"/>
      <w:marLeft w:val="0"/>
      <w:marRight w:val="0"/>
      <w:marTop w:val="0"/>
      <w:marBottom w:val="0"/>
      <w:divBdr>
        <w:top w:val="none" w:sz="0" w:space="0" w:color="auto"/>
        <w:left w:val="none" w:sz="0" w:space="0" w:color="auto"/>
        <w:bottom w:val="none" w:sz="0" w:space="0" w:color="auto"/>
        <w:right w:val="none" w:sz="0" w:space="0" w:color="auto"/>
      </w:divBdr>
    </w:div>
    <w:div w:id="1378165676">
      <w:bodyDiv w:val="1"/>
      <w:marLeft w:val="0"/>
      <w:marRight w:val="0"/>
      <w:marTop w:val="0"/>
      <w:marBottom w:val="0"/>
      <w:divBdr>
        <w:top w:val="none" w:sz="0" w:space="0" w:color="auto"/>
        <w:left w:val="none" w:sz="0" w:space="0" w:color="auto"/>
        <w:bottom w:val="none" w:sz="0" w:space="0" w:color="auto"/>
        <w:right w:val="none" w:sz="0" w:space="0" w:color="auto"/>
      </w:divBdr>
    </w:div>
    <w:div w:id="1380279990">
      <w:bodyDiv w:val="1"/>
      <w:marLeft w:val="0"/>
      <w:marRight w:val="0"/>
      <w:marTop w:val="0"/>
      <w:marBottom w:val="0"/>
      <w:divBdr>
        <w:top w:val="none" w:sz="0" w:space="0" w:color="auto"/>
        <w:left w:val="none" w:sz="0" w:space="0" w:color="auto"/>
        <w:bottom w:val="none" w:sz="0" w:space="0" w:color="auto"/>
        <w:right w:val="none" w:sz="0" w:space="0" w:color="auto"/>
      </w:divBdr>
    </w:div>
    <w:div w:id="1455754184">
      <w:bodyDiv w:val="1"/>
      <w:marLeft w:val="0"/>
      <w:marRight w:val="0"/>
      <w:marTop w:val="0"/>
      <w:marBottom w:val="0"/>
      <w:divBdr>
        <w:top w:val="none" w:sz="0" w:space="0" w:color="auto"/>
        <w:left w:val="none" w:sz="0" w:space="0" w:color="auto"/>
        <w:bottom w:val="none" w:sz="0" w:space="0" w:color="auto"/>
        <w:right w:val="none" w:sz="0" w:space="0" w:color="auto"/>
      </w:divBdr>
    </w:div>
    <w:div w:id="1458448639">
      <w:bodyDiv w:val="1"/>
      <w:marLeft w:val="0"/>
      <w:marRight w:val="0"/>
      <w:marTop w:val="0"/>
      <w:marBottom w:val="0"/>
      <w:divBdr>
        <w:top w:val="none" w:sz="0" w:space="0" w:color="auto"/>
        <w:left w:val="none" w:sz="0" w:space="0" w:color="auto"/>
        <w:bottom w:val="none" w:sz="0" w:space="0" w:color="auto"/>
        <w:right w:val="none" w:sz="0" w:space="0" w:color="auto"/>
      </w:divBdr>
    </w:div>
    <w:div w:id="1467044207">
      <w:bodyDiv w:val="1"/>
      <w:marLeft w:val="0"/>
      <w:marRight w:val="0"/>
      <w:marTop w:val="0"/>
      <w:marBottom w:val="0"/>
      <w:divBdr>
        <w:top w:val="none" w:sz="0" w:space="0" w:color="auto"/>
        <w:left w:val="none" w:sz="0" w:space="0" w:color="auto"/>
        <w:bottom w:val="none" w:sz="0" w:space="0" w:color="auto"/>
        <w:right w:val="none" w:sz="0" w:space="0" w:color="auto"/>
      </w:divBdr>
    </w:div>
    <w:div w:id="1476215414">
      <w:bodyDiv w:val="1"/>
      <w:marLeft w:val="0"/>
      <w:marRight w:val="0"/>
      <w:marTop w:val="0"/>
      <w:marBottom w:val="0"/>
      <w:divBdr>
        <w:top w:val="none" w:sz="0" w:space="0" w:color="auto"/>
        <w:left w:val="none" w:sz="0" w:space="0" w:color="auto"/>
        <w:bottom w:val="none" w:sz="0" w:space="0" w:color="auto"/>
        <w:right w:val="none" w:sz="0" w:space="0" w:color="auto"/>
      </w:divBdr>
    </w:div>
    <w:div w:id="1476949099">
      <w:bodyDiv w:val="1"/>
      <w:marLeft w:val="0"/>
      <w:marRight w:val="0"/>
      <w:marTop w:val="0"/>
      <w:marBottom w:val="0"/>
      <w:divBdr>
        <w:top w:val="none" w:sz="0" w:space="0" w:color="auto"/>
        <w:left w:val="none" w:sz="0" w:space="0" w:color="auto"/>
        <w:bottom w:val="none" w:sz="0" w:space="0" w:color="auto"/>
        <w:right w:val="none" w:sz="0" w:space="0" w:color="auto"/>
      </w:divBdr>
    </w:div>
    <w:div w:id="1539246542">
      <w:bodyDiv w:val="1"/>
      <w:marLeft w:val="0"/>
      <w:marRight w:val="0"/>
      <w:marTop w:val="0"/>
      <w:marBottom w:val="0"/>
      <w:divBdr>
        <w:top w:val="none" w:sz="0" w:space="0" w:color="auto"/>
        <w:left w:val="none" w:sz="0" w:space="0" w:color="auto"/>
        <w:bottom w:val="none" w:sz="0" w:space="0" w:color="auto"/>
        <w:right w:val="none" w:sz="0" w:space="0" w:color="auto"/>
      </w:divBdr>
    </w:div>
    <w:div w:id="1570846220">
      <w:bodyDiv w:val="1"/>
      <w:marLeft w:val="0"/>
      <w:marRight w:val="0"/>
      <w:marTop w:val="0"/>
      <w:marBottom w:val="0"/>
      <w:divBdr>
        <w:top w:val="none" w:sz="0" w:space="0" w:color="auto"/>
        <w:left w:val="none" w:sz="0" w:space="0" w:color="auto"/>
        <w:bottom w:val="none" w:sz="0" w:space="0" w:color="auto"/>
        <w:right w:val="none" w:sz="0" w:space="0" w:color="auto"/>
      </w:divBdr>
    </w:div>
    <w:div w:id="1604070113">
      <w:bodyDiv w:val="1"/>
      <w:marLeft w:val="0"/>
      <w:marRight w:val="0"/>
      <w:marTop w:val="0"/>
      <w:marBottom w:val="0"/>
      <w:divBdr>
        <w:top w:val="none" w:sz="0" w:space="0" w:color="auto"/>
        <w:left w:val="none" w:sz="0" w:space="0" w:color="auto"/>
        <w:bottom w:val="none" w:sz="0" w:space="0" w:color="auto"/>
        <w:right w:val="none" w:sz="0" w:space="0" w:color="auto"/>
      </w:divBdr>
    </w:div>
    <w:div w:id="1610236239">
      <w:bodyDiv w:val="1"/>
      <w:marLeft w:val="0"/>
      <w:marRight w:val="0"/>
      <w:marTop w:val="0"/>
      <w:marBottom w:val="0"/>
      <w:divBdr>
        <w:top w:val="none" w:sz="0" w:space="0" w:color="auto"/>
        <w:left w:val="none" w:sz="0" w:space="0" w:color="auto"/>
        <w:bottom w:val="none" w:sz="0" w:space="0" w:color="auto"/>
        <w:right w:val="none" w:sz="0" w:space="0" w:color="auto"/>
      </w:divBdr>
    </w:div>
    <w:div w:id="1618831336">
      <w:bodyDiv w:val="1"/>
      <w:marLeft w:val="0"/>
      <w:marRight w:val="0"/>
      <w:marTop w:val="0"/>
      <w:marBottom w:val="0"/>
      <w:divBdr>
        <w:top w:val="none" w:sz="0" w:space="0" w:color="auto"/>
        <w:left w:val="none" w:sz="0" w:space="0" w:color="auto"/>
        <w:bottom w:val="none" w:sz="0" w:space="0" w:color="auto"/>
        <w:right w:val="none" w:sz="0" w:space="0" w:color="auto"/>
      </w:divBdr>
    </w:div>
    <w:div w:id="1629432315">
      <w:bodyDiv w:val="1"/>
      <w:marLeft w:val="0"/>
      <w:marRight w:val="0"/>
      <w:marTop w:val="0"/>
      <w:marBottom w:val="0"/>
      <w:divBdr>
        <w:top w:val="none" w:sz="0" w:space="0" w:color="auto"/>
        <w:left w:val="none" w:sz="0" w:space="0" w:color="auto"/>
        <w:bottom w:val="none" w:sz="0" w:space="0" w:color="auto"/>
        <w:right w:val="none" w:sz="0" w:space="0" w:color="auto"/>
      </w:divBdr>
    </w:div>
    <w:div w:id="1709262708">
      <w:bodyDiv w:val="1"/>
      <w:marLeft w:val="0"/>
      <w:marRight w:val="0"/>
      <w:marTop w:val="0"/>
      <w:marBottom w:val="0"/>
      <w:divBdr>
        <w:top w:val="none" w:sz="0" w:space="0" w:color="auto"/>
        <w:left w:val="none" w:sz="0" w:space="0" w:color="auto"/>
        <w:bottom w:val="none" w:sz="0" w:space="0" w:color="auto"/>
        <w:right w:val="none" w:sz="0" w:space="0" w:color="auto"/>
      </w:divBdr>
    </w:div>
    <w:div w:id="1713967704">
      <w:bodyDiv w:val="1"/>
      <w:marLeft w:val="0"/>
      <w:marRight w:val="0"/>
      <w:marTop w:val="0"/>
      <w:marBottom w:val="0"/>
      <w:divBdr>
        <w:top w:val="none" w:sz="0" w:space="0" w:color="auto"/>
        <w:left w:val="none" w:sz="0" w:space="0" w:color="auto"/>
        <w:bottom w:val="none" w:sz="0" w:space="0" w:color="auto"/>
        <w:right w:val="none" w:sz="0" w:space="0" w:color="auto"/>
      </w:divBdr>
    </w:div>
    <w:div w:id="1716080315">
      <w:bodyDiv w:val="1"/>
      <w:marLeft w:val="0"/>
      <w:marRight w:val="0"/>
      <w:marTop w:val="0"/>
      <w:marBottom w:val="0"/>
      <w:divBdr>
        <w:top w:val="none" w:sz="0" w:space="0" w:color="auto"/>
        <w:left w:val="none" w:sz="0" w:space="0" w:color="auto"/>
        <w:bottom w:val="none" w:sz="0" w:space="0" w:color="auto"/>
        <w:right w:val="none" w:sz="0" w:space="0" w:color="auto"/>
      </w:divBdr>
    </w:div>
    <w:div w:id="1783567605">
      <w:bodyDiv w:val="1"/>
      <w:marLeft w:val="0"/>
      <w:marRight w:val="0"/>
      <w:marTop w:val="0"/>
      <w:marBottom w:val="0"/>
      <w:divBdr>
        <w:top w:val="none" w:sz="0" w:space="0" w:color="auto"/>
        <w:left w:val="none" w:sz="0" w:space="0" w:color="auto"/>
        <w:bottom w:val="none" w:sz="0" w:space="0" w:color="auto"/>
        <w:right w:val="none" w:sz="0" w:space="0" w:color="auto"/>
      </w:divBdr>
    </w:div>
    <w:div w:id="1793015469">
      <w:bodyDiv w:val="1"/>
      <w:marLeft w:val="0"/>
      <w:marRight w:val="0"/>
      <w:marTop w:val="0"/>
      <w:marBottom w:val="0"/>
      <w:divBdr>
        <w:top w:val="none" w:sz="0" w:space="0" w:color="auto"/>
        <w:left w:val="none" w:sz="0" w:space="0" w:color="auto"/>
        <w:bottom w:val="none" w:sz="0" w:space="0" w:color="auto"/>
        <w:right w:val="none" w:sz="0" w:space="0" w:color="auto"/>
      </w:divBdr>
    </w:div>
    <w:div w:id="1816220790">
      <w:bodyDiv w:val="1"/>
      <w:marLeft w:val="0"/>
      <w:marRight w:val="0"/>
      <w:marTop w:val="0"/>
      <w:marBottom w:val="0"/>
      <w:divBdr>
        <w:top w:val="none" w:sz="0" w:space="0" w:color="auto"/>
        <w:left w:val="none" w:sz="0" w:space="0" w:color="auto"/>
        <w:bottom w:val="none" w:sz="0" w:space="0" w:color="auto"/>
        <w:right w:val="none" w:sz="0" w:space="0" w:color="auto"/>
      </w:divBdr>
      <w:divsChild>
        <w:div w:id="662050673">
          <w:marLeft w:val="0"/>
          <w:marRight w:val="0"/>
          <w:marTop w:val="0"/>
          <w:marBottom w:val="0"/>
          <w:divBdr>
            <w:top w:val="none" w:sz="0" w:space="0" w:color="auto"/>
            <w:left w:val="none" w:sz="0" w:space="0" w:color="auto"/>
            <w:bottom w:val="none" w:sz="0" w:space="0" w:color="auto"/>
            <w:right w:val="none" w:sz="0" w:space="0" w:color="auto"/>
          </w:divBdr>
          <w:divsChild>
            <w:div w:id="211037371">
              <w:marLeft w:val="0"/>
              <w:marRight w:val="0"/>
              <w:marTop w:val="180"/>
              <w:marBottom w:val="180"/>
              <w:divBdr>
                <w:top w:val="none" w:sz="0" w:space="0" w:color="auto"/>
                <w:left w:val="none" w:sz="0" w:space="0" w:color="auto"/>
                <w:bottom w:val="none" w:sz="0" w:space="0" w:color="auto"/>
                <w:right w:val="none" w:sz="0" w:space="0" w:color="auto"/>
              </w:divBdr>
            </w:div>
          </w:divsChild>
        </w:div>
        <w:div w:id="676351024">
          <w:marLeft w:val="0"/>
          <w:marRight w:val="0"/>
          <w:marTop w:val="0"/>
          <w:marBottom w:val="0"/>
          <w:divBdr>
            <w:top w:val="none" w:sz="0" w:space="0" w:color="auto"/>
            <w:left w:val="none" w:sz="0" w:space="0" w:color="auto"/>
            <w:bottom w:val="none" w:sz="0" w:space="0" w:color="auto"/>
            <w:right w:val="none" w:sz="0" w:space="0" w:color="auto"/>
          </w:divBdr>
          <w:divsChild>
            <w:div w:id="2133742545">
              <w:marLeft w:val="0"/>
              <w:marRight w:val="0"/>
              <w:marTop w:val="0"/>
              <w:marBottom w:val="0"/>
              <w:divBdr>
                <w:top w:val="none" w:sz="0" w:space="0" w:color="auto"/>
                <w:left w:val="none" w:sz="0" w:space="0" w:color="auto"/>
                <w:bottom w:val="none" w:sz="0" w:space="0" w:color="auto"/>
                <w:right w:val="none" w:sz="0" w:space="0" w:color="auto"/>
              </w:divBdr>
              <w:divsChild>
                <w:div w:id="16741304">
                  <w:marLeft w:val="0"/>
                  <w:marRight w:val="0"/>
                  <w:marTop w:val="0"/>
                  <w:marBottom w:val="0"/>
                  <w:divBdr>
                    <w:top w:val="none" w:sz="0" w:space="0" w:color="auto"/>
                    <w:left w:val="none" w:sz="0" w:space="0" w:color="auto"/>
                    <w:bottom w:val="none" w:sz="0" w:space="0" w:color="auto"/>
                    <w:right w:val="none" w:sz="0" w:space="0" w:color="auto"/>
                  </w:divBdr>
                  <w:divsChild>
                    <w:div w:id="40594046">
                      <w:marLeft w:val="0"/>
                      <w:marRight w:val="0"/>
                      <w:marTop w:val="0"/>
                      <w:marBottom w:val="0"/>
                      <w:divBdr>
                        <w:top w:val="none" w:sz="0" w:space="0" w:color="auto"/>
                        <w:left w:val="none" w:sz="0" w:space="0" w:color="auto"/>
                        <w:bottom w:val="none" w:sz="0" w:space="0" w:color="auto"/>
                        <w:right w:val="none" w:sz="0" w:space="0" w:color="auto"/>
                      </w:divBdr>
                      <w:divsChild>
                        <w:div w:id="438567766">
                          <w:marLeft w:val="0"/>
                          <w:marRight w:val="0"/>
                          <w:marTop w:val="0"/>
                          <w:marBottom w:val="0"/>
                          <w:divBdr>
                            <w:top w:val="none" w:sz="0" w:space="0" w:color="auto"/>
                            <w:left w:val="none" w:sz="0" w:space="0" w:color="auto"/>
                            <w:bottom w:val="none" w:sz="0" w:space="0" w:color="auto"/>
                            <w:right w:val="none" w:sz="0" w:space="0" w:color="auto"/>
                          </w:divBdr>
                          <w:divsChild>
                            <w:div w:id="14968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505166">
      <w:bodyDiv w:val="1"/>
      <w:marLeft w:val="0"/>
      <w:marRight w:val="0"/>
      <w:marTop w:val="0"/>
      <w:marBottom w:val="0"/>
      <w:divBdr>
        <w:top w:val="none" w:sz="0" w:space="0" w:color="auto"/>
        <w:left w:val="none" w:sz="0" w:space="0" w:color="auto"/>
        <w:bottom w:val="none" w:sz="0" w:space="0" w:color="auto"/>
        <w:right w:val="none" w:sz="0" w:space="0" w:color="auto"/>
      </w:divBdr>
    </w:div>
    <w:div w:id="1835027814">
      <w:bodyDiv w:val="1"/>
      <w:marLeft w:val="0"/>
      <w:marRight w:val="0"/>
      <w:marTop w:val="0"/>
      <w:marBottom w:val="0"/>
      <w:divBdr>
        <w:top w:val="none" w:sz="0" w:space="0" w:color="auto"/>
        <w:left w:val="none" w:sz="0" w:space="0" w:color="auto"/>
        <w:bottom w:val="none" w:sz="0" w:space="0" w:color="auto"/>
        <w:right w:val="none" w:sz="0" w:space="0" w:color="auto"/>
      </w:divBdr>
    </w:div>
    <w:div w:id="1844585294">
      <w:bodyDiv w:val="1"/>
      <w:marLeft w:val="0"/>
      <w:marRight w:val="0"/>
      <w:marTop w:val="0"/>
      <w:marBottom w:val="0"/>
      <w:divBdr>
        <w:top w:val="none" w:sz="0" w:space="0" w:color="auto"/>
        <w:left w:val="none" w:sz="0" w:space="0" w:color="auto"/>
        <w:bottom w:val="none" w:sz="0" w:space="0" w:color="auto"/>
        <w:right w:val="none" w:sz="0" w:space="0" w:color="auto"/>
      </w:divBdr>
    </w:div>
    <w:div w:id="1855028569">
      <w:bodyDiv w:val="1"/>
      <w:marLeft w:val="0"/>
      <w:marRight w:val="0"/>
      <w:marTop w:val="0"/>
      <w:marBottom w:val="0"/>
      <w:divBdr>
        <w:top w:val="none" w:sz="0" w:space="0" w:color="auto"/>
        <w:left w:val="none" w:sz="0" w:space="0" w:color="auto"/>
        <w:bottom w:val="none" w:sz="0" w:space="0" w:color="auto"/>
        <w:right w:val="none" w:sz="0" w:space="0" w:color="auto"/>
      </w:divBdr>
    </w:div>
    <w:div w:id="1878934272">
      <w:bodyDiv w:val="1"/>
      <w:marLeft w:val="0"/>
      <w:marRight w:val="0"/>
      <w:marTop w:val="0"/>
      <w:marBottom w:val="0"/>
      <w:divBdr>
        <w:top w:val="none" w:sz="0" w:space="0" w:color="auto"/>
        <w:left w:val="none" w:sz="0" w:space="0" w:color="auto"/>
        <w:bottom w:val="none" w:sz="0" w:space="0" w:color="auto"/>
        <w:right w:val="none" w:sz="0" w:space="0" w:color="auto"/>
      </w:divBdr>
    </w:div>
    <w:div w:id="1922912946">
      <w:bodyDiv w:val="1"/>
      <w:marLeft w:val="0"/>
      <w:marRight w:val="0"/>
      <w:marTop w:val="0"/>
      <w:marBottom w:val="0"/>
      <w:divBdr>
        <w:top w:val="none" w:sz="0" w:space="0" w:color="auto"/>
        <w:left w:val="none" w:sz="0" w:space="0" w:color="auto"/>
        <w:bottom w:val="none" w:sz="0" w:space="0" w:color="auto"/>
        <w:right w:val="none" w:sz="0" w:space="0" w:color="auto"/>
      </w:divBdr>
    </w:div>
    <w:div w:id="1931111910">
      <w:bodyDiv w:val="1"/>
      <w:marLeft w:val="0"/>
      <w:marRight w:val="0"/>
      <w:marTop w:val="0"/>
      <w:marBottom w:val="0"/>
      <w:divBdr>
        <w:top w:val="none" w:sz="0" w:space="0" w:color="auto"/>
        <w:left w:val="none" w:sz="0" w:space="0" w:color="auto"/>
        <w:bottom w:val="none" w:sz="0" w:space="0" w:color="auto"/>
        <w:right w:val="none" w:sz="0" w:space="0" w:color="auto"/>
      </w:divBdr>
    </w:div>
    <w:div w:id="1949921162">
      <w:bodyDiv w:val="1"/>
      <w:marLeft w:val="0"/>
      <w:marRight w:val="0"/>
      <w:marTop w:val="0"/>
      <w:marBottom w:val="0"/>
      <w:divBdr>
        <w:top w:val="none" w:sz="0" w:space="0" w:color="auto"/>
        <w:left w:val="none" w:sz="0" w:space="0" w:color="auto"/>
        <w:bottom w:val="none" w:sz="0" w:space="0" w:color="auto"/>
        <w:right w:val="none" w:sz="0" w:space="0" w:color="auto"/>
      </w:divBdr>
    </w:div>
    <w:div w:id="1950427327">
      <w:bodyDiv w:val="1"/>
      <w:marLeft w:val="0"/>
      <w:marRight w:val="0"/>
      <w:marTop w:val="0"/>
      <w:marBottom w:val="0"/>
      <w:divBdr>
        <w:top w:val="none" w:sz="0" w:space="0" w:color="auto"/>
        <w:left w:val="none" w:sz="0" w:space="0" w:color="auto"/>
        <w:bottom w:val="none" w:sz="0" w:space="0" w:color="auto"/>
        <w:right w:val="none" w:sz="0" w:space="0" w:color="auto"/>
      </w:divBdr>
    </w:div>
    <w:div w:id="1958219816">
      <w:bodyDiv w:val="1"/>
      <w:marLeft w:val="0"/>
      <w:marRight w:val="0"/>
      <w:marTop w:val="0"/>
      <w:marBottom w:val="0"/>
      <w:divBdr>
        <w:top w:val="none" w:sz="0" w:space="0" w:color="auto"/>
        <w:left w:val="none" w:sz="0" w:space="0" w:color="auto"/>
        <w:bottom w:val="none" w:sz="0" w:space="0" w:color="auto"/>
        <w:right w:val="none" w:sz="0" w:space="0" w:color="auto"/>
      </w:divBdr>
    </w:div>
    <w:div w:id="1965503708">
      <w:bodyDiv w:val="1"/>
      <w:marLeft w:val="0"/>
      <w:marRight w:val="0"/>
      <w:marTop w:val="0"/>
      <w:marBottom w:val="0"/>
      <w:divBdr>
        <w:top w:val="none" w:sz="0" w:space="0" w:color="auto"/>
        <w:left w:val="none" w:sz="0" w:space="0" w:color="auto"/>
        <w:bottom w:val="none" w:sz="0" w:space="0" w:color="auto"/>
        <w:right w:val="none" w:sz="0" w:space="0" w:color="auto"/>
      </w:divBdr>
    </w:div>
    <w:div w:id="1965840303">
      <w:bodyDiv w:val="1"/>
      <w:marLeft w:val="0"/>
      <w:marRight w:val="0"/>
      <w:marTop w:val="0"/>
      <w:marBottom w:val="0"/>
      <w:divBdr>
        <w:top w:val="none" w:sz="0" w:space="0" w:color="auto"/>
        <w:left w:val="none" w:sz="0" w:space="0" w:color="auto"/>
        <w:bottom w:val="none" w:sz="0" w:space="0" w:color="auto"/>
        <w:right w:val="none" w:sz="0" w:space="0" w:color="auto"/>
      </w:divBdr>
    </w:div>
    <w:div w:id="2002729248">
      <w:bodyDiv w:val="1"/>
      <w:marLeft w:val="0"/>
      <w:marRight w:val="0"/>
      <w:marTop w:val="0"/>
      <w:marBottom w:val="0"/>
      <w:divBdr>
        <w:top w:val="none" w:sz="0" w:space="0" w:color="auto"/>
        <w:left w:val="none" w:sz="0" w:space="0" w:color="auto"/>
        <w:bottom w:val="none" w:sz="0" w:space="0" w:color="auto"/>
        <w:right w:val="none" w:sz="0" w:space="0" w:color="auto"/>
      </w:divBdr>
    </w:div>
    <w:div w:id="2009598036">
      <w:bodyDiv w:val="1"/>
      <w:marLeft w:val="0"/>
      <w:marRight w:val="0"/>
      <w:marTop w:val="0"/>
      <w:marBottom w:val="0"/>
      <w:divBdr>
        <w:top w:val="none" w:sz="0" w:space="0" w:color="auto"/>
        <w:left w:val="none" w:sz="0" w:space="0" w:color="auto"/>
        <w:bottom w:val="none" w:sz="0" w:space="0" w:color="auto"/>
        <w:right w:val="none" w:sz="0" w:space="0" w:color="auto"/>
      </w:divBdr>
    </w:div>
    <w:div w:id="2015451785">
      <w:bodyDiv w:val="1"/>
      <w:marLeft w:val="0"/>
      <w:marRight w:val="0"/>
      <w:marTop w:val="0"/>
      <w:marBottom w:val="0"/>
      <w:divBdr>
        <w:top w:val="none" w:sz="0" w:space="0" w:color="auto"/>
        <w:left w:val="none" w:sz="0" w:space="0" w:color="auto"/>
        <w:bottom w:val="none" w:sz="0" w:space="0" w:color="auto"/>
        <w:right w:val="none" w:sz="0" w:space="0" w:color="auto"/>
      </w:divBdr>
    </w:div>
    <w:div w:id="2016031307">
      <w:bodyDiv w:val="1"/>
      <w:marLeft w:val="0"/>
      <w:marRight w:val="0"/>
      <w:marTop w:val="0"/>
      <w:marBottom w:val="0"/>
      <w:divBdr>
        <w:top w:val="none" w:sz="0" w:space="0" w:color="auto"/>
        <w:left w:val="none" w:sz="0" w:space="0" w:color="auto"/>
        <w:bottom w:val="none" w:sz="0" w:space="0" w:color="auto"/>
        <w:right w:val="none" w:sz="0" w:space="0" w:color="auto"/>
      </w:divBdr>
    </w:div>
    <w:div w:id="2031224997">
      <w:bodyDiv w:val="1"/>
      <w:marLeft w:val="0"/>
      <w:marRight w:val="0"/>
      <w:marTop w:val="0"/>
      <w:marBottom w:val="0"/>
      <w:divBdr>
        <w:top w:val="none" w:sz="0" w:space="0" w:color="auto"/>
        <w:left w:val="none" w:sz="0" w:space="0" w:color="auto"/>
        <w:bottom w:val="none" w:sz="0" w:space="0" w:color="auto"/>
        <w:right w:val="none" w:sz="0" w:space="0" w:color="auto"/>
      </w:divBdr>
    </w:div>
    <w:div w:id="2040156293">
      <w:bodyDiv w:val="1"/>
      <w:marLeft w:val="0"/>
      <w:marRight w:val="0"/>
      <w:marTop w:val="0"/>
      <w:marBottom w:val="0"/>
      <w:divBdr>
        <w:top w:val="none" w:sz="0" w:space="0" w:color="auto"/>
        <w:left w:val="none" w:sz="0" w:space="0" w:color="auto"/>
        <w:bottom w:val="none" w:sz="0" w:space="0" w:color="auto"/>
        <w:right w:val="none" w:sz="0" w:space="0" w:color="auto"/>
      </w:divBdr>
    </w:div>
    <w:div w:id="2047833113">
      <w:bodyDiv w:val="1"/>
      <w:marLeft w:val="0"/>
      <w:marRight w:val="0"/>
      <w:marTop w:val="0"/>
      <w:marBottom w:val="0"/>
      <w:divBdr>
        <w:top w:val="none" w:sz="0" w:space="0" w:color="auto"/>
        <w:left w:val="none" w:sz="0" w:space="0" w:color="auto"/>
        <w:bottom w:val="none" w:sz="0" w:space="0" w:color="auto"/>
        <w:right w:val="none" w:sz="0" w:space="0" w:color="auto"/>
      </w:divBdr>
    </w:div>
    <w:div w:id="2052221056">
      <w:bodyDiv w:val="1"/>
      <w:marLeft w:val="0"/>
      <w:marRight w:val="0"/>
      <w:marTop w:val="0"/>
      <w:marBottom w:val="0"/>
      <w:divBdr>
        <w:top w:val="none" w:sz="0" w:space="0" w:color="auto"/>
        <w:left w:val="none" w:sz="0" w:space="0" w:color="auto"/>
        <w:bottom w:val="none" w:sz="0" w:space="0" w:color="auto"/>
        <w:right w:val="none" w:sz="0" w:space="0" w:color="auto"/>
      </w:divBdr>
    </w:div>
    <w:div w:id="2055154742">
      <w:bodyDiv w:val="1"/>
      <w:marLeft w:val="0"/>
      <w:marRight w:val="0"/>
      <w:marTop w:val="0"/>
      <w:marBottom w:val="0"/>
      <w:divBdr>
        <w:top w:val="none" w:sz="0" w:space="0" w:color="auto"/>
        <w:left w:val="none" w:sz="0" w:space="0" w:color="auto"/>
        <w:bottom w:val="none" w:sz="0" w:space="0" w:color="auto"/>
        <w:right w:val="none" w:sz="0" w:space="0" w:color="auto"/>
      </w:divBdr>
    </w:div>
    <w:div w:id="2055301725">
      <w:bodyDiv w:val="1"/>
      <w:marLeft w:val="0"/>
      <w:marRight w:val="0"/>
      <w:marTop w:val="0"/>
      <w:marBottom w:val="0"/>
      <w:divBdr>
        <w:top w:val="none" w:sz="0" w:space="0" w:color="auto"/>
        <w:left w:val="none" w:sz="0" w:space="0" w:color="auto"/>
        <w:bottom w:val="none" w:sz="0" w:space="0" w:color="auto"/>
        <w:right w:val="none" w:sz="0" w:space="0" w:color="auto"/>
      </w:divBdr>
    </w:div>
    <w:div w:id="2095590555">
      <w:bodyDiv w:val="1"/>
      <w:marLeft w:val="0"/>
      <w:marRight w:val="0"/>
      <w:marTop w:val="0"/>
      <w:marBottom w:val="0"/>
      <w:divBdr>
        <w:top w:val="none" w:sz="0" w:space="0" w:color="auto"/>
        <w:left w:val="none" w:sz="0" w:space="0" w:color="auto"/>
        <w:bottom w:val="none" w:sz="0" w:space="0" w:color="auto"/>
        <w:right w:val="none" w:sz="0" w:space="0" w:color="auto"/>
      </w:divBdr>
    </w:div>
    <w:div w:id="2096779828">
      <w:bodyDiv w:val="1"/>
      <w:marLeft w:val="0"/>
      <w:marRight w:val="0"/>
      <w:marTop w:val="0"/>
      <w:marBottom w:val="0"/>
      <w:divBdr>
        <w:top w:val="none" w:sz="0" w:space="0" w:color="auto"/>
        <w:left w:val="none" w:sz="0" w:space="0" w:color="auto"/>
        <w:bottom w:val="none" w:sz="0" w:space="0" w:color="auto"/>
        <w:right w:val="none" w:sz="0" w:space="0" w:color="auto"/>
      </w:divBdr>
    </w:div>
    <w:div w:id="2099673647">
      <w:bodyDiv w:val="1"/>
      <w:marLeft w:val="0"/>
      <w:marRight w:val="0"/>
      <w:marTop w:val="0"/>
      <w:marBottom w:val="0"/>
      <w:divBdr>
        <w:top w:val="none" w:sz="0" w:space="0" w:color="auto"/>
        <w:left w:val="none" w:sz="0" w:space="0" w:color="auto"/>
        <w:bottom w:val="none" w:sz="0" w:space="0" w:color="auto"/>
        <w:right w:val="none" w:sz="0" w:space="0" w:color="auto"/>
      </w:divBdr>
    </w:div>
    <w:div w:id="2104956047">
      <w:bodyDiv w:val="1"/>
      <w:marLeft w:val="0"/>
      <w:marRight w:val="0"/>
      <w:marTop w:val="0"/>
      <w:marBottom w:val="0"/>
      <w:divBdr>
        <w:top w:val="none" w:sz="0" w:space="0" w:color="auto"/>
        <w:left w:val="none" w:sz="0" w:space="0" w:color="auto"/>
        <w:bottom w:val="none" w:sz="0" w:space="0" w:color="auto"/>
        <w:right w:val="none" w:sz="0" w:space="0" w:color="auto"/>
      </w:divBdr>
    </w:div>
    <w:div w:id="2110587178">
      <w:bodyDiv w:val="1"/>
      <w:marLeft w:val="0"/>
      <w:marRight w:val="0"/>
      <w:marTop w:val="0"/>
      <w:marBottom w:val="0"/>
      <w:divBdr>
        <w:top w:val="none" w:sz="0" w:space="0" w:color="auto"/>
        <w:left w:val="none" w:sz="0" w:space="0" w:color="auto"/>
        <w:bottom w:val="none" w:sz="0" w:space="0" w:color="auto"/>
        <w:right w:val="none" w:sz="0" w:space="0" w:color="auto"/>
      </w:divBdr>
    </w:div>
    <w:div w:id="211427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local-government-pension-scheme-review-of-the-actuarial-valuations-of-funds-as-at-31-march-2019" TargetMode="External"/><Relationship Id="rId18" Type="http://schemas.openxmlformats.org/officeDocument/2006/relationships/hyperlink" Target="https://www.frc.org.uk/investors/uk-stewardship-code/uk-stewardship-code-signatories" TargetMode="External"/><Relationship Id="rId26" Type="http://schemas.openxmlformats.org/officeDocument/2006/relationships/header" Target="header4.xml"/><Relationship Id="rId39" Type="http://schemas.openxmlformats.org/officeDocument/2006/relationships/image" Target="media/image11.png"/><Relationship Id="rId21" Type="http://schemas.openxmlformats.org/officeDocument/2006/relationships/image" Target="media/image5.emf"/><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header" Target="header8.xml"/><Relationship Id="rId55" Type="http://schemas.openxmlformats.org/officeDocument/2006/relationships/image" Target="media/image23.png"/><Relationship Id="rId63" Type="http://schemas.openxmlformats.org/officeDocument/2006/relationships/hyperlink" Target="http://www.lgps.org.uk/" TargetMode="External"/><Relationship Id="rId68" Type="http://schemas.openxmlformats.org/officeDocument/2006/relationships/chart" Target="charts/chart2.xml"/><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6.xml"/><Relationship Id="rId11" Type="http://schemas.openxmlformats.org/officeDocument/2006/relationships/hyperlink" Target="http://www.swanseapensionfund.org.uk" TargetMode="Externa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yperlink" Target="mailto:Jeffrey.dong@swansea.gov.uk" TargetMode="External"/><Relationship Id="rId66" Type="http://schemas.openxmlformats.org/officeDocument/2006/relationships/image" Target="media/image27.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8.png"/><Relationship Id="rId49" Type="http://schemas.openxmlformats.org/officeDocument/2006/relationships/hyperlink" Target="https://www.swanseapensionfund.org.uk/investment-and-fund/actuarial-valuations/" TargetMode="External"/><Relationship Id="rId57" Type="http://schemas.openxmlformats.org/officeDocument/2006/relationships/image" Target="media/image25.png"/><Relationship Id="rId61" Type="http://schemas.openxmlformats.org/officeDocument/2006/relationships/hyperlink" Target="https://lgpsmember.org/"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hyperlink" Target="http://www.swansea.pensionfund.org.uk" TargetMode="External"/><Relationship Id="rId65" Type="http://schemas.openxmlformats.org/officeDocument/2006/relationships/image" Target="media/image26.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yperlink" Target="http://www.frc.org.uk/auditorsresponsibilities" TargetMode="External"/><Relationship Id="rId43" Type="http://schemas.openxmlformats.org/officeDocument/2006/relationships/image" Target="media/image15.png"/><Relationship Id="rId48" Type="http://schemas.openxmlformats.org/officeDocument/2006/relationships/hyperlink" Target="https://www.swanseapensionfund.org.uk/investment-and-fund/actuarial-valuations/" TargetMode="External"/><Relationship Id="rId56" Type="http://schemas.openxmlformats.org/officeDocument/2006/relationships/image" Target="media/image24.png"/><Relationship Id="rId64" Type="http://schemas.openxmlformats.org/officeDocument/2006/relationships/hyperlink" Target="http://www.swanseapensionfund.org.uk" TargetMode="External"/><Relationship Id="rId69"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yperlink" Target="https://www.lgpsboard.org/index.php/the-code" TargetMode="Externa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http://www.swanseapensionfund.org.uk" TargetMode="External"/><Relationship Id="rId59" Type="http://schemas.openxmlformats.org/officeDocument/2006/relationships/hyperlink" Target="http://www.swanseapensionfund.org.uk" TargetMode="External"/><Relationship Id="rId67" Type="http://schemas.openxmlformats.org/officeDocument/2006/relationships/chart" Target="charts/chart1.xml"/><Relationship Id="rId20" Type="http://schemas.openxmlformats.org/officeDocument/2006/relationships/footer" Target="footer1.xml"/><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hyperlink" Target="mailto:pensions@swansea.gov.uk" TargetMode="External"/><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irvine\Documents\ESG%20Swanse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Jirvine\Documents\ESG%20Swanse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tx2"/>
              </a:solidFill>
              <a:ln w="19050">
                <a:solidFill>
                  <a:schemeClr val="lt1"/>
                </a:solidFill>
              </a:ln>
              <a:effectLst/>
            </c:spPr>
            <c:extLst>
              <c:ext xmlns:c16="http://schemas.microsoft.com/office/drawing/2014/chart" uri="{C3380CC4-5D6E-409C-BE32-E72D297353CC}">
                <c16:uniqueId val="{00000001-E5AD-4A71-911F-006CC099DA42}"/>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E5AD-4A71-911F-006CC099DA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5AD-4A71-911F-006CC099DA4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5AD-4A71-911F-006CC099DA42}"/>
              </c:ext>
            </c:extLst>
          </c:dPt>
          <c:dLbls>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E5AD-4A71-911F-006CC099DA42}"/>
                </c:ext>
              </c:extLst>
            </c:dLbl>
            <c:dLbl>
              <c:idx val="1"/>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E5AD-4A71-911F-006CC099DA42}"/>
                </c:ext>
              </c:extLst>
            </c:dLbl>
            <c:dLbl>
              <c:idx val="2"/>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E5AD-4A71-911F-006CC099DA42}"/>
                </c:ext>
              </c:extLst>
            </c:dLbl>
            <c:dLbl>
              <c:idx val="3"/>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7-E5AD-4A71-911F-006CC099DA42}"/>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Inputs!$A$50:$A$53</c:f>
              <c:strCache>
                <c:ptCount val="4"/>
                <c:pt idx="0">
                  <c:v>Energy </c:v>
                </c:pt>
                <c:pt idx="1">
                  <c:v>Materials</c:v>
                </c:pt>
                <c:pt idx="2">
                  <c:v>Utilities</c:v>
                </c:pt>
                <c:pt idx="3">
                  <c:v>Other</c:v>
                </c:pt>
              </c:strCache>
            </c:strRef>
          </c:cat>
          <c:val>
            <c:numRef>
              <c:f>Inputs!$B$50:$B$53</c:f>
              <c:numCache>
                <c:formatCode>0%</c:formatCode>
                <c:ptCount val="4"/>
                <c:pt idx="0">
                  <c:v>5.0999999999999997E-2</c:v>
                </c:pt>
                <c:pt idx="1">
                  <c:v>0.09</c:v>
                </c:pt>
                <c:pt idx="2">
                  <c:v>2.1999999999999999E-2</c:v>
                </c:pt>
                <c:pt idx="3">
                  <c:v>0.83699999999999997</c:v>
                </c:pt>
              </c:numCache>
            </c:numRef>
          </c:val>
          <c:extLst>
            <c:ext xmlns:c16="http://schemas.microsoft.com/office/drawing/2014/chart" uri="{C3380CC4-5D6E-409C-BE32-E72D297353CC}">
              <c16:uniqueId val="{00000008-E5AD-4A71-911F-006CC099DA4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accent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accent2"/>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tx2"/>
              </a:solidFill>
              <a:ln w="19050">
                <a:solidFill>
                  <a:schemeClr val="lt1"/>
                </a:solidFill>
              </a:ln>
              <a:effectLst/>
            </c:spPr>
            <c:extLst>
              <c:ext xmlns:c16="http://schemas.microsoft.com/office/drawing/2014/chart" uri="{C3380CC4-5D6E-409C-BE32-E72D297353CC}">
                <c16:uniqueId val="{00000001-3833-4E7E-A35F-A31693CEF582}"/>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3833-4E7E-A35F-A31693CEF5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33-4E7E-A35F-A31693CEF58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33-4E7E-A35F-A31693CEF582}"/>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Inputs!$C$50:$C$53</c:f>
              <c:strCache>
                <c:ptCount val="4"/>
                <c:pt idx="0">
                  <c:v>Energy </c:v>
                </c:pt>
                <c:pt idx="1">
                  <c:v>Materials</c:v>
                </c:pt>
                <c:pt idx="2">
                  <c:v>Utilities</c:v>
                </c:pt>
                <c:pt idx="3">
                  <c:v>Other</c:v>
                </c:pt>
              </c:strCache>
            </c:strRef>
          </c:cat>
          <c:val>
            <c:numRef>
              <c:f>Inputs!$D$50:$D$53</c:f>
              <c:numCache>
                <c:formatCode>0%</c:formatCode>
                <c:ptCount val="4"/>
                <c:pt idx="0">
                  <c:v>0.313</c:v>
                </c:pt>
                <c:pt idx="1">
                  <c:v>0.24299999999999999</c:v>
                </c:pt>
                <c:pt idx="2">
                  <c:v>0.19900000000000001</c:v>
                </c:pt>
                <c:pt idx="3">
                  <c:v>0.245</c:v>
                </c:pt>
              </c:numCache>
            </c:numRef>
          </c:val>
          <c:extLst>
            <c:ext xmlns:c16="http://schemas.microsoft.com/office/drawing/2014/chart" uri="{C3380CC4-5D6E-409C-BE32-E72D297353CC}">
              <c16:uniqueId val="{00000008-3833-4E7E-A35F-A31693CEF58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accent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eting xmlns="d6169fa9-7409-4fcd-a707-8498962b0e0f">2023-01-09T01:56:56+00:00</Meeting>
    <lcf76f155ced4ddcb4097134ff3c332f xmlns="d6169fa9-7409-4fcd-a707-8498962b0e0f">
      <Terms xmlns="http://schemas.microsoft.com/office/infopath/2007/PartnerControls"/>
    </lcf76f155ced4ddcb4097134ff3c332f>
    <subject xmlns="d6169fa9-7409-4fcd-a707-8498962b0e0f">Subject</subject>
    <TaxCatchAll xmlns="4c0fc6d1-1ff6-4501-9111-f8704c4ff17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E4DC5B70071C044AD3A28458262D543" ma:contentTypeVersion="18" ma:contentTypeDescription="Create a new document." ma:contentTypeScope="" ma:versionID="90b64ddda4f07dca6721aa4bbd672734">
  <xsd:schema xmlns:xsd="http://www.w3.org/2001/XMLSchema" xmlns:xs="http://www.w3.org/2001/XMLSchema" xmlns:p="http://schemas.microsoft.com/office/2006/metadata/properties" xmlns:ns1="d6169fa9-7409-4fcd-a707-8498962b0e0f" xmlns:ns3="4c0fc6d1-1ff6-4501-9111-f8704c4ff172" targetNamespace="http://schemas.microsoft.com/office/2006/metadata/properties" ma:root="true" ma:fieldsID="caf13ee4c4eb30c72d2b9dce90ff16d6" ns1:_="" ns3:_="">
    <xsd:import namespace="d6169fa9-7409-4fcd-a707-8498962b0e0f"/>
    <xsd:import namespace="4c0fc6d1-1ff6-4501-9111-f8704c4ff172"/>
    <xsd:element name="properties">
      <xsd:complexType>
        <xsd:sequence>
          <xsd:element name="documentManagement">
            <xsd:complexType>
              <xsd:all>
                <xsd:element ref="ns1:Meeting"/>
                <xsd:element ref="ns1:subject"/>
                <xsd:element ref="ns1:MediaServiceMetadata" minOccurs="0"/>
                <xsd:element ref="ns1:MediaServiceFastMetadata" minOccurs="0"/>
                <xsd:element ref="ns1:MediaServiceAutoKeyPoints" minOccurs="0"/>
                <xsd:element ref="ns1:MediaServiceKeyPoints" minOccurs="0"/>
                <xsd:element ref="ns3:SharedWithUsers" minOccurs="0"/>
                <xsd:element ref="ns3:SharedWithDetails" minOccurs="0"/>
                <xsd:element ref="ns1:MediaServiceAutoTags" minOccurs="0"/>
                <xsd:element ref="ns1:MediaServiceOCR" minOccurs="0"/>
                <xsd:element ref="ns1:MediaServiceGenerationTime" minOccurs="0"/>
                <xsd:element ref="ns1:MediaServiceEventHashCode" minOccurs="0"/>
                <xsd:element ref="ns1:MediaServiceDateTaken" minOccurs="0"/>
                <xsd:element ref="ns1:MediaServiceLocation" minOccurs="0"/>
                <xsd:element ref="ns1: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69fa9-7409-4fcd-a707-8498962b0e0f" elementFormDefault="qualified">
    <xsd:import namespace="http://schemas.microsoft.com/office/2006/documentManagement/types"/>
    <xsd:import namespace="http://schemas.microsoft.com/office/infopath/2007/PartnerControls"/>
    <xsd:element name="Meeting" ma:index="0" ma:displayName="Relevant Date" ma:default="[today]" ma:description="For meeting folders use the date of the meeting. For other folders use an appropriate relevant date other this defaults to today" ma:format="DateOnly" ma:internalName="Meeting">
      <xsd:simpleType>
        <xsd:restriction base="dms:DateTime"/>
      </xsd:simpleType>
    </xsd:element>
    <xsd:element name="subject" ma:index="1" ma:displayName="Subject" ma:default="Subject" ma:description="subject of meeting item - for example project name" ma:format="Dropdown" ma:internalName="subject">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575625-32B1-456A-8701-B70A9E310FA4}">
  <ds:schemaRefs>
    <ds:schemaRef ds:uri="http://schemas.microsoft.com/sharepoint/v3/contenttype/forms"/>
  </ds:schemaRefs>
</ds:datastoreItem>
</file>

<file path=customXml/itemProps2.xml><?xml version="1.0" encoding="utf-8"?>
<ds:datastoreItem xmlns:ds="http://schemas.openxmlformats.org/officeDocument/2006/customXml" ds:itemID="{90D85C5E-A750-47A1-86C1-7EED6B9516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122567-D6AB-45E7-921A-8EA9C9A87E55}">
  <ds:schemaRefs>
    <ds:schemaRef ds:uri="http://schemas.openxmlformats.org/officeDocument/2006/bibliography"/>
  </ds:schemaRefs>
</ds:datastoreItem>
</file>

<file path=customXml/itemProps4.xml><?xml version="1.0" encoding="utf-8"?>
<ds:datastoreItem xmlns:ds="http://schemas.openxmlformats.org/officeDocument/2006/customXml" ds:itemID="{ED926F4B-22B3-482E-8611-1BC3FF4E3D01}"/>
</file>

<file path=docProps/app.xml><?xml version="1.0" encoding="utf-8"?>
<Properties xmlns="http://schemas.openxmlformats.org/officeDocument/2006/extended-properties" xmlns:vt="http://schemas.openxmlformats.org/officeDocument/2006/docPropsVTypes">
  <Template>Normal</Template>
  <TotalTime>0</TotalTime>
  <Pages>248</Pages>
  <Words>72464</Words>
  <Characters>413046</Characters>
  <Application>Microsoft Office Word</Application>
  <DocSecurity>0</DocSecurity>
  <Lines>3442</Lines>
  <Paragraphs>969</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484541</CharactersWithSpaces>
  <SharedDoc>false</SharedDoc>
  <HLinks>
    <vt:vector size="102" baseType="variant">
      <vt:variant>
        <vt:i4>4391001</vt:i4>
      </vt:variant>
      <vt:variant>
        <vt:i4>53</vt:i4>
      </vt:variant>
      <vt:variant>
        <vt:i4>0</vt:i4>
      </vt:variant>
      <vt:variant>
        <vt:i4>5</vt:i4>
      </vt:variant>
      <vt:variant>
        <vt:lpwstr>http://www.swanseapensionfund.org.uk/</vt:lpwstr>
      </vt:variant>
      <vt:variant>
        <vt:lpwstr/>
      </vt:variant>
      <vt:variant>
        <vt:i4>3014713</vt:i4>
      </vt:variant>
      <vt:variant>
        <vt:i4>50</vt:i4>
      </vt:variant>
      <vt:variant>
        <vt:i4>0</vt:i4>
      </vt:variant>
      <vt:variant>
        <vt:i4>5</vt:i4>
      </vt:variant>
      <vt:variant>
        <vt:lpwstr>http://www.lgps.org.uk/</vt:lpwstr>
      </vt:variant>
      <vt:variant>
        <vt:lpwstr/>
      </vt:variant>
      <vt:variant>
        <vt:i4>4390948</vt:i4>
      </vt:variant>
      <vt:variant>
        <vt:i4>47</vt:i4>
      </vt:variant>
      <vt:variant>
        <vt:i4>0</vt:i4>
      </vt:variant>
      <vt:variant>
        <vt:i4>5</vt:i4>
      </vt:variant>
      <vt:variant>
        <vt:lpwstr>mailto:pensions@swansea.gov.uk</vt:lpwstr>
      </vt:variant>
      <vt:variant>
        <vt:lpwstr/>
      </vt:variant>
      <vt:variant>
        <vt:i4>7864421</vt:i4>
      </vt:variant>
      <vt:variant>
        <vt:i4>44</vt:i4>
      </vt:variant>
      <vt:variant>
        <vt:i4>0</vt:i4>
      </vt:variant>
      <vt:variant>
        <vt:i4>5</vt:i4>
      </vt:variant>
      <vt:variant>
        <vt:lpwstr>https://lgpsmember.org/</vt:lpwstr>
      </vt:variant>
      <vt:variant>
        <vt:lpwstr/>
      </vt:variant>
      <vt:variant>
        <vt:i4>7405674</vt:i4>
      </vt:variant>
      <vt:variant>
        <vt:i4>41</vt:i4>
      </vt:variant>
      <vt:variant>
        <vt:i4>0</vt:i4>
      </vt:variant>
      <vt:variant>
        <vt:i4>5</vt:i4>
      </vt:variant>
      <vt:variant>
        <vt:lpwstr>http://www.swansea.pensionfund.org.uk/</vt:lpwstr>
      </vt:variant>
      <vt:variant>
        <vt:lpwstr/>
      </vt:variant>
      <vt:variant>
        <vt:i4>4391001</vt:i4>
      </vt:variant>
      <vt:variant>
        <vt:i4>38</vt:i4>
      </vt:variant>
      <vt:variant>
        <vt:i4>0</vt:i4>
      </vt:variant>
      <vt:variant>
        <vt:i4>5</vt:i4>
      </vt:variant>
      <vt:variant>
        <vt:lpwstr>http://www.swanseapensionfund.org.uk/</vt:lpwstr>
      </vt:variant>
      <vt:variant>
        <vt:lpwstr/>
      </vt:variant>
      <vt:variant>
        <vt:i4>5701742</vt:i4>
      </vt:variant>
      <vt:variant>
        <vt:i4>33</vt:i4>
      </vt:variant>
      <vt:variant>
        <vt:i4>0</vt:i4>
      </vt:variant>
      <vt:variant>
        <vt:i4>5</vt:i4>
      </vt:variant>
      <vt:variant>
        <vt:lpwstr>mailto:Jeffrey.dong@swansea.gov.uk</vt:lpwstr>
      </vt:variant>
      <vt:variant>
        <vt:lpwstr/>
      </vt:variant>
      <vt:variant>
        <vt:i4>7733301</vt:i4>
      </vt:variant>
      <vt:variant>
        <vt:i4>30</vt:i4>
      </vt:variant>
      <vt:variant>
        <vt:i4>0</vt:i4>
      </vt:variant>
      <vt:variant>
        <vt:i4>5</vt:i4>
      </vt:variant>
      <vt:variant>
        <vt:lpwstr>https://www.swanseapensionfund.org.uk/investment-and-fund/actuarial-valuations/</vt:lpwstr>
      </vt:variant>
      <vt:variant>
        <vt:lpwstr/>
      </vt:variant>
      <vt:variant>
        <vt:i4>7733301</vt:i4>
      </vt:variant>
      <vt:variant>
        <vt:i4>27</vt:i4>
      </vt:variant>
      <vt:variant>
        <vt:i4>0</vt:i4>
      </vt:variant>
      <vt:variant>
        <vt:i4>5</vt:i4>
      </vt:variant>
      <vt:variant>
        <vt:lpwstr>https://www.swanseapensionfund.org.uk/investment-and-fund/actuarial-valuations/</vt:lpwstr>
      </vt:variant>
      <vt:variant>
        <vt:lpwstr/>
      </vt:variant>
      <vt:variant>
        <vt:i4>4391001</vt:i4>
      </vt:variant>
      <vt:variant>
        <vt:i4>24</vt:i4>
      </vt:variant>
      <vt:variant>
        <vt:i4>0</vt:i4>
      </vt:variant>
      <vt:variant>
        <vt:i4>5</vt:i4>
      </vt:variant>
      <vt:variant>
        <vt:lpwstr>http://www.swanseapensionfund.org.uk/</vt:lpwstr>
      </vt:variant>
      <vt:variant>
        <vt:lpwstr/>
      </vt:variant>
      <vt:variant>
        <vt:i4>7602234</vt:i4>
      </vt:variant>
      <vt:variant>
        <vt:i4>21</vt:i4>
      </vt:variant>
      <vt:variant>
        <vt:i4>0</vt:i4>
      </vt:variant>
      <vt:variant>
        <vt:i4>5</vt:i4>
      </vt:variant>
      <vt:variant>
        <vt:lpwstr>http://www.frc.org.uk/auditorsresponsibilities</vt:lpwstr>
      </vt:variant>
      <vt:variant>
        <vt:lpwstr/>
      </vt:variant>
      <vt:variant>
        <vt:i4>4980831</vt:i4>
      </vt:variant>
      <vt:variant>
        <vt:i4>18</vt:i4>
      </vt:variant>
      <vt:variant>
        <vt:i4>0</vt:i4>
      </vt:variant>
      <vt:variant>
        <vt:i4>5</vt:i4>
      </vt:variant>
      <vt:variant>
        <vt:lpwstr>https://www.walespensionpartnership.org/</vt:lpwstr>
      </vt:variant>
      <vt:variant>
        <vt:lpwstr/>
      </vt:variant>
      <vt:variant>
        <vt:i4>5439571</vt:i4>
      </vt:variant>
      <vt:variant>
        <vt:i4>15</vt:i4>
      </vt:variant>
      <vt:variant>
        <vt:i4>0</vt:i4>
      </vt:variant>
      <vt:variant>
        <vt:i4>5</vt:i4>
      </vt:variant>
      <vt:variant>
        <vt:lpwstr>https://www.frc.org.uk/investors/uk-stewardship-code/uk-stewardship-code-signatories</vt:lpwstr>
      </vt:variant>
      <vt:variant>
        <vt:lpwstr/>
      </vt:variant>
      <vt:variant>
        <vt:i4>4980831</vt:i4>
      </vt:variant>
      <vt:variant>
        <vt:i4>12</vt:i4>
      </vt:variant>
      <vt:variant>
        <vt:i4>0</vt:i4>
      </vt:variant>
      <vt:variant>
        <vt:i4>5</vt:i4>
      </vt:variant>
      <vt:variant>
        <vt:lpwstr>https://www.walespensionpartnership.org/</vt:lpwstr>
      </vt:variant>
      <vt:variant>
        <vt:lpwstr/>
      </vt:variant>
      <vt:variant>
        <vt:i4>2097268</vt:i4>
      </vt:variant>
      <vt:variant>
        <vt:i4>6</vt:i4>
      </vt:variant>
      <vt:variant>
        <vt:i4>0</vt:i4>
      </vt:variant>
      <vt:variant>
        <vt:i4>5</vt:i4>
      </vt:variant>
      <vt:variant>
        <vt:lpwstr>https://www.gov.uk/government/publications/local-government-pension-scheme-review-of-the-actuarial-valuations-of-funds-as-at-31-march-2019</vt:lpwstr>
      </vt:variant>
      <vt:variant>
        <vt:lpwstr/>
      </vt:variant>
      <vt:variant>
        <vt:i4>2031696</vt:i4>
      </vt:variant>
      <vt:variant>
        <vt:i4>3</vt:i4>
      </vt:variant>
      <vt:variant>
        <vt:i4>0</vt:i4>
      </vt:variant>
      <vt:variant>
        <vt:i4>5</vt:i4>
      </vt:variant>
      <vt:variant>
        <vt:lpwstr>https://www.lgpsboard.org/index.php/the-code</vt:lpwstr>
      </vt:variant>
      <vt:variant>
        <vt:lpwstr/>
      </vt:variant>
      <vt:variant>
        <vt:i4>4391001</vt:i4>
      </vt:variant>
      <vt:variant>
        <vt:i4>0</vt:i4>
      </vt:variant>
      <vt:variant>
        <vt:i4>0</vt:i4>
      </vt:variant>
      <vt:variant>
        <vt:i4>5</vt:i4>
      </vt:variant>
      <vt:variant>
        <vt:lpwstr>http://www.swanseapensionfund.org.uk/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Treas. Dept.</dc:creator>
  <cp:keywords/>
  <cp:lastModifiedBy>Gareth Brown</cp:lastModifiedBy>
  <cp:revision>2</cp:revision>
  <cp:lastPrinted>2020-09-02T07:57:00Z</cp:lastPrinted>
  <dcterms:created xsi:type="dcterms:W3CDTF">2023-01-09T01:56:00Z</dcterms:created>
  <dcterms:modified xsi:type="dcterms:W3CDTF">2023-01-09T01:56:00Z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0x010100AE4DC5B70071C044AD3A28458262D543</vt:lpwstr>
  </property>
</Properties>
</file>